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D812DD" w14:textId="77777777" w:rsidR="00EB090C" w:rsidRDefault="00EB090C" w:rsidP="00EB090C">
      <w:pPr>
        <w:pStyle w:val="Heading1"/>
        <w:keepNext w:val="0"/>
        <w:spacing w:after="300"/>
        <w:ind w:right="0"/>
        <w:jc w:val="left"/>
        <w:rPr>
          <w:sz w:val="22"/>
          <w:szCs w:val="22"/>
        </w:rPr>
      </w:pPr>
      <w:r w:rsidRPr="00051EFE">
        <w:rPr>
          <w:noProof/>
          <w:sz w:val="24"/>
          <w:szCs w:val="24"/>
        </w:rPr>
        <w:drawing>
          <wp:inline distT="0" distB="0" distL="0" distR="0" wp14:anchorId="1307AE7D" wp14:editId="28BDAE67">
            <wp:extent cx="1009650" cy="897467"/>
            <wp:effectExtent l="0" t="0" r="0" b="0"/>
            <wp:docPr id="1" name="Picture 1"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_3298_SML_AW"/>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18722" cy="905531"/>
                    </a:xfrm>
                    <a:prstGeom prst="rect">
                      <a:avLst/>
                    </a:prstGeom>
                    <a:noFill/>
                    <a:ln>
                      <a:noFill/>
                    </a:ln>
                  </pic:spPr>
                </pic:pic>
              </a:graphicData>
            </a:graphic>
          </wp:inline>
        </w:drawing>
      </w:r>
    </w:p>
    <w:p w14:paraId="7A58595C" w14:textId="2B09924A" w:rsidR="008D4855" w:rsidRPr="008D4855" w:rsidRDefault="002B17E4" w:rsidP="00EB090C">
      <w:pPr>
        <w:pStyle w:val="Heading1"/>
        <w:keepNext w:val="0"/>
        <w:spacing w:after="300"/>
        <w:ind w:right="0"/>
        <w:rPr>
          <w:sz w:val="22"/>
          <w:szCs w:val="22"/>
        </w:rPr>
      </w:pPr>
      <w:r>
        <w:rPr>
          <w:sz w:val="22"/>
          <w:szCs w:val="22"/>
        </w:rPr>
        <w:t>TCA 3/7/</w:t>
      </w:r>
      <w:r w:rsidR="00A77F53">
        <w:rPr>
          <w:sz w:val="22"/>
          <w:szCs w:val="22"/>
        </w:rPr>
        <w:t>778</w:t>
      </w:r>
      <w:r w:rsidR="006002E3">
        <w:rPr>
          <w:sz w:val="22"/>
          <w:szCs w:val="22"/>
        </w:rPr>
        <w:t xml:space="preserve">- CONTRACT FOR </w:t>
      </w:r>
      <w:r w:rsidR="00A77F53">
        <w:rPr>
          <w:sz w:val="22"/>
          <w:szCs w:val="22"/>
        </w:rPr>
        <w:t xml:space="preserve">THE PROVISION OF </w:t>
      </w:r>
      <w:r w:rsidR="00A77F53" w:rsidRPr="00A77F53">
        <w:rPr>
          <w:sz w:val="22"/>
          <w:szCs w:val="22"/>
        </w:rPr>
        <w:t>ISO 9001 STANDARD AUDIT AND CERTIFICATION SERVICES FOR THE MARITIME AND COASTGUARD AGENCY’S QUALITY MANAGEMENT SYSTEM</w:t>
      </w:r>
    </w:p>
    <w:p w14:paraId="2A691DA7" w14:textId="77777777" w:rsidR="008D4855" w:rsidRPr="008D4855" w:rsidRDefault="008D4855" w:rsidP="008D4855">
      <w:pPr>
        <w:pStyle w:val="Heading1"/>
        <w:keepNext w:val="0"/>
        <w:spacing w:after="300"/>
        <w:ind w:right="0"/>
        <w:rPr>
          <w:sz w:val="22"/>
          <w:szCs w:val="22"/>
        </w:rPr>
      </w:pPr>
      <w:r w:rsidRPr="008D4855">
        <w:rPr>
          <w:sz w:val="22"/>
          <w:szCs w:val="22"/>
        </w:rPr>
        <w:t>INSTRUCTIONS ON SUBMISSION OF TENDERS</w:t>
      </w:r>
    </w:p>
    <w:p w14:paraId="1DA353A1" w14:textId="77777777" w:rsidR="008D4855" w:rsidRPr="001D6C07" w:rsidRDefault="008D4855" w:rsidP="001D6C07">
      <w:pPr>
        <w:keepLines/>
        <w:suppressLineNumbers/>
        <w:suppressAutoHyphens/>
        <w:spacing w:before="120" w:after="120" w:line="240" w:lineRule="auto"/>
        <w:ind w:left="709" w:hanging="709"/>
        <w:jc w:val="both"/>
        <w:rPr>
          <w:rFonts w:ascii="Arial" w:hAnsi="Arial" w:cs="Arial"/>
        </w:rPr>
      </w:pPr>
      <w:r>
        <w:t>1.</w:t>
      </w:r>
      <w:r>
        <w:tab/>
      </w:r>
      <w:r w:rsidRPr="008D4855">
        <w:rPr>
          <w:rFonts w:ascii="Arial" w:hAnsi="Arial" w:cs="Arial"/>
        </w:rPr>
        <w:t xml:space="preserve">The </w:t>
      </w:r>
      <w:r w:rsidR="00463459">
        <w:rPr>
          <w:rFonts w:ascii="Arial" w:hAnsi="Arial" w:cs="Arial"/>
        </w:rPr>
        <w:t xml:space="preserve">MCA </w:t>
      </w:r>
      <w:r w:rsidRPr="008D4855">
        <w:rPr>
          <w:rFonts w:ascii="Arial" w:hAnsi="Arial" w:cs="Arial"/>
        </w:rPr>
        <w:t xml:space="preserve">looks forward to receiving your tender for the work described in the attached documents. To ensure fairness all tenderers are required to submit their tenders in accordance with these instructions. </w:t>
      </w:r>
      <w:r w:rsidRPr="008D4855">
        <w:rPr>
          <w:rFonts w:ascii="Arial" w:hAnsi="Arial" w:cs="Arial"/>
          <w:b/>
        </w:rPr>
        <w:t>Failure to comply could invalidate your tender</w:t>
      </w:r>
      <w:r w:rsidRPr="008D4855">
        <w:rPr>
          <w:rFonts w:ascii="Arial" w:hAnsi="Arial" w:cs="Arial"/>
        </w:rPr>
        <w:t>.</w:t>
      </w:r>
    </w:p>
    <w:p w14:paraId="1DCC17AA" w14:textId="77777777" w:rsidR="00463459" w:rsidRDefault="00463459" w:rsidP="00463459">
      <w:pPr>
        <w:pStyle w:val="DfTLevel1"/>
        <w:keepLines/>
        <w:suppressLineNumbers/>
        <w:spacing w:before="120" w:after="120"/>
        <w:jc w:val="both"/>
        <w:rPr>
          <w:rFonts w:cs="Arial"/>
          <w:sz w:val="22"/>
          <w:szCs w:val="22"/>
        </w:rPr>
      </w:pPr>
    </w:p>
    <w:p w14:paraId="39B495DF" w14:textId="77777777" w:rsid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Communications During the Tender Process</w:t>
      </w:r>
    </w:p>
    <w:p w14:paraId="5FE65FEE" w14:textId="29C8D6FC" w:rsidR="00463459" w:rsidRDefault="00463459" w:rsidP="006972EA">
      <w:pPr>
        <w:pStyle w:val="DfTLevel1"/>
        <w:keepLines/>
        <w:numPr>
          <w:ilvl w:val="0"/>
          <w:numId w:val="3"/>
        </w:numPr>
        <w:suppressLineNumbers/>
        <w:spacing w:before="120" w:after="120"/>
        <w:ind w:hanging="720"/>
        <w:jc w:val="both"/>
        <w:rPr>
          <w:rFonts w:cs="Arial"/>
          <w:sz w:val="22"/>
          <w:szCs w:val="22"/>
        </w:rPr>
      </w:pPr>
      <w:r w:rsidRPr="00463459">
        <w:rPr>
          <w:rFonts w:cs="Arial"/>
          <w:sz w:val="22"/>
          <w:szCs w:val="22"/>
        </w:rPr>
        <w:t xml:space="preserve">This contract has been advertised </w:t>
      </w:r>
      <w:r w:rsidR="00954773" w:rsidRPr="00954773">
        <w:rPr>
          <w:rFonts w:cs="Arial"/>
          <w:sz w:val="22"/>
          <w:szCs w:val="22"/>
        </w:rPr>
        <w:t>in the Official Journal of the European Union (OJEU)</w:t>
      </w:r>
      <w:r w:rsidR="00954773">
        <w:rPr>
          <w:rFonts w:cs="Arial"/>
          <w:sz w:val="22"/>
          <w:szCs w:val="22"/>
        </w:rPr>
        <w:t xml:space="preserve"> and on the </w:t>
      </w:r>
      <w:r w:rsidRPr="00463459">
        <w:rPr>
          <w:rFonts w:cs="Arial"/>
          <w:sz w:val="22"/>
          <w:szCs w:val="22"/>
        </w:rPr>
        <w:t>Contracts Finder portal</w:t>
      </w:r>
      <w:r>
        <w:rPr>
          <w:rFonts w:cs="Arial"/>
          <w:sz w:val="22"/>
          <w:szCs w:val="22"/>
        </w:rPr>
        <w:t>, and all communications with tenderers during the process will, as far as possible, take place via that portal</w:t>
      </w:r>
      <w:r w:rsidRPr="00463459">
        <w:rPr>
          <w:rFonts w:cs="Arial"/>
          <w:sz w:val="22"/>
          <w:szCs w:val="22"/>
        </w:rPr>
        <w:t>.</w:t>
      </w:r>
      <w:r>
        <w:rPr>
          <w:rFonts w:cs="Arial"/>
          <w:sz w:val="22"/>
          <w:szCs w:val="22"/>
        </w:rPr>
        <w:t xml:space="preserve">  Tender documents, including the specification and documents for return with your tender, can be found in the ‘Attachments’ section of the Contracts Finder advertisement.</w:t>
      </w:r>
    </w:p>
    <w:p w14:paraId="23FB1816" w14:textId="3588FED5" w:rsidR="00463459" w:rsidRDefault="00463459" w:rsidP="006972EA">
      <w:pPr>
        <w:pStyle w:val="DfTLevel1"/>
        <w:keepLines/>
        <w:numPr>
          <w:ilvl w:val="0"/>
          <w:numId w:val="3"/>
        </w:numPr>
        <w:suppressLineNumbers/>
        <w:spacing w:before="120" w:after="120"/>
        <w:ind w:left="709" w:hanging="709"/>
        <w:jc w:val="both"/>
        <w:rPr>
          <w:rFonts w:cs="Arial"/>
          <w:sz w:val="22"/>
          <w:szCs w:val="22"/>
        </w:rPr>
      </w:pPr>
      <w:r>
        <w:rPr>
          <w:rFonts w:cs="Arial"/>
          <w:sz w:val="22"/>
          <w:szCs w:val="22"/>
        </w:rPr>
        <w:t xml:space="preserve">Tenderers are welcome to ask questions about any aspect of the procurement process.  Such queries should be addressed to the </w:t>
      </w:r>
      <w:r w:rsidR="00A77F53">
        <w:rPr>
          <w:rFonts w:cs="Arial"/>
          <w:sz w:val="22"/>
          <w:szCs w:val="22"/>
        </w:rPr>
        <w:t>Procurement Team</w:t>
      </w:r>
      <w:r>
        <w:rPr>
          <w:rFonts w:cs="Arial"/>
          <w:sz w:val="22"/>
          <w:szCs w:val="22"/>
        </w:rPr>
        <w:t xml:space="preserve"> at </w:t>
      </w:r>
      <w:bookmarkStart w:id="0" w:name="_Hlk13219319"/>
      <w:r w:rsidR="00A77F53">
        <w:rPr>
          <w:sz w:val="22"/>
          <w:szCs w:val="22"/>
        </w:rPr>
        <w:fldChar w:fldCharType="begin"/>
      </w:r>
      <w:r w:rsidR="00A77F53">
        <w:rPr>
          <w:sz w:val="22"/>
          <w:szCs w:val="22"/>
        </w:rPr>
        <w:instrText xml:space="preserve"> HYPERLINK "mailto:</w:instrText>
      </w:r>
      <w:r w:rsidR="00A77F53" w:rsidRPr="00A77F53">
        <w:rPr>
          <w:sz w:val="22"/>
          <w:szCs w:val="22"/>
        </w:rPr>
        <w:instrText>contracts@mcga.gov.uk</w:instrText>
      </w:r>
      <w:r w:rsidR="00A77F53">
        <w:rPr>
          <w:sz w:val="22"/>
          <w:szCs w:val="22"/>
        </w:rPr>
        <w:instrText xml:space="preserve">" </w:instrText>
      </w:r>
      <w:r w:rsidR="00A77F53">
        <w:rPr>
          <w:sz w:val="22"/>
          <w:szCs w:val="22"/>
        </w:rPr>
        <w:fldChar w:fldCharType="separate"/>
      </w:r>
      <w:r w:rsidR="00A77F53" w:rsidRPr="004C4AE6">
        <w:rPr>
          <w:rStyle w:val="Hyperlink"/>
          <w:sz w:val="22"/>
          <w:szCs w:val="22"/>
        </w:rPr>
        <w:t>contracts@mcga.gov.uk</w:t>
      </w:r>
      <w:bookmarkEnd w:id="0"/>
      <w:r w:rsidR="00A77F53">
        <w:rPr>
          <w:sz w:val="22"/>
          <w:szCs w:val="22"/>
        </w:rPr>
        <w:fldChar w:fldCharType="end"/>
      </w:r>
      <w:r>
        <w:rPr>
          <w:rFonts w:cs="Arial"/>
          <w:sz w:val="22"/>
          <w:szCs w:val="22"/>
        </w:rPr>
        <w:t xml:space="preserve">, and should contain the reference number or title of the contract.  The deadline for submission of queries is </w:t>
      </w:r>
      <w:r w:rsidR="00A77F53">
        <w:rPr>
          <w:rFonts w:cs="Arial"/>
          <w:b/>
          <w:sz w:val="22"/>
          <w:szCs w:val="22"/>
        </w:rPr>
        <w:t>midday</w:t>
      </w:r>
      <w:r w:rsidRPr="00C85D8A">
        <w:rPr>
          <w:rFonts w:cs="Arial"/>
          <w:b/>
          <w:sz w:val="22"/>
          <w:szCs w:val="22"/>
        </w:rPr>
        <w:t xml:space="preserve"> on</w:t>
      </w:r>
      <w:r w:rsidR="0046146E" w:rsidRPr="00C85D8A">
        <w:rPr>
          <w:rFonts w:cs="Arial"/>
          <w:b/>
          <w:sz w:val="22"/>
          <w:szCs w:val="22"/>
        </w:rPr>
        <w:t xml:space="preserve"> </w:t>
      </w:r>
      <w:r w:rsidR="00A77F53">
        <w:rPr>
          <w:rFonts w:cs="Arial"/>
          <w:b/>
          <w:sz w:val="22"/>
          <w:szCs w:val="22"/>
        </w:rPr>
        <w:t>5</w:t>
      </w:r>
      <w:r w:rsidR="00A77F53" w:rsidRPr="00A77F53">
        <w:rPr>
          <w:rFonts w:cs="Arial"/>
          <w:b/>
          <w:sz w:val="22"/>
          <w:szCs w:val="22"/>
          <w:vertAlign w:val="superscript"/>
        </w:rPr>
        <w:t>th</w:t>
      </w:r>
      <w:r w:rsidR="00A77F53">
        <w:rPr>
          <w:rFonts w:cs="Arial"/>
          <w:b/>
          <w:sz w:val="22"/>
          <w:szCs w:val="22"/>
        </w:rPr>
        <w:t xml:space="preserve"> June 2020</w:t>
      </w:r>
      <w:r w:rsidRPr="00C85D8A">
        <w:rPr>
          <w:rFonts w:cs="Arial"/>
          <w:sz w:val="22"/>
          <w:szCs w:val="22"/>
        </w:rPr>
        <w:t>.</w:t>
      </w:r>
      <w:r>
        <w:rPr>
          <w:rFonts w:cs="Arial"/>
          <w:sz w:val="22"/>
          <w:szCs w:val="22"/>
        </w:rPr>
        <w:t xml:space="preserve">  </w:t>
      </w:r>
    </w:p>
    <w:p w14:paraId="72D7C9AC" w14:textId="77777777" w:rsidR="00463459" w:rsidRDefault="00463459" w:rsidP="006972EA">
      <w:pPr>
        <w:pStyle w:val="DfTLevel1"/>
        <w:keepLines/>
        <w:numPr>
          <w:ilvl w:val="0"/>
          <w:numId w:val="3"/>
        </w:numPr>
        <w:suppressLineNumbers/>
        <w:spacing w:before="120" w:after="120"/>
        <w:ind w:left="709" w:hanging="709"/>
        <w:jc w:val="both"/>
        <w:rPr>
          <w:rFonts w:cs="Arial"/>
          <w:sz w:val="22"/>
          <w:szCs w:val="22"/>
        </w:rPr>
      </w:pPr>
      <w:r>
        <w:rPr>
          <w:rFonts w:cs="Arial"/>
          <w:sz w:val="22"/>
          <w:szCs w:val="22"/>
        </w:rPr>
        <w:t xml:space="preserve">In the interest of fairness, all answers will be published on the Contracts Finder website as a further attachment to the advertisement, unless clearly only relevant to one supplier.  </w:t>
      </w:r>
      <w:r w:rsidRPr="00463459">
        <w:rPr>
          <w:rFonts w:cs="Arial"/>
          <w:b/>
          <w:sz w:val="22"/>
          <w:szCs w:val="22"/>
        </w:rPr>
        <w:t>Answers to questions will not be individually emailed to tenderers</w:t>
      </w:r>
      <w:r>
        <w:rPr>
          <w:rFonts w:cs="Arial"/>
          <w:sz w:val="22"/>
          <w:szCs w:val="22"/>
        </w:rPr>
        <w:t>, so you are strongly advised to keep up to date with any additional documents posted to the site.</w:t>
      </w:r>
    </w:p>
    <w:p w14:paraId="5B60C8D7" w14:textId="77777777" w:rsidR="00463459" w:rsidRDefault="00463459" w:rsidP="006972EA">
      <w:pPr>
        <w:pStyle w:val="DfTLevel1"/>
        <w:keepLines/>
        <w:numPr>
          <w:ilvl w:val="0"/>
          <w:numId w:val="3"/>
        </w:numPr>
        <w:suppressLineNumbers/>
        <w:spacing w:before="120" w:after="120"/>
        <w:ind w:left="709" w:hanging="709"/>
        <w:jc w:val="both"/>
        <w:rPr>
          <w:rFonts w:cs="Arial"/>
          <w:sz w:val="22"/>
          <w:szCs w:val="22"/>
        </w:rPr>
      </w:pPr>
      <w:r>
        <w:rPr>
          <w:rFonts w:cs="Arial"/>
          <w:sz w:val="22"/>
          <w:szCs w:val="22"/>
        </w:rPr>
        <w:t xml:space="preserve">Please ensure that you have read all documents attached to the Contracts Finder advert before asking a question, as your query may already have been answered. </w:t>
      </w:r>
    </w:p>
    <w:p w14:paraId="2B05B59A" w14:textId="77777777" w:rsidR="00463459" w:rsidRPr="00463459" w:rsidRDefault="00463459" w:rsidP="006972EA">
      <w:pPr>
        <w:pStyle w:val="DfTLevel1"/>
        <w:keepLines/>
        <w:numPr>
          <w:ilvl w:val="0"/>
          <w:numId w:val="3"/>
        </w:numPr>
        <w:suppressLineNumbers/>
        <w:spacing w:before="120" w:after="120"/>
        <w:ind w:left="709" w:hanging="709"/>
        <w:jc w:val="both"/>
        <w:rPr>
          <w:rFonts w:cs="Arial"/>
          <w:sz w:val="22"/>
          <w:szCs w:val="22"/>
        </w:rPr>
      </w:pPr>
      <w:r>
        <w:rPr>
          <w:rFonts w:cs="Arial"/>
          <w:sz w:val="22"/>
          <w:szCs w:val="22"/>
        </w:rPr>
        <w:t xml:space="preserve">The MCA will inform all tenderers individually </w:t>
      </w:r>
      <w:proofErr w:type="gramStart"/>
      <w:r>
        <w:rPr>
          <w:rFonts w:cs="Arial"/>
          <w:sz w:val="22"/>
          <w:szCs w:val="22"/>
        </w:rPr>
        <w:t>whether or not</w:t>
      </w:r>
      <w:proofErr w:type="gramEnd"/>
      <w:r>
        <w:rPr>
          <w:rFonts w:cs="Arial"/>
          <w:sz w:val="22"/>
          <w:szCs w:val="22"/>
        </w:rPr>
        <w:t xml:space="preserve"> they have been successful in the tendering process.</w:t>
      </w:r>
    </w:p>
    <w:p w14:paraId="15149217" w14:textId="77777777" w:rsidR="008D4855" w:rsidRDefault="008D4855" w:rsidP="008D4855">
      <w:pPr>
        <w:keepLines/>
        <w:suppressLineNumbers/>
        <w:suppressAutoHyphens/>
        <w:spacing w:before="120" w:after="120"/>
        <w:jc w:val="both"/>
        <w:rPr>
          <w:rFonts w:ascii="Arial" w:hAnsi="Arial" w:cs="Arial"/>
        </w:rPr>
      </w:pPr>
    </w:p>
    <w:p w14:paraId="51353839" w14:textId="77777777" w:rsidR="008D4855" w:rsidRPr="008D4855" w:rsidRDefault="008D4855" w:rsidP="008D4855">
      <w:pPr>
        <w:keepLines/>
        <w:suppressLineNumbers/>
        <w:suppressAutoHyphens/>
        <w:spacing w:before="120" w:after="120"/>
        <w:jc w:val="both"/>
        <w:rPr>
          <w:rFonts w:ascii="Arial" w:hAnsi="Arial" w:cs="Arial"/>
          <w:b/>
        </w:rPr>
      </w:pPr>
      <w:r>
        <w:rPr>
          <w:rFonts w:ascii="Arial" w:hAnsi="Arial" w:cs="Arial"/>
          <w:b/>
        </w:rPr>
        <w:t>Submission of T</w:t>
      </w:r>
      <w:r w:rsidRPr="008D4855">
        <w:rPr>
          <w:rFonts w:ascii="Arial" w:hAnsi="Arial" w:cs="Arial"/>
          <w:b/>
        </w:rPr>
        <w:t>enders</w:t>
      </w:r>
    </w:p>
    <w:p w14:paraId="57A6C296" w14:textId="77777777" w:rsidR="00AF30BA" w:rsidRDefault="00A77F53" w:rsidP="006972EA">
      <w:pPr>
        <w:pStyle w:val="DfTLevel1"/>
        <w:keepLines/>
        <w:numPr>
          <w:ilvl w:val="0"/>
          <w:numId w:val="3"/>
        </w:numPr>
        <w:suppressLineNumbers/>
        <w:spacing w:before="120" w:after="120"/>
        <w:ind w:hanging="720"/>
        <w:jc w:val="both"/>
        <w:rPr>
          <w:rFonts w:cs="Arial"/>
          <w:sz w:val="22"/>
          <w:szCs w:val="22"/>
        </w:rPr>
      </w:pPr>
      <w:r w:rsidRPr="00A77F53">
        <w:rPr>
          <w:rFonts w:cs="Arial"/>
          <w:sz w:val="22"/>
          <w:szCs w:val="22"/>
        </w:rPr>
        <w:t xml:space="preserve">You should send your tender </w:t>
      </w:r>
      <w:r w:rsidR="00AF30BA" w:rsidRPr="00AF30BA">
        <w:rPr>
          <w:rFonts w:cs="Arial"/>
          <w:sz w:val="22"/>
          <w:szCs w:val="22"/>
        </w:rPr>
        <w:t xml:space="preserve">by email to: </w:t>
      </w:r>
      <w:hyperlink r:id="rId7" w:history="1">
        <w:r w:rsidR="00AF30BA" w:rsidRPr="008D0F1D">
          <w:rPr>
            <w:rStyle w:val="Hyperlink"/>
            <w:rFonts w:cs="Arial"/>
            <w:sz w:val="22"/>
            <w:szCs w:val="22"/>
          </w:rPr>
          <w:t>contracts@mcga.gov.uk</w:t>
        </w:r>
      </w:hyperlink>
      <w:r w:rsidR="00AF30BA">
        <w:rPr>
          <w:rFonts w:cs="Arial"/>
          <w:sz w:val="22"/>
          <w:szCs w:val="22"/>
        </w:rPr>
        <w:t xml:space="preserve"> </w:t>
      </w:r>
      <w:r w:rsidR="00AF30BA" w:rsidRPr="00AF30BA">
        <w:rPr>
          <w:rFonts w:cs="Arial"/>
          <w:sz w:val="22"/>
          <w:szCs w:val="22"/>
        </w:rPr>
        <w:t xml:space="preserve">  with the subject title</w:t>
      </w:r>
      <w:r w:rsidR="00AF30BA">
        <w:rPr>
          <w:rFonts w:cs="Arial"/>
          <w:sz w:val="22"/>
          <w:szCs w:val="22"/>
        </w:rPr>
        <w:t>:</w:t>
      </w:r>
      <w:r w:rsidR="00AF30BA" w:rsidRPr="00AF30BA">
        <w:rPr>
          <w:rFonts w:cs="Arial"/>
          <w:sz w:val="22"/>
          <w:szCs w:val="22"/>
        </w:rPr>
        <w:t xml:space="preserve"> </w:t>
      </w:r>
      <w:r w:rsidR="00AF30BA" w:rsidRPr="00AF30BA">
        <w:rPr>
          <w:rFonts w:cs="Arial"/>
          <w:b/>
          <w:bCs/>
          <w:sz w:val="22"/>
          <w:szCs w:val="22"/>
        </w:rPr>
        <w:t>Tender Documents - The Provision Of ISO 9001 Standard Audit And Certification Services</w:t>
      </w:r>
      <w:r w:rsidRPr="00AF30BA">
        <w:rPr>
          <w:rFonts w:cs="Arial"/>
          <w:b/>
          <w:bCs/>
          <w:sz w:val="22"/>
          <w:szCs w:val="22"/>
        </w:rPr>
        <w:t>.</w:t>
      </w:r>
      <w:r w:rsidRPr="00A77F53">
        <w:rPr>
          <w:rFonts w:cs="Arial"/>
          <w:sz w:val="22"/>
          <w:szCs w:val="22"/>
        </w:rPr>
        <w:t xml:space="preserve"> </w:t>
      </w:r>
    </w:p>
    <w:p w14:paraId="039E9BE8" w14:textId="2B98A331" w:rsidR="00A77F53" w:rsidRPr="00A77F53" w:rsidRDefault="00A77F53" w:rsidP="006972EA">
      <w:pPr>
        <w:pStyle w:val="DfTLevel1"/>
        <w:keepLines/>
        <w:numPr>
          <w:ilvl w:val="0"/>
          <w:numId w:val="3"/>
        </w:numPr>
        <w:suppressLineNumbers/>
        <w:spacing w:before="120" w:after="120"/>
        <w:ind w:hanging="720"/>
        <w:jc w:val="both"/>
        <w:rPr>
          <w:rFonts w:cs="Arial"/>
          <w:sz w:val="22"/>
          <w:szCs w:val="22"/>
        </w:rPr>
      </w:pPr>
      <w:r w:rsidRPr="00A77F53">
        <w:rPr>
          <w:rFonts w:cs="Arial"/>
          <w:sz w:val="22"/>
          <w:szCs w:val="22"/>
        </w:rPr>
        <w:t xml:space="preserve">It is your responsibility to ensure that your tender </w:t>
      </w:r>
      <w:r w:rsidR="00AF30BA">
        <w:rPr>
          <w:rFonts w:cs="Arial"/>
          <w:sz w:val="22"/>
          <w:szCs w:val="22"/>
        </w:rPr>
        <w:t>is submitted</w:t>
      </w:r>
      <w:r w:rsidRPr="00A77F53">
        <w:rPr>
          <w:rFonts w:cs="Arial"/>
          <w:sz w:val="22"/>
          <w:szCs w:val="22"/>
        </w:rPr>
        <w:t xml:space="preserve"> no later than </w:t>
      </w:r>
      <w:r w:rsidRPr="00A77F53">
        <w:rPr>
          <w:rFonts w:cs="Arial"/>
          <w:b/>
          <w:bCs/>
          <w:sz w:val="22"/>
          <w:szCs w:val="22"/>
        </w:rPr>
        <w:t>11am on 12th June 2020</w:t>
      </w:r>
      <w:r w:rsidRPr="00A77F53">
        <w:rPr>
          <w:rFonts w:cs="Arial"/>
          <w:sz w:val="22"/>
          <w:szCs w:val="22"/>
        </w:rPr>
        <w:t xml:space="preserve"> (unless the date is subsequently amended in writing by the MCA). Your tender may be submitted before the due date, but </w:t>
      </w:r>
      <w:r w:rsidRPr="00A77F53">
        <w:rPr>
          <w:rFonts w:cs="Arial"/>
          <w:b/>
          <w:bCs/>
          <w:sz w:val="22"/>
          <w:szCs w:val="22"/>
        </w:rPr>
        <w:t>all</w:t>
      </w:r>
      <w:r w:rsidRPr="00A77F53">
        <w:rPr>
          <w:rFonts w:cs="Arial"/>
          <w:sz w:val="22"/>
          <w:szCs w:val="22"/>
        </w:rPr>
        <w:t xml:space="preserve"> late tenders will be rejected.</w:t>
      </w:r>
    </w:p>
    <w:p w14:paraId="5F8A5CF5" w14:textId="596ED0E1" w:rsidR="002836A0" w:rsidRPr="002836A0" w:rsidRDefault="002836A0" w:rsidP="006972EA">
      <w:pPr>
        <w:pStyle w:val="DfTLevel1"/>
        <w:keepLines/>
        <w:numPr>
          <w:ilvl w:val="0"/>
          <w:numId w:val="3"/>
        </w:numPr>
        <w:suppressLineNumbers/>
        <w:spacing w:before="120" w:after="120"/>
        <w:ind w:hanging="862"/>
        <w:jc w:val="both"/>
        <w:rPr>
          <w:rFonts w:cs="Arial"/>
          <w:sz w:val="22"/>
          <w:szCs w:val="22"/>
        </w:rPr>
      </w:pPr>
      <w:r w:rsidRPr="002836A0">
        <w:rPr>
          <w:rFonts w:cs="Arial"/>
          <w:sz w:val="22"/>
          <w:szCs w:val="22"/>
        </w:rPr>
        <w:lastRenderedPageBreak/>
        <w:t xml:space="preserve">Where multiple attachments bidders should submit a master list of documents listing everything that should be included in their bid. </w:t>
      </w:r>
    </w:p>
    <w:p w14:paraId="7EE11EE5" w14:textId="2088AC85" w:rsidR="002836A0" w:rsidRPr="002836A0" w:rsidRDefault="002836A0" w:rsidP="006972EA">
      <w:pPr>
        <w:pStyle w:val="DfTLevel1"/>
        <w:keepLines/>
        <w:numPr>
          <w:ilvl w:val="0"/>
          <w:numId w:val="3"/>
        </w:numPr>
        <w:suppressLineNumbers/>
        <w:spacing w:before="120" w:after="120"/>
        <w:ind w:hanging="862"/>
        <w:jc w:val="both"/>
        <w:rPr>
          <w:rFonts w:cs="Arial"/>
          <w:sz w:val="22"/>
          <w:szCs w:val="22"/>
        </w:rPr>
      </w:pPr>
      <w:r w:rsidRPr="002836A0">
        <w:rPr>
          <w:rFonts w:cs="Arial"/>
          <w:sz w:val="22"/>
          <w:szCs w:val="22"/>
        </w:rPr>
        <w:t>No bids or additional bid documentation received after the deadline for submission will be considered, so submissions should be sent in good time.</w:t>
      </w:r>
    </w:p>
    <w:p w14:paraId="33CBDFCA" w14:textId="5E8FC603" w:rsidR="002836A0" w:rsidRPr="002836A0" w:rsidRDefault="002836A0" w:rsidP="006972EA">
      <w:pPr>
        <w:pStyle w:val="DfTLevel1"/>
        <w:keepLines/>
        <w:numPr>
          <w:ilvl w:val="0"/>
          <w:numId w:val="3"/>
        </w:numPr>
        <w:suppressLineNumbers/>
        <w:spacing w:before="120" w:after="120"/>
        <w:ind w:hanging="862"/>
        <w:jc w:val="both"/>
        <w:rPr>
          <w:rFonts w:cs="Arial"/>
          <w:sz w:val="22"/>
          <w:szCs w:val="22"/>
        </w:rPr>
      </w:pPr>
      <w:r w:rsidRPr="002836A0">
        <w:rPr>
          <w:rFonts w:cs="Arial"/>
          <w:sz w:val="22"/>
          <w:szCs w:val="22"/>
        </w:rPr>
        <w:t xml:space="preserve">The Authority will evaluate submitted bids only after the deadline for submission. It is </w:t>
      </w:r>
      <w:r w:rsidR="00A713BE">
        <w:rPr>
          <w:rFonts w:cs="Arial"/>
          <w:sz w:val="22"/>
          <w:szCs w:val="22"/>
        </w:rPr>
        <w:t>estimated</w:t>
      </w:r>
      <w:r w:rsidRPr="002836A0">
        <w:rPr>
          <w:rFonts w:cs="Arial"/>
          <w:sz w:val="22"/>
          <w:szCs w:val="22"/>
        </w:rPr>
        <w:t xml:space="preserve"> that the evaluation phase will take three weeks. While evaluating the Authority may pose clarification questions to the bidder, who should nominate in their submitted documentation a point of contact to resolve these. Please note, these questions are only intended to seek clarification on specific points identified in the submitted tender and are not an opportunity for the bid to be materially changed in any way. </w:t>
      </w:r>
    </w:p>
    <w:p w14:paraId="6DEF6ED2" w14:textId="1B1B9148" w:rsidR="002836A0" w:rsidRPr="002836A0" w:rsidRDefault="002836A0" w:rsidP="006972EA">
      <w:pPr>
        <w:pStyle w:val="DfTLevel1"/>
        <w:keepLines/>
        <w:numPr>
          <w:ilvl w:val="0"/>
          <w:numId w:val="3"/>
        </w:numPr>
        <w:suppressLineNumbers/>
        <w:spacing w:before="120" w:after="120"/>
        <w:ind w:hanging="862"/>
        <w:jc w:val="both"/>
        <w:rPr>
          <w:rFonts w:cs="Arial"/>
          <w:sz w:val="22"/>
          <w:szCs w:val="22"/>
        </w:rPr>
      </w:pPr>
      <w:r w:rsidRPr="002836A0">
        <w:rPr>
          <w:rFonts w:cs="Arial"/>
          <w:sz w:val="22"/>
          <w:szCs w:val="22"/>
        </w:rPr>
        <w:t>When the Authority has identified the highest scoring bidder, it will notify all other bidders individually in writing that they have been unsuccessful, and the successful bidder of its intention to award the contract to them. A mandatory ten-day standstill period, required under EU procurement rules, will then be in effect prior to the actual awarding of the contract.</w:t>
      </w:r>
    </w:p>
    <w:p w14:paraId="167D5F00" w14:textId="09F8C8E8" w:rsidR="008D4855" w:rsidRPr="002836A0" w:rsidRDefault="008D4855" w:rsidP="006972EA">
      <w:pPr>
        <w:pStyle w:val="DfTLevel1"/>
        <w:keepLines/>
        <w:numPr>
          <w:ilvl w:val="0"/>
          <w:numId w:val="3"/>
        </w:numPr>
        <w:suppressLineNumbers/>
        <w:spacing w:before="120" w:after="120"/>
        <w:ind w:hanging="862"/>
        <w:jc w:val="both"/>
        <w:rPr>
          <w:rFonts w:cs="Arial"/>
          <w:sz w:val="22"/>
          <w:szCs w:val="22"/>
        </w:rPr>
      </w:pPr>
      <w:r w:rsidRPr="002836A0">
        <w:rPr>
          <w:rFonts w:cs="Arial"/>
          <w:sz w:val="22"/>
          <w:szCs w:val="22"/>
        </w:rPr>
        <w:t>You must ensure that your tender is completed legibly, in ink or typed, in English, with all prices in Sterling (exclusive of VAT</w:t>
      </w:r>
      <w:r w:rsidR="002836A0" w:rsidRPr="002836A0">
        <w:rPr>
          <w:rFonts w:cs="Arial"/>
          <w:sz w:val="22"/>
          <w:szCs w:val="22"/>
        </w:rPr>
        <w:t>) and</w:t>
      </w:r>
      <w:r w:rsidRPr="002836A0">
        <w:rPr>
          <w:rFonts w:cs="Arial"/>
          <w:sz w:val="22"/>
          <w:szCs w:val="22"/>
        </w:rPr>
        <w:t xml:space="preserve"> is signed and dated where required. Any manuscript amendments you make to your tender, prior to submission, must be initialled and preferably also noted separately. </w:t>
      </w:r>
    </w:p>
    <w:p w14:paraId="62B246E2" w14:textId="3FDD2A24" w:rsidR="008D4855" w:rsidRPr="00FC464A" w:rsidRDefault="00463459" w:rsidP="00A713BE">
      <w:pPr>
        <w:spacing w:after="0"/>
        <w:ind w:hanging="142"/>
        <w:jc w:val="both"/>
        <w:rPr>
          <w:rFonts w:ascii="Arial" w:hAnsi="Arial" w:cs="Arial"/>
        </w:rPr>
      </w:pPr>
      <w:r>
        <w:rPr>
          <w:rFonts w:ascii="Arial" w:hAnsi="Arial" w:cs="Arial"/>
        </w:rPr>
        <w:t>1</w:t>
      </w:r>
      <w:r w:rsidR="002836A0">
        <w:rPr>
          <w:rFonts w:ascii="Arial" w:hAnsi="Arial" w:cs="Arial"/>
        </w:rPr>
        <w:t>5.</w:t>
      </w:r>
      <w:r w:rsidR="008D4855" w:rsidRPr="00FC464A">
        <w:rPr>
          <w:rFonts w:ascii="Arial" w:hAnsi="Arial" w:cs="Arial"/>
        </w:rPr>
        <w:tab/>
        <w:t>You must include as part of your tender:</w:t>
      </w:r>
    </w:p>
    <w:p w14:paraId="6C563BAB" w14:textId="77777777" w:rsidR="008D4855" w:rsidRPr="008D4855" w:rsidRDefault="008D4855" w:rsidP="008D4855">
      <w:pPr>
        <w:spacing w:after="0"/>
        <w:ind w:left="735" w:hanging="735"/>
        <w:jc w:val="both"/>
        <w:rPr>
          <w:rFonts w:ascii="Arial" w:hAnsi="Arial" w:cs="Arial"/>
        </w:rPr>
      </w:pPr>
    </w:p>
    <w:p w14:paraId="6F0E3863" w14:textId="0DFED26A" w:rsidR="001839D4" w:rsidRPr="002836A0" w:rsidRDefault="008D4855" w:rsidP="002836A0">
      <w:pPr>
        <w:pStyle w:val="ListParagraph"/>
        <w:numPr>
          <w:ilvl w:val="0"/>
          <w:numId w:val="1"/>
        </w:numPr>
        <w:spacing w:after="0" w:line="240" w:lineRule="auto"/>
        <w:ind w:left="1134" w:hanging="425"/>
        <w:jc w:val="both"/>
        <w:rPr>
          <w:rFonts w:ascii="Arial" w:hAnsi="Arial" w:cs="Arial"/>
        </w:rPr>
      </w:pPr>
      <w:r w:rsidRPr="008D4855">
        <w:rPr>
          <w:rFonts w:ascii="Arial" w:hAnsi="Arial" w:cs="Arial"/>
        </w:rPr>
        <w:t>The MCA’s Form of Tender, signed and dated by an authorised representative of the tendering organisation;</w:t>
      </w:r>
    </w:p>
    <w:p w14:paraId="0CC1389D" w14:textId="0E1EED6A" w:rsidR="00DA05A2" w:rsidRPr="002836A0" w:rsidRDefault="00FC464A" w:rsidP="002836A0">
      <w:pPr>
        <w:pStyle w:val="ListParagraph"/>
        <w:numPr>
          <w:ilvl w:val="0"/>
          <w:numId w:val="1"/>
        </w:numPr>
        <w:spacing w:after="0" w:line="240" w:lineRule="auto"/>
        <w:ind w:left="1134"/>
        <w:jc w:val="both"/>
        <w:rPr>
          <w:rFonts w:ascii="Arial" w:eastAsia="Times New Roman" w:hAnsi="Arial" w:cs="Arial"/>
          <w:lang w:val="en-US"/>
        </w:rPr>
      </w:pPr>
      <w:r>
        <w:rPr>
          <w:rFonts w:ascii="Arial" w:eastAsia="Times New Roman" w:hAnsi="Arial" w:cs="Arial"/>
          <w:lang w:val="en-US"/>
        </w:rPr>
        <w:t>A completed Pricing Schedule showing full costs for your proposed solution (</w:t>
      </w:r>
      <w:r w:rsidR="003141AE">
        <w:rPr>
          <w:rFonts w:ascii="Arial" w:eastAsia="Times New Roman" w:hAnsi="Arial" w:cs="Arial"/>
          <w:lang w:val="en-US"/>
        </w:rPr>
        <w:t>the MCA’s template Pricing Schedule must be used and</w:t>
      </w:r>
      <w:r>
        <w:rPr>
          <w:rFonts w:ascii="Arial" w:eastAsia="Times New Roman" w:hAnsi="Arial" w:cs="Arial"/>
          <w:lang w:val="en-US"/>
        </w:rPr>
        <w:t xml:space="preserve"> can be downloaded from Contracts Finder);</w:t>
      </w:r>
    </w:p>
    <w:p w14:paraId="4685D8F8" w14:textId="7C9BB476" w:rsidR="00A05800" w:rsidRPr="002836A0" w:rsidRDefault="00FB5886" w:rsidP="002836A0">
      <w:pPr>
        <w:pStyle w:val="ListParagraph"/>
        <w:numPr>
          <w:ilvl w:val="0"/>
          <w:numId w:val="1"/>
        </w:numPr>
        <w:spacing w:line="240" w:lineRule="auto"/>
        <w:jc w:val="both"/>
        <w:rPr>
          <w:rFonts w:ascii="Arial" w:hAnsi="Arial" w:cs="Arial"/>
        </w:rPr>
      </w:pPr>
      <w:r w:rsidRPr="00FB5886">
        <w:rPr>
          <w:rFonts w:ascii="Arial" w:hAnsi="Arial" w:cs="Arial"/>
        </w:rPr>
        <w:t>Tenders may not be considered if any of the information requested is not supplied with the tender or the tender is otherwise non-compliant or incomplete.</w:t>
      </w:r>
    </w:p>
    <w:p w14:paraId="17E184ED" w14:textId="77777777" w:rsidR="008D4855" w:rsidRPr="008D4855" w:rsidRDefault="008D4855" w:rsidP="006972EA">
      <w:pPr>
        <w:pStyle w:val="DfTLevel1"/>
        <w:keepLines/>
        <w:numPr>
          <w:ilvl w:val="0"/>
          <w:numId w:val="9"/>
        </w:numPr>
        <w:suppressLineNumbers/>
        <w:spacing w:before="120" w:after="120"/>
        <w:ind w:left="709" w:hanging="851"/>
        <w:jc w:val="both"/>
        <w:rPr>
          <w:rFonts w:cs="Arial"/>
          <w:sz w:val="22"/>
          <w:szCs w:val="22"/>
        </w:rPr>
      </w:pPr>
      <w:r w:rsidRPr="008D4855">
        <w:rPr>
          <w:rFonts w:cs="Arial"/>
          <w:sz w:val="22"/>
          <w:szCs w:val="22"/>
        </w:rPr>
        <w:t>You must not alter any of the</w:t>
      </w:r>
      <w:r w:rsidR="00463459">
        <w:rPr>
          <w:rFonts w:cs="Arial"/>
          <w:sz w:val="22"/>
          <w:szCs w:val="22"/>
        </w:rPr>
        <w:t xml:space="preserve"> MCA</w:t>
      </w:r>
      <w:r w:rsidRPr="008D4855">
        <w:rPr>
          <w:rFonts w:cs="Arial"/>
          <w:sz w:val="22"/>
          <w:szCs w:val="22"/>
        </w:rPr>
        <w:t xml:space="preserve">’s </w:t>
      </w:r>
      <w:r w:rsidR="00463459">
        <w:rPr>
          <w:rFonts w:cs="Arial"/>
          <w:sz w:val="22"/>
          <w:szCs w:val="22"/>
        </w:rPr>
        <w:t>t</w:t>
      </w:r>
      <w:r w:rsidRPr="008D4855">
        <w:rPr>
          <w:rFonts w:cs="Arial"/>
          <w:sz w:val="22"/>
          <w:szCs w:val="22"/>
        </w:rPr>
        <w:t>ender documents.</w:t>
      </w:r>
    </w:p>
    <w:p w14:paraId="41B541FA" w14:textId="77777777" w:rsidR="008D4855" w:rsidRPr="008D4855" w:rsidRDefault="008D4855" w:rsidP="006972EA">
      <w:pPr>
        <w:pStyle w:val="DfTLevel1"/>
        <w:keepLines/>
        <w:numPr>
          <w:ilvl w:val="0"/>
          <w:numId w:val="9"/>
        </w:numPr>
        <w:suppressLineNumbers/>
        <w:spacing w:before="120" w:after="120"/>
        <w:ind w:left="709" w:hanging="851"/>
        <w:jc w:val="both"/>
        <w:rPr>
          <w:rFonts w:cs="Arial"/>
          <w:sz w:val="22"/>
          <w:szCs w:val="22"/>
        </w:rPr>
      </w:pPr>
      <w:r w:rsidRPr="008D4855">
        <w:rPr>
          <w:rFonts w:cs="Arial"/>
          <w:sz w:val="22"/>
          <w:szCs w:val="22"/>
        </w:rPr>
        <w:t>You must not tell anyone else, even approximately, what your tender price is or will be, before the date of contract award. The only exception is if you need an insurance quotation to calculate your tender price - in which case you may give your insurance company or brokers any essential information they ask for, provided that you do so in strict confidence.</w:t>
      </w:r>
    </w:p>
    <w:p w14:paraId="61B0F167" w14:textId="77777777" w:rsidR="008D4855" w:rsidRPr="008D4855" w:rsidRDefault="008D4855" w:rsidP="006972EA">
      <w:pPr>
        <w:pStyle w:val="DfTLevel1"/>
        <w:keepLines/>
        <w:numPr>
          <w:ilvl w:val="0"/>
          <w:numId w:val="9"/>
        </w:numPr>
        <w:suppressLineNumbers/>
        <w:spacing w:before="120" w:after="120"/>
        <w:ind w:left="709" w:hanging="851"/>
        <w:jc w:val="both"/>
        <w:rPr>
          <w:rFonts w:cs="Arial"/>
          <w:sz w:val="22"/>
          <w:szCs w:val="22"/>
        </w:rPr>
      </w:pPr>
      <w:r w:rsidRPr="008D4855">
        <w:rPr>
          <w:rFonts w:cs="Arial"/>
          <w:sz w:val="22"/>
          <w:szCs w:val="22"/>
        </w:rPr>
        <w:t>You must not try to obtain any information about anyone else’s tender or proposed tender before the date of contract award.</w:t>
      </w:r>
    </w:p>
    <w:p w14:paraId="5C29F799" w14:textId="77777777" w:rsidR="008D4855" w:rsidRPr="008D4855" w:rsidRDefault="008D4855" w:rsidP="006972EA">
      <w:pPr>
        <w:pStyle w:val="DfTLevel1"/>
        <w:keepLines/>
        <w:numPr>
          <w:ilvl w:val="0"/>
          <w:numId w:val="9"/>
        </w:numPr>
        <w:suppressLineNumbers/>
        <w:spacing w:before="120" w:after="120"/>
        <w:ind w:left="709" w:hanging="851"/>
        <w:jc w:val="both"/>
        <w:rPr>
          <w:rFonts w:cs="Arial"/>
          <w:sz w:val="22"/>
          <w:szCs w:val="22"/>
        </w:rPr>
      </w:pPr>
      <w:r w:rsidRPr="008D4855">
        <w:rPr>
          <w:rFonts w:cs="Arial"/>
          <w:sz w:val="22"/>
          <w:szCs w:val="22"/>
        </w:rPr>
        <w:t xml:space="preserve">You must not make any arrangements with anyone else about </w:t>
      </w:r>
      <w:proofErr w:type="gramStart"/>
      <w:r w:rsidRPr="008D4855">
        <w:rPr>
          <w:rFonts w:cs="Arial"/>
          <w:sz w:val="22"/>
          <w:szCs w:val="22"/>
        </w:rPr>
        <w:t>whether or not</w:t>
      </w:r>
      <w:proofErr w:type="gramEnd"/>
      <w:r w:rsidRPr="008D4855">
        <w:rPr>
          <w:rFonts w:cs="Arial"/>
          <w:sz w:val="22"/>
          <w:szCs w:val="22"/>
        </w:rPr>
        <w:t xml:space="preserve"> they should tender, or about their or your tender price. The only exception is where tenderers are considering joint or team bids, which will be allowed providing all participants to the discussions surrounding the bid are clearly stated in the tender response. (See also ‘Group Bids’ below).</w:t>
      </w:r>
    </w:p>
    <w:p w14:paraId="510C9A19" w14:textId="77777777" w:rsidR="008D4855" w:rsidRDefault="008D4855" w:rsidP="006972EA">
      <w:pPr>
        <w:pStyle w:val="DfTLevel1"/>
        <w:keepLines/>
        <w:numPr>
          <w:ilvl w:val="0"/>
          <w:numId w:val="9"/>
        </w:numPr>
        <w:suppressLineNumbers/>
        <w:spacing w:before="120" w:after="120"/>
        <w:ind w:left="709" w:hanging="851"/>
        <w:jc w:val="both"/>
        <w:rPr>
          <w:rFonts w:cs="Arial"/>
          <w:sz w:val="22"/>
          <w:szCs w:val="22"/>
        </w:rPr>
      </w:pPr>
      <w:r w:rsidRPr="008D4855">
        <w:rPr>
          <w:rFonts w:cs="Arial"/>
          <w:sz w:val="22"/>
          <w:szCs w:val="22"/>
        </w:rPr>
        <w:t xml:space="preserve">Tender documents must not be transferred to anyone without the prior approval of the </w:t>
      </w:r>
      <w:r w:rsidR="00463459">
        <w:rPr>
          <w:rFonts w:cs="Arial"/>
          <w:sz w:val="22"/>
          <w:szCs w:val="22"/>
        </w:rPr>
        <w:t xml:space="preserve">MCA </w:t>
      </w:r>
      <w:r w:rsidRPr="008D4855">
        <w:rPr>
          <w:rFonts w:cs="Arial"/>
          <w:sz w:val="22"/>
          <w:szCs w:val="22"/>
        </w:rPr>
        <w:t>in writing.</w:t>
      </w:r>
    </w:p>
    <w:p w14:paraId="52FFAAA7" w14:textId="46615C70" w:rsidR="00123F3A" w:rsidRPr="00074B7C" w:rsidRDefault="00324364" w:rsidP="006972EA">
      <w:pPr>
        <w:pStyle w:val="DfTLevel1"/>
        <w:keepLines/>
        <w:numPr>
          <w:ilvl w:val="0"/>
          <w:numId w:val="9"/>
        </w:numPr>
        <w:suppressLineNumbers/>
        <w:spacing w:before="120" w:after="120"/>
        <w:ind w:left="709" w:hanging="709"/>
        <w:jc w:val="both"/>
        <w:rPr>
          <w:rFonts w:cs="Arial"/>
          <w:sz w:val="22"/>
          <w:szCs w:val="22"/>
        </w:rPr>
      </w:pPr>
      <w:r w:rsidRPr="008F35D8">
        <w:rPr>
          <w:sz w:val="22"/>
          <w:szCs w:val="22"/>
        </w:rPr>
        <w:lastRenderedPageBreak/>
        <w:t xml:space="preserve">You must not offer or give, or agree to give, to the </w:t>
      </w:r>
      <w:r>
        <w:rPr>
          <w:sz w:val="22"/>
          <w:szCs w:val="22"/>
        </w:rPr>
        <w:t xml:space="preserve">MCA </w:t>
      </w:r>
      <w:r w:rsidRPr="008F35D8">
        <w:rPr>
          <w:sz w:val="22"/>
          <w:szCs w:val="22"/>
        </w:rPr>
        <w:t xml:space="preserve">or any person employed by or on behalf of the </w:t>
      </w:r>
      <w:r>
        <w:rPr>
          <w:sz w:val="22"/>
          <w:szCs w:val="22"/>
        </w:rPr>
        <w:t xml:space="preserve">MCA </w:t>
      </w:r>
      <w:r w:rsidRPr="008F35D8">
        <w:rPr>
          <w:sz w:val="22"/>
          <w:szCs w:val="22"/>
        </w:rPr>
        <w:t xml:space="preserve">any gift or consideration of any kind as an inducement or reward for doing, refraining from doing, or for having done or refrained from doing, any act in relation to the obtaining or execution of the </w:t>
      </w:r>
      <w:r>
        <w:rPr>
          <w:sz w:val="22"/>
          <w:szCs w:val="22"/>
        </w:rPr>
        <w:t>c</w:t>
      </w:r>
      <w:r w:rsidRPr="008F35D8">
        <w:rPr>
          <w:sz w:val="22"/>
          <w:szCs w:val="22"/>
        </w:rPr>
        <w:t xml:space="preserve">ontract, or for showing or refraining from showing favour or disfavour to any person in relation to the </w:t>
      </w:r>
      <w:r>
        <w:rPr>
          <w:sz w:val="22"/>
          <w:szCs w:val="22"/>
        </w:rPr>
        <w:t>c</w:t>
      </w:r>
      <w:r w:rsidRPr="008F35D8">
        <w:rPr>
          <w:sz w:val="22"/>
          <w:szCs w:val="22"/>
        </w:rPr>
        <w:t>ontract.</w:t>
      </w:r>
    </w:p>
    <w:p w14:paraId="20241C51" w14:textId="77777777" w:rsidR="00074B7C" w:rsidRPr="00110A2E" w:rsidRDefault="00074B7C" w:rsidP="00074B7C">
      <w:pPr>
        <w:pStyle w:val="DfTLevel1"/>
        <w:keepLines/>
        <w:suppressLineNumbers/>
        <w:spacing w:before="120" w:after="120"/>
        <w:ind w:left="709"/>
        <w:jc w:val="both"/>
        <w:rPr>
          <w:rFonts w:cs="Arial"/>
          <w:sz w:val="22"/>
          <w:szCs w:val="22"/>
        </w:rPr>
      </w:pPr>
    </w:p>
    <w:p w14:paraId="4908E3B1" w14:textId="3013CF7D" w:rsidR="00110A2E" w:rsidRPr="00110A2E" w:rsidRDefault="00110A2E" w:rsidP="006972EA">
      <w:pPr>
        <w:pStyle w:val="DfTLevel1"/>
        <w:keepLines/>
        <w:numPr>
          <w:ilvl w:val="0"/>
          <w:numId w:val="9"/>
        </w:numPr>
        <w:suppressLineNumbers/>
        <w:spacing w:before="120" w:after="120"/>
        <w:ind w:left="709" w:hanging="709"/>
        <w:jc w:val="both"/>
        <w:rPr>
          <w:rFonts w:cs="Arial"/>
          <w:sz w:val="22"/>
          <w:szCs w:val="22"/>
        </w:rPr>
      </w:pPr>
      <w:r w:rsidRPr="00110A2E">
        <w:rPr>
          <w:rFonts w:cs="Arial"/>
          <w:b/>
          <w:sz w:val="22"/>
          <w:szCs w:val="22"/>
          <w:lang w:val="en-US"/>
        </w:rPr>
        <w:t>Timescale for procurement and delivery</w:t>
      </w:r>
    </w:p>
    <w:tbl>
      <w:tblPr>
        <w:tblW w:w="8777" w:type="dxa"/>
        <w:tblInd w:w="46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711"/>
        <w:gridCol w:w="4066"/>
      </w:tblGrid>
      <w:tr w:rsidR="00110A2E" w:rsidRPr="00110A2E" w14:paraId="7D043750" w14:textId="77777777" w:rsidTr="00074B7C">
        <w:trPr>
          <w:trHeight w:val="203"/>
        </w:trPr>
        <w:tc>
          <w:tcPr>
            <w:tcW w:w="47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hemeFill="accent1" w:themeFillTint="99"/>
            <w:tcMar>
              <w:top w:w="80" w:type="dxa"/>
              <w:left w:w="80" w:type="dxa"/>
              <w:bottom w:w="80" w:type="dxa"/>
              <w:right w:w="80" w:type="dxa"/>
            </w:tcMar>
          </w:tcPr>
          <w:p w14:paraId="7513C8AD" w14:textId="77777777" w:rsidR="00110A2E" w:rsidRPr="00110A2E" w:rsidRDefault="00110A2E" w:rsidP="001415E5">
            <w:pPr>
              <w:pStyle w:val="DfTLevel1"/>
              <w:keepLines/>
              <w:suppressLineNumbers/>
              <w:jc w:val="both"/>
              <w:rPr>
                <w:rFonts w:cs="Arial"/>
                <w:sz w:val="22"/>
                <w:szCs w:val="22"/>
                <w:lang w:val="en-US"/>
              </w:rPr>
            </w:pPr>
            <w:r w:rsidRPr="00110A2E">
              <w:rPr>
                <w:rFonts w:cs="Arial"/>
                <w:b/>
                <w:bCs/>
                <w:sz w:val="22"/>
                <w:szCs w:val="22"/>
                <w:lang w:val="en-US"/>
              </w:rPr>
              <w:t>Task Name</w:t>
            </w:r>
          </w:p>
        </w:tc>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hemeFill="accent1" w:themeFillTint="99"/>
            <w:tcMar>
              <w:top w:w="80" w:type="dxa"/>
              <w:left w:w="80" w:type="dxa"/>
              <w:bottom w:w="80" w:type="dxa"/>
              <w:right w:w="80" w:type="dxa"/>
            </w:tcMar>
            <w:vAlign w:val="center"/>
          </w:tcPr>
          <w:p w14:paraId="13068AB7" w14:textId="77777777" w:rsidR="00110A2E" w:rsidRPr="00110A2E" w:rsidRDefault="00110A2E" w:rsidP="001415E5">
            <w:pPr>
              <w:pStyle w:val="DfTLevel1"/>
              <w:keepLines/>
              <w:suppressLineNumbers/>
              <w:jc w:val="both"/>
              <w:rPr>
                <w:rFonts w:cs="Arial"/>
                <w:sz w:val="22"/>
                <w:szCs w:val="22"/>
                <w:lang w:val="en-US"/>
              </w:rPr>
            </w:pPr>
            <w:r w:rsidRPr="00110A2E">
              <w:rPr>
                <w:rFonts w:cs="Arial"/>
                <w:b/>
                <w:bCs/>
                <w:sz w:val="22"/>
                <w:szCs w:val="22"/>
                <w:lang w:val="en-US"/>
              </w:rPr>
              <w:t>Date for completion</w:t>
            </w:r>
          </w:p>
        </w:tc>
      </w:tr>
      <w:tr w:rsidR="00110A2E" w:rsidRPr="00110A2E" w14:paraId="1F647098" w14:textId="77777777" w:rsidTr="00074B7C">
        <w:trPr>
          <w:trHeight w:val="292"/>
        </w:trPr>
        <w:tc>
          <w:tcPr>
            <w:tcW w:w="47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5CAF80B" w14:textId="364F3FF6" w:rsidR="00110A2E" w:rsidRPr="00110A2E" w:rsidRDefault="00110A2E" w:rsidP="001415E5">
            <w:pPr>
              <w:pStyle w:val="DfTLevel1"/>
              <w:keepLines/>
              <w:suppressLineNumbers/>
              <w:jc w:val="both"/>
              <w:rPr>
                <w:rFonts w:cs="Arial"/>
                <w:sz w:val="22"/>
                <w:szCs w:val="22"/>
                <w:lang w:val="en-US"/>
              </w:rPr>
            </w:pPr>
            <w:r w:rsidRPr="00110A2E">
              <w:rPr>
                <w:rFonts w:cs="Arial"/>
                <w:sz w:val="22"/>
                <w:szCs w:val="22"/>
                <w:lang w:val="en-US"/>
              </w:rPr>
              <w:t>ITT Publication</w:t>
            </w:r>
          </w:p>
        </w:tc>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69A7AC3" w14:textId="02B7135D" w:rsidR="00110A2E" w:rsidRPr="00110A2E" w:rsidRDefault="00A713BE" w:rsidP="001415E5">
            <w:pPr>
              <w:pStyle w:val="DfTLevel1"/>
              <w:keepLines/>
              <w:suppressLineNumbers/>
              <w:jc w:val="both"/>
              <w:rPr>
                <w:rFonts w:cs="Arial"/>
                <w:sz w:val="22"/>
                <w:szCs w:val="22"/>
                <w:lang w:val="en-US"/>
              </w:rPr>
            </w:pPr>
            <w:r>
              <w:rPr>
                <w:rFonts w:cs="Arial"/>
                <w:sz w:val="22"/>
                <w:szCs w:val="22"/>
                <w:lang w:val="en-US"/>
              </w:rPr>
              <w:t>8</w:t>
            </w:r>
            <w:r w:rsidRPr="00A713BE">
              <w:rPr>
                <w:rFonts w:cs="Arial"/>
                <w:sz w:val="22"/>
                <w:szCs w:val="22"/>
                <w:vertAlign w:val="superscript"/>
                <w:lang w:val="en-US"/>
              </w:rPr>
              <w:t>th</w:t>
            </w:r>
            <w:r>
              <w:rPr>
                <w:rFonts w:cs="Arial"/>
                <w:sz w:val="22"/>
                <w:szCs w:val="22"/>
                <w:lang w:val="en-US"/>
              </w:rPr>
              <w:t xml:space="preserve"> May 2020</w:t>
            </w:r>
          </w:p>
        </w:tc>
      </w:tr>
      <w:tr w:rsidR="00110A2E" w:rsidRPr="00110A2E" w14:paraId="6E27C72B" w14:textId="77777777" w:rsidTr="00074B7C">
        <w:trPr>
          <w:trHeight w:val="438"/>
        </w:trPr>
        <w:tc>
          <w:tcPr>
            <w:tcW w:w="47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B404478" w14:textId="77777777" w:rsidR="00110A2E" w:rsidRPr="00110A2E" w:rsidRDefault="00110A2E" w:rsidP="001415E5">
            <w:pPr>
              <w:pStyle w:val="DfTLevel1"/>
              <w:keepLines/>
              <w:suppressLineNumbers/>
              <w:jc w:val="both"/>
              <w:rPr>
                <w:rFonts w:cs="Arial"/>
                <w:sz w:val="22"/>
                <w:szCs w:val="22"/>
                <w:lang w:val="en-US"/>
              </w:rPr>
            </w:pPr>
            <w:r w:rsidRPr="00110A2E">
              <w:rPr>
                <w:rFonts w:cs="Arial"/>
                <w:sz w:val="22"/>
                <w:szCs w:val="22"/>
                <w:lang w:val="en-US"/>
              </w:rPr>
              <w:t>Return of ITT Responses</w:t>
            </w:r>
          </w:p>
        </w:tc>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B8F93DA" w14:textId="5B84DD4C" w:rsidR="00110A2E" w:rsidRPr="00110A2E" w:rsidRDefault="00A713BE" w:rsidP="001415E5">
            <w:pPr>
              <w:pStyle w:val="DfTLevel1"/>
              <w:keepLines/>
              <w:suppressLineNumbers/>
              <w:jc w:val="both"/>
              <w:rPr>
                <w:rFonts w:cs="Arial"/>
                <w:sz w:val="22"/>
                <w:szCs w:val="22"/>
                <w:lang w:val="en-US"/>
              </w:rPr>
            </w:pPr>
            <w:r>
              <w:rPr>
                <w:rFonts w:cs="Arial"/>
                <w:sz w:val="22"/>
                <w:szCs w:val="22"/>
                <w:lang w:val="en-US"/>
              </w:rPr>
              <w:t>12</w:t>
            </w:r>
            <w:r w:rsidRPr="00A713BE">
              <w:rPr>
                <w:rFonts w:cs="Arial"/>
                <w:sz w:val="22"/>
                <w:szCs w:val="22"/>
                <w:vertAlign w:val="superscript"/>
                <w:lang w:val="en-US"/>
              </w:rPr>
              <w:t>th</w:t>
            </w:r>
            <w:r>
              <w:rPr>
                <w:rFonts w:cs="Arial"/>
                <w:sz w:val="22"/>
                <w:szCs w:val="22"/>
                <w:lang w:val="en-US"/>
              </w:rPr>
              <w:t xml:space="preserve"> June 2020</w:t>
            </w:r>
            <w:r w:rsidR="00110A2E" w:rsidRPr="00110A2E">
              <w:rPr>
                <w:rFonts w:cs="Arial"/>
                <w:sz w:val="22"/>
                <w:szCs w:val="22"/>
                <w:lang w:val="en-US"/>
              </w:rPr>
              <w:t xml:space="preserve"> </w:t>
            </w:r>
          </w:p>
        </w:tc>
      </w:tr>
      <w:tr w:rsidR="00110A2E" w:rsidRPr="00110A2E" w14:paraId="4E227BC1" w14:textId="77777777" w:rsidTr="00074B7C">
        <w:trPr>
          <w:trHeight w:val="438"/>
        </w:trPr>
        <w:tc>
          <w:tcPr>
            <w:tcW w:w="47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710A693" w14:textId="77777777" w:rsidR="00110A2E" w:rsidRPr="00110A2E" w:rsidRDefault="00110A2E" w:rsidP="001415E5">
            <w:pPr>
              <w:pStyle w:val="DfTLevel1"/>
              <w:keepLines/>
              <w:suppressLineNumbers/>
              <w:jc w:val="both"/>
              <w:rPr>
                <w:rFonts w:cs="Arial"/>
                <w:sz w:val="22"/>
                <w:szCs w:val="22"/>
                <w:lang w:val="en-US"/>
              </w:rPr>
            </w:pPr>
            <w:r w:rsidRPr="00110A2E">
              <w:rPr>
                <w:rFonts w:cs="Arial"/>
                <w:sz w:val="22"/>
                <w:szCs w:val="22"/>
                <w:lang w:val="en-US"/>
              </w:rPr>
              <w:t>Evaluation of ITT Responses</w:t>
            </w:r>
          </w:p>
        </w:tc>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4D302E3" w14:textId="0345E35E" w:rsidR="00110A2E" w:rsidRPr="00110A2E" w:rsidRDefault="00A713BE" w:rsidP="001415E5">
            <w:pPr>
              <w:pStyle w:val="DfTLevel1"/>
              <w:keepLines/>
              <w:suppressLineNumbers/>
              <w:jc w:val="both"/>
              <w:rPr>
                <w:rFonts w:cs="Arial"/>
                <w:sz w:val="22"/>
                <w:szCs w:val="22"/>
                <w:lang w:val="en-US"/>
              </w:rPr>
            </w:pPr>
            <w:r>
              <w:rPr>
                <w:rFonts w:cs="Arial"/>
                <w:sz w:val="22"/>
                <w:szCs w:val="22"/>
                <w:lang w:val="en-US"/>
              </w:rPr>
              <w:t>12</w:t>
            </w:r>
            <w:r w:rsidRPr="00A713BE">
              <w:rPr>
                <w:rFonts w:cs="Arial"/>
                <w:sz w:val="22"/>
                <w:szCs w:val="22"/>
                <w:vertAlign w:val="superscript"/>
                <w:lang w:val="en-US"/>
              </w:rPr>
              <w:t>th</w:t>
            </w:r>
            <w:r>
              <w:rPr>
                <w:rFonts w:cs="Arial"/>
                <w:sz w:val="22"/>
                <w:szCs w:val="22"/>
                <w:lang w:val="en-US"/>
              </w:rPr>
              <w:t xml:space="preserve"> June 2020</w:t>
            </w:r>
          </w:p>
        </w:tc>
      </w:tr>
      <w:tr w:rsidR="00110A2E" w:rsidRPr="00110A2E" w14:paraId="2B8DC7DF" w14:textId="77777777" w:rsidTr="00074B7C">
        <w:trPr>
          <w:trHeight w:val="438"/>
        </w:trPr>
        <w:tc>
          <w:tcPr>
            <w:tcW w:w="47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BF28B49" w14:textId="77777777" w:rsidR="00110A2E" w:rsidRPr="00110A2E" w:rsidRDefault="00110A2E" w:rsidP="001415E5">
            <w:pPr>
              <w:pStyle w:val="DfTLevel1"/>
              <w:keepLines/>
              <w:suppressLineNumbers/>
              <w:jc w:val="both"/>
              <w:rPr>
                <w:rFonts w:cs="Arial"/>
                <w:sz w:val="22"/>
                <w:szCs w:val="22"/>
                <w:lang w:val="en-US"/>
              </w:rPr>
            </w:pPr>
            <w:r w:rsidRPr="00110A2E">
              <w:rPr>
                <w:rFonts w:cs="Arial"/>
                <w:sz w:val="22"/>
                <w:szCs w:val="22"/>
                <w:lang w:val="en-US"/>
              </w:rPr>
              <w:t>Contract Award</w:t>
            </w:r>
          </w:p>
        </w:tc>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2D61FC6" w14:textId="417BF044" w:rsidR="00110A2E" w:rsidRPr="00110A2E" w:rsidRDefault="00B605A2" w:rsidP="001415E5">
            <w:pPr>
              <w:pStyle w:val="DfTLevel1"/>
              <w:keepLines/>
              <w:suppressLineNumbers/>
              <w:jc w:val="both"/>
              <w:rPr>
                <w:rFonts w:cs="Arial"/>
                <w:sz w:val="22"/>
                <w:szCs w:val="22"/>
                <w:lang w:val="en-US"/>
              </w:rPr>
            </w:pPr>
            <w:r>
              <w:rPr>
                <w:rFonts w:cs="Arial"/>
                <w:sz w:val="22"/>
                <w:szCs w:val="22"/>
                <w:lang w:val="en-US"/>
              </w:rPr>
              <w:t>10 days after the expiration of the standstill period</w:t>
            </w:r>
          </w:p>
        </w:tc>
      </w:tr>
    </w:tbl>
    <w:p w14:paraId="5EEAB02B" w14:textId="77777777" w:rsidR="00B605A2" w:rsidRDefault="00B605A2" w:rsidP="00B605A2">
      <w:pPr>
        <w:autoSpaceDE w:val="0"/>
        <w:autoSpaceDN w:val="0"/>
        <w:adjustRightInd w:val="0"/>
        <w:spacing w:after="0" w:line="240" w:lineRule="auto"/>
        <w:jc w:val="both"/>
        <w:rPr>
          <w:rFonts w:ascii="Arial" w:eastAsia="Calibri" w:hAnsi="Arial" w:cs="Arial"/>
          <w:b/>
          <w:color w:val="000000"/>
          <w:lang w:eastAsia="en-GB"/>
        </w:rPr>
      </w:pPr>
    </w:p>
    <w:p w14:paraId="44A373A5" w14:textId="409D1293" w:rsidR="00B605A2" w:rsidRPr="00B605A2" w:rsidRDefault="00B63247" w:rsidP="00B605A2">
      <w:pPr>
        <w:autoSpaceDE w:val="0"/>
        <w:autoSpaceDN w:val="0"/>
        <w:adjustRightInd w:val="0"/>
        <w:spacing w:after="0" w:line="240" w:lineRule="auto"/>
        <w:jc w:val="both"/>
        <w:rPr>
          <w:rFonts w:ascii="Arial" w:eastAsia="Calibri" w:hAnsi="Arial" w:cs="Arial"/>
          <w:b/>
          <w:color w:val="000000"/>
          <w:lang w:eastAsia="en-GB"/>
        </w:rPr>
      </w:pPr>
      <w:r>
        <w:rPr>
          <w:rFonts w:ascii="Arial" w:eastAsia="Calibri" w:hAnsi="Arial" w:cs="Arial"/>
          <w:b/>
          <w:color w:val="000000"/>
          <w:lang w:eastAsia="en-GB"/>
        </w:rPr>
        <w:t>Tender Requirement</w:t>
      </w:r>
    </w:p>
    <w:p w14:paraId="4D98692B" w14:textId="77777777" w:rsidR="00B605A2" w:rsidRPr="00B605A2" w:rsidRDefault="00B605A2" w:rsidP="00B605A2">
      <w:pPr>
        <w:autoSpaceDE w:val="0"/>
        <w:autoSpaceDN w:val="0"/>
        <w:adjustRightInd w:val="0"/>
        <w:spacing w:after="0" w:line="240" w:lineRule="auto"/>
        <w:ind w:left="1080"/>
        <w:jc w:val="both"/>
        <w:rPr>
          <w:rFonts w:ascii="Arial" w:eastAsia="Calibri" w:hAnsi="Arial" w:cs="Arial"/>
          <w:color w:val="000000"/>
          <w:lang w:eastAsia="en-GB"/>
        </w:rPr>
      </w:pPr>
    </w:p>
    <w:p w14:paraId="0C537ED8" w14:textId="38D64635" w:rsidR="00B605A2" w:rsidRDefault="00B605A2" w:rsidP="00B55C88">
      <w:pPr>
        <w:autoSpaceDE w:val="0"/>
        <w:autoSpaceDN w:val="0"/>
        <w:adjustRightInd w:val="0"/>
        <w:spacing w:after="0" w:line="240" w:lineRule="auto"/>
        <w:ind w:left="720" w:hanging="720"/>
        <w:jc w:val="both"/>
        <w:rPr>
          <w:rFonts w:ascii="Arial" w:eastAsia="Calibri" w:hAnsi="Arial" w:cs="Arial"/>
          <w:color w:val="000000"/>
          <w:lang w:eastAsia="en-GB"/>
        </w:rPr>
      </w:pPr>
      <w:r w:rsidRPr="00B605A2">
        <w:rPr>
          <w:rFonts w:ascii="Arial" w:eastAsia="Calibri" w:hAnsi="Arial" w:cs="Arial"/>
          <w:color w:val="000000"/>
          <w:lang w:eastAsia="en-GB"/>
        </w:rPr>
        <w:t>2</w:t>
      </w:r>
      <w:r>
        <w:rPr>
          <w:rFonts w:ascii="Arial" w:eastAsia="Calibri" w:hAnsi="Arial" w:cs="Arial"/>
          <w:color w:val="000000"/>
          <w:lang w:eastAsia="en-GB"/>
        </w:rPr>
        <w:t>3</w:t>
      </w:r>
      <w:r w:rsidRPr="00B605A2">
        <w:rPr>
          <w:rFonts w:ascii="Arial" w:eastAsia="Calibri" w:hAnsi="Arial" w:cs="Arial"/>
          <w:color w:val="000000"/>
          <w:lang w:eastAsia="en-GB"/>
        </w:rPr>
        <w:t>.</w:t>
      </w:r>
      <w:r w:rsidRPr="00B605A2">
        <w:rPr>
          <w:rFonts w:ascii="Arial" w:eastAsia="Calibri" w:hAnsi="Arial" w:cs="Arial"/>
          <w:color w:val="000000"/>
          <w:lang w:eastAsia="en-GB"/>
        </w:rPr>
        <w:tab/>
        <w:t xml:space="preserve">Please </w:t>
      </w:r>
      <w:r w:rsidR="00B55C88">
        <w:rPr>
          <w:rFonts w:ascii="Arial" w:eastAsia="Calibri" w:hAnsi="Arial" w:cs="Arial"/>
          <w:color w:val="000000"/>
          <w:lang w:eastAsia="en-GB"/>
        </w:rPr>
        <w:t xml:space="preserve">complete the Annex </w:t>
      </w:r>
      <w:r w:rsidR="006972EA">
        <w:rPr>
          <w:rFonts w:ascii="Arial" w:eastAsia="Calibri" w:hAnsi="Arial" w:cs="Arial"/>
          <w:color w:val="000000"/>
          <w:lang w:eastAsia="en-GB"/>
        </w:rPr>
        <w:t>A</w:t>
      </w:r>
      <w:r w:rsidR="00B55C88">
        <w:rPr>
          <w:rFonts w:ascii="Arial" w:eastAsia="Calibri" w:hAnsi="Arial" w:cs="Arial"/>
          <w:color w:val="000000"/>
          <w:lang w:eastAsia="en-GB"/>
        </w:rPr>
        <w:t xml:space="preserve"> – Selection Questionnaire.</w:t>
      </w:r>
    </w:p>
    <w:p w14:paraId="5D148D72" w14:textId="77777777" w:rsidR="00B55C88" w:rsidRPr="00B55C88" w:rsidRDefault="00B55C88" w:rsidP="00B55C88">
      <w:pPr>
        <w:autoSpaceDE w:val="0"/>
        <w:autoSpaceDN w:val="0"/>
        <w:adjustRightInd w:val="0"/>
        <w:spacing w:after="0" w:line="240" w:lineRule="auto"/>
        <w:ind w:left="720" w:hanging="720"/>
        <w:jc w:val="both"/>
        <w:rPr>
          <w:rFonts w:ascii="Arial" w:eastAsia="Calibri" w:hAnsi="Arial" w:cs="Arial"/>
          <w:color w:val="000000"/>
          <w:lang w:eastAsia="en-GB"/>
        </w:rPr>
      </w:pPr>
    </w:p>
    <w:p w14:paraId="2610F558" w14:textId="4ADC9BD8" w:rsidR="00FC464A" w:rsidRPr="00FC464A" w:rsidRDefault="00FC464A" w:rsidP="00FC464A">
      <w:pPr>
        <w:keepLines/>
        <w:suppressLineNumbers/>
        <w:suppressAutoHyphens/>
        <w:spacing w:before="120" w:after="120"/>
        <w:ind w:left="720" w:hanging="720"/>
        <w:jc w:val="both"/>
        <w:rPr>
          <w:rFonts w:ascii="Arial" w:hAnsi="Arial" w:cs="Arial"/>
          <w:b/>
        </w:rPr>
      </w:pPr>
      <w:r w:rsidRPr="00FC464A">
        <w:rPr>
          <w:rFonts w:ascii="Arial" w:hAnsi="Arial" w:cs="Arial"/>
          <w:b/>
        </w:rPr>
        <w:t xml:space="preserve">Group </w:t>
      </w:r>
      <w:r>
        <w:rPr>
          <w:rFonts w:ascii="Arial" w:hAnsi="Arial" w:cs="Arial"/>
          <w:b/>
        </w:rPr>
        <w:t>B</w:t>
      </w:r>
      <w:r w:rsidRPr="00FC464A">
        <w:rPr>
          <w:rFonts w:ascii="Arial" w:hAnsi="Arial" w:cs="Arial"/>
          <w:b/>
        </w:rPr>
        <w:t>ids</w:t>
      </w:r>
    </w:p>
    <w:p w14:paraId="3B97951C" w14:textId="52F1F4C5" w:rsidR="00DA7DD0" w:rsidRPr="00F31DD9" w:rsidRDefault="00F55A6C" w:rsidP="006972EA">
      <w:pPr>
        <w:pStyle w:val="DfTLevel1"/>
        <w:keepLines/>
        <w:numPr>
          <w:ilvl w:val="0"/>
          <w:numId w:val="12"/>
        </w:numPr>
        <w:suppressLineNumbers/>
        <w:spacing w:before="120" w:after="120"/>
        <w:ind w:left="709" w:hanging="709"/>
        <w:jc w:val="both"/>
        <w:rPr>
          <w:rFonts w:cs="Arial"/>
          <w:b/>
        </w:rPr>
      </w:pPr>
      <w:r w:rsidRPr="00F259CB">
        <w:rPr>
          <w:rFonts w:cs="Arial"/>
          <w:sz w:val="22"/>
          <w:szCs w:val="22"/>
        </w:rPr>
        <w:t xml:space="preserve">The MCA welcomes tenders from groups/consortia of suppliers, each providing part of the specified requirement.  </w:t>
      </w:r>
      <w:r w:rsidR="00FC464A" w:rsidRPr="00F259CB">
        <w:rPr>
          <w:rFonts w:cs="Arial"/>
          <w:sz w:val="22"/>
          <w:szCs w:val="22"/>
        </w:rPr>
        <w:t xml:space="preserve">In the event of a group of suppliers submitting an acceptable offer, the group will be required to nominate a lead partner with whom the Department can contract. </w:t>
      </w:r>
      <w:r w:rsidRPr="00F259CB">
        <w:rPr>
          <w:rFonts w:cs="Arial"/>
          <w:sz w:val="22"/>
          <w:szCs w:val="22"/>
        </w:rPr>
        <w:t xml:space="preserve"> </w:t>
      </w:r>
      <w:r w:rsidR="00FC464A" w:rsidRPr="00F259CB">
        <w:rPr>
          <w:rFonts w:cs="Arial"/>
          <w:sz w:val="22"/>
          <w:szCs w:val="22"/>
        </w:rPr>
        <w:t>Alternatively</w:t>
      </w:r>
      <w:r w:rsidRPr="00F259CB">
        <w:rPr>
          <w:rFonts w:cs="Arial"/>
          <w:sz w:val="22"/>
          <w:szCs w:val="22"/>
        </w:rPr>
        <w:t>,</w:t>
      </w:r>
      <w:r w:rsidR="00FC464A" w:rsidRPr="00F259CB">
        <w:rPr>
          <w:rFonts w:cs="Arial"/>
          <w:sz w:val="22"/>
          <w:szCs w:val="22"/>
        </w:rPr>
        <w:t xml:space="preserve"> the group will need to form themselves into a single legal entity before the contract is awarded. An undertaking that the group will so form themselves, if required by the Department, must be provided when the tender is submitted.</w:t>
      </w:r>
    </w:p>
    <w:p w14:paraId="41403492" w14:textId="77777777" w:rsidR="008D4855" w:rsidRPr="00FC464A" w:rsidRDefault="00FC464A" w:rsidP="008D4855">
      <w:pPr>
        <w:keepLines/>
        <w:suppressLineNumbers/>
        <w:suppressAutoHyphens/>
        <w:spacing w:before="120" w:after="120"/>
        <w:jc w:val="both"/>
        <w:rPr>
          <w:rFonts w:ascii="Arial" w:hAnsi="Arial" w:cs="Arial"/>
          <w:b/>
        </w:rPr>
      </w:pPr>
      <w:r w:rsidRPr="00FC464A">
        <w:rPr>
          <w:rFonts w:ascii="Arial" w:hAnsi="Arial" w:cs="Arial"/>
          <w:b/>
        </w:rPr>
        <w:t xml:space="preserve">Tender </w:t>
      </w:r>
      <w:r>
        <w:rPr>
          <w:rFonts w:ascii="Arial" w:hAnsi="Arial" w:cs="Arial"/>
          <w:b/>
        </w:rPr>
        <w:t>V</w:t>
      </w:r>
      <w:r w:rsidRPr="00FC464A">
        <w:rPr>
          <w:rFonts w:ascii="Arial" w:hAnsi="Arial" w:cs="Arial"/>
          <w:b/>
        </w:rPr>
        <w:t>alidity</w:t>
      </w:r>
    </w:p>
    <w:p w14:paraId="2B707E7E" w14:textId="48B1AB60" w:rsidR="00110A2E" w:rsidRPr="00B605A2" w:rsidRDefault="008D4855" w:rsidP="006972EA">
      <w:pPr>
        <w:pStyle w:val="DfTLevel1"/>
        <w:keepLines/>
        <w:numPr>
          <w:ilvl w:val="0"/>
          <w:numId w:val="12"/>
        </w:numPr>
        <w:suppressLineNumbers/>
        <w:spacing w:before="120" w:after="120"/>
        <w:ind w:left="709" w:hanging="709"/>
        <w:jc w:val="both"/>
        <w:rPr>
          <w:rFonts w:cs="Arial"/>
          <w:sz w:val="22"/>
          <w:szCs w:val="22"/>
        </w:rPr>
      </w:pPr>
      <w:r w:rsidRPr="008D4855">
        <w:rPr>
          <w:rFonts w:cs="Arial"/>
          <w:sz w:val="22"/>
          <w:szCs w:val="22"/>
        </w:rPr>
        <w:t xml:space="preserve">The </w:t>
      </w:r>
      <w:r w:rsidR="00463459">
        <w:rPr>
          <w:rFonts w:cs="Arial"/>
          <w:sz w:val="22"/>
          <w:szCs w:val="22"/>
        </w:rPr>
        <w:t xml:space="preserve">MCA </w:t>
      </w:r>
      <w:r w:rsidRPr="008D4855">
        <w:rPr>
          <w:rFonts w:cs="Arial"/>
          <w:sz w:val="22"/>
          <w:szCs w:val="22"/>
        </w:rPr>
        <w:t xml:space="preserve">will assume that your tender will remain open for acceptance for a minimum of </w:t>
      </w:r>
      <w:r w:rsidR="00F31DD9">
        <w:rPr>
          <w:rFonts w:cs="Arial"/>
          <w:sz w:val="22"/>
          <w:szCs w:val="22"/>
        </w:rPr>
        <w:t>9</w:t>
      </w:r>
      <w:r w:rsidRPr="008D4855">
        <w:rPr>
          <w:rFonts w:cs="Arial"/>
          <w:sz w:val="22"/>
          <w:szCs w:val="22"/>
        </w:rPr>
        <w:t>0 calendar days from the Tender Deadline.</w:t>
      </w:r>
    </w:p>
    <w:p w14:paraId="3B9985C7" w14:textId="2A930D05" w:rsidR="006D26B3" w:rsidRPr="006D26B3" w:rsidRDefault="006D26B3" w:rsidP="006D26B3">
      <w:pPr>
        <w:keepLines/>
        <w:suppressLineNumbers/>
        <w:suppressAutoHyphens/>
        <w:spacing w:before="120" w:after="120"/>
        <w:jc w:val="both"/>
        <w:rPr>
          <w:rFonts w:ascii="Arial" w:hAnsi="Arial" w:cs="Arial"/>
          <w:b/>
        </w:rPr>
      </w:pPr>
      <w:r w:rsidRPr="006D26B3">
        <w:rPr>
          <w:rFonts w:ascii="Arial" w:hAnsi="Arial" w:cs="Arial"/>
          <w:b/>
        </w:rPr>
        <w:t>Evaluation Criteria &amp; Weighting</w:t>
      </w:r>
    </w:p>
    <w:p w14:paraId="35D549EC" w14:textId="3FAF4A68" w:rsidR="00253615" w:rsidRPr="00253615" w:rsidRDefault="00A353EE" w:rsidP="006972EA">
      <w:pPr>
        <w:pStyle w:val="ListParagraph"/>
        <w:keepLines/>
        <w:numPr>
          <w:ilvl w:val="0"/>
          <w:numId w:val="12"/>
        </w:numPr>
        <w:suppressLineNumbers/>
        <w:suppressAutoHyphens/>
        <w:spacing w:before="120" w:after="120"/>
        <w:ind w:left="709" w:hanging="709"/>
        <w:jc w:val="both"/>
        <w:rPr>
          <w:rFonts w:ascii="Arial" w:hAnsi="Arial" w:cs="Arial"/>
        </w:rPr>
      </w:pPr>
      <w:r w:rsidRPr="00A353EE">
        <w:rPr>
          <w:rFonts w:ascii="Arial" w:hAnsi="Arial" w:cs="Arial"/>
        </w:rPr>
        <w:t>Bids will be evaluated based on the Criteria and weightings set out below</w:t>
      </w:r>
      <w:r>
        <w:rPr>
          <w:rFonts w:ascii="Arial" w:hAnsi="Arial" w:cs="Arial"/>
        </w:rPr>
        <w:t>.</w:t>
      </w:r>
    </w:p>
    <w:p w14:paraId="1F3EE9EF" w14:textId="3AD5666E" w:rsidR="00253615" w:rsidRPr="00A353EE" w:rsidRDefault="00253615" w:rsidP="00253615">
      <w:pPr>
        <w:pStyle w:val="ListParagraph"/>
        <w:keepLines/>
        <w:suppressLineNumbers/>
        <w:suppressAutoHyphens/>
        <w:spacing w:before="120" w:after="120"/>
        <w:ind w:left="1095"/>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0"/>
        <w:gridCol w:w="4650"/>
      </w:tblGrid>
      <w:tr w:rsidR="00253615" w:rsidRPr="00253615" w14:paraId="06B4084B" w14:textId="77777777" w:rsidTr="00AE34BB">
        <w:tc>
          <w:tcPr>
            <w:tcW w:w="4981" w:type="dxa"/>
            <w:shd w:val="clear" w:color="auto" w:fill="8DB3E2" w:themeFill="text2" w:themeFillTint="66"/>
          </w:tcPr>
          <w:p w14:paraId="00B9BE22" w14:textId="77777777" w:rsidR="00253615" w:rsidRPr="00253615" w:rsidRDefault="00253615" w:rsidP="00253615">
            <w:pPr>
              <w:spacing w:before="240" w:after="0" w:line="240" w:lineRule="auto"/>
              <w:jc w:val="both"/>
              <w:rPr>
                <w:rFonts w:ascii="Arial" w:eastAsia="Times New Roman" w:hAnsi="Arial" w:cs="Arial"/>
                <w:bCs/>
                <w:sz w:val="24"/>
                <w:szCs w:val="24"/>
              </w:rPr>
            </w:pPr>
            <w:r w:rsidRPr="00253615">
              <w:rPr>
                <w:rFonts w:ascii="Arial" w:eastAsia="Times New Roman" w:hAnsi="Arial" w:cs="Arial"/>
                <w:bCs/>
                <w:sz w:val="24"/>
                <w:szCs w:val="24"/>
              </w:rPr>
              <w:t>Evaluation Criteria</w:t>
            </w:r>
          </w:p>
        </w:tc>
        <w:tc>
          <w:tcPr>
            <w:tcW w:w="4981" w:type="dxa"/>
            <w:shd w:val="clear" w:color="auto" w:fill="8DB3E2" w:themeFill="text2" w:themeFillTint="66"/>
          </w:tcPr>
          <w:p w14:paraId="70BFBC9F" w14:textId="77777777" w:rsidR="00253615" w:rsidRPr="00253615" w:rsidRDefault="00253615" w:rsidP="00253615">
            <w:pPr>
              <w:spacing w:before="240" w:after="0" w:line="240" w:lineRule="auto"/>
              <w:jc w:val="both"/>
              <w:rPr>
                <w:rFonts w:ascii="Arial" w:eastAsia="Times New Roman" w:hAnsi="Arial" w:cs="Arial"/>
                <w:bCs/>
                <w:sz w:val="24"/>
                <w:szCs w:val="24"/>
              </w:rPr>
            </w:pPr>
            <w:r w:rsidRPr="00253615">
              <w:rPr>
                <w:rFonts w:ascii="Arial" w:eastAsia="Times New Roman" w:hAnsi="Arial" w:cs="Arial"/>
                <w:bCs/>
                <w:sz w:val="24"/>
                <w:szCs w:val="24"/>
              </w:rPr>
              <w:t>Weighting</w:t>
            </w:r>
          </w:p>
        </w:tc>
      </w:tr>
      <w:tr w:rsidR="00253615" w:rsidRPr="00253615" w14:paraId="4FAEF067" w14:textId="77777777" w:rsidTr="006D7D6B">
        <w:tc>
          <w:tcPr>
            <w:tcW w:w="4981" w:type="dxa"/>
            <w:shd w:val="clear" w:color="auto" w:fill="auto"/>
          </w:tcPr>
          <w:p w14:paraId="43AECCE2" w14:textId="77777777" w:rsidR="00253615" w:rsidRPr="00253615" w:rsidRDefault="00253615" w:rsidP="00253615">
            <w:pPr>
              <w:spacing w:before="240" w:after="0" w:line="240" w:lineRule="auto"/>
              <w:jc w:val="both"/>
              <w:rPr>
                <w:rFonts w:ascii="Arial" w:eastAsia="Times New Roman" w:hAnsi="Arial" w:cs="Arial"/>
                <w:sz w:val="24"/>
                <w:szCs w:val="24"/>
              </w:rPr>
            </w:pPr>
            <w:r w:rsidRPr="00253615">
              <w:rPr>
                <w:rFonts w:ascii="Arial" w:eastAsia="Times New Roman" w:hAnsi="Arial" w:cs="Arial"/>
                <w:sz w:val="24"/>
                <w:szCs w:val="24"/>
              </w:rPr>
              <w:t>Efficiency of implementation plan</w:t>
            </w:r>
          </w:p>
        </w:tc>
        <w:tc>
          <w:tcPr>
            <w:tcW w:w="4981" w:type="dxa"/>
            <w:shd w:val="clear" w:color="auto" w:fill="auto"/>
          </w:tcPr>
          <w:p w14:paraId="23F6D750" w14:textId="77777777" w:rsidR="00253615" w:rsidRPr="00253615" w:rsidRDefault="00253615" w:rsidP="00253615">
            <w:pPr>
              <w:spacing w:before="240" w:after="0" w:line="240" w:lineRule="auto"/>
              <w:jc w:val="both"/>
              <w:rPr>
                <w:rFonts w:ascii="Arial" w:eastAsia="Times New Roman" w:hAnsi="Arial" w:cs="Arial"/>
                <w:sz w:val="24"/>
                <w:szCs w:val="24"/>
              </w:rPr>
            </w:pPr>
            <w:r w:rsidRPr="00253615">
              <w:rPr>
                <w:rFonts w:ascii="Arial" w:eastAsia="Times New Roman" w:hAnsi="Arial" w:cs="Arial"/>
                <w:sz w:val="24"/>
                <w:szCs w:val="24"/>
              </w:rPr>
              <w:t>10%</w:t>
            </w:r>
          </w:p>
        </w:tc>
      </w:tr>
      <w:tr w:rsidR="00253615" w:rsidRPr="00253615" w14:paraId="0503290F" w14:textId="77777777" w:rsidTr="006D7D6B">
        <w:tc>
          <w:tcPr>
            <w:tcW w:w="4981" w:type="dxa"/>
            <w:shd w:val="clear" w:color="auto" w:fill="auto"/>
          </w:tcPr>
          <w:p w14:paraId="05497F2E" w14:textId="77777777" w:rsidR="00253615" w:rsidRPr="00253615" w:rsidRDefault="00253615" w:rsidP="00253615">
            <w:pPr>
              <w:spacing w:before="240" w:after="0" w:line="240" w:lineRule="auto"/>
              <w:jc w:val="both"/>
              <w:rPr>
                <w:rFonts w:ascii="Arial" w:eastAsia="Times New Roman" w:hAnsi="Arial" w:cs="Arial"/>
                <w:sz w:val="24"/>
                <w:szCs w:val="24"/>
              </w:rPr>
            </w:pPr>
            <w:r w:rsidRPr="00253615">
              <w:rPr>
                <w:rFonts w:ascii="Arial" w:eastAsia="Times New Roman" w:hAnsi="Arial" w:cs="Arial"/>
                <w:sz w:val="24"/>
                <w:szCs w:val="24"/>
              </w:rPr>
              <w:t>Quality and efficiency of audit plan</w:t>
            </w:r>
          </w:p>
        </w:tc>
        <w:tc>
          <w:tcPr>
            <w:tcW w:w="4981" w:type="dxa"/>
            <w:shd w:val="clear" w:color="auto" w:fill="auto"/>
          </w:tcPr>
          <w:p w14:paraId="6FA0C06E" w14:textId="77777777" w:rsidR="00253615" w:rsidRPr="00253615" w:rsidRDefault="00253615" w:rsidP="00253615">
            <w:pPr>
              <w:spacing w:before="240" w:after="0" w:line="240" w:lineRule="auto"/>
              <w:jc w:val="both"/>
              <w:rPr>
                <w:rFonts w:ascii="Arial" w:eastAsia="Times New Roman" w:hAnsi="Arial" w:cs="Arial"/>
                <w:sz w:val="24"/>
                <w:szCs w:val="24"/>
              </w:rPr>
            </w:pPr>
            <w:r w:rsidRPr="00253615">
              <w:rPr>
                <w:rFonts w:ascii="Arial" w:eastAsia="Times New Roman" w:hAnsi="Arial" w:cs="Arial"/>
                <w:sz w:val="24"/>
                <w:szCs w:val="24"/>
              </w:rPr>
              <w:t>25%</w:t>
            </w:r>
          </w:p>
        </w:tc>
      </w:tr>
      <w:tr w:rsidR="00253615" w:rsidRPr="00253615" w14:paraId="3BD854B7" w14:textId="77777777" w:rsidTr="006D7D6B">
        <w:tc>
          <w:tcPr>
            <w:tcW w:w="4981" w:type="dxa"/>
            <w:shd w:val="clear" w:color="auto" w:fill="auto"/>
          </w:tcPr>
          <w:p w14:paraId="654AE9E8" w14:textId="77777777" w:rsidR="00253615" w:rsidRPr="00253615" w:rsidRDefault="00253615" w:rsidP="00253615">
            <w:pPr>
              <w:spacing w:before="240" w:after="0" w:line="240" w:lineRule="auto"/>
              <w:jc w:val="both"/>
              <w:rPr>
                <w:rFonts w:ascii="Arial" w:eastAsia="Times New Roman" w:hAnsi="Arial" w:cs="Arial"/>
                <w:sz w:val="24"/>
                <w:szCs w:val="24"/>
              </w:rPr>
            </w:pPr>
            <w:r w:rsidRPr="00253615">
              <w:rPr>
                <w:rFonts w:ascii="Arial" w:eastAsia="Times New Roman" w:hAnsi="Arial" w:cs="Arial"/>
                <w:sz w:val="24"/>
                <w:szCs w:val="24"/>
              </w:rPr>
              <w:lastRenderedPageBreak/>
              <w:t>Quality of audit report</w:t>
            </w:r>
          </w:p>
        </w:tc>
        <w:tc>
          <w:tcPr>
            <w:tcW w:w="4981" w:type="dxa"/>
            <w:shd w:val="clear" w:color="auto" w:fill="auto"/>
          </w:tcPr>
          <w:p w14:paraId="05FC51BC" w14:textId="77777777" w:rsidR="00253615" w:rsidRPr="00253615" w:rsidRDefault="00253615" w:rsidP="00253615">
            <w:pPr>
              <w:spacing w:before="240" w:after="0" w:line="240" w:lineRule="auto"/>
              <w:jc w:val="both"/>
              <w:rPr>
                <w:rFonts w:ascii="Arial" w:eastAsia="Times New Roman" w:hAnsi="Arial" w:cs="Arial"/>
                <w:sz w:val="24"/>
                <w:szCs w:val="24"/>
              </w:rPr>
            </w:pPr>
            <w:r w:rsidRPr="00253615">
              <w:rPr>
                <w:rFonts w:ascii="Arial" w:eastAsia="Times New Roman" w:hAnsi="Arial" w:cs="Arial"/>
                <w:sz w:val="24"/>
                <w:szCs w:val="24"/>
              </w:rPr>
              <w:t>25%</w:t>
            </w:r>
          </w:p>
        </w:tc>
      </w:tr>
      <w:tr w:rsidR="00253615" w:rsidRPr="00253615" w14:paraId="6A2CA109" w14:textId="77777777" w:rsidTr="006D7D6B">
        <w:trPr>
          <w:trHeight w:val="1099"/>
        </w:trPr>
        <w:tc>
          <w:tcPr>
            <w:tcW w:w="4981" w:type="dxa"/>
            <w:shd w:val="clear" w:color="auto" w:fill="auto"/>
          </w:tcPr>
          <w:p w14:paraId="7536CBE4" w14:textId="77777777" w:rsidR="00253615" w:rsidRPr="00253615" w:rsidRDefault="00253615" w:rsidP="00253615">
            <w:pPr>
              <w:spacing w:before="240" w:after="0" w:line="240" w:lineRule="auto"/>
              <w:jc w:val="both"/>
              <w:rPr>
                <w:rFonts w:ascii="Arial" w:eastAsia="Times New Roman" w:hAnsi="Arial" w:cs="Arial"/>
                <w:sz w:val="24"/>
                <w:szCs w:val="24"/>
              </w:rPr>
            </w:pPr>
            <w:r w:rsidRPr="00253615">
              <w:rPr>
                <w:rFonts w:ascii="Arial" w:eastAsia="Times New Roman" w:hAnsi="Arial" w:cs="Arial"/>
                <w:sz w:val="24"/>
                <w:szCs w:val="24"/>
              </w:rPr>
              <w:t>Available resources specific to this contract, this will include qualifications and experience of auditors (CV’s)</w:t>
            </w:r>
          </w:p>
        </w:tc>
        <w:tc>
          <w:tcPr>
            <w:tcW w:w="4981" w:type="dxa"/>
            <w:shd w:val="clear" w:color="auto" w:fill="auto"/>
          </w:tcPr>
          <w:p w14:paraId="5238DABF" w14:textId="77777777" w:rsidR="00253615" w:rsidRPr="00253615" w:rsidRDefault="00253615" w:rsidP="00253615">
            <w:pPr>
              <w:spacing w:before="240" w:after="0" w:line="240" w:lineRule="auto"/>
              <w:jc w:val="both"/>
              <w:rPr>
                <w:rFonts w:ascii="Arial" w:eastAsia="Times New Roman" w:hAnsi="Arial" w:cs="Arial"/>
                <w:sz w:val="24"/>
                <w:szCs w:val="24"/>
              </w:rPr>
            </w:pPr>
            <w:r w:rsidRPr="00253615">
              <w:rPr>
                <w:rFonts w:ascii="Arial" w:eastAsia="Times New Roman" w:hAnsi="Arial" w:cs="Arial"/>
                <w:sz w:val="24"/>
                <w:szCs w:val="24"/>
              </w:rPr>
              <w:t>25%</w:t>
            </w:r>
          </w:p>
        </w:tc>
      </w:tr>
      <w:tr w:rsidR="00253615" w:rsidRPr="00253615" w14:paraId="67154828" w14:textId="77777777" w:rsidTr="006D7D6B">
        <w:trPr>
          <w:trHeight w:val="448"/>
        </w:trPr>
        <w:tc>
          <w:tcPr>
            <w:tcW w:w="4981" w:type="dxa"/>
            <w:shd w:val="clear" w:color="auto" w:fill="auto"/>
          </w:tcPr>
          <w:p w14:paraId="4D2AB354" w14:textId="77777777" w:rsidR="00253615" w:rsidRPr="00253615" w:rsidRDefault="00253615" w:rsidP="00253615">
            <w:pPr>
              <w:spacing w:before="240" w:after="0" w:line="240" w:lineRule="auto"/>
              <w:jc w:val="both"/>
              <w:rPr>
                <w:rFonts w:ascii="Arial" w:eastAsia="Times New Roman" w:hAnsi="Arial" w:cs="Arial"/>
                <w:sz w:val="24"/>
                <w:szCs w:val="24"/>
              </w:rPr>
            </w:pPr>
            <w:r w:rsidRPr="00253615">
              <w:rPr>
                <w:rFonts w:ascii="Arial" w:eastAsia="Times New Roman" w:hAnsi="Arial" w:cs="Arial"/>
                <w:sz w:val="24"/>
                <w:szCs w:val="24"/>
              </w:rPr>
              <w:t>Proposed service level agreement including KPIs</w:t>
            </w:r>
          </w:p>
        </w:tc>
        <w:tc>
          <w:tcPr>
            <w:tcW w:w="4981" w:type="dxa"/>
            <w:shd w:val="clear" w:color="auto" w:fill="auto"/>
          </w:tcPr>
          <w:p w14:paraId="7A2E8E48" w14:textId="77777777" w:rsidR="00253615" w:rsidRPr="00253615" w:rsidRDefault="00253615" w:rsidP="00253615">
            <w:pPr>
              <w:spacing w:before="240" w:after="0" w:line="240" w:lineRule="auto"/>
              <w:jc w:val="both"/>
              <w:rPr>
                <w:rFonts w:ascii="Arial" w:eastAsia="Times New Roman" w:hAnsi="Arial" w:cs="Arial"/>
                <w:sz w:val="24"/>
                <w:szCs w:val="24"/>
              </w:rPr>
            </w:pPr>
            <w:r w:rsidRPr="00253615">
              <w:rPr>
                <w:rFonts w:ascii="Arial" w:eastAsia="Times New Roman" w:hAnsi="Arial" w:cs="Arial"/>
                <w:sz w:val="24"/>
                <w:szCs w:val="24"/>
              </w:rPr>
              <w:t>15%</w:t>
            </w:r>
          </w:p>
        </w:tc>
      </w:tr>
      <w:tr w:rsidR="00253615" w:rsidRPr="00253615" w14:paraId="1F6ACBE8" w14:textId="77777777" w:rsidTr="00AE34BB">
        <w:trPr>
          <w:trHeight w:val="448"/>
        </w:trPr>
        <w:tc>
          <w:tcPr>
            <w:tcW w:w="4981" w:type="dxa"/>
            <w:shd w:val="clear" w:color="auto" w:fill="C6D9F1" w:themeFill="text2" w:themeFillTint="33"/>
          </w:tcPr>
          <w:p w14:paraId="367E04DE" w14:textId="77777777" w:rsidR="00253615" w:rsidRPr="00253615" w:rsidRDefault="00253615" w:rsidP="00AE34BB">
            <w:pPr>
              <w:spacing w:before="240" w:after="0" w:line="240" w:lineRule="auto"/>
              <w:rPr>
                <w:rFonts w:ascii="Arial" w:eastAsia="Times New Roman" w:hAnsi="Arial" w:cs="Arial"/>
                <w:sz w:val="24"/>
                <w:szCs w:val="24"/>
              </w:rPr>
            </w:pPr>
            <w:r w:rsidRPr="00253615">
              <w:rPr>
                <w:rFonts w:ascii="Arial" w:eastAsia="Times New Roman" w:hAnsi="Arial" w:cs="Arial"/>
                <w:sz w:val="24"/>
                <w:szCs w:val="24"/>
              </w:rPr>
              <w:t>Total</w:t>
            </w:r>
          </w:p>
        </w:tc>
        <w:tc>
          <w:tcPr>
            <w:tcW w:w="4981" w:type="dxa"/>
            <w:shd w:val="clear" w:color="auto" w:fill="C6D9F1" w:themeFill="text2" w:themeFillTint="33"/>
          </w:tcPr>
          <w:p w14:paraId="1B8D866D" w14:textId="77777777" w:rsidR="00253615" w:rsidRPr="00253615" w:rsidRDefault="00253615" w:rsidP="00253615">
            <w:pPr>
              <w:spacing w:before="240" w:after="0" w:line="240" w:lineRule="auto"/>
              <w:jc w:val="both"/>
              <w:rPr>
                <w:rFonts w:ascii="Arial" w:eastAsia="Times New Roman" w:hAnsi="Arial" w:cs="Arial"/>
                <w:sz w:val="24"/>
                <w:szCs w:val="24"/>
              </w:rPr>
            </w:pPr>
            <w:r w:rsidRPr="00253615">
              <w:rPr>
                <w:rFonts w:ascii="Arial" w:eastAsia="Times New Roman" w:hAnsi="Arial" w:cs="Arial"/>
                <w:sz w:val="24"/>
                <w:szCs w:val="24"/>
              </w:rPr>
              <w:t>100%</w:t>
            </w:r>
          </w:p>
        </w:tc>
      </w:tr>
    </w:tbl>
    <w:p w14:paraId="687090F2" w14:textId="2C3E7F7A" w:rsidR="00A353EE" w:rsidRDefault="00A353EE" w:rsidP="00A353EE">
      <w:pPr>
        <w:keepLines/>
        <w:suppressLineNumbers/>
        <w:suppressAutoHyphens/>
        <w:spacing w:before="120" w:after="120"/>
        <w:jc w:val="both"/>
        <w:rPr>
          <w:rFonts w:ascii="Arial" w:hAnsi="Arial" w:cs="Arial"/>
        </w:rPr>
      </w:pPr>
    </w:p>
    <w:p w14:paraId="48F62E9E" w14:textId="08A92FF0" w:rsidR="00A353EE" w:rsidRPr="00A353EE" w:rsidRDefault="00A353EE" w:rsidP="006972EA">
      <w:pPr>
        <w:pStyle w:val="ListParagraph"/>
        <w:keepLines/>
        <w:numPr>
          <w:ilvl w:val="0"/>
          <w:numId w:val="12"/>
        </w:numPr>
        <w:suppressLineNumbers/>
        <w:suppressAutoHyphens/>
        <w:spacing w:before="120" w:after="120"/>
        <w:ind w:left="709" w:hanging="709"/>
        <w:jc w:val="both"/>
        <w:rPr>
          <w:rFonts w:ascii="Arial" w:hAnsi="Arial" w:cs="Arial"/>
        </w:rPr>
      </w:pPr>
      <w:r w:rsidRPr="00A353EE">
        <w:rPr>
          <w:rFonts w:ascii="Arial" w:hAnsi="Arial" w:cs="Arial"/>
        </w:rPr>
        <w:t>The Authority will safeguard all tenders received and open them once the tender deadline has expired.</w:t>
      </w:r>
    </w:p>
    <w:p w14:paraId="0F0B5D18" w14:textId="77777777" w:rsidR="00A353EE" w:rsidRPr="00A353EE" w:rsidRDefault="00A353EE" w:rsidP="00A353EE">
      <w:pPr>
        <w:keepLines/>
        <w:suppressLineNumbers/>
        <w:suppressAutoHyphens/>
        <w:spacing w:before="120" w:after="120"/>
        <w:jc w:val="both"/>
        <w:rPr>
          <w:rFonts w:ascii="Arial" w:hAnsi="Arial" w:cs="Arial"/>
          <w:b/>
        </w:rPr>
      </w:pPr>
      <w:bookmarkStart w:id="1" w:name="_Toc11826477"/>
      <w:bookmarkStart w:id="2" w:name="_Toc11826574"/>
      <w:bookmarkStart w:id="3" w:name="_Toc11934323"/>
      <w:bookmarkStart w:id="4" w:name="_Toc12886338"/>
      <w:r w:rsidRPr="00A353EE">
        <w:rPr>
          <w:rFonts w:ascii="Arial" w:hAnsi="Arial" w:cs="Arial"/>
          <w:b/>
        </w:rPr>
        <w:t>Award Criteria</w:t>
      </w:r>
      <w:bookmarkEnd w:id="1"/>
      <w:bookmarkEnd w:id="2"/>
      <w:bookmarkEnd w:id="3"/>
      <w:bookmarkEnd w:id="4"/>
    </w:p>
    <w:p w14:paraId="73BFDB1B" w14:textId="3FF64BC9" w:rsidR="00A353EE" w:rsidRPr="00A353EE" w:rsidRDefault="00A353EE" w:rsidP="006972EA">
      <w:pPr>
        <w:pStyle w:val="ListParagraph"/>
        <w:keepLines/>
        <w:numPr>
          <w:ilvl w:val="0"/>
          <w:numId w:val="12"/>
        </w:numPr>
        <w:suppressLineNumbers/>
        <w:suppressAutoHyphens/>
        <w:spacing w:before="120" w:after="120"/>
        <w:ind w:left="709" w:hanging="709"/>
        <w:jc w:val="both"/>
        <w:rPr>
          <w:rFonts w:ascii="Arial" w:hAnsi="Arial" w:cs="Arial"/>
        </w:rPr>
      </w:pPr>
      <w:bookmarkStart w:id="5" w:name="_Toc11826478"/>
      <w:bookmarkStart w:id="6" w:name="_Toc11826575"/>
      <w:bookmarkStart w:id="7" w:name="_Toc11917620"/>
      <w:bookmarkStart w:id="8" w:name="_Toc11934324"/>
      <w:bookmarkStart w:id="9" w:name="_Toc12886339"/>
      <w:r w:rsidRPr="00A353EE">
        <w:rPr>
          <w:rFonts w:ascii="Arial" w:hAnsi="Arial" w:cs="Arial"/>
        </w:rPr>
        <w:t>Tenders will be evaluated to determine which is the most economically advantageous using the following criteria and weightings and will be assessed entirely on the response submitted:</w:t>
      </w:r>
      <w:bookmarkEnd w:id="5"/>
      <w:bookmarkEnd w:id="6"/>
      <w:bookmarkEnd w:id="7"/>
      <w:bookmarkEnd w:id="8"/>
      <w:bookmarkEnd w:id="9"/>
    </w:p>
    <w:tbl>
      <w:tblPr>
        <w:tblW w:w="0" w:type="auto"/>
        <w:tblInd w:w="817"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705"/>
        <w:gridCol w:w="4494"/>
      </w:tblGrid>
      <w:tr w:rsidR="00A353EE" w:rsidRPr="006972EA" w14:paraId="6BEBF061" w14:textId="77777777" w:rsidTr="001415E5">
        <w:tc>
          <w:tcPr>
            <w:tcW w:w="3705" w:type="dxa"/>
            <w:tcBorders>
              <w:top w:val="single" w:sz="4" w:space="0" w:color="5B9BD5"/>
              <w:left w:val="single" w:sz="4" w:space="0" w:color="5B9BD5"/>
              <w:bottom w:val="single" w:sz="4" w:space="0" w:color="5B9BD5"/>
              <w:right w:val="single" w:sz="4" w:space="0" w:color="5B9BD5"/>
            </w:tcBorders>
            <w:shd w:val="clear" w:color="auto" w:fill="8DB3E2" w:themeFill="text2" w:themeFillTint="66"/>
            <w:hideMark/>
          </w:tcPr>
          <w:p w14:paraId="224598C4" w14:textId="77777777" w:rsidR="00A353EE" w:rsidRPr="006972EA" w:rsidRDefault="00A353EE" w:rsidP="00A353EE">
            <w:pPr>
              <w:keepLines/>
              <w:suppressLineNumbers/>
              <w:suppressAutoHyphens/>
              <w:spacing w:before="120" w:after="120"/>
              <w:jc w:val="both"/>
              <w:rPr>
                <w:rFonts w:ascii="Arial" w:hAnsi="Arial" w:cs="Arial"/>
                <w:sz w:val="24"/>
                <w:szCs w:val="24"/>
              </w:rPr>
            </w:pPr>
            <w:r w:rsidRPr="006972EA">
              <w:rPr>
                <w:rFonts w:ascii="Arial" w:hAnsi="Arial" w:cs="Arial"/>
                <w:sz w:val="24"/>
                <w:szCs w:val="24"/>
              </w:rPr>
              <w:t>Criteria</w:t>
            </w:r>
          </w:p>
        </w:tc>
        <w:tc>
          <w:tcPr>
            <w:tcW w:w="4494" w:type="dxa"/>
            <w:tcBorders>
              <w:top w:val="single" w:sz="4" w:space="0" w:color="5B9BD5"/>
              <w:left w:val="single" w:sz="4" w:space="0" w:color="5B9BD5"/>
              <w:bottom w:val="single" w:sz="4" w:space="0" w:color="5B9BD5"/>
              <w:right w:val="single" w:sz="4" w:space="0" w:color="5B9BD5"/>
            </w:tcBorders>
            <w:shd w:val="clear" w:color="auto" w:fill="8DB3E2" w:themeFill="text2" w:themeFillTint="66"/>
            <w:hideMark/>
          </w:tcPr>
          <w:p w14:paraId="630257B7" w14:textId="77777777" w:rsidR="00A353EE" w:rsidRPr="006972EA" w:rsidRDefault="00A353EE" w:rsidP="00A353EE">
            <w:pPr>
              <w:keepLines/>
              <w:suppressLineNumbers/>
              <w:suppressAutoHyphens/>
              <w:spacing w:before="120" w:after="120"/>
              <w:jc w:val="both"/>
              <w:rPr>
                <w:rFonts w:ascii="Arial" w:hAnsi="Arial" w:cs="Arial"/>
                <w:sz w:val="24"/>
                <w:szCs w:val="24"/>
              </w:rPr>
            </w:pPr>
            <w:r w:rsidRPr="006972EA">
              <w:rPr>
                <w:rFonts w:ascii="Arial" w:hAnsi="Arial" w:cs="Arial"/>
                <w:sz w:val="24"/>
                <w:szCs w:val="24"/>
              </w:rPr>
              <w:t xml:space="preserve">Weighting </w:t>
            </w:r>
          </w:p>
        </w:tc>
      </w:tr>
      <w:tr w:rsidR="00A353EE" w:rsidRPr="006972EA" w14:paraId="5F548AD4" w14:textId="77777777" w:rsidTr="001415E5">
        <w:tc>
          <w:tcPr>
            <w:tcW w:w="3705" w:type="dxa"/>
            <w:tcBorders>
              <w:top w:val="single" w:sz="4" w:space="0" w:color="5B9BD5"/>
              <w:left w:val="single" w:sz="4" w:space="0" w:color="5B9BD5"/>
              <w:bottom w:val="single" w:sz="4" w:space="0" w:color="5B9BD5"/>
              <w:right w:val="single" w:sz="4" w:space="0" w:color="5B9BD5"/>
            </w:tcBorders>
            <w:hideMark/>
          </w:tcPr>
          <w:p w14:paraId="55719E77" w14:textId="7EDE0FE8" w:rsidR="00A353EE" w:rsidRPr="006972EA" w:rsidRDefault="00AE34BB" w:rsidP="00A353EE">
            <w:pPr>
              <w:keepLines/>
              <w:suppressLineNumbers/>
              <w:suppressAutoHyphens/>
              <w:spacing w:before="120" w:after="120"/>
              <w:jc w:val="both"/>
              <w:rPr>
                <w:rFonts w:ascii="Arial" w:hAnsi="Arial" w:cs="Arial"/>
                <w:sz w:val="24"/>
                <w:szCs w:val="24"/>
              </w:rPr>
            </w:pPr>
            <w:r w:rsidRPr="006972EA">
              <w:rPr>
                <w:rFonts w:ascii="Arial" w:hAnsi="Arial" w:cs="Arial"/>
                <w:sz w:val="24"/>
                <w:szCs w:val="24"/>
              </w:rPr>
              <w:t>Quality</w:t>
            </w:r>
          </w:p>
        </w:tc>
        <w:tc>
          <w:tcPr>
            <w:tcW w:w="4494" w:type="dxa"/>
            <w:tcBorders>
              <w:top w:val="single" w:sz="4" w:space="0" w:color="5B9BD5"/>
              <w:left w:val="single" w:sz="4" w:space="0" w:color="5B9BD5"/>
              <w:bottom w:val="single" w:sz="4" w:space="0" w:color="5B9BD5"/>
              <w:right w:val="single" w:sz="4" w:space="0" w:color="5B9BD5"/>
            </w:tcBorders>
            <w:hideMark/>
          </w:tcPr>
          <w:p w14:paraId="02D9245C" w14:textId="296DAEC0" w:rsidR="00A353EE" w:rsidRPr="006972EA" w:rsidRDefault="00AE34BB" w:rsidP="00253615">
            <w:pPr>
              <w:keepLines/>
              <w:suppressLineNumbers/>
              <w:suppressAutoHyphens/>
              <w:spacing w:before="120" w:after="120"/>
              <w:jc w:val="both"/>
              <w:rPr>
                <w:rFonts w:ascii="Arial" w:hAnsi="Arial" w:cs="Arial"/>
                <w:sz w:val="24"/>
                <w:szCs w:val="24"/>
              </w:rPr>
            </w:pPr>
            <w:r w:rsidRPr="006972EA">
              <w:rPr>
                <w:rFonts w:ascii="Arial" w:hAnsi="Arial" w:cs="Arial"/>
                <w:sz w:val="24"/>
                <w:szCs w:val="24"/>
              </w:rPr>
              <w:t>60%</w:t>
            </w:r>
          </w:p>
        </w:tc>
      </w:tr>
      <w:tr w:rsidR="00A353EE" w:rsidRPr="006972EA" w14:paraId="71E6D7F6" w14:textId="77777777" w:rsidTr="001415E5">
        <w:tc>
          <w:tcPr>
            <w:tcW w:w="3705" w:type="dxa"/>
            <w:tcBorders>
              <w:top w:val="single" w:sz="4" w:space="0" w:color="5B9BD5"/>
              <w:left w:val="single" w:sz="4" w:space="0" w:color="5B9BD5"/>
              <w:bottom w:val="single" w:sz="4" w:space="0" w:color="5B9BD5"/>
              <w:right w:val="single" w:sz="4" w:space="0" w:color="5B9BD5"/>
            </w:tcBorders>
            <w:hideMark/>
          </w:tcPr>
          <w:p w14:paraId="495EC3B4" w14:textId="77777777" w:rsidR="00A353EE" w:rsidRPr="006972EA" w:rsidRDefault="00A353EE" w:rsidP="00A353EE">
            <w:pPr>
              <w:keepLines/>
              <w:suppressLineNumbers/>
              <w:suppressAutoHyphens/>
              <w:spacing w:before="120" w:after="120"/>
              <w:jc w:val="both"/>
              <w:rPr>
                <w:rFonts w:ascii="Arial" w:hAnsi="Arial" w:cs="Arial"/>
                <w:sz w:val="24"/>
                <w:szCs w:val="24"/>
              </w:rPr>
            </w:pPr>
            <w:r w:rsidRPr="006972EA">
              <w:rPr>
                <w:rFonts w:ascii="Arial" w:hAnsi="Arial" w:cs="Arial"/>
                <w:sz w:val="24"/>
                <w:szCs w:val="24"/>
              </w:rPr>
              <w:t>Price</w:t>
            </w:r>
          </w:p>
        </w:tc>
        <w:tc>
          <w:tcPr>
            <w:tcW w:w="4494" w:type="dxa"/>
            <w:tcBorders>
              <w:top w:val="single" w:sz="4" w:space="0" w:color="5B9BD5"/>
              <w:left w:val="single" w:sz="4" w:space="0" w:color="5B9BD5"/>
              <w:bottom w:val="single" w:sz="4" w:space="0" w:color="5B9BD5"/>
              <w:right w:val="single" w:sz="4" w:space="0" w:color="5B9BD5"/>
            </w:tcBorders>
            <w:hideMark/>
          </w:tcPr>
          <w:p w14:paraId="5386B551" w14:textId="06B29429" w:rsidR="00A353EE" w:rsidRPr="006972EA" w:rsidRDefault="00AE34BB" w:rsidP="00A353EE">
            <w:pPr>
              <w:keepLines/>
              <w:suppressLineNumbers/>
              <w:suppressAutoHyphens/>
              <w:spacing w:before="120" w:after="120"/>
              <w:jc w:val="both"/>
              <w:rPr>
                <w:rFonts w:ascii="Arial" w:hAnsi="Arial" w:cs="Arial"/>
                <w:sz w:val="24"/>
                <w:szCs w:val="24"/>
              </w:rPr>
            </w:pPr>
            <w:r w:rsidRPr="006972EA">
              <w:rPr>
                <w:rFonts w:ascii="Arial" w:hAnsi="Arial" w:cs="Arial"/>
                <w:sz w:val="24"/>
                <w:szCs w:val="24"/>
              </w:rPr>
              <w:t>40</w:t>
            </w:r>
            <w:r w:rsidR="00A353EE" w:rsidRPr="006972EA">
              <w:rPr>
                <w:rFonts w:ascii="Arial" w:hAnsi="Arial" w:cs="Arial"/>
                <w:sz w:val="24"/>
                <w:szCs w:val="24"/>
              </w:rPr>
              <w:t>%</w:t>
            </w:r>
          </w:p>
        </w:tc>
      </w:tr>
      <w:tr w:rsidR="00A353EE" w:rsidRPr="006972EA" w14:paraId="41A26859" w14:textId="77777777" w:rsidTr="001415E5">
        <w:tc>
          <w:tcPr>
            <w:tcW w:w="3705" w:type="dxa"/>
            <w:tcBorders>
              <w:top w:val="single" w:sz="4" w:space="0" w:color="5B9BD5"/>
              <w:left w:val="single" w:sz="4" w:space="0" w:color="5B9BD5"/>
              <w:bottom w:val="single" w:sz="4" w:space="0" w:color="5B9BD5"/>
              <w:right w:val="single" w:sz="4" w:space="0" w:color="5B9BD5"/>
            </w:tcBorders>
            <w:shd w:val="clear" w:color="auto" w:fill="DBE5F1"/>
            <w:hideMark/>
          </w:tcPr>
          <w:p w14:paraId="3FF7FC04" w14:textId="77777777" w:rsidR="00A353EE" w:rsidRPr="006972EA" w:rsidRDefault="00A353EE" w:rsidP="00A353EE">
            <w:pPr>
              <w:keepLines/>
              <w:suppressLineNumbers/>
              <w:suppressAutoHyphens/>
              <w:spacing w:before="120" w:after="120"/>
              <w:jc w:val="both"/>
              <w:rPr>
                <w:rFonts w:ascii="Arial" w:hAnsi="Arial" w:cs="Arial"/>
                <w:sz w:val="24"/>
                <w:szCs w:val="24"/>
              </w:rPr>
            </w:pPr>
            <w:r w:rsidRPr="006972EA">
              <w:rPr>
                <w:rFonts w:ascii="Arial" w:hAnsi="Arial" w:cs="Arial"/>
                <w:sz w:val="24"/>
                <w:szCs w:val="24"/>
              </w:rPr>
              <w:t xml:space="preserve">Total </w:t>
            </w:r>
          </w:p>
        </w:tc>
        <w:tc>
          <w:tcPr>
            <w:tcW w:w="4494" w:type="dxa"/>
            <w:tcBorders>
              <w:top w:val="single" w:sz="4" w:space="0" w:color="5B9BD5"/>
              <w:left w:val="single" w:sz="4" w:space="0" w:color="5B9BD5"/>
              <w:bottom w:val="single" w:sz="4" w:space="0" w:color="5B9BD5"/>
              <w:right w:val="single" w:sz="4" w:space="0" w:color="5B9BD5"/>
            </w:tcBorders>
            <w:shd w:val="clear" w:color="auto" w:fill="DBE5F1"/>
            <w:hideMark/>
          </w:tcPr>
          <w:p w14:paraId="278C04D7" w14:textId="77777777" w:rsidR="00A353EE" w:rsidRPr="006972EA" w:rsidRDefault="00A353EE" w:rsidP="00A353EE">
            <w:pPr>
              <w:keepLines/>
              <w:suppressLineNumbers/>
              <w:suppressAutoHyphens/>
              <w:spacing w:before="120" w:after="120"/>
              <w:jc w:val="both"/>
              <w:rPr>
                <w:rFonts w:ascii="Arial" w:hAnsi="Arial" w:cs="Arial"/>
                <w:sz w:val="24"/>
                <w:szCs w:val="24"/>
              </w:rPr>
            </w:pPr>
            <w:r w:rsidRPr="006972EA">
              <w:rPr>
                <w:rFonts w:ascii="Arial" w:hAnsi="Arial" w:cs="Arial"/>
                <w:sz w:val="24"/>
                <w:szCs w:val="24"/>
              </w:rPr>
              <w:t>100%</w:t>
            </w:r>
          </w:p>
        </w:tc>
      </w:tr>
    </w:tbl>
    <w:p w14:paraId="56485184" w14:textId="77777777" w:rsidR="00B605A2" w:rsidRDefault="00B605A2" w:rsidP="003257D9">
      <w:pPr>
        <w:spacing w:after="0" w:line="240" w:lineRule="auto"/>
        <w:jc w:val="both"/>
        <w:rPr>
          <w:rFonts w:ascii="Arial" w:eastAsia="Calibri" w:hAnsi="Arial" w:cs="Arial"/>
          <w:bCs/>
          <w:lang w:eastAsia="en-GB"/>
        </w:rPr>
      </w:pPr>
    </w:p>
    <w:p w14:paraId="2CAA495E" w14:textId="77777777" w:rsidR="00B605A2" w:rsidRDefault="00B605A2" w:rsidP="003257D9">
      <w:pPr>
        <w:spacing w:after="0" w:line="240" w:lineRule="auto"/>
        <w:jc w:val="both"/>
        <w:rPr>
          <w:rFonts w:ascii="Arial" w:eastAsia="Calibri" w:hAnsi="Arial" w:cs="Arial"/>
          <w:bCs/>
          <w:lang w:eastAsia="en-GB"/>
        </w:rPr>
      </w:pPr>
    </w:p>
    <w:p w14:paraId="270D2232" w14:textId="6C75BA80" w:rsidR="003257D9" w:rsidRPr="00B605A2" w:rsidRDefault="003257D9" w:rsidP="006972EA">
      <w:pPr>
        <w:pStyle w:val="ListParagraph"/>
        <w:numPr>
          <w:ilvl w:val="0"/>
          <w:numId w:val="12"/>
        </w:numPr>
        <w:spacing w:after="0" w:line="240" w:lineRule="auto"/>
        <w:ind w:left="709" w:hanging="709"/>
        <w:jc w:val="both"/>
        <w:rPr>
          <w:rFonts w:ascii="Arial" w:eastAsia="Calibri" w:hAnsi="Arial" w:cs="Arial"/>
          <w:bCs/>
          <w:lang w:eastAsia="en-GB"/>
        </w:rPr>
      </w:pPr>
      <w:r w:rsidRPr="00B605A2">
        <w:rPr>
          <w:rFonts w:ascii="Arial" w:eastAsia="Calibri" w:hAnsi="Arial" w:cs="Arial"/>
          <w:bCs/>
          <w:lang w:eastAsia="en-GB"/>
        </w:rPr>
        <w:t xml:space="preserve">Each response to the above criteria (except for Price) will be awarded a mark out of </w:t>
      </w:r>
      <w:r w:rsidR="00AE34BB">
        <w:rPr>
          <w:rFonts w:ascii="Arial" w:eastAsia="Calibri" w:hAnsi="Arial" w:cs="Arial"/>
          <w:bCs/>
          <w:lang w:eastAsia="en-GB"/>
        </w:rPr>
        <w:t>5</w:t>
      </w:r>
      <w:r w:rsidRPr="00B605A2">
        <w:rPr>
          <w:rFonts w:ascii="Arial" w:eastAsia="Calibri" w:hAnsi="Arial" w:cs="Arial"/>
          <w:bCs/>
          <w:lang w:eastAsia="en-GB"/>
        </w:rPr>
        <w:t xml:space="preserve"> in accordance with the following marking scheme:</w:t>
      </w:r>
    </w:p>
    <w:p w14:paraId="300A409D" w14:textId="77777777" w:rsidR="003257D9" w:rsidRPr="003257D9" w:rsidRDefault="003257D9" w:rsidP="003257D9">
      <w:pPr>
        <w:spacing w:after="0" w:line="240" w:lineRule="auto"/>
        <w:jc w:val="both"/>
        <w:rPr>
          <w:rFonts w:ascii="Arial" w:eastAsia="Calibri" w:hAnsi="Arial" w:cs="Arial"/>
          <w:bCs/>
          <w:lang w:eastAsia="en-GB"/>
        </w:rPr>
      </w:pPr>
    </w:p>
    <w:p w14:paraId="66051150" w14:textId="77777777" w:rsidR="00AE34BB" w:rsidRPr="00AE34BB" w:rsidRDefault="00AE34BB" w:rsidP="00AE34BB">
      <w:pPr>
        <w:spacing w:after="0" w:line="240" w:lineRule="auto"/>
        <w:ind w:firstLine="720"/>
        <w:jc w:val="both"/>
        <w:rPr>
          <w:rFonts w:ascii="Arial" w:eastAsia="Calibri" w:hAnsi="Arial" w:cs="Arial"/>
          <w:bCs/>
          <w:lang w:eastAsia="en-GB"/>
        </w:rPr>
      </w:pPr>
      <w:r w:rsidRPr="00AE34BB">
        <w:rPr>
          <w:rFonts w:ascii="Arial" w:eastAsia="Calibri" w:hAnsi="Arial" w:cs="Arial"/>
          <w:bCs/>
          <w:lang w:eastAsia="en-GB"/>
        </w:rPr>
        <w:t>5 -     Proposal fully meets the requirement</w:t>
      </w:r>
    </w:p>
    <w:p w14:paraId="6B762877" w14:textId="77777777" w:rsidR="00AE34BB" w:rsidRPr="00AE34BB" w:rsidRDefault="00AE34BB" w:rsidP="00AE34BB">
      <w:pPr>
        <w:spacing w:after="0" w:line="240" w:lineRule="auto"/>
        <w:jc w:val="both"/>
        <w:rPr>
          <w:rFonts w:ascii="Arial" w:eastAsia="Calibri" w:hAnsi="Arial" w:cs="Arial"/>
          <w:bCs/>
          <w:lang w:eastAsia="en-GB"/>
        </w:rPr>
      </w:pPr>
      <w:r w:rsidRPr="00AE34BB">
        <w:rPr>
          <w:rFonts w:ascii="Arial" w:eastAsia="Calibri" w:hAnsi="Arial" w:cs="Arial"/>
          <w:bCs/>
          <w:lang w:eastAsia="en-GB"/>
        </w:rPr>
        <w:tab/>
        <w:t>3 -     Proposal does not fully meet the requirement but is acceptable</w:t>
      </w:r>
    </w:p>
    <w:p w14:paraId="2EFB477B" w14:textId="77777777" w:rsidR="00AE34BB" w:rsidRPr="00AE34BB" w:rsidRDefault="00AE34BB" w:rsidP="00AE34BB">
      <w:pPr>
        <w:spacing w:after="0" w:line="240" w:lineRule="auto"/>
        <w:jc w:val="both"/>
        <w:rPr>
          <w:rFonts w:ascii="Arial" w:eastAsia="Calibri" w:hAnsi="Arial" w:cs="Arial"/>
          <w:bCs/>
          <w:lang w:eastAsia="en-GB"/>
        </w:rPr>
      </w:pPr>
      <w:r w:rsidRPr="00AE34BB">
        <w:rPr>
          <w:rFonts w:ascii="Arial" w:eastAsia="Calibri" w:hAnsi="Arial" w:cs="Arial"/>
          <w:bCs/>
          <w:lang w:eastAsia="en-GB"/>
        </w:rPr>
        <w:tab/>
        <w:t>1 -     Proposal falls below the requirement</w:t>
      </w:r>
    </w:p>
    <w:p w14:paraId="141C46F8" w14:textId="776B69CD" w:rsidR="003257D9" w:rsidRDefault="00AE34BB" w:rsidP="00AE34BB">
      <w:pPr>
        <w:spacing w:after="0" w:line="240" w:lineRule="auto"/>
        <w:jc w:val="both"/>
        <w:rPr>
          <w:rFonts w:ascii="Arial" w:eastAsia="Calibri" w:hAnsi="Arial" w:cs="Arial"/>
          <w:bCs/>
          <w:lang w:eastAsia="en-GB"/>
        </w:rPr>
      </w:pPr>
      <w:r w:rsidRPr="00AE34BB">
        <w:rPr>
          <w:rFonts w:ascii="Arial" w:eastAsia="Calibri" w:hAnsi="Arial" w:cs="Arial"/>
          <w:bCs/>
          <w:lang w:eastAsia="en-GB"/>
        </w:rPr>
        <w:tab/>
        <w:t>0 -     Proposal is either inadequate or not addressed.</w:t>
      </w:r>
    </w:p>
    <w:p w14:paraId="6EC6CF49" w14:textId="77777777" w:rsidR="00AE34BB" w:rsidRPr="00B605A2" w:rsidRDefault="00AE34BB" w:rsidP="00AE34BB">
      <w:pPr>
        <w:spacing w:after="0" w:line="240" w:lineRule="auto"/>
        <w:jc w:val="both"/>
        <w:rPr>
          <w:rFonts w:ascii="Arial" w:eastAsia="Calibri" w:hAnsi="Arial" w:cs="Arial"/>
          <w:bCs/>
          <w:highlight w:val="yellow"/>
          <w:lang w:eastAsia="en-GB"/>
        </w:rPr>
      </w:pPr>
    </w:p>
    <w:p w14:paraId="1BDB5696" w14:textId="613B2732" w:rsidR="003257D9" w:rsidRPr="00B605A2" w:rsidRDefault="003257D9" w:rsidP="006972EA">
      <w:pPr>
        <w:pStyle w:val="ListParagraph"/>
        <w:numPr>
          <w:ilvl w:val="0"/>
          <w:numId w:val="12"/>
        </w:numPr>
        <w:spacing w:after="0" w:line="240" w:lineRule="auto"/>
        <w:ind w:left="709" w:hanging="709"/>
        <w:jc w:val="both"/>
        <w:rPr>
          <w:rFonts w:ascii="Arial" w:eastAsia="Calibri" w:hAnsi="Arial" w:cs="Arial"/>
          <w:bCs/>
          <w:lang w:eastAsia="en-GB"/>
        </w:rPr>
      </w:pPr>
      <w:r w:rsidRPr="00B605A2">
        <w:rPr>
          <w:rFonts w:ascii="Arial" w:eastAsia="Calibri" w:hAnsi="Arial" w:cs="Arial"/>
          <w:bCs/>
          <w:lang w:eastAsia="en-GB"/>
        </w:rPr>
        <w:t>The marks awarded in accordance with the above table will then be adjusted in accordance with the weightings.</w:t>
      </w:r>
    </w:p>
    <w:p w14:paraId="43B7E828" w14:textId="77777777" w:rsidR="003257D9" w:rsidRPr="00F94A87" w:rsidRDefault="003257D9" w:rsidP="00AE34BB">
      <w:pPr>
        <w:spacing w:after="0" w:line="240" w:lineRule="auto"/>
        <w:ind w:left="709" w:hanging="709"/>
        <w:jc w:val="both"/>
        <w:rPr>
          <w:rFonts w:ascii="Arial" w:eastAsia="Calibri" w:hAnsi="Arial" w:cs="Arial"/>
          <w:b/>
          <w:bCs/>
          <w:highlight w:val="yellow"/>
          <w:lang w:eastAsia="en-GB"/>
        </w:rPr>
      </w:pPr>
    </w:p>
    <w:p w14:paraId="4ADED27D" w14:textId="06087721" w:rsidR="0038304D" w:rsidRPr="00B605A2" w:rsidRDefault="00463459" w:rsidP="006972EA">
      <w:pPr>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s>
        <w:spacing w:after="0"/>
        <w:ind w:left="709" w:hanging="709"/>
        <w:jc w:val="both"/>
        <w:rPr>
          <w:rFonts w:ascii="Arial" w:hAnsi="Arial" w:cs="Arial"/>
        </w:rPr>
      </w:pPr>
      <w:r w:rsidRPr="00B605A2">
        <w:rPr>
          <w:rFonts w:ascii="Arial" w:hAnsi="Arial" w:cs="Arial"/>
        </w:rPr>
        <w:t xml:space="preserve">The MCA intends to award the contract to the </w:t>
      </w:r>
      <w:r w:rsidR="00AE4571" w:rsidRPr="00B605A2">
        <w:rPr>
          <w:rFonts w:ascii="Arial" w:hAnsi="Arial" w:cs="Arial"/>
        </w:rPr>
        <w:t xml:space="preserve">supplier </w:t>
      </w:r>
      <w:r w:rsidRPr="00B605A2">
        <w:rPr>
          <w:rFonts w:ascii="Arial" w:hAnsi="Arial" w:cs="Arial"/>
        </w:rPr>
        <w:t>that receives the highest Total Score.</w:t>
      </w:r>
      <w:r w:rsidR="008C32EF" w:rsidRPr="00B605A2">
        <w:rPr>
          <w:rFonts w:ascii="Arial" w:hAnsi="Arial" w:cs="Arial"/>
        </w:rPr>
        <w:t xml:space="preserve">  Where two or more suppliers are tied on the highest Total Score, the contract will be awarded to the supplier with the highest </w:t>
      </w:r>
      <w:r w:rsidR="005D2D9E" w:rsidRPr="00B605A2">
        <w:rPr>
          <w:rFonts w:ascii="Arial" w:hAnsi="Arial" w:cs="Arial"/>
        </w:rPr>
        <w:t xml:space="preserve">Total </w:t>
      </w:r>
      <w:r w:rsidR="008C32EF" w:rsidRPr="00B605A2">
        <w:rPr>
          <w:rFonts w:ascii="Arial" w:hAnsi="Arial" w:cs="Arial"/>
        </w:rPr>
        <w:t>Price</w:t>
      </w:r>
      <w:r w:rsidR="005D2D9E" w:rsidRPr="00B605A2">
        <w:rPr>
          <w:rFonts w:ascii="Arial" w:hAnsi="Arial" w:cs="Arial"/>
        </w:rPr>
        <w:t xml:space="preserve"> Score</w:t>
      </w:r>
      <w:r w:rsidR="008C32EF" w:rsidRPr="00B605A2">
        <w:rPr>
          <w:rFonts w:ascii="Arial" w:hAnsi="Arial" w:cs="Arial"/>
        </w:rPr>
        <w:t>.</w:t>
      </w:r>
      <w:r w:rsidR="0038304D" w:rsidRPr="00B605A2">
        <w:rPr>
          <w:rFonts w:ascii="Arial" w:hAnsi="Arial" w:cs="Arial"/>
        </w:rPr>
        <w:t xml:space="preserve">  </w:t>
      </w:r>
    </w:p>
    <w:p w14:paraId="613DE072" w14:textId="77777777" w:rsidR="00613720" w:rsidRPr="00B605A2" w:rsidRDefault="00613720" w:rsidP="006972EA">
      <w:pPr>
        <w:keepLines/>
        <w:numPr>
          <w:ilvl w:val="12"/>
          <w:numId w:val="4"/>
        </w:num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720"/>
        <w:jc w:val="both"/>
        <w:rPr>
          <w:rFonts w:ascii="Arial" w:hAnsi="Arial" w:cs="Arial"/>
          <w:b/>
        </w:rPr>
      </w:pPr>
    </w:p>
    <w:p w14:paraId="1DD869DB" w14:textId="52949E14" w:rsidR="00F55A6C" w:rsidRPr="00B605A2" w:rsidRDefault="00F55A6C" w:rsidP="006972EA">
      <w:pPr>
        <w:pStyle w:val="DfTLevel1"/>
        <w:keepLines/>
        <w:numPr>
          <w:ilvl w:val="0"/>
          <w:numId w:val="12"/>
        </w:numPr>
        <w:suppressLineNumbers/>
        <w:spacing w:before="120" w:after="120"/>
        <w:ind w:hanging="1095"/>
        <w:jc w:val="both"/>
        <w:rPr>
          <w:rFonts w:cs="Arial"/>
          <w:sz w:val="22"/>
          <w:szCs w:val="22"/>
        </w:rPr>
      </w:pPr>
      <w:r w:rsidRPr="00B605A2">
        <w:rPr>
          <w:rFonts w:cs="Arial"/>
          <w:sz w:val="22"/>
          <w:szCs w:val="22"/>
        </w:rPr>
        <w:t xml:space="preserve">You should note </w:t>
      </w:r>
      <w:r w:rsidR="001D6C07" w:rsidRPr="00B605A2">
        <w:rPr>
          <w:rFonts w:cs="Arial"/>
          <w:sz w:val="22"/>
          <w:szCs w:val="22"/>
        </w:rPr>
        <w:t>that: -</w:t>
      </w:r>
    </w:p>
    <w:p w14:paraId="1261B461" w14:textId="77777777" w:rsidR="00F55A6C" w:rsidRPr="00B605A2" w:rsidRDefault="00F55A6C" w:rsidP="006972EA">
      <w:pPr>
        <w:pStyle w:val="ListParagraph"/>
        <w:keepLines/>
        <w:numPr>
          <w:ilvl w:val="0"/>
          <w:numId w:val="2"/>
        </w:numPr>
        <w:suppressLineNumbers/>
        <w:tabs>
          <w:tab w:val="left" w:pos="1134"/>
        </w:tabs>
        <w:suppressAutoHyphens/>
        <w:spacing w:before="120" w:after="120"/>
        <w:ind w:left="1134"/>
        <w:jc w:val="both"/>
        <w:rPr>
          <w:rFonts w:ascii="Arial" w:hAnsi="Arial" w:cs="Arial"/>
        </w:rPr>
      </w:pPr>
      <w:r w:rsidRPr="00B605A2">
        <w:rPr>
          <w:rFonts w:ascii="Arial" w:hAnsi="Arial" w:cs="Arial"/>
        </w:rPr>
        <w:t xml:space="preserve">The </w:t>
      </w:r>
      <w:r w:rsidR="00F14C0F" w:rsidRPr="00B605A2">
        <w:rPr>
          <w:rFonts w:ascii="Arial" w:hAnsi="Arial" w:cs="Arial"/>
        </w:rPr>
        <w:t xml:space="preserve">MCA </w:t>
      </w:r>
      <w:r w:rsidRPr="00B605A2">
        <w:rPr>
          <w:rFonts w:ascii="Arial" w:hAnsi="Arial" w:cs="Arial"/>
        </w:rPr>
        <w:t>reserves the right not to accept the lowest, or any, tender.</w:t>
      </w:r>
    </w:p>
    <w:p w14:paraId="49519B18" w14:textId="77777777" w:rsidR="00463459" w:rsidRPr="00B605A2" w:rsidRDefault="00463459" w:rsidP="00463459">
      <w:pPr>
        <w:pStyle w:val="ListParagraph"/>
        <w:keepLines/>
        <w:suppressLineNumbers/>
        <w:tabs>
          <w:tab w:val="left" w:pos="1134"/>
        </w:tabs>
        <w:suppressAutoHyphens/>
        <w:spacing w:before="120" w:after="120"/>
        <w:ind w:left="1134"/>
        <w:jc w:val="both"/>
        <w:rPr>
          <w:rFonts w:ascii="Arial" w:hAnsi="Arial" w:cs="Arial"/>
        </w:rPr>
      </w:pPr>
    </w:p>
    <w:p w14:paraId="5AB7C7DA" w14:textId="77777777" w:rsidR="00463459" w:rsidRPr="00B605A2" w:rsidRDefault="00F55A6C" w:rsidP="006972EA">
      <w:pPr>
        <w:pStyle w:val="ListParagraph"/>
        <w:keepLines/>
        <w:numPr>
          <w:ilvl w:val="0"/>
          <w:numId w:val="2"/>
        </w:numPr>
        <w:suppressLineNumbers/>
        <w:tabs>
          <w:tab w:val="left" w:pos="1134"/>
        </w:tabs>
        <w:suppressAutoHyphens/>
        <w:spacing w:before="120" w:after="120"/>
        <w:ind w:left="1134"/>
        <w:jc w:val="both"/>
        <w:rPr>
          <w:rFonts w:ascii="Arial" w:hAnsi="Arial" w:cs="Arial"/>
        </w:rPr>
      </w:pPr>
      <w:r w:rsidRPr="00B605A2">
        <w:rPr>
          <w:rFonts w:ascii="Arial" w:hAnsi="Arial" w:cs="Arial"/>
        </w:rPr>
        <w:t xml:space="preserve">The </w:t>
      </w:r>
      <w:r w:rsidR="00F14C0F" w:rsidRPr="00B605A2">
        <w:rPr>
          <w:rFonts w:ascii="Arial" w:hAnsi="Arial" w:cs="Arial"/>
        </w:rPr>
        <w:t xml:space="preserve">MCA </w:t>
      </w:r>
      <w:r w:rsidRPr="00B605A2">
        <w:rPr>
          <w:rFonts w:ascii="Arial" w:hAnsi="Arial" w:cs="Arial"/>
        </w:rPr>
        <w:t>reserves the right to accept any part of the tender without accepting the remainder.</w:t>
      </w:r>
    </w:p>
    <w:p w14:paraId="577AD1C2" w14:textId="77777777" w:rsidR="00463459" w:rsidRPr="00B605A2" w:rsidRDefault="00463459" w:rsidP="00463459">
      <w:pPr>
        <w:pStyle w:val="ListParagraph"/>
        <w:keepLines/>
        <w:suppressLineNumbers/>
        <w:tabs>
          <w:tab w:val="left" w:pos="1134"/>
        </w:tabs>
        <w:suppressAutoHyphens/>
        <w:spacing w:before="120" w:after="120"/>
        <w:ind w:left="1134"/>
        <w:jc w:val="both"/>
        <w:rPr>
          <w:rFonts w:ascii="Arial" w:hAnsi="Arial" w:cs="Arial"/>
        </w:rPr>
      </w:pPr>
    </w:p>
    <w:p w14:paraId="1DCDD7F8" w14:textId="77777777" w:rsidR="00463459" w:rsidRPr="00B605A2" w:rsidRDefault="00F55A6C" w:rsidP="006972EA">
      <w:pPr>
        <w:pStyle w:val="ListParagraph"/>
        <w:keepLines/>
        <w:numPr>
          <w:ilvl w:val="0"/>
          <w:numId w:val="2"/>
        </w:numPr>
        <w:suppressLineNumbers/>
        <w:tabs>
          <w:tab w:val="left" w:pos="1134"/>
        </w:tabs>
        <w:suppressAutoHyphens/>
        <w:spacing w:before="120" w:after="120" w:line="240" w:lineRule="auto"/>
        <w:ind w:left="1134"/>
        <w:jc w:val="both"/>
        <w:rPr>
          <w:rFonts w:ascii="Arial" w:hAnsi="Arial" w:cs="Arial"/>
        </w:rPr>
      </w:pPr>
      <w:r w:rsidRPr="00B605A2">
        <w:rPr>
          <w:rFonts w:ascii="Arial" w:hAnsi="Arial" w:cs="Arial"/>
        </w:rPr>
        <w:t>Acceptance of a tender/award of contract will be by written communication from the</w:t>
      </w:r>
      <w:r w:rsidR="00F14C0F" w:rsidRPr="00B605A2">
        <w:rPr>
          <w:rFonts w:ascii="Arial" w:hAnsi="Arial" w:cs="Arial"/>
        </w:rPr>
        <w:t xml:space="preserve"> MCA</w:t>
      </w:r>
      <w:r w:rsidRPr="00B605A2">
        <w:rPr>
          <w:rFonts w:ascii="Arial" w:hAnsi="Arial" w:cs="Arial"/>
        </w:rPr>
        <w:t>.</w:t>
      </w:r>
    </w:p>
    <w:p w14:paraId="7CE30C6C" w14:textId="77777777" w:rsidR="00463459" w:rsidRPr="00B605A2" w:rsidRDefault="00463459" w:rsidP="00463459">
      <w:pPr>
        <w:pStyle w:val="ListParagraph"/>
        <w:keepLines/>
        <w:suppressLineNumbers/>
        <w:tabs>
          <w:tab w:val="left" w:pos="1134"/>
        </w:tabs>
        <w:suppressAutoHyphens/>
        <w:spacing w:before="120" w:after="120" w:line="240" w:lineRule="auto"/>
        <w:ind w:left="1134"/>
        <w:jc w:val="both"/>
        <w:rPr>
          <w:rFonts w:ascii="Arial" w:hAnsi="Arial" w:cs="Arial"/>
        </w:rPr>
      </w:pPr>
    </w:p>
    <w:p w14:paraId="2D608871" w14:textId="77777777" w:rsidR="00463459" w:rsidRPr="00B605A2" w:rsidRDefault="00F55A6C" w:rsidP="006972EA">
      <w:pPr>
        <w:pStyle w:val="ListParagraph"/>
        <w:keepLines/>
        <w:numPr>
          <w:ilvl w:val="0"/>
          <w:numId w:val="2"/>
        </w:numPr>
        <w:suppressLineNumbers/>
        <w:tabs>
          <w:tab w:val="left" w:pos="1134"/>
        </w:tabs>
        <w:suppressAutoHyphens/>
        <w:spacing w:before="120" w:after="120" w:line="240" w:lineRule="auto"/>
        <w:ind w:left="1134"/>
        <w:jc w:val="both"/>
        <w:rPr>
          <w:rFonts w:ascii="Arial" w:hAnsi="Arial" w:cs="Arial"/>
        </w:rPr>
      </w:pPr>
      <w:r w:rsidRPr="00B605A2">
        <w:rPr>
          <w:rFonts w:ascii="Arial" w:hAnsi="Arial" w:cs="Arial"/>
        </w:rPr>
        <w:t>Where the tender process has been subject to the full EU Procurement Process, a mandatory 10</w:t>
      </w:r>
      <w:r w:rsidR="00F14C0F" w:rsidRPr="00B605A2">
        <w:rPr>
          <w:rFonts w:ascii="Arial" w:hAnsi="Arial" w:cs="Arial"/>
        </w:rPr>
        <w:t>-</w:t>
      </w:r>
      <w:r w:rsidRPr="00B605A2">
        <w:rPr>
          <w:rFonts w:ascii="Arial" w:hAnsi="Arial" w:cs="Arial"/>
        </w:rPr>
        <w:t>day standstill period must be applied between communicating the award decision to tenderers and awarding the contract.</w:t>
      </w:r>
    </w:p>
    <w:p w14:paraId="6B5F1E9B" w14:textId="77777777" w:rsidR="00463459" w:rsidRPr="00B605A2" w:rsidRDefault="00463459" w:rsidP="00463459">
      <w:pPr>
        <w:pStyle w:val="ListParagraph"/>
        <w:tabs>
          <w:tab w:val="left" w:pos="1134"/>
        </w:tabs>
        <w:ind w:left="1134"/>
        <w:rPr>
          <w:rFonts w:ascii="Arial" w:hAnsi="Arial" w:cs="Arial"/>
        </w:rPr>
      </w:pPr>
    </w:p>
    <w:p w14:paraId="443991A6" w14:textId="473A570C" w:rsidR="003257D9" w:rsidRPr="006972EA" w:rsidRDefault="00F55A6C" w:rsidP="006972EA">
      <w:pPr>
        <w:pStyle w:val="ListParagraph"/>
        <w:keepLines/>
        <w:numPr>
          <w:ilvl w:val="0"/>
          <w:numId w:val="2"/>
        </w:numPr>
        <w:suppressLineNumbers/>
        <w:tabs>
          <w:tab w:val="left" w:pos="1134"/>
        </w:tabs>
        <w:suppressAutoHyphens/>
        <w:spacing w:before="120" w:after="120" w:line="240" w:lineRule="auto"/>
        <w:ind w:left="1134"/>
        <w:jc w:val="both"/>
        <w:rPr>
          <w:rFonts w:cs="Arial"/>
        </w:rPr>
      </w:pPr>
      <w:r w:rsidRPr="006972EA">
        <w:rPr>
          <w:rFonts w:ascii="Arial" w:hAnsi="Arial" w:cs="Arial"/>
        </w:rPr>
        <w:t>Complaints arising from the tender process should be directed in the first instance to the Procurement Team (</w:t>
      </w:r>
      <w:hyperlink r:id="rId8" w:history="1">
        <w:r w:rsidRPr="006972EA">
          <w:rPr>
            <w:rStyle w:val="Hyperlink"/>
            <w:rFonts w:ascii="Arial" w:hAnsi="Arial" w:cs="Arial"/>
          </w:rPr>
          <w:t>contracts@mcga.gov.uk</w:t>
        </w:r>
      </w:hyperlink>
      <w:r w:rsidRPr="006972EA">
        <w:rPr>
          <w:rFonts w:ascii="Arial" w:hAnsi="Arial" w:cs="Arial"/>
        </w:rPr>
        <w:t xml:space="preserve">). </w:t>
      </w:r>
    </w:p>
    <w:p w14:paraId="24709E52" w14:textId="77777777" w:rsidR="00463459" w:rsidRPr="00B605A2" w:rsidRDefault="00463459" w:rsidP="00463459">
      <w:pPr>
        <w:pStyle w:val="DfTLevel1"/>
        <w:keepLines/>
        <w:suppressLineNumbers/>
        <w:spacing w:before="120" w:after="120"/>
        <w:jc w:val="both"/>
        <w:rPr>
          <w:rFonts w:cs="Arial"/>
          <w:b/>
          <w:sz w:val="22"/>
          <w:szCs w:val="22"/>
        </w:rPr>
      </w:pPr>
      <w:r w:rsidRPr="00B605A2">
        <w:rPr>
          <w:rFonts w:cs="Arial"/>
          <w:b/>
          <w:sz w:val="22"/>
          <w:szCs w:val="22"/>
        </w:rPr>
        <w:t>Tender Costs</w:t>
      </w:r>
    </w:p>
    <w:p w14:paraId="1C612DF0" w14:textId="13332DB0" w:rsidR="00074B7C" w:rsidRPr="00074B7C" w:rsidRDefault="00074B7C" w:rsidP="006972EA">
      <w:pPr>
        <w:pStyle w:val="DfTLevel1"/>
        <w:keepLines/>
        <w:numPr>
          <w:ilvl w:val="0"/>
          <w:numId w:val="10"/>
        </w:numPr>
        <w:suppressLineNumbers/>
        <w:spacing w:before="120" w:after="120"/>
        <w:ind w:left="851" w:hanging="851"/>
        <w:jc w:val="both"/>
        <w:rPr>
          <w:rFonts w:cs="Arial"/>
          <w:sz w:val="22"/>
          <w:szCs w:val="22"/>
        </w:rPr>
      </w:pPr>
      <w:r w:rsidRPr="00074B7C">
        <w:rPr>
          <w:rFonts w:cs="Arial"/>
          <w:sz w:val="22"/>
          <w:szCs w:val="22"/>
        </w:rPr>
        <w:t xml:space="preserve">The Vendor should complete the price schedule, identifying the number of audit days proposed per annum and detailing the total cost of the contract, on an annual basis. Bids must include all associated costs, including travel and accommodation expenses which should be in line with MCA rates. </w:t>
      </w:r>
    </w:p>
    <w:p w14:paraId="51CB7D71" w14:textId="5834AB03" w:rsidR="00074B7C" w:rsidRPr="00074B7C" w:rsidRDefault="00074B7C" w:rsidP="006972EA">
      <w:pPr>
        <w:pStyle w:val="DfTLevel1"/>
        <w:keepLines/>
        <w:numPr>
          <w:ilvl w:val="0"/>
          <w:numId w:val="10"/>
        </w:numPr>
        <w:suppressLineNumbers/>
        <w:spacing w:before="120" w:after="120"/>
        <w:ind w:left="851" w:hanging="851"/>
        <w:jc w:val="both"/>
        <w:rPr>
          <w:rFonts w:cs="Arial"/>
          <w:sz w:val="22"/>
          <w:szCs w:val="22"/>
        </w:rPr>
      </w:pPr>
      <w:r w:rsidRPr="00074B7C">
        <w:rPr>
          <w:rFonts w:cs="Arial"/>
          <w:sz w:val="22"/>
          <w:szCs w:val="22"/>
        </w:rPr>
        <w:t xml:space="preserve">Bids should take account of the need to visit different locations, prepare reports and provide certificates for all main locations. </w:t>
      </w:r>
    </w:p>
    <w:p w14:paraId="4D147E20" w14:textId="24D8DA01" w:rsidR="00B605A2" w:rsidRDefault="00463459" w:rsidP="006972EA">
      <w:pPr>
        <w:pStyle w:val="DfTLevel1"/>
        <w:keepLines/>
        <w:numPr>
          <w:ilvl w:val="0"/>
          <w:numId w:val="10"/>
        </w:numPr>
        <w:suppressLineNumbers/>
        <w:spacing w:before="120" w:after="120"/>
        <w:ind w:left="851" w:hanging="851"/>
        <w:jc w:val="both"/>
        <w:rPr>
          <w:rFonts w:cs="Arial"/>
          <w:sz w:val="22"/>
          <w:szCs w:val="22"/>
        </w:rPr>
      </w:pPr>
      <w:r w:rsidRPr="00B605A2">
        <w:rPr>
          <w:rFonts w:cs="Arial"/>
          <w:color w:val="000000"/>
          <w:sz w:val="22"/>
          <w:szCs w:val="22"/>
        </w:rPr>
        <w:t xml:space="preserve">You should note that any expenditure, work or effort undertaken by you prior to the award of a contract is a matter solely for your own commercial judgement.  The </w:t>
      </w:r>
      <w:r w:rsidR="00F14C0F" w:rsidRPr="00B605A2">
        <w:rPr>
          <w:rFonts w:cs="Arial"/>
          <w:color w:val="000000"/>
          <w:sz w:val="22"/>
          <w:szCs w:val="22"/>
        </w:rPr>
        <w:t xml:space="preserve">MCA </w:t>
      </w:r>
      <w:r w:rsidRPr="00B605A2">
        <w:rPr>
          <w:rFonts w:cs="Arial"/>
          <w:color w:val="000000"/>
          <w:sz w:val="22"/>
          <w:szCs w:val="22"/>
        </w:rPr>
        <w:t xml:space="preserve">reserves the right to withdraw this tender invitation at any time or to re-invite tenders on the same or any alternative basis.  In such circumstances, and in any event, the </w:t>
      </w:r>
      <w:r w:rsidR="00F14C0F" w:rsidRPr="00B605A2">
        <w:rPr>
          <w:rFonts w:cs="Arial"/>
          <w:color w:val="000000"/>
          <w:sz w:val="22"/>
          <w:szCs w:val="22"/>
        </w:rPr>
        <w:t>MCA</w:t>
      </w:r>
      <w:r w:rsidRPr="00B605A2">
        <w:rPr>
          <w:rFonts w:cs="Arial"/>
          <w:color w:val="000000"/>
          <w:sz w:val="22"/>
          <w:szCs w:val="22"/>
        </w:rPr>
        <w:t xml:space="preserve"> and/or its advisers shall not be liable for any costs or loss of expenses whatsoever incurred by the bidder or any company, agent, subsidiary or organisation who may have contributed to the proposals submitted by the bidder in response to this tender invitation.</w:t>
      </w:r>
    </w:p>
    <w:p w14:paraId="165959D2" w14:textId="77777777" w:rsidR="00AE34BB" w:rsidRPr="00AE34BB" w:rsidRDefault="00AE34BB" w:rsidP="00074B7C">
      <w:pPr>
        <w:pStyle w:val="DfTLevel1"/>
        <w:keepLines/>
        <w:suppressLineNumbers/>
        <w:spacing w:before="120" w:after="120"/>
        <w:jc w:val="both"/>
        <w:rPr>
          <w:rFonts w:cs="Arial"/>
          <w:sz w:val="22"/>
          <w:szCs w:val="22"/>
        </w:rPr>
      </w:pPr>
    </w:p>
    <w:p w14:paraId="53C69790" w14:textId="6A6202DB" w:rsidR="00463459" w:rsidRPr="00B605A2" w:rsidRDefault="00463459" w:rsidP="00463459">
      <w:pPr>
        <w:pStyle w:val="DfTLevel1"/>
        <w:keepLines/>
        <w:suppressLineNumbers/>
        <w:spacing w:before="120" w:after="120"/>
        <w:jc w:val="both"/>
        <w:rPr>
          <w:rFonts w:cs="Arial"/>
          <w:b/>
          <w:sz w:val="22"/>
          <w:szCs w:val="22"/>
        </w:rPr>
      </w:pPr>
      <w:r w:rsidRPr="00B605A2">
        <w:rPr>
          <w:rFonts w:cs="Arial"/>
          <w:b/>
          <w:sz w:val="22"/>
          <w:szCs w:val="22"/>
        </w:rPr>
        <w:t>Trading Names/Invoicing</w:t>
      </w:r>
    </w:p>
    <w:p w14:paraId="2B203BD2" w14:textId="0B7AC364" w:rsidR="001927EF" w:rsidRPr="00B605A2" w:rsidRDefault="00463459" w:rsidP="006972EA">
      <w:pPr>
        <w:pStyle w:val="DfTLevel1"/>
        <w:keepLines/>
        <w:numPr>
          <w:ilvl w:val="0"/>
          <w:numId w:val="10"/>
        </w:numPr>
        <w:suppressLineNumbers/>
        <w:spacing w:before="120" w:after="120"/>
        <w:ind w:left="709" w:hanging="709"/>
        <w:jc w:val="both"/>
        <w:rPr>
          <w:rFonts w:cs="Arial"/>
          <w:b/>
          <w:spacing w:val="-3"/>
        </w:rPr>
      </w:pPr>
      <w:r w:rsidRPr="00B605A2">
        <w:rPr>
          <w:rFonts w:cs="Arial"/>
          <w:sz w:val="22"/>
          <w:szCs w:val="22"/>
        </w:rPr>
        <w:t>If your tender is submitted in the name of one organisation but you intend submitting invoices in the name of another, or require payments to be made to another, please give full details. Otherwise there may be delay in payment.</w:t>
      </w:r>
    </w:p>
    <w:p w14:paraId="61A2E445" w14:textId="3D601C08" w:rsidR="00075489" w:rsidRPr="00B605A2" w:rsidRDefault="00075489" w:rsidP="00075489">
      <w:pPr>
        <w:pStyle w:val="DfTLevel1"/>
        <w:keepLines/>
        <w:suppressLineNumbers/>
        <w:spacing w:before="120" w:after="120"/>
        <w:jc w:val="both"/>
        <w:rPr>
          <w:rFonts w:cs="Arial"/>
          <w:b/>
          <w:spacing w:val="-3"/>
          <w:sz w:val="22"/>
          <w:szCs w:val="22"/>
        </w:rPr>
      </w:pPr>
      <w:r w:rsidRPr="00B605A2">
        <w:rPr>
          <w:rFonts w:cs="Arial"/>
          <w:b/>
          <w:spacing w:val="-3"/>
          <w:sz w:val="22"/>
          <w:szCs w:val="22"/>
        </w:rPr>
        <w:t>Invoicing and Payments</w:t>
      </w:r>
    </w:p>
    <w:p w14:paraId="661820C1" w14:textId="77777777" w:rsidR="00075489" w:rsidRPr="00B605A2" w:rsidRDefault="00075489" w:rsidP="006972EA">
      <w:pPr>
        <w:pStyle w:val="DfTLevel1"/>
        <w:keepLines/>
        <w:numPr>
          <w:ilvl w:val="0"/>
          <w:numId w:val="10"/>
        </w:numPr>
        <w:suppressLineNumbers/>
        <w:spacing w:before="120" w:after="120"/>
        <w:ind w:left="709" w:hanging="709"/>
        <w:jc w:val="both"/>
        <w:rPr>
          <w:rFonts w:cs="Arial"/>
          <w:spacing w:val="-3"/>
          <w:sz w:val="22"/>
          <w:szCs w:val="22"/>
        </w:rPr>
      </w:pPr>
      <w:r w:rsidRPr="00B605A2">
        <w:rPr>
          <w:rFonts w:cs="Arial"/>
          <w:spacing w:val="-3"/>
          <w:sz w:val="22"/>
          <w:szCs w:val="22"/>
        </w:rPr>
        <w:t>Payment shall be made upon service delivery in accordance with the ‘General</w:t>
      </w:r>
      <w:r w:rsidRPr="00B605A2">
        <w:rPr>
          <w:rFonts w:cs="Arial"/>
          <w:b/>
          <w:spacing w:val="-3"/>
        </w:rPr>
        <w:t xml:space="preserve"> </w:t>
      </w:r>
      <w:r w:rsidRPr="00B605A2">
        <w:rPr>
          <w:rFonts w:cs="Arial"/>
          <w:spacing w:val="-3"/>
          <w:sz w:val="22"/>
          <w:szCs w:val="22"/>
        </w:rPr>
        <w:t>Conditions of Contract for the Supply of Goods and Associated Services, and subject to the receipt of a valid and correctly submitted invoice.  The MCA pays undisputed invoices 30 days in arrears.</w:t>
      </w:r>
    </w:p>
    <w:p w14:paraId="46AD6880" w14:textId="77777777" w:rsidR="00075489" w:rsidRPr="00B605A2" w:rsidRDefault="00075489" w:rsidP="006972EA">
      <w:pPr>
        <w:pStyle w:val="DfTLevel1"/>
        <w:keepLines/>
        <w:numPr>
          <w:ilvl w:val="0"/>
          <w:numId w:val="10"/>
        </w:numPr>
        <w:suppressLineNumbers/>
        <w:spacing w:before="120" w:after="120"/>
        <w:ind w:left="709" w:hanging="709"/>
        <w:jc w:val="both"/>
        <w:rPr>
          <w:rFonts w:cs="Arial"/>
          <w:spacing w:val="-3"/>
          <w:sz w:val="22"/>
          <w:szCs w:val="22"/>
        </w:rPr>
      </w:pPr>
      <w:r w:rsidRPr="00B605A2">
        <w:rPr>
          <w:rFonts w:cs="Arial"/>
          <w:spacing w:val="-3"/>
          <w:sz w:val="22"/>
          <w:szCs w:val="22"/>
        </w:rPr>
        <w:t xml:space="preserve">Contractors should note that the MCA has migrated its invoicing activity to the DfT Shared Service Centre (Swansea). Invoices should be sent to the address below and include a case reference number and transaction account code (to be assigned by the Agency). Invoices also need to detail the purchase order number issued by the MCA and a full description of items provided: </w:t>
      </w:r>
    </w:p>
    <w:p w14:paraId="36267A68" w14:textId="77777777" w:rsidR="00AE34BB" w:rsidRDefault="00AE34BB" w:rsidP="00074B7C">
      <w:pPr>
        <w:pStyle w:val="DfTLevel1"/>
        <w:keepLines/>
        <w:suppressLineNumbers/>
        <w:spacing w:before="120" w:after="120"/>
        <w:rPr>
          <w:rFonts w:cs="Arial"/>
          <w:spacing w:val="-3"/>
          <w:sz w:val="22"/>
          <w:szCs w:val="22"/>
        </w:rPr>
      </w:pPr>
    </w:p>
    <w:p w14:paraId="463F4AF9" w14:textId="4EF55E10" w:rsidR="0045332B" w:rsidRPr="00B605A2" w:rsidRDefault="00075489" w:rsidP="0045332B">
      <w:pPr>
        <w:pStyle w:val="DfTLevel1"/>
        <w:keepLines/>
        <w:suppressLineNumbers/>
        <w:spacing w:before="120" w:after="120"/>
        <w:ind w:left="644"/>
        <w:jc w:val="center"/>
        <w:rPr>
          <w:rFonts w:cs="Arial"/>
          <w:spacing w:val="-3"/>
          <w:sz w:val="22"/>
          <w:szCs w:val="22"/>
        </w:rPr>
      </w:pPr>
      <w:r w:rsidRPr="00B605A2">
        <w:rPr>
          <w:rFonts w:cs="Arial"/>
          <w:spacing w:val="-3"/>
          <w:sz w:val="22"/>
          <w:szCs w:val="22"/>
        </w:rPr>
        <w:t>DfT Shared Service Centre</w:t>
      </w:r>
    </w:p>
    <w:p w14:paraId="52A4CDBC" w14:textId="1B708231" w:rsidR="00075489" w:rsidRPr="00B605A2" w:rsidRDefault="00075489" w:rsidP="0045332B">
      <w:pPr>
        <w:pStyle w:val="DfTLevel1"/>
        <w:keepLines/>
        <w:suppressLineNumbers/>
        <w:spacing w:before="120" w:after="120"/>
        <w:ind w:left="644"/>
        <w:jc w:val="center"/>
        <w:rPr>
          <w:rFonts w:cs="Arial"/>
          <w:spacing w:val="-3"/>
          <w:sz w:val="22"/>
          <w:szCs w:val="22"/>
        </w:rPr>
      </w:pPr>
      <w:r w:rsidRPr="00B605A2">
        <w:rPr>
          <w:rFonts w:cs="Arial"/>
          <w:spacing w:val="-3"/>
          <w:sz w:val="22"/>
          <w:szCs w:val="22"/>
        </w:rPr>
        <w:t>Arvato Bertelsmann</w:t>
      </w:r>
    </w:p>
    <w:p w14:paraId="17758043" w14:textId="77777777" w:rsidR="00075489" w:rsidRPr="00B605A2" w:rsidRDefault="00075489" w:rsidP="0045332B">
      <w:pPr>
        <w:pStyle w:val="DfTLevel1"/>
        <w:keepLines/>
        <w:suppressLineNumbers/>
        <w:spacing w:before="120" w:after="120"/>
        <w:ind w:left="644"/>
        <w:jc w:val="center"/>
        <w:rPr>
          <w:rFonts w:cs="Arial"/>
          <w:spacing w:val="-3"/>
          <w:sz w:val="22"/>
          <w:szCs w:val="22"/>
        </w:rPr>
      </w:pPr>
      <w:r w:rsidRPr="00B605A2">
        <w:rPr>
          <w:rFonts w:cs="Arial"/>
          <w:spacing w:val="-3"/>
          <w:sz w:val="22"/>
          <w:szCs w:val="22"/>
        </w:rPr>
        <w:lastRenderedPageBreak/>
        <w:t>Sandringham Park,</w:t>
      </w:r>
    </w:p>
    <w:p w14:paraId="11C65173" w14:textId="77777777" w:rsidR="00075489" w:rsidRPr="00B605A2" w:rsidRDefault="00075489" w:rsidP="0045332B">
      <w:pPr>
        <w:pStyle w:val="DfTLevel1"/>
        <w:keepLines/>
        <w:suppressLineNumbers/>
        <w:spacing w:before="120" w:after="120"/>
        <w:ind w:left="644"/>
        <w:jc w:val="center"/>
        <w:rPr>
          <w:rFonts w:cs="Arial"/>
          <w:spacing w:val="-3"/>
          <w:sz w:val="22"/>
          <w:szCs w:val="22"/>
        </w:rPr>
      </w:pPr>
      <w:r w:rsidRPr="00B605A2">
        <w:rPr>
          <w:rFonts w:cs="Arial"/>
          <w:spacing w:val="-3"/>
          <w:sz w:val="22"/>
          <w:szCs w:val="22"/>
        </w:rPr>
        <w:t>Swansea Vale,</w:t>
      </w:r>
    </w:p>
    <w:p w14:paraId="002F6AB8" w14:textId="77777777" w:rsidR="00075489" w:rsidRPr="00B605A2" w:rsidRDefault="00075489" w:rsidP="0045332B">
      <w:pPr>
        <w:pStyle w:val="DfTLevel1"/>
        <w:keepLines/>
        <w:suppressLineNumbers/>
        <w:spacing w:before="120" w:after="120"/>
        <w:ind w:left="644"/>
        <w:jc w:val="center"/>
        <w:rPr>
          <w:rFonts w:cs="Arial"/>
          <w:spacing w:val="-3"/>
          <w:sz w:val="22"/>
          <w:szCs w:val="22"/>
        </w:rPr>
      </w:pPr>
      <w:r w:rsidRPr="00B605A2">
        <w:rPr>
          <w:rFonts w:cs="Arial"/>
          <w:spacing w:val="-3"/>
          <w:sz w:val="22"/>
          <w:szCs w:val="22"/>
        </w:rPr>
        <w:t>Swansea, Wales,</w:t>
      </w:r>
    </w:p>
    <w:p w14:paraId="361DC253" w14:textId="77777777" w:rsidR="00075489" w:rsidRPr="00B605A2" w:rsidRDefault="00075489" w:rsidP="0045332B">
      <w:pPr>
        <w:pStyle w:val="DfTLevel1"/>
        <w:keepLines/>
        <w:suppressLineNumbers/>
        <w:spacing w:before="120" w:after="120"/>
        <w:ind w:left="644"/>
        <w:jc w:val="center"/>
        <w:rPr>
          <w:rFonts w:cs="Arial"/>
          <w:spacing w:val="-3"/>
          <w:sz w:val="22"/>
          <w:szCs w:val="22"/>
        </w:rPr>
      </w:pPr>
      <w:r w:rsidRPr="00B605A2">
        <w:rPr>
          <w:rFonts w:cs="Arial"/>
          <w:spacing w:val="-3"/>
          <w:sz w:val="22"/>
          <w:szCs w:val="22"/>
        </w:rPr>
        <w:t>SA7 0EA</w:t>
      </w:r>
    </w:p>
    <w:p w14:paraId="2EB4CDCF" w14:textId="77777777" w:rsidR="00075489" w:rsidRPr="00F94A87" w:rsidRDefault="00075489" w:rsidP="0045332B">
      <w:pPr>
        <w:pStyle w:val="DfTLevel1"/>
        <w:keepLines/>
        <w:suppressLineNumbers/>
        <w:spacing w:before="120" w:after="120"/>
        <w:ind w:left="644"/>
        <w:jc w:val="both"/>
        <w:rPr>
          <w:rFonts w:cs="Arial"/>
          <w:spacing w:val="-3"/>
          <w:sz w:val="22"/>
          <w:szCs w:val="22"/>
          <w:highlight w:val="yellow"/>
        </w:rPr>
      </w:pPr>
    </w:p>
    <w:p w14:paraId="69485663" w14:textId="29B00641" w:rsidR="00075489" w:rsidRPr="00B605A2" w:rsidRDefault="00075489" w:rsidP="006972EA">
      <w:pPr>
        <w:pStyle w:val="DfTLevel1"/>
        <w:keepLines/>
        <w:numPr>
          <w:ilvl w:val="0"/>
          <w:numId w:val="10"/>
        </w:numPr>
        <w:suppressLineNumbers/>
        <w:spacing w:before="120" w:after="120"/>
        <w:ind w:left="709" w:hanging="709"/>
        <w:jc w:val="both"/>
        <w:rPr>
          <w:rFonts w:cs="Arial"/>
          <w:spacing w:val="-3"/>
          <w:sz w:val="22"/>
          <w:szCs w:val="22"/>
        </w:rPr>
      </w:pPr>
      <w:r w:rsidRPr="00B605A2">
        <w:rPr>
          <w:rFonts w:cs="Arial"/>
          <w:spacing w:val="-3"/>
          <w:sz w:val="22"/>
          <w:szCs w:val="22"/>
        </w:rPr>
        <w:t>To avoid delays in payment of invoices, it is advisable that a draft invoice is submitted to the MCA</w:t>
      </w:r>
      <w:r w:rsidR="00AE34BB">
        <w:rPr>
          <w:rFonts w:cs="Arial"/>
          <w:spacing w:val="-3"/>
          <w:sz w:val="22"/>
          <w:szCs w:val="22"/>
        </w:rPr>
        <w:t>’s</w:t>
      </w:r>
      <w:r w:rsidR="00AE34BB" w:rsidRPr="00AE34BB">
        <w:t xml:space="preserve"> </w:t>
      </w:r>
      <w:r w:rsidR="00AE34BB" w:rsidRPr="00AE34BB">
        <w:rPr>
          <w:rFonts w:cs="Arial"/>
          <w:spacing w:val="-3"/>
          <w:sz w:val="22"/>
          <w:szCs w:val="22"/>
        </w:rPr>
        <w:t>Business Improvement &amp; Assurance</w:t>
      </w:r>
      <w:r w:rsidRPr="00B605A2">
        <w:rPr>
          <w:rFonts w:cs="Arial"/>
          <w:spacing w:val="-3"/>
          <w:sz w:val="22"/>
          <w:szCs w:val="22"/>
        </w:rPr>
        <w:t xml:space="preserve"> </w:t>
      </w:r>
      <w:r w:rsidR="00AE34BB">
        <w:rPr>
          <w:rFonts w:cs="Arial"/>
          <w:spacing w:val="-3"/>
          <w:sz w:val="22"/>
          <w:szCs w:val="22"/>
        </w:rPr>
        <w:t xml:space="preserve">Team </w:t>
      </w:r>
      <w:r w:rsidRPr="00B605A2">
        <w:rPr>
          <w:rFonts w:cs="Arial"/>
          <w:spacing w:val="-3"/>
          <w:sz w:val="22"/>
          <w:szCs w:val="22"/>
        </w:rPr>
        <w:t>(inclusive of a breakdown of charges) for initial approval prior to final invoice submission.</w:t>
      </w:r>
    </w:p>
    <w:p w14:paraId="17270C27" w14:textId="77777777" w:rsidR="00075489" w:rsidRPr="00B605A2" w:rsidRDefault="00075489" w:rsidP="006972EA">
      <w:pPr>
        <w:pStyle w:val="DfTLevel1"/>
        <w:keepLines/>
        <w:numPr>
          <w:ilvl w:val="0"/>
          <w:numId w:val="10"/>
        </w:numPr>
        <w:suppressLineNumbers/>
        <w:spacing w:before="120" w:after="120"/>
        <w:ind w:left="709" w:hanging="709"/>
        <w:jc w:val="both"/>
        <w:rPr>
          <w:rFonts w:cs="Arial"/>
          <w:spacing w:val="-3"/>
          <w:sz w:val="22"/>
          <w:szCs w:val="22"/>
        </w:rPr>
      </w:pPr>
      <w:r w:rsidRPr="00B605A2">
        <w:rPr>
          <w:rFonts w:cs="Arial"/>
          <w:spacing w:val="-3"/>
          <w:sz w:val="22"/>
          <w:szCs w:val="22"/>
        </w:rPr>
        <w:t>To further support swift payment of invoices, it is important that the invoices are compliant and that they include a valid PO Number, PO Number item number (if applicable) and the details (name and telephone number) of your Customer contact (i.e. Contract Manager).</w:t>
      </w:r>
    </w:p>
    <w:p w14:paraId="1F0B5D75" w14:textId="3B44519D" w:rsidR="00AE4571" w:rsidRPr="00B605A2" w:rsidRDefault="00075489" w:rsidP="006972EA">
      <w:pPr>
        <w:pStyle w:val="DfTLevel1"/>
        <w:keepLines/>
        <w:numPr>
          <w:ilvl w:val="0"/>
          <w:numId w:val="10"/>
        </w:numPr>
        <w:suppressLineNumbers/>
        <w:spacing w:before="120" w:after="120"/>
        <w:ind w:left="709" w:hanging="709"/>
        <w:jc w:val="both"/>
        <w:rPr>
          <w:rFonts w:cs="Arial"/>
          <w:spacing w:val="-3"/>
          <w:sz w:val="22"/>
          <w:szCs w:val="22"/>
        </w:rPr>
      </w:pPr>
      <w:r w:rsidRPr="00B605A2">
        <w:rPr>
          <w:rFonts w:cs="Arial"/>
          <w:spacing w:val="-3"/>
          <w:sz w:val="22"/>
          <w:szCs w:val="22"/>
        </w:rPr>
        <w:t xml:space="preserve">Non-compliant invoices will be sent back to you, which may lead to delays in payment. If you have a query regarding an outstanding payment, please contact our Accounts Payable section either by email to </w:t>
      </w:r>
      <w:hyperlink r:id="rId9" w:history="1">
        <w:r w:rsidR="00AE34BB" w:rsidRPr="00AB615D">
          <w:rPr>
            <w:rStyle w:val="Hyperlink"/>
            <w:rFonts w:cs="Arial"/>
            <w:spacing w:val="-3"/>
            <w:sz w:val="22"/>
            <w:szCs w:val="22"/>
          </w:rPr>
          <w:t>Acccounts.payable@mcga.gov.uk</w:t>
        </w:r>
      </w:hyperlink>
      <w:r w:rsidR="00AE34BB">
        <w:rPr>
          <w:rFonts w:cs="Arial"/>
          <w:spacing w:val="-3"/>
          <w:sz w:val="22"/>
          <w:szCs w:val="22"/>
        </w:rPr>
        <w:t xml:space="preserve"> </w:t>
      </w:r>
      <w:r w:rsidRPr="00B605A2">
        <w:rPr>
          <w:rFonts w:cs="Arial"/>
          <w:spacing w:val="-3"/>
          <w:sz w:val="22"/>
          <w:szCs w:val="22"/>
        </w:rPr>
        <w:t>or by telephone on 020381 72261 between 9am and 5pm Monday to Friday.</w:t>
      </w:r>
    </w:p>
    <w:p w14:paraId="0127C762" w14:textId="77777777" w:rsidR="003939C2" w:rsidRPr="00F94A87" w:rsidRDefault="003939C2" w:rsidP="0045332B">
      <w:pPr>
        <w:pStyle w:val="DfTLevel1"/>
        <w:keepLines/>
        <w:suppressLineNumbers/>
        <w:spacing w:before="120" w:after="120"/>
        <w:ind w:left="644"/>
        <w:jc w:val="both"/>
        <w:rPr>
          <w:rFonts w:cs="Arial"/>
          <w:spacing w:val="-3"/>
          <w:sz w:val="22"/>
          <w:szCs w:val="22"/>
          <w:highlight w:val="yellow"/>
        </w:rPr>
      </w:pPr>
    </w:p>
    <w:p w14:paraId="120D09DA" w14:textId="77777777" w:rsidR="008D4855" w:rsidRPr="00B605A2" w:rsidRDefault="00463459" w:rsidP="008D4855">
      <w:pPr>
        <w:pStyle w:val="DfTLevel1"/>
        <w:keepLines/>
        <w:suppressLineNumbers/>
        <w:tabs>
          <w:tab w:val="clear" w:pos="-720"/>
        </w:tabs>
        <w:spacing w:before="120" w:after="120"/>
        <w:jc w:val="both"/>
        <w:rPr>
          <w:rFonts w:cs="Arial"/>
          <w:b/>
          <w:spacing w:val="0"/>
          <w:sz w:val="22"/>
          <w:szCs w:val="22"/>
        </w:rPr>
      </w:pPr>
      <w:r w:rsidRPr="00B605A2">
        <w:rPr>
          <w:rFonts w:cs="Arial"/>
          <w:b/>
          <w:spacing w:val="0"/>
          <w:sz w:val="22"/>
          <w:szCs w:val="22"/>
        </w:rPr>
        <w:t>Access to Government Information</w:t>
      </w:r>
    </w:p>
    <w:p w14:paraId="193FBA74" w14:textId="77777777" w:rsidR="008D4855" w:rsidRPr="00B605A2" w:rsidRDefault="008D4855" w:rsidP="006972EA">
      <w:pPr>
        <w:pStyle w:val="DfTLevel1"/>
        <w:keepLines/>
        <w:numPr>
          <w:ilvl w:val="0"/>
          <w:numId w:val="10"/>
        </w:numPr>
        <w:suppressLineNumbers/>
        <w:spacing w:before="120" w:after="120"/>
        <w:ind w:left="709" w:hanging="709"/>
        <w:jc w:val="both"/>
        <w:rPr>
          <w:rFonts w:cs="Arial"/>
          <w:sz w:val="22"/>
          <w:szCs w:val="22"/>
        </w:rPr>
      </w:pPr>
      <w:r w:rsidRPr="00B605A2">
        <w:rPr>
          <w:rFonts w:cs="Arial"/>
          <w:sz w:val="22"/>
          <w:szCs w:val="22"/>
        </w:rPr>
        <w:t xml:space="preserve">Under the Freedom of Information Act 2000 (“FOIA”) and the Environmental Information Regulations 2004 (“EIRs”), the Department is obliged (subject to the application of any relevant exemptions and, where applicable, the public interest test) to disclose information in response to requests for information. </w:t>
      </w:r>
    </w:p>
    <w:p w14:paraId="3CE0A7D7" w14:textId="77777777" w:rsidR="00114363" w:rsidRPr="00B605A2" w:rsidRDefault="008D4855" w:rsidP="008A2449">
      <w:pPr>
        <w:keepLines/>
        <w:numPr>
          <w:ilvl w:val="12"/>
          <w:numId w:val="0"/>
        </w:numPr>
        <w:suppressLineNumbers/>
        <w:suppressAutoHyphens/>
        <w:spacing w:before="120" w:after="0" w:line="240" w:lineRule="auto"/>
        <w:ind w:left="720"/>
        <w:jc w:val="both"/>
        <w:rPr>
          <w:rFonts w:ascii="Arial" w:hAnsi="Arial" w:cs="Arial"/>
        </w:rPr>
      </w:pPr>
      <w:r w:rsidRPr="00B605A2">
        <w:rPr>
          <w:rFonts w:ascii="Arial" w:hAnsi="Arial" w:cs="Arial"/>
        </w:rPr>
        <w:t xml:space="preserve">You need to be aware that the Department could receive requests for </w:t>
      </w:r>
      <w:r w:rsidRPr="00B605A2">
        <w:rPr>
          <w:rFonts w:ascii="Arial" w:hAnsi="Arial" w:cs="Arial"/>
          <w:i/>
        </w:rPr>
        <w:t>any</w:t>
      </w:r>
      <w:r w:rsidRPr="00B605A2">
        <w:rPr>
          <w:rFonts w:ascii="Arial" w:hAnsi="Arial" w:cs="Arial"/>
        </w:rPr>
        <w:t xml:space="preserve"> information relating to this contract. The contract will include provisions to reflect the Department’s obligations under those disclosure regimes. The Department cannot contract out of its obligations in this respect and will only accept confidentiality clauses in </w:t>
      </w:r>
      <w:r w:rsidRPr="00B605A2">
        <w:rPr>
          <w:rFonts w:ascii="Arial" w:hAnsi="Arial" w:cs="Arial"/>
          <w:u w:val="single"/>
        </w:rPr>
        <w:t>very</w:t>
      </w:r>
      <w:r w:rsidRPr="00B605A2">
        <w:rPr>
          <w:rFonts w:ascii="Arial" w:hAnsi="Arial" w:cs="Arial"/>
        </w:rPr>
        <w:t xml:space="preserve"> exceptional and narrowly defined circumstances. In this regard, your attention is drawn to the Code of Practice (in particular, section V thereof) issued by the Lord Chancellor under section 45 of the FOIA (section IX of the Code of Practice issued under regulation 16 of the EIRs includes similar guidance).</w:t>
      </w:r>
    </w:p>
    <w:p w14:paraId="1193C9AF" w14:textId="77777777" w:rsidR="00C367CF" w:rsidRPr="00F94A87" w:rsidRDefault="00C367CF" w:rsidP="008A2449">
      <w:pPr>
        <w:keepLines/>
        <w:numPr>
          <w:ilvl w:val="12"/>
          <w:numId w:val="0"/>
        </w:numPr>
        <w:suppressLineNumbers/>
        <w:suppressAutoHyphens/>
        <w:spacing w:before="120" w:after="0" w:line="240" w:lineRule="auto"/>
        <w:ind w:left="720"/>
        <w:jc w:val="both"/>
        <w:rPr>
          <w:rFonts w:ascii="Arial" w:hAnsi="Arial" w:cs="Arial"/>
          <w:highlight w:val="yellow"/>
        </w:rPr>
      </w:pPr>
    </w:p>
    <w:p w14:paraId="2DE20C31" w14:textId="14715582" w:rsidR="0072570A" w:rsidRPr="00B605A2" w:rsidRDefault="00BD1C0F" w:rsidP="00BD1C0F">
      <w:pPr>
        <w:autoSpaceDE w:val="0"/>
        <w:autoSpaceDN w:val="0"/>
        <w:adjustRightInd w:val="0"/>
        <w:spacing w:after="0" w:line="240" w:lineRule="auto"/>
        <w:jc w:val="both"/>
        <w:rPr>
          <w:rFonts w:ascii="Arial" w:hAnsi="Arial" w:cs="Arial"/>
          <w:b/>
        </w:rPr>
      </w:pPr>
      <w:r w:rsidRPr="00B605A2">
        <w:rPr>
          <w:rFonts w:ascii="Arial" w:hAnsi="Arial" w:cs="Arial"/>
          <w:b/>
        </w:rPr>
        <w:t>Conflicts of interest</w:t>
      </w:r>
    </w:p>
    <w:p w14:paraId="5AEA12C6" w14:textId="6BFD5A0F" w:rsidR="00BD1C0F" w:rsidRPr="00B605A2" w:rsidRDefault="00BD1C0F" w:rsidP="00BD1C0F">
      <w:pPr>
        <w:autoSpaceDE w:val="0"/>
        <w:autoSpaceDN w:val="0"/>
        <w:adjustRightInd w:val="0"/>
        <w:spacing w:after="0" w:line="240" w:lineRule="auto"/>
        <w:jc w:val="both"/>
        <w:rPr>
          <w:rFonts w:ascii="Arial" w:hAnsi="Arial" w:cs="Arial"/>
          <w:b/>
        </w:rPr>
      </w:pPr>
    </w:p>
    <w:p w14:paraId="3EB72C7B" w14:textId="7FD5AF93" w:rsidR="00B421AF" w:rsidRPr="00B605A2" w:rsidRDefault="00B605A2" w:rsidP="00B421AF">
      <w:pPr>
        <w:autoSpaceDE w:val="0"/>
        <w:autoSpaceDN w:val="0"/>
        <w:adjustRightInd w:val="0"/>
        <w:spacing w:after="0" w:line="240" w:lineRule="auto"/>
        <w:jc w:val="both"/>
        <w:rPr>
          <w:rFonts w:ascii="Arial" w:hAnsi="Arial" w:cs="Arial"/>
        </w:rPr>
      </w:pPr>
      <w:r w:rsidRPr="00B605A2">
        <w:rPr>
          <w:rFonts w:ascii="Arial" w:hAnsi="Arial" w:cs="Arial"/>
        </w:rPr>
        <w:t>4</w:t>
      </w:r>
      <w:r>
        <w:rPr>
          <w:rFonts w:ascii="Arial" w:hAnsi="Arial" w:cs="Arial"/>
        </w:rPr>
        <w:t>2</w:t>
      </w:r>
      <w:r w:rsidR="00B421AF" w:rsidRPr="00B605A2">
        <w:rPr>
          <w:rFonts w:ascii="Arial" w:hAnsi="Arial" w:cs="Arial"/>
        </w:rPr>
        <w:t>.</w:t>
      </w:r>
      <w:r w:rsidR="00B421AF" w:rsidRPr="00B605A2">
        <w:rPr>
          <w:rFonts w:ascii="Arial" w:hAnsi="Arial" w:cs="Arial"/>
        </w:rPr>
        <w:tab/>
        <w:t>Bidders’ written proposals must disclose any potential conflicts of interest.</w:t>
      </w:r>
    </w:p>
    <w:p w14:paraId="14324533" w14:textId="77777777" w:rsidR="00B421AF" w:rsidRPr="00B605A2" w:rsidRDefault="00B421AF" w:rsidP="00B421AF">
      <w:pPr>
        <w:autoSpaceDE w:val="0"/>
        <w:autoSpaceDN w:val="0"/>
        <w:adjustRightInd w:val="0"/>
        <w:spacing w:after="0" w:line="240" w:lineRule="auto"/>
        <w:jc w:val="both"/>
        <w:rPr>
          <w:rFonts w:ascii="Arial" w:hAnsi="Arial" w:cs="Arial"/>
        </w:rPr>
      </w:pPr>
    </w:p>
    <w:p w14:paraId="6795792F" w14:textId="3FD31D24" w:rsidR="00B421AF" w:rsidRPr="00B605A2" w:rsidRDefault="00B421AF" w:rsidP="00B421AF">
      <w:pPr>
        <w:autoSpaceDE w:val="0"/>
        <w:autoSpaceDN w:val="0"/>
        <w:adjustRightInd w:val="0"/>
        <w:spacing w:after="0" w:line="240" w:lineRule="auto"/>
        <w:ind w:left="720"/>
        <w:jc w:val="both"/>
        <w:rPr>
          <w:rFonts w:ascii="Arial" w:hAnsi="Arial" w:cs="Arial"/>
        </w:rPr>
      </w:pPr>
      <w:r w:rsidRPr="00B605A2">
        <w:rPr>
          <w:rFonts w:ascii="Arial" w:hAnsi="Arial" w:cs="Arial"/>
        </w:rPr>
        <w:t xml:space="preserve">Bidders should assess any potential conflicts of interest. They should include a clear statement which: </w:t>
      </w:r>
    </w:p>
    <w:p w14:paraId="2111B27D" w14:textId="77777777" w:rsidR="00462784" w:rsidRPr="00B605A2" w:rsidRDefault="00462784" w:rsidP="00B421AF">
      <w:pPr>
        <w:autoSpaceDE w:val="0"/>
        <w:autoSpaceDN w:val="0"/>
        <w:adjustRightInd w:val="0"/>
        <w:spacing w:after="0" w:line="240" w:lineRule="auto"/>
        <w:ind w:left="720"/>
        <w:jc w:val="both"/>
        <w:rPr>
          <w:rFonts w:ascii="Arial" w:hAnsi="Arial" w:cs="Arial"/>
        </w:rPr>
      </w:pPr>
    </w:p>
    <w:p w14:paraId="6C570119" w14:textId="77777777" w:rsidR="00B421AF" w:rsidRPr="00B605A2" w:rsidRDefault="00B421AF" w:rsidP="00462784">
      <w:pPr>
        <w:autoSpaceDE w:val="0"/>
        <w:autoSpaceDN w:val="0"/>
        <w:adjustRightInd w:val="0"/>
        <w:spacing w:after="0" w:line="240" w:lineRule="auto"/>
        <w:ind w:left="1440" w:hanging="720"/>
        <w:jc w:val="both"/>
        <w:rPr>
          <w:rFonts w:ascii="Arial" w:hAnsi="Arial" w:cs="Arial"/>
        </w:rPr>
      </w:pPr>
      <w:r w:rsidRPr="00B605A2">
        <w:rPr>
          <w:rFonts w:ascii="Arial" w:hAnsi="Arial" w:cs="Arial"/>
        </w:rPr>
        <w:t>•</w:t>
      </w:r>
      <w:r w:rsidRPr="00B605A2">
        <w:rPr>
          <w:rFonts w:ascii="Arial" w:hAnsi="Arial" w:cs="Arial"/>
        </w:rPr>
        <w:tab/>
        <w:t>Explicitly sets out that there is no conflict of interest, or sets out any existing conflicts of interest, either real or perceived, for their firm in relation to this Statement of Requirement;</w:t>
      </w:r>
    </w:p>
    <w:p w14:paraId="60D2140A" w14:textId="77777777" w:rsidR="00B421AF" w:rsidRPr="00B605A2" w:rsidRDefault="00B421AF" w:rsidP="00462784">
      <w:pPr>
        <w:autoSpaceDE w:val="0"/>
        <w:autoSpaceDN w:val="0"/>
        <w:adjustRightInd w:val="0"/>
        <w:spacing w:after="0" w:line="240" w:lineRule="auto"/>
        <w:ind w:left="1440" w:hanging="720"/>
        <w:jc w:val="both"/>
        <w:rPr>
          <w:rFonts w:ascii="Arial" w:hAnsi="Arial" w:cs="Arial"/>
        </w:rPr>
      </w:pPr>
      <w:r w:rsidRPr="00B605A2">
        <w:rPr>
          <w:rFonts w:ascii="Arial" w:hAnsi="Arial" w:cs="Arial"/>
        </w:rPr>
        <w:t>•</w:t>
      </w:r>
      <w:r w:rsidRPr="00B605A2">
        <w:rPr>
          <w:rFonts w:ascii="Arial" w:hAnsi="Arial" w:cs="Arial"/>
        </w:rPr>
        <w:tab/>
        <w:t>Provides full details of proposed risk management arrangements (e.g. segregation of staff and security of information); and</w:t>
      </w:r>
    </w:p>
    <w:p w14:paraId="7657BC7D" w14:textId="77777777" w:rsidR="00B421AF" w:rsidRPr="00B605A2" w:rsidRDefault="00B421AF" w:rsidP="00462784">
      <w:pPr>
        <w:autoSpaceDE w:val="0"/>
        <w:autoSpaceDN w:val="0"/>
        <w:adjustRightInd w:val="0"/>
        <w:spacing w:after="0" w:line="240" w:lineRule="auto"/>
        <w:ind w:left="1440" w:hanging="720"/>
        <w:jc w:val="both"/>
        <w:rPr>
          <w:rFonts w:ascii="Arial" w:hAnsi="Arial" w:cs="Arial"/>
        </w:rPr>
      </w:pPr>
      <w:r w:rsidRPr="00B605A2">
        <w:rPr>
          <w:rFonts w:ascii="Arial" w:hAnsi="Arial" w:cs="Arial"/>
        </w:rPr>
        <w:t>•</w:t>
      </w:r>
      <w:r w:rsidRPr="00B605A2">
        <w:rPr>
          <w:rFonts w:ascii="Arial" w:hAnsi="Arial" w:cs="Arial"/>
        </w:rPr>
        <w:tab/>
        <w:t>Provides a clear description of how any subsequently arising conflicts would be dealt with.</w:t>
      </w:r>
    </w:p>
    <w:p w14:paraId="1EE70717" w14:textId="77777777" w:rsidR="00B421AF" w:rsidRPr="00B605A2" w:rsidRDefault="00B421AF" w:rsidP="00B421AF">
      <w:pPr>
        <w:autoSpaceDE w:val="0"/>
        <w:autoSpaceDN w:val="0"/>
        <w:adjustRightInd w:val="0"/>
        <w:spacing w:after="0" w:line="240" w:lineRule="auto"/>
        <w:jc w:val="both"/>
        <w:rPr>
          <w:rFonts w:ascii="Arial" w:hAnsi="Arial" w:cs="Arial"/>
        </w:rPr>
      </w:pPr>
    </w:p>
    <w:p w14:paraId="2007C49D" w14:textId="29AC11EA" w:rsidR="00B421AF" w:rsidRPr="00B605A2" w:rsidRDefault="00B421AF" w:rsidP="00A353EE">
      <w:pPr>
        <w:autoSpaceDE w:val="0"/>
        <w:autoSpaceDN w:val="0"/>
        <w:adjustRightInd w:val="0"/>
        <w:spacing w:after="0" w:line="240" w:lineRule="auto"/>
        <w:jc w:val="both"/>
        <w:rPr>
          <w:rFonts w:ascii="Arial" w:hAnsi="Arial" w:cs="Arial"/>
          <w:b/>
          <w:bCs/>
        </w:rPr>
      </w:pPr>
      <w:r w:rsidRPr="00B605A2">
        <w:rPr>
          <w:rFonts w:ascii="Arial" w:hAnsi="Arial" w:cs="Arial"/>
          <w:b/>
          <w:bCs/>
        </w:rPr>
        <w:lastRenderedPageBreak/>
        <w:t>Conflicts of interest are assessed on a pass/fail basis</w:t>
      </w:r>
    </w:p>
    <w:p w14:paraId="5FB212DC" w14:textId="77777777" w:rsidR="00F2095F" w:rsidRPr="00B605A2" w:rsidRDefault="00F2095F" w:rsidP="00F2095F">
      <w:pPr>
        <w:autoSpaceDE w:val="0"/>
        <w:autoSpaceDN w:val="0"/>
        <w:adjustRightInd w:val="0"/>
        <w:spacing w:after="0" w:line="240" w:lineRule="auto"/>
        <w:ind w:firstLine="720"/>
        <w:jc w:val="both"/>
        <w:rPr>
          <w:rFonts w:ascii="Arial" w:hAnsi="Arial" w:cs="Arial"/>
        </w:rPr>
      </w:pPr>
    </w:p>
    <w:p w14:paraId="650E8AE8" w14:textId="484A1C15" w:rsidR="00B421AF" w:rsidRPr="00B605A2" w:rsidRDefault="00B421AF" w:rsidP="006972EA">
      <w:pPr>
        <w:pStyle w:val="ListParagraph"/>
        <w:numPr>
          <w:ilvl w:val="0"/>
          <w:numId w:val="11"/>
        </w:numPr>
        <w:autoSpaceDE w:val="0"/>
        <w:autoSpaceDN w:val="0"/>
        <w:adjustRightInd w:val="0"/>
        <w:spacing w:after="0" w:line="240" w:lineRule="auto"/>
        <w:ind w:left="709" w:hanging="709"/>
        <w:jc w:val="both"/>
        <w:rPr>
          <w:rFonts w:ascii="Arial" w:hAnsi="Arial" w:cs="Arial"/>
        </w:rPr>
      </w:pPr>
      <w:r w:rsidRPr="00B605A2">
        <w:rPr>
          <w:rFonts w:ascii="Arial" w:hAnsi="Arial" w:cs="Arial"/>
        </w:rPr>
        <w:t>The Department will discuss any conflict of interest issues that have been disclosed by each Bidder.</w:t>
      </w:r>
    </w:p>
    <w:p w14:paraId="0DACED22" w14:textId="77777777" w:rsidR="00F2095F" w:rsidRPr="00B605A2" w:rsidRDefault="00F2095F" w:rsidP="00F2095F">
      <w:pPr>
        <w:autoSpaceDE w:val="0"/>
        <w:autoSpaceDN w:val="0"/>
        <w:adjustRightInd w:val="0"/>
        <w:spacing w:after="0" w:line="240" w:lineRule="auto"/>
        <w:ind w:left="720"/>
        <w:jc w:val="both"/>
        <w:rPr>
          <w:rFonts w:ascii="Arial" w:hAnsi="Arial" w:cs="Arial"/>
        </w:rPr>
      </w:pPr>
    </w:p>
    <w:p w14:paraId="79F3D83E" w14:textId="19173CE8" w:rsidR="00B421AF" w:rsidRPr="00B605A2" w:rsidRDefault="00B605A2" w:rsidP="00B605A2">
      <w:pPr>
        <w:autoSpaceDE w:val="0"/>
        <w:autoSpaceDN w:val="0"/>
        <w:adjustRightInd w:val="0"/>
        <w:spacing w:after="0" w:line="240" w:lineRule="auto"/>
        <w:ind w:left="709" w:hanging="709"/>
        <w:jc w:val="both"/>
        <w:rPr>
          <w:rFonts w:ascii="Arial" w:hAnsi="Arial" w:cs="Arial"/>
        </w:rPr>
      </w:pPr>
      <w:r w:rsidRPr="00B605A2">
        <w:rPr>
          <w:rFonts w:ascii="Arial" w:hAnsi="Arial" w:cs="Arial"/>
        </w:rPr>
        <w:t>4</w:t>
      </w:r>
      <w:r>
        <w:rPr>
          <w:rFonts w:ascii="Arial" w:hAnsi="Arial" w:cs="Arial"/>
        </w:rPr>
        <w:t>4</w:t>
      </w:r>
      <w:r w:rsidRPr="00B605A2">
        <w:rPr>
          <w:rFonts w:ascii="Arial" w:hAnsi="Arial" w:cs="Arial"/>
        </w:rPr>
        <w:t>.</w:t>
      </w:r>
      <w:r w:rsidRPr="00B605A2">
        <w:rPr>
          <w:rFonts w:ascii="Arial" w:hAnsi="Arial" w:cs="Arial"/>
        </w:rPr>
        <w:tab/>
      </w:r>
      <w:r w:rsidR="00B421AF" w:rsidRPr="00B605A2">
        <w:rPr>
          <w:rFonts w:ascii="Arial" w:hAnsi="Arial" w:cs="Arial"/>
        </w:rPr>
        <w:t xml:space="preserve">The Department will decide whether any internal management processes and controls that Bidders have in place are satisfactory. </w:t>
      </w:r>
    </w:p>
    <w:p w14:paraId="64DD1A16" w14:textId="77777777" w:rsidR="008A18A0" w:rsidRPr="00B605A2" w:rsidRDefault="008A18A0" w:rsidP="00F2095F">
      <w:pPr>
        <w:autoSpaceDE w:val="0"/>
        <w:autoSpaceDN w:val="0"/>
        <w:adjustRightInd w:val="0"/>
        <w:spacing w:after="0" w:line="240" w:lineRule="auto"/>
        <w:ind w:left="720"/>
        <w:jc w:val="both"/>
        <w:rPr>
          <w:rFonts w:ascii="Arial" w:hAnsi="Arial" w:cs="Arial"/>
        </w:rPr>
      </w:pPr>
    </w:p>
    <w:p w14:paraId="7174E36A" w14:textId="25BBD9BA" w:rsidR="00B421AF" w:rsidRPr="00B605A2" w:rsidRDefault="00B605A2" w:rsidP="00B605A2">
      <w:pPr>
        <w:autoSpaceDE w:val="0"/>
        <w:autoSpaceDN w:val="0"/>
        <w:adjustRightInd w:val="0"/>
        <w:spacing w:after="0" w:line="240" w:lineRule="auto"/>
        <w:ind w:left="709" w:hanging="709"/>
        <w:jc w:val="both"/>
        <w:rPr>
          <w:rFonts w:ascii="Arial" w:hAnsi="Arial" w:cs="Arial"/>
        </w:rPr>
      </w:pPr>
      <w:r w:rsidRPr="00B605A2">
        <w:rPr>
          <w:rFonts w:ascii="Arial" w:hAnsi="Arial" w:cs="Arial"/>
        </w:rPr>
        <w:t>4</w:t>
      </w:r>
      <w:r>
        <w:rPr>
          <w:rFonts w:ascii="Arial" w:hAnsi="Arial" w:cs="Arial"/>
        </w:rPr>
        <w:t>5</w:t>
      </w:r>
      <w:r w:rsidRPr="00B605A2">
        <w:rPr>
          <w:rFonts w:ascii="Arial" w:hAnsi="Arial" w:cs="Arial"/>
        </w:rPr>
        <w:t>.</w:t>
      </w:r>
      <w:r w:rsidRPr="00B605A2">
        <w:rPr>
          <w:rFonts w:ascii="Arial" w:hAnsi="Arial" w:cs="Arial"/>
        </w:rPr>
        <w:tab/>
      </w:r>
      <w:r w:rsidR="00B421AF" w:rsidRPr="00B605A2">
        <w:rPr>
          <w:rFonts w:ascii="Arial" w:hAnsi="Arial" w:cs="Arial"/>
        </w:rPr>
        <w:t>Bidders will be ruled out of the competition if, in the Department’s view, there is a conflict of interest which could compromise the delivery and integrity of the contract, or if the arrangements to deal with a future conflict of interest arising offer insufficient protection for the Department.</w:t>
      </w:r>
    </w:p>
    <w:p w14:paraId="69C5BAB8" w14:textId="73FC217C" w:rsidR="00BD1C0F" w:rsidRDefault="00BD1C0F" w:rsidP="00BD1C0F">
      <w:pPr>
        <w:autoSpaceDE w:val="0"/>
        <w:autoSpaceDN w:val="0"/>
        <w:adjustRightInd w:val="0"/>
        <w:spacing w:after="0" w:line="240" w:lineRule="auto"/>
        <w:jc w:val="both"/>
        <w:rPr>
          <w:rFonts w:ascii="Arial" w:hAnsi="Arial" w:cs="Arial"/>
          <w:b/>
          <w:highlight w:val="yellow"/>
        </w:rPr>
      </w:pPr>
    </w:p>
    <w:p w14:paraId="2A9D9672" w14:textId="2C0414B6" w:rsidR="0009324C" w:rsidRDefault="0009324C" w:rsidP="00BD1C0F">
      <w:pPr>
        <w:autoSpaceDE w:val="0"/>
        <w:autoSpaceDN w:val="0"/>
        <w:adjustRightInd w:val="0"/>
        <w:spacing w:after="0" w:line="240" w:lineRule="auto"/>
        <w:jc w:val="both"/>
        <w:rPr>
          <w:rFonts w:ascii="Arial" w:hAnsi="Arial" w:cs="Arial"/>
          <w:b/>
        </w:rPr>
      </w:pPr>
      <w:r w:rsidRPr="0009324C">
        <w:rPr>
          <w:rFonts w:ascii="Arial" w:hAnsi="Arial" w:cs="Arial"/>
          <w:b/>
        </w:rPr>
        <w:t>General Data Protection Regulation (GDPR)</w:t>
      </w:r>
    </w:p>
    <w:p w14:paraId="339B587E" w14:textId="699EB376" w:rsidR="0009324C" w:rsidRDefault="0009324C" w:rsidP="0009324C">
      <w:pPr>
        <w:autoSpaceDE w:val="0"/>
        <w:autoSpaceDN w:val="0"/>
        <w:adjustRightInd w:val="0"/>
        <w:spacing w:after="0" w:line="240" w:lineRule="auto"/>
        <w:ind w:hanging="1134"/>
        <w:jc w:val="both"/>
        <w:rPr>
          <w:rFonts w:ascii="Arial" w:hAnsi="Arial" w:cs="Arial"/>
          <w:b/>
        </w:rPr>
      </w:pPr>
    </w:p>
    <w:p w14:paraId="0FB2A02A" w14:textId="2B61A76E" w:rsidR="0009324C" w:rsidRPr="0009324C" w:rsidRDefault="0009324C" w:rsidP="006972EA">
      <w:pPr>
        <w:pStyle w:val="ListParagraph"/>
        <w:numPr>
          <w:ilvl w:val="0"/>
          <w:numId w:val="13"/>
        </w:numPr>
        <w:autoSpaceDE w:val="0"/>
        <w:autoSpaceDN w:val="0"/>
        <w:adjustRightInd w:val="0"/>
        <w:spacing w:after="0" w:line="240" w:lineRule="auto"/>
        <w:ind w:left="709" w:hanging="748"/>
        <w:jc w:val="both"/>
        <w:rPr>
          <w:rFonts w:ascii="Arial" w:hAnsi="Arial" w:cs="Arial"/>
          <w:bCs/>
        </w:rPr>
      </w:pPr>
      <w:r w:rsidRPr="0009324C">
        <w:rPr>
          <w:rFonts w:ascii="Arial" w:hAnsi="Arial" w:cs="Arial"/>
          <w:bCs/>
        </w:rPr>
        <w:t>The supplier will be expected to have and demonstrate compliance with the new EU General Data Protection Regulation and its six data processing principles, as well as ensuring the rights of data subjects (processed on behalf of the MCA) are protected.</w:t>
      </w:r>
    </w:p>
    <w:p w14:paraId="52B7301E" w14:textId="77777777" w:rsidR="0009324C" w:rsidRPr="0009324C" w:rsidRDefault="0009324C" w:rsidP="0009324C">
      <w:pPr>
        <w:autoSpaceDE w:val="0"/>
        <w:autoSpaceDN w:val="0"/>
        <w:adjustRightInd w:val="0"/>
        <w:spacing w:after="0" w:line="240" w:lineRule="auto"/>
        <w:ind w:left="709" w:hanging="748"/>
        <w:jc w:val="both"/>
        <w:rPr>
          <w:rFonts w:ascii="Arial" w:hAnsi="Arial" w:cs="Arial"/>
          <w:bCs/>
        </w:rPr>
      </w:pPr>
    </w:p>
    <w:p w14:paraId="58BDC5F7" w14:textId="5C6102E6" w:rsidR="0009324C" w:rsidRPr="0009324C" w:rsidRDefault="0009324C" w:rsidP="006972EA">
      <w:pPr>
        <w:pStyle w:val="ListParagraph"/>
        <w:numPr>
          <w:ilvl w:val="0"/>
          <w:numId w:val="13"/>
        </w:numPr>
        <w:autoSpaceDE w:val="0"/>
        <w:autoSpaceDN w:val="0"/>
        <w:adjustRightInd w:val="0"/>
        <w:spacing w:after="0" w:line="240" w:lineRule="auto"/>
        <w:ind w:left="709" w:hanging="748"/>
        <w:jc w:val="both"/>
        <w:rPr>
          <w:rFonts w:ascii="Arial" w:hAnsi="Arial" w:cs="Arial"/>
          <w:bCs/>
        </w:rPr>
      </w:pPr>
      <w:r w:rsidRPr="0009324C">
        <w:rPr>
          <w:rFonts w:ascii="Arial" w:hAnsi="Arial" w:cs="Arial"/>
          <w:bCs/>
        </w:rPr>
        <w:t>The MCA, as ‘Data ‘Controller’, will provide the supplier with the relevant data handling information and instructions in order to carry out the survey.  As a ‘Data Processor’ the supplier will be expected to demonstrate how personal information is accessed, stored, used, corrected and retained/destroyed for the purpose of the survey.</w:t>
      </w:r>
    </w:p>
    <w:p w14:paraId="0360711F" w14:textId="77777777" w:rsidR="0009324C" w:rsidRPr="0009324C" w:rsidRDefault="0009324C" w:rsidP="0009324C">
      <w:pPr>
        <w:autoSpaceDE w:val="0"/>
        <w:autoSpaceDN w:val="0"/>
        <w:adjustRightInd w:val="0"/>
        <w:spacing w:after="0" w:line="240" w:lineRule="auto"/>
        <w:ind w:left="709" w:hanging="748"/>
        <w:jc w:val="both"/>
        <w:rPr>
          <w:rFonts w:ascii="Arial" w:hAnsi="Arial" w:cs="Arial"/>
          <w:bCs/>
        </w:rPr>
      </w:pPr>
    </w:p>
    <w:p w14:paraId="08579FF8" w14:textId="77418B5B" w:rsidR="0009324C" w:rsidRPr="006972EA" w:rsidRDefault="0009324C" w:rsidP="006972EA">
      <w:pPr>
        <w:pStyle w:val="ListParagraph"/>
        <w:numPr>
          <w:ilvl w:val="0"/>
          <w:numId w:val="13"/>
        </w:numPr>
        <w:autoSpaceDE w:val="0"/>
        <w:autoSpaceDN w:val="0"/>
        <w:adjustRightInd w:val="0"/>
        <w:spacing w:after="0" w:line="240" w:lineRule="auto"/>
        <w:ind w:left="709" w:hanging="709"/>
        <w:jc w:val="both"/>
        <w:rPr>
          <w:rFonts w:ascii="Arial" w:hAnsi="Arial" w:cs="Arial"/>
          <w:bCs/>
        </w:rPr>
      </w:pPr>
      <w:r w:rsidRPr="006972EA">
        <w:rPr>
          <w:rFonts w:ascii="Arial" w:hAnsi="Arial" w:cs="Arial"/>
          <w:bCs/>
        </w:rPr>
        <w:t xml:space="preserve">The type of data provided to the Data Processor will be classified as OFFICIAL under the Government Security Classification Scheme, see below.  Transfer of personally identifiable information must follow the protocols of secure transfer (as described by the Information Commissioners Office) if being sent via the public internet.  </w:t>
      </w:r>
    </w:p>
    <w:p w14:paraId="4CD7D212" w14:textId="77777777" w:rsidR="0009324C" w:rsidRPr="0009324C" w:rsidRDefault="0009324C" w:rsidP="0009324C">
      <w:pPr>
        <w:autoSpaceDE w:val="0"/>
        <w:autoSpaceDN w:val="0"/>
        <w:adjustRightInd w:val="0"/>
        <w:spacing w:after="0" w:line="240" w:lineRule="auto"/>
        <w:ind w:hanging="1134"/>
        <w:jc w:val="both"/>
        <w:rPr>
          <w:rFonts w:ascii="Arial" w:hAnsi="Arial" w:cs="Arial"/>
          <w:bCs/>
          <w:highlight w:val="yellow"/>
        </w:rPr>
      </w:pPr>
    </w:p>
    <w:p w14:paraId="3799F634" w14:textId="5EDEBE71" w:rsidR="00C367CF" w:rsidRPr="00B605A2" w:rsidRDefault="00C367CF" w:rsidP="0009324C">
      <w:pPr>
        <w:autoSpaceDE w:val="0"/>
        <w:autoSpaceDN w:val="0"/>
        <w:adjustRightInd w:val="0"/>
        <w:spacing w:after="0" w:line="240" w:lineRule="auto"/>
        <w:jc w:val="both"/>
        <w:rPr>
          <w:rFonts w:ascii="Arial" w:hAnsi="Arial" w:cs="Arial"/>
          <w:b/>
        </w:rPr>
      </w:pPr>
      <w:r w:rsidRPr="00B605A2">
        <w:rPr>
          <w:rFonts w:ascii="Arial" w:hAnsi="Arial" w:cs="Arial"/>
          <w:b/>
        </w:rPr>
        <w:t>Security</w:t>
      </w:r>
      <w:r w:rsidRPr="00B605A2">
        <w:rPr>
          <w:rStyle w:val="Hyperlink"/>
          <w:rFonts w:ascii="Helvetica Neue" w:hAnsi="Helvetica Neue"/>
        </w:rPr>
        <w:br/>
      </w:r>
    </w:p>
    <w:p w14:paraId="5A182A3F" w14:textId="27131A76" w:rsidR="000F28F6" w:rsidRPr="00B605A2" w:rsidRDefault="00365031" w:rsidP="006972EA">
      <w:pPr>
        <w:pStyle w:val="ListParagraph"/>
        <w:numPr>
          <w:ilvl w:val="0"/>
          <w:numId w:val="13"/>
        </w:numPr>
        <w:ind w:left="709" w:hanging="709"/>
        <w:jc w:val="both"/>
        <w:rPr>
          <w:rFonts w:ascii="Arial" w:hAnsi="Arial" w:cs="Arial"/>
        </w:rPr>
      </w:pPr>
      <w:r w:rsidRPr="00B605A2">
        <w:rPr>
          <w:rFonts w:ascii="Arial" w:hAnsi="Arial" w:cs="Arial"/>
        </w:rPr>
        <w:t>The successful bidder will be expected to take all appropriate measures to ensure that confidential or sensitive material is not disclosed, in accordance with the Contract Terms and Conditions</w:t>
      </w:r>
      <w:r w:rsidR="002B4107" w:rsidRPr="00B605A2">
        <w:rPr>
          <w:rFonts w:ascii="Arial" w:hAnsi="Arial" w:cs="Arial"/>
        </w:rPr>
        <w:t>,</w:t>
      </w:r>
      <w:r w:rsidRPr="00B605A2">
        <w:rPr>
          <w:rFonts w:ascii="Arial" w:hAnsi="Arial" w:cs="Arial"/>
        </w:rPr>
        <w:t xml:space="preserve"> and will</w:t>
      </w:r>
      <w:r w:rsidR="002B4107" w:rsidRPr="00B605A2">
        <w:rPr>
          <w:rFonts w:ascii="Arial" w:hAnsi="Arial" w:cs="Arial"/>
        </w:rPr>
        <w:t xml:space="preserve"> be</w:t>
      </w:r>
      <w:r w:rsidRPr="00B605A2">
        <w:rPr>
          <w:rFonts w:ascii="Arial" w:hAnsi="Arial" w:cs="Arial"/>
        </w:rPr>
        <w:t xml:space="preserve"> expected to sign a Non-Disclosure Agreement on award of contract.</w:t>
      </w:r>
    </w:p>
    <w:p w14:paraId="5DEAEFA5" w14:textId="77777777" w:rsidR="00365031" w:rsidRPr="00B605A2" w:rsidRDefault="00365031" w:rsidP="00365031">
      <w:pPr>
        <w:pStyle w:val="ListParagraph"/>
        <w:rPr>
          <w:rFonts w:ascii="Arial" w:hAnsi="Arial" w:cs="Arial"/>
        </w:rPr>
      </w:pPr>
    </w:p>
    <w:p w14:paraId="5ADA5BA3" w14:textId="5AD55DC2" w:rsidR="00C367CF" w:rsidRPr="00B605A2" w:rsidRDefault="00C367CF" w:rsidP="006972EA">
      <w:pPr>
        <w:pStyle w:val="ListParagraph"/>
        <w:numPr>
          <w:ilvl w:val="0"/>
          <w:numId w:val="7"/>
        </w:numPr>
        <w:autoSpaceDE w:val="0"/>
        <w:autoSpaceDN w:val="0"/>
        <w:adjustRightInd w:val="0"/>
        <w:spacing w:after="0" w:line="240" w:lineRule="auto"/>
        <w:ind w:left="1276" w:hanging="567"/>
        <w:jc w:val="both"/>
        <w:rPr>
          <w:rFonts w:ascii="Arial" w:hAnsi="Arial" w:cs="Arial"/>
        </w:rPr>
      </w:pPr>
      <w:r w:rsidRPr="00B605A2">
        <w:rPr>
          <w:rFonts w:ascii="Arial" w:hAnsi="Arial" w:cs="Arial"/>
        </w:rPr>
        <w:t xml:space="preserve">The supplier shall complete the Cabinet Office Statement of Assurance questionnaire and provide </w:t>
      </w:r>
      <w:proofErr w:type="gramStart"/>
      <w:r w:rsidRPr="00B605A2">
        <w:rPr>
          <w:rFonts w:ascii="Arial" w:hAnsi="Arial" w:cs="Arial"/>
        </w:rPr>
        <w:t>sufficient</w:t>
      </w:r>
      <w:proofErr w:type="gramEnd"/>
      <w:r w:rsidRPr="00B605A2">
        <w:rPr>
          <w:rFonts w:ascii="Arial" w:hAnsi="Arial" w:cs="Arial"/>
        </w:rPr>
        <w:t xml:space="preserve"> detail so that the MCA can determine the suppliers approach to security and the application of proportionate controls.   </w:t>
      </w:r>
    </w:p>
    <w:p w14:paraId="6B78FE46" w14:textId="111DC8A2" w:rsidR="00AB75B4" w:rsidRPr="00B605A2" w:rsidRDefault="00AF30BA" w:rsidP="00C33096">
      <w:pPr>
        <w:pStyle w:val="ListParagraph"/>
        <w:autoSpaceDE w:val="0"/>
        <w:autoSpaceDN w:val="0"/>
        <w:adjustRightInd w:val="0"/>
        <w:spacing w:after="0" w:line="240" w:lineRule="auto"/>
        <w:ind w:left="1276"/>
        <w:jc w:val="both"/>
        <w:rPr>
          <w:rStyle w:val="Hyperlink"/>
          <w:rFonts w:ascii="Arial" w:hAnsi="Arial" w:cs="Arial"/>
          <w:color w:val="auto"/>
        </w:rPr>
      </w:pPr>
      <w:hyperlink r:id="rId10" w:history="1">
        <w:r w:rsidR="00C33096" w:rsidRPr="00B605A2">
          <w:rPr>
            <w:rStyle w:val="Hyperlink"/>
            <w:rFonts w:ascii="Arial" w:hAnsi="Arial" w:cs="Arial"/>
          </w:rPr>
          <w:t>https://www.gov.uk/government/publications/government-supplier-assurance-framework</w:t>
        </w:r>
      </w:hyperlink>
    </w:p>
    <w:p w14:paraId="6F318F5A" w14:textId="39D7925C" w:rsidR="00C367CF" w:rsidRPr="00B605A2" w:rsidRDefault="00C367CF" w:rsidP="00C33096">
      <w:pPr>
        <w:autoSpaceDE w:val="0"/>
        <w:autoSpaceDN w:val="0"/>
        <w:adjustRightInd w:val="0"/>
        <w:spacing w:after="0" w:line="240" w:lineRule="auto"/>
        <w:ind w:hanging="11"/>
        <w:jc w:val="both"/>
        <w:rPr>
          <w:rFonts w:ascii="Arial" w:hAnsi="Arial" w:cs="Arial"/>
        </w:rPr>
      </w:pPr>
    </w:p>
    <w:p w14:paraId="5B555B71" w14:textId="31E5F270" w:rsidR="00C367CF" w:rsidRPr="00B605A2" w:rsidRDefault="00C367CF" w:rsidP="006972EA">
      <w:pPr>
        <w:pStyle w:val="ListParagraph"/>
        <w:numPr>
          <w:ilvl w:val="0"/>
          <w:numId w:val="7"/>
        </w:numPr>
        <w:autoSpaceDE w:val="0"/>
        <w:autoSpaceDN w:val="0"/>
        <w:adjustRightInd w:val="0"/>
        <w:spacing w:after="0" w:line="240" w:lineRule="auto"/>
        <w:ind w:left="1276" w:hanging="567"/>
        <w:jc w:val="both"/>
        <w:rPr>
          <w:rFonts w:ascii="Helvetica Neue" w:eastAsia="Times New Roman" w:hAnsi="Helvetica Neue"/>
          <w:u w:val="single"/>
        </w:rPr>
      </w:pPr>
      <w:r w:rsidRPr="00B605A2">
        <w:rPr>
          <w:rFonts w:ascii="Arial" w:hAnsi="Arial" w:cs="Arial"/>
        </w:rPr>
        <w:t xml:space="preserve">The service provider must also recognise and understand the Government </w:t>
      </w:r>
      <w:r w:rsidR="00C33096" w:rsidRPr="00B605A2">
        <w:rPr>
          <w:rFonts w:ascii="Arial" w:hAnsi="Arial" w:cs="Arial"/>
        </w:rPr>
        <w:t xml:space="preserve">  </w:t>
      </w:r>
      <w:r w:rsidRPr="00B605A2">
        <w:rPr>
          <w:rFonts w:ascii="Arial" w:hAnsi="Arial" w:cs="Arial"/>
        </w:rPr>
        <w:t xml:space="preserve">Security Classification policy and the classification of information. </w:t>
      </w:r>
    </w:p>
    <w:p w14:paraId="79EE8261" w14:textId="630E9CF9" w:rsidR="00AB75B4" w:rsidRPr="00B605A2" w:rsidRDefault="00AF30BA" w:rsidP="00E121B7">
      <w:pPr>
        <w:pStyle w:val="ListParagraph"/>
        <w:autoSpaceDE w:val="0"/>
        <w:autoSpaceDN w:val="0"/>
        <w:adjustRightInd w:val="0"/>
        <w:spacing w:after="0" w:line="240" w:lineRule="auto"/>
        <w:ind w:left="1276"/>
        <w:jc w:val="both"/>
        <w:rPr>
          <w:rFonts w:ascii="Helvetica Neue" w:hAnsi="Helvetica Neue"/>
          <w:u w:val="single"/>
        </w:rPr>
      </w:pPr>
      <w:hyperlink r:id="rId11" w:history="1">
        <w:r w:rsidR="00E121B7" w:rsidRPr="00B605A2">
          <w:rPr>
            <w:rStyle w:val="Hyperlink"/>
            <w:rFonts w:ascii="Helvetica Neue" w:hAnsi="Helvetica Neue"/>
          </w:rPr>
          <w:t>https://www.gov.uk/government/publications/government-security-classifications</w:t>
        </w:r>
      </w:hyperlink>
    </w:p>
    <w:p w14:paraId="010F0A0E" w14:textId="77777777" w:rsidR="00C367CF" w:rsidRPr="00B605A2" w:rsidRDefault="00C367CF" w:rsidP="00C33096">
      <w:pPr>
        <w:pStyle w:val="ListParagraph"/>
        <w:autoSpaceDE w:val="0"/>
        <w:autoSpaceDN w:val="0"/>
        <w:adjustRightInd w:val="0"/>
        <w:spacing w:after="0" w:line="240" w:lineRule="auto"/>
        <w:ind w:left="792" w:hanging="11"/>
        <w:jc w:val="both"/>
        <w:rPr>
          <w:rFonts w:ascii="Helvetica Neue" w:eastAsia="Times New Roman" w:hAnsi="Helvetica Neue"/>
          <w:u w:val="single"/>
        </w:rPr>
      </w:pPr>
    </w:p>
    <w:p w14:paraId="390167AB" w14:textId="523A9E91" w:rsidR="00C367CF" w:rsidRPr="00B605A2" w:rsidRDefault="00C367CF" w:rsidP="006972EA">
      <w:pPr>
        <w:pStyle w:val="ListParagraph"/>
        <w:numPr>
          <w:ilvl w:val="0"/>
          <w:numId w:val="7"/>
        </w:numPr>
        <w:autoSpaceDE w:val="0"/>
        <w:autoSpaceDN w:val="0"/>
        <w:adjustRightInd w:val="0"/>
        <w:spacing w:after="0" w:line="240" w:lineRule="auto"/>
        <w:ind w:left="1276" w:hanging="567"/>
        <w:jc w:val="both"/>
        <w:rPr>
          <w:rFonts w:ascii="Helvetica Neue" w:eastAsia="Times New Roman" w:hAnsi="Helvetica Neue"/>
          <w:u w:val="single"/>
        </w:rPr>
      </w:pPr>
      <w:r w:rsidRPr="00B605A2">
        <w:rPr>
          <w:rFonts w:ascii="Arial" w:hAnsi="Arial" w:cs="Arial"/>
        </w:rPr>
        <w:t xml:space="preserve">The service provider shall explain how they will dispose of/destroy any </w:t>
      </w:r>
      <w:r w:rsidR="00E121B7" w:rsidRPr="00B605A2">
        <w:rPr>
          <w:rFonts w:ascii="Arial" w:hAnsi="Arial" w:cs="Arial"/>
        </w:rPr>
        <w:t>personal information</w:t>
      </w:r>
      <w:r w:rsidRPr="00B605A2">
        <w:rPr>
          <w:rFonts w:ascii="Arial" w:hAnsi="Arial" w:cs="Arial"/>
        </w:rPr>
        <w:t xml:space="preserve"> collected during the life of the contract.</w:t>
      </w:r>
    </w:p>
    <w:p w14:paraId="05F2E7E3" w14:textId="77777777" w:rsidR="00C367CF" w:rsidRPr="00B605A2" w:rsidRDefault="00C367CF" w:rsidP="00C33096">
      <w:pPr>
        <w:autoSpaceDE w:val="0"/>
        <w:autoSpaceDN w:val="0"/>
        <w:adjustRightInd w:val="0"/>
        <w:spacing w:after="0" w:line="240" w:lineRule="auto"/>
        <w:ind w:hanging="11"/>
        <w:jc w:val="both"/>
        <w:rPr>
          <w:rFonts w:ascii="Helvetica Neue" w:eastAsia="Times New Roman" w:hAnsi="Helvetica Neue"/>
          <w:color w:val="1155CC"/>
          <w:u w:val="single"/>
        </w:rPr>
      </w:pPr>
    </w:p>
    <w:p w14:paraId="52B6A975" w14:textId="7ADE3179" w:rsidR="00C367CF" w:rsidRPr="00B605A2" w:rsidRDefault="0005297D" w:rsidP="006972EA">
      <w:pPr>
        <w:pStyle w:val="ListParagraph"/>
        <w:numPr>
          <w:ilvl w:val="0"/>
          <w:numId w:val="7"/>
        </w:numPr>
        <w:ind w:left="1276" w:hanging="567"/>
        <w:jc w:val="both"/>
        <w:rPr>
          <w:rFonts w:ascii="Arial" w:hAnsi="Arial" w:cs="Arial"/>
        </w:rPr>
      </w:pPr>
      <w:r w:rsidRPr="00B605A2">
        <w:rPr>
          <w:rFonts w:ascii="Arial" w:hAnsi="Arial" w:cs="Arial"/>
        </w:rPr>
        <w:lastRenderedPageBreak/>
        <w:t>Additionally,</w:t>
      </w:r>
      <w:r w:rsidR="00C367CF" w:rsidRPr="00B605A2">
        <w:rPr>
          <w:rFonts w:ascii="Arial" w:hAnsi="Arial" w:cs="Arial"/>
        </w:rPr>
        <w:t xml:space="preserve"> please can you clarify how Government and industry best practice will be met in the design and implementation of system components, including network principles, security design principles for digital services. Included are </w:t>
      </w:r>
      <w:proofErr w:type="gramStart"/>
      <w:r w:rsidR="00C367CF" w:rsidRPr="00B605A2">
        <w:rPr>
          <w:rFonts w:ascii="Arial" w:hAnsi="Arial" w:cs="Arial"/>
        </w:rPr>
        <w:t>a number of</w:t>
      </w:r>
      <w:proofErr w:type="gramEnd"/>
      <w:r w:rsidR="00C367CF" w:rsidRPr="00B605A2">
        <w:rPr>
          <w:rFonts w:ascii="Arial" w:hAnsi="Arial" w:cs="Arial"/>
        </w:rPr>
        <w:t xml:space="preserve"> applicable links for reference. Further guidance can be found on the National Cyber Security Centre’s website.</w:t>
      </w:r>
    </w:p>
    <w:p w14:paraId="5574F097" w14:textId="7DAF3985" w:rsidR="001927EF" w:rsidRPr="00B605A2" w:rsidRDefault="0005297D" w:rsidP="006972EA">
      <w:pPr>
        <w:pStyle w:val="NormalWeb"/>
        <w:numPr>
          <w:ilvl w:val="0"/>
          <w:numId w:val="8"/>
        </w:numPr>
        <w:spacing w:after="120"/>
        <w:ind w:left="1276" w:hanging="567"/>
        <w:jc w:val="both"/>
        <w:rPr>
          <w:rFonts w:ascii="Arial" w:hAnsi="Arial" w:cs="Arial"/>
          <w:sz w:val="22"/>
          <w:szCs w:val="22"/>
        </w:rPr>
      </w:pPr>
      <w:r w:rsidRPr="00B605A2">
        <w:rPr>
          <w:rFonts w:ascii="Arial" w:hAnsi="Arial" w:cs="Arial"/>
          <w:sz w:val="22"/>
          <w:szCs w:val="22"/>
        </w:rPr>
        <w:t>F</w:t>
      </w:r>
      <w:r w:rsidR="00C367CF" w:rsidRPr="00B605A2">
        <w:rPr>
          <w:rFonts w:ascii="Arial" w:hAnsi="Arial" w:cs="Arial"/>
          <w:sz w:val="22"/>
          <w:szCs w:val="22"/>
        </w:rPr>
        <w:t xml:space="preserve">ollowing the </w:t>
      </w:r>
      <w:r w:rsidR="00C367CF" w:rsidRPr="00B605A2">
        <w:rPr>
          <w:rFonts w:ascii="Arial" w:eastAsia="Helvetica Neue" w:hAnsi="Arial" w:cs="Arial"/>
          <w:sz w:val="22"/>
          <w:szCs w:val="22"/>
        </w:rPr>
        <w:t>National Cyber Security Centre’s (</w:t>
      </w:r>
      <w:r w:rsidR="00C367CF" w:rsidRPr="00B605A2">
        <w:rPr>
          <w:rFonts w:ascii="Arial" w:hAnsi="Arial" w:cs="Arial"/>
          <w:sz w:val="22"/>
          <w:szCs w:val="22"/>
        </w:rPr>
        <w:t xml:space="preserve">NCSC) Secure design principles for digital services: </w:t>
      </w:r>
      <w:hyperlink r:id="rId12" w:history="1">
        <w:r w:rsidR="001927EF" w:rsidRPr="00B605A2">
          <w:rPr>
            <w:rStyle w:val="Hyperlink"/>
            <w:rFonts w:ascii="Arial" w:hAnsi="Arial" w:cs="Arial"/>
          </w:rPr>
          <w:t>https://www.ncsc.gov.uk/collection/security-design-principles-digital-services-main</w:t>
        </w:r>
      </w:hyperlink>
    </w:p>
    <w:p w14:paraId="5A9CF3F2" w14:textId="23E162C8" w:rsidR="00C367CF" w:rsidRPr="00B605A2" w:rsidRDefault="00ED4F8B" w:rsidP="006972EA">
      <w:pPr>
        <w:pStyle w:val="NormalWeb"/>
        <w:numPr>
          <w:ilvl w:val="0"/>
          <w:numId w:val="8"/>
        </w:numPr>
        <w:spacing w:before="0" w:beforeAutospacing="0" w:after="120" w:afterAutospacing="0"/>
        <w:ind w:left="1276" w:hanging="567"/>
        <w:jc w:val="both"/>
        <w:rPr>
          <w:rFonts w:ascii="Arial" w:hAnsi="Arial" w:cs="Arial"/>
          <w:sz w:val="22"/>
          <w:szCs w:val="22"/>
        </w:rPr>
      </w:pPr>
      <w:r w:rsidRPr="00B605A2">
        <w:rPr>
          <w:rFonts w:ascii="Arial" w:hAnsi="Arial" w:cs="Arial"/>
          <w:sz w:val="22"/>
          <w:szCs w:val="22"/>
        </w:rPr>
        <w:t>E</w:t>
      </w:r>
      <w:r w:rsidR="00C367CF" w:rsidRPr="00B605A2">
        <w:rPr>
          <w:rFonts w:ascii="Arial" w:hAnsi="Arial" w:cs="Arial"/>
          <w:sz w:val="22"/>
          <w:szCs w:val="22"/>
        </w:rPr>
        <w:t>nsuring applications meets Level 2 of the OWASP Application Security Verification Standard:</w:t>
      </w:r>
      <w:r w:rsidR="00AB75B4" w:rsidRPr="00B605A2">
        <w:rPr>
          <w:rFonts w:ascii="Arial" w:hAnsi="Arial" w:cs="Arial"/>
          <w:sz w:val="22"/>
          <w:szCs w:val="22"/>
        </w:rPr>
        <w:t xml:space="preserve"> </w:t>
      </w:r>
      <w:hyperlink r:id="rId13" w:anchor="tab=Downloads" w:history="1">
        <w:r w:rsidR="00AB75B4" w:rsidRPr="00B605A2">
          <w:rPr>
            <w:rStyle w:val="Hyperlink"/>
            <w:rFonts w:ascii="Arial" w:hAnsi="Arial" w:cs="Arial"/>
            <w:sz w:val="22"/>
            <w:szCs w:val="22"/>
          </w:rPr>
          <w:t>https://www.owasp.org/index.php/Category:OWASP_Application_Security_Verification_Standard_Project#tab=Downloads</w:t>
        </w:r>
      </w:hyperlink>
    </w:p>
    <w:p w14:paraId="52477D8E" w14:textId="023B5B87" w:rsidR="00C367CF" w:rsidRPr="00B605A2" w:rsidRDefault="00AB75B4" w:rsidP="00ED4F8B">
      <w:pPr>
        <w:pStyle w:val="NormalWeb"/>
        <w:spacing w:before="0" w:beforeAutospacing="0" w:after="120" w:afterAutospacing="0"/>
        <w:ind w:left="1276" w:hanging="567"/>
        <w:jc w:val="both"/>
        <w:rPr>
          <w:rStyle w:val="Hyperlink"/>
          <w:rFonts w:ascii="Arial" w:hAnsi="Arial" w:cs="Arial"/>
          <w:color w:val="auto"/>
          <w:sz w:val="22"/>
          <w:szCs w:val="22"/>
          <w:u w:val="none"/>
        </w:rPr>
      </w:pPr>
      <w:r w:rsidRPr="00B605A2">
        <w:rPr>
          <w:rFonts w:ascii="Arial" w:hAnsi="Arial" w:cs="Arial"/>
          <w:sz w:val="22"/>
          <w:szCs w:val="22"/>
        </w:rPr>
        <w:t>h.</w:t>
      </w:r>
      <w:r w:rsidRPr="00B605A2">
        <w:rPr>
          <w:rFonts w:ascii="Arial" w:hAnsi="Arial" w:cs="Arial"/>
          <w:sz w:val="22"/>
          <w:szCs w:val="22"/>
        </w:rPr>
        <w:tab/>
        <w:t>E</w:t>
      </w:r>
      <w:r w:rsidR="00C367CF" w:rsidRPr="00B605A2">
        <w:rPr>
          <w:rFonts w:ascii="Arial" w:hAnsi="Arial" w:cs="Arial"/>
          <w:sz w:val="22"/>
          <w:szCs w:val="22"/>
        </w:rPr>
        <w:t xml:space="preserve">nsuring service administration architectures follow NCSC principles:       </w:t>
      </w:r>
      <w:hyperlink r:id="rId14" w:history="1">
        <w:r w:rsidRPr="00B605A2">
          <w:rPr>
            <w:rStyle w:val="Hyperlink"/>
            <w:rFonts w:ascii="Arial" w:hAnsi="Arial" w:cs="Arial"/>
            <w:sz w:val="22"/>
            <w:szCs w:val="22"/>
          </w:rPr>
          <w:t>https://www.ncsc.gov.uk/guidance/systems-administration-architectures</w:t>
        </w:r>
      </w:hyperlink>
    </w:p>
    <w:p w14:paraId="31161430" w14:textId="77777777" w:rsidR="00ED4F8B" w:rsidRPr="00B605A2" w:rsidRDefault="00AB75B4" w:rsidP="00ED4F8B">
      <w:pPr>
        <w:autoSpaceDE w:val="0"/>
        <w:autoSpaceDN w:val="0"/>
        <w:adjustRightInd w:val="0"/>
        <w:spacing w:after="0" w:line="240" w:lineRule="auto"/>
        <w:ind w:left="1276" w:hanging="567"/>
        <w:jc w:val="both"/>
        <w:rPr>
          <w:rFonts w:ascii="Arial" w:eastAsia="Helvetica Neue" w:hAnsi="Arial" w:cs="Arial"/>
        </w:rPr>
      </w:pPr>
      <w:proofErr w:type="spellStart"/>
      <w:r w:rsidRPr="00B605A2">
        <w:rPr>
          <w:rFonts w:ascii="Arial" w:eastAsia="Helvetica Neue" w:hAnsi="Arial" w:cs="Arial"/>
        </w:rPr>
        <w:t>i</w:t>
      </w:r>
      <w:proofErr w:type="spellEnd"/>
      <w:r w:rsidRPr="00B605A2">
        <w:rPr>
          <w:rFonts w:ascii="Arial" w:eastAsia="Helvetica Neue" w:hAnsi="Arial" w:cs="Arial"/>
        </w:rPr>
        <w:t>.</w:t>
      </w:r>
      <w:r w:rsidRPr="00B605A2">
        <w:rPr>
          <w:rFonts w:ascii="Arial" w:eastAsia="Helvetica Neue" w:hAnsi="Arial" w:cs="Arial"/>
        </w:rPr>
        <w:tab/>
        <w:t>T</w:t>
      </w:r>
      <w:r w:rsidR="00C367CF" w:rsidRPr="00B605A2">
        <w:rPr>
          <w:rFonts w:ascii="Arial" w:eastAsia="Helvetica Neue" w:hAnsi="Arial" w:cs="Arial"/>
        </w:rPr>
        <w:t>he security requirements of cloud services using the NCSC Cloud Security Principles</w:t>
      </w:r>
      <w:r w:rsidR="00ED4F8B" w:rsidRPr="00B605A2">
        <w:rPr>
          <w:rFonts w:ascii="Arial" w:eastAsia="Helvetica Neue" w:hAnsi="Arial" w:cs="Arial"/>
        </w:rPr>
        <w:t xml:space="preserve"> </w:t>
      </w:r>
      <w:r w:rsidR="00C367CF" w:rsidRPr="00B605A2">
        <w:rPr>
          <w:rFonts w:ascii="Arial" w:eastAsia="Helvetica Neue" w:hAnsi="Arial" w:cs="Arial"/>
        </w:rPr>
        <w:t xml:space="preserve">and accompanying guidance at </w:t>
      </w:r>
    </w:p>
    <w:p w14:paraId="7105581F" w14:textId="43A0FB42" w:rsidR="008555CE" w:rsidRPr="00B605A2" w:rsidRDefault="00AF30BA" w:rsidP="00171125">
      <w:pPr>
        <w:autoSpaceDE w:val="0"/>
        <w:autoSpaceDN w:val="0"/>
        <w:adjustRightInd w:val="0"/>
        <w:spacing w:after="0" w:line="240" w:lineRule="auto"/>
        <w:ind w:left="1134" w:firstLine="142"/>
        <w:jc w:val="both"/>
        <w:rPr>
          <w:rStyle w:val="Hyperlink"/>
          <w:rFonts w:ascii="Arial" w:eastAsia="Helvetica Neue" w:hAnsi="Arial" w:cs="Arial"/>
          <w:color w:val="1155CC"/>
        </w:rPr>
      </w:pPr>
      <w:hyperlink r:id="rId15" w:history="1">
        <w:r w:rsidR="00171125" w:rsidRPr="00B605A2">
          <w:rPr>
            <w:rStyle w:val="Hyperlink"/>
            <w:rFonts w:ascii="Arial" w:eastAsia="Helvetica Neue" w:hAnsi="Arial" w:cs="Arial"/>
          </w:rPr>
          <w:t>https://www.ncsc.gov.uk/guidance/implementing-cloud-security-principles</w:t>
        </w:r>
      </w:hyperlink>
    </w:p>
    <w:p w14:paraId="2BE4C6C8" w14:textId="77777777" w:rsidR="00074B7C" w:rsidRDefault="00074B7C" w:rsidP="0009324C">
      <w:pPr>
        <w:spacing w:before="120" w:after="120" w:line="240" w:lineRule="auto"/>
        <w:jc w:val="both"/>
        <w:outlineLvl w:val="1"/>
        <w:rPr>
          <w:rFonts w:ascii="Arial" w:eastAsia="Calibri" w:hAnsi="Arial" w:cs="Arial"/>
          <w:b/>
          <w:lang w:eastAsia="en-GB"/>
        </w:rPr>
      </w:pPr>
      <w:bookmarkStart w:id="10" w:name="_Toc534793330"/>
    </w:p>
    <w:p w14:paraId="092E5037" w14:textId="50B4B768" w:rsidR="003257D9" w:rsidRDefault="003257D9" w:rsidP="003257D9">
      <w:pPr>
        <w:spacing w:before="120" w:after="120" w:line="240" w:lineRule="auto"/>
        <w:ind w:left="432" w:hanging="432"/>
        <w:jc w:val="both"/>
        <w:outlineLvl w:val="1"/>
        <w:rPr>
          <w:rFonts w:ascii="Arial" w:eastAsia="Calibri" w:hAnsi="Arial" w:cs="Arial"/>
          <w:b/>
          <w:lang w:eastAsia="en-GB"/>
        </w:rPr>
      </w:pPr>
      <w:r w:rsidRPr="00B605A2">
        <w:rPr>
          <w:rFonts w:ascii="Arial" w:eastAsia="Calibri" w:hAnsi="Arial" w:cs="Arial"/>
          <w:b/>
          <w:lang w:eastAsia="en-GB"/>
        </w:rPr>
        <w:t>Point(s) of Contact</w:t>
      </w:r>
      <w:bookmarkEnd w:id="10"/>
    </w:p>
    <w:p w14:paraId="3FED0392" w14:textId="77777777" w:rsidR="0009324C" w:rsidRPr="00B605A2" w:rsidRDefault="0009324C" w:rsidP="003257D9">
      <w:pPr>
        <w:spacing w:before="120" w:after="120" w:line="240" w:lineRule="auto"/>
        <w:ind w:left="432" w:hanging="432"/>
        <w:jc w:val="both"/>
        <w:outlineLvl w:val="1"/>
        <w:rPr>
          <w:rFonts w:ascii="Arial" w:eastAsia="Calibri" w:hAnsi="Arial" w:cs="Arial"/>
          <w:b/>
          <w:lang w:eastAsia="en-GB"/>
        </w:rPr>
      </w:pPr>
    </w:p>
    <w:p w14:paraId="50C7FA7D" w14:textId="55EAD074" w:rsidR="003257D9" w:rsidRPr="00B605A2" w:rsidRDefault="003257D9" w:rsidP="006972EA">
      <w:pPr>
        <w:pStyle w:val="ListParagraph"/>
        <w:numPr>
          <w:ilvl w:val="0"/>
          <w:numId w:val="13"/>
        </w:numPr>
        <w:spacing w:before="120" w:after="120" w:line="240" w:lineRule="auto"/>
        <w:ind w:left="709" w:hanging="709"/>
        <w:jc w:val="both"/>
        <w:rPr>
          <w:rFonts w:ascii="Arial" w:eastAsia="Calibri" w:hAnsi="Arial" w:cs="Arial"/>
          <w:lang w:eastAsia="en-GB"/>
        </w:rPr>
      </w:pPr>
      <w:r w:rsidRPr="00B605A2">
        <w:rPr>
          <w:rFonts w:ascii="Arial" w:eastAsia="Calibri" w:hAnsi="Arial" w:cs="Arial"/>
          <w:lang w:eastAsia="en-GB"/>
        </w:rPr>
        <w:t xml:space="preserve">For the purpose of this procurement exercise, all queries/questions should be directed to </w:t>
      </w:r>
      <w:hyperlink r:id="rId16" w:history="1">
        <w:r w:rsidR="00AE34BB" w:rsidRPr="00AB615D">
          <w:rPr>
            <w:rStyle w:val="Hyperlink"/>
            <w:rFonts w:ascii="Arial" w:hAnsi="Arial" w:cs="Arial"/>
          </w:rPr>
          <w:t>contracts@mcga.gov.uk</w:t>
        </w:r>
      </w:hyperlink>
      <w:r w:rsidRPr="00B605A2">
        <w:rPr>
          <w:rFonts w:ascii="Arial" w:eastAsia="Calibri" w:hAnsi="Arial" w:cs="Arial"/>
          <w:lang w:eastAsia="en-GB"/>
        </w:rPr>
        <w:t xml:space="preserve"> </w:t>
      </w:r>
      <w:r w:rsidR="00074B7C" w:rsidRPr="00074B7C">
        <w:rPr>
          <w:rFonts w:ascii="Arial" w:eastAsia="Calibri" w:hAnsi="Arial" w:cs="Arial"/>
          <w:lang w:eastAsia="en-GB"/>
        </w:rPr>
        <w:t>and should contain the reference number or title of the contract.</w:t>
      </w:r>
    </w:p>
    <w:p w14:paraId="7711A68A" w14:textId="77777777" w:rsidR="003257D9" w:rsidRPr="008D4855" w:rsidRDefault="003257D9" w:rsidP="008A2449">
      <w:pPr>
        <w:keepLines/>
        <w:numPr>
          <w:ilvl w:val="12"/>
          <w:numId w:val="0"/>
        </w:numPr>
        <w:suppressLineNumbers/>
        <w:suppressAutoHyphens/>
        <w:spacing w:before="120" w:after="0" w:line="240" w:lineRule="auto"/>
        <w:ind w:left="720"/>
        <w:jc w:val="both"/>
        <w:rPr>
          <w:rFonts w:ascii="Arial" w:hAnsi="Arial" w:cs="Arial"/>
        </w:rPr>
      </w:pPr>
    </w:p>
    <w:sectPr w:rsidR="003257D9" w:rsidRPr="008D4855" w:rsidSect="00664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96C15"/>
    <w:multiLevelType w:val="hybridMultilevel"/>
    <w:tmpl w:val="536A6278"/>
    <w:lvl w:ilvl="0" w:tplc="76D6868C">
      <w:start w:val="16"/>
      <w:numFmt w:val="decimal"/>
      <w:lvlText w:val="%1."/>
      <w:lvlJc w:val="left"/>
      <w:pPr>
        <w:ind w:left="1095"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CB6B7F"/>
    <w:multiLevelType w:val="hybridMultilevel"/>
    <w:tmpl w:val="5D307E0C"/>
    <w:lvl w:ilvl="0" w:tplc="7C240452">
      <w:start w:val="6"/>
      <w:numFmt w:val="lowerLetter"/>
      <w:lvlText w:val="%1."/>
      <w:lvlJc w:val="left"/>
      <w:pPr>
        <w:ind w:left="107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521F97"/>
    <w:multiLevelType w:val="hybridMultilevel"/>
    <w:tmpl w:val="8FFC5620"/>
    <w:lvl w:ilvl="0" w:tplc="F576736C">
      <w:start w:val="1"/>
      <w:numFmt w:val="lowerLetter"/>
      <w:lvlText w:val="%1."/>
      <w:lvlJc w:val="left"/>
      <w:pPr>
        <w:ind w:left="1095" w:hanging="36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3" w15:restartNumberingAfterBreak="0">
    <w:nsid w:val="1DA57E55"/>
    <w:multiLevelType w:val="hybridMultilevel"/>
    <w:tmpl w:val="D43481A8"/>
    <w:lvl w:ilvl="0" w:tplc="5558826E">
      <w:start w:val="46"/>
      <w:numFmt w:val="decimal"/>
      <w:lvlText w:val="%1."/>
      <w:lvlJc w:val="left"/>
      <w:pPr>
        <w:ind w:left="1095"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5" w15:restartNumberingAfterBreak="0">
    <w:nsid w:val="305D122C"/>
    <w:multiLevelType w:val="hybridMultilevel"/>
    <w:tmpl w:val="B73273AC"/>
    <w:lvl w:ilvl="0" w:tplc="0FB63346">
      <w:start w:val="24"/>
      <w:numFmt w:val="decimal"/>
      <w:lvlText w:val="%1."/>
      <w:lvlJc w:val="left"/>
      <w:pPr>
        <w:ind w:left="1095"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9B4856"/>
    <w:multiLevelType w:val="hybridMultilevel"/>
    <w:tmpl w:val="B9DA8B8A"/>
    <w:lvl w:ilvl="0" w:tplc="203E4C66">
      <w:start w:val="34"/>
      <w:numFmt w:val="decimal"/>
      <w:lvlText w:val="%1."/>
      <w:lvlJc w:val="left"/>
      <w:pPr>
        <w:ind w:left="144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830097"/>
    <w:multiLevelType w:val="hybridMultilevel"/>
    <w:tmpl w:val="8E665852"/>
    <w:lvl w:ilvl="0" w:tplc="08090019">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194950"/>
    <w:multiLevelType w:val="hybridMultilevel"/>
    <w:tmpl w:val="87AAF14E"/>
    <w:lvl w:ilvl="0" w:tplc="2E12B956">
      <w:start w:val="43"/>
      <w:numFmt w:val="decimal"/>
      <w:lvlText w:val="%1."/>
      <w:lvlJc w:val="left"/>
      <w:pPr>
        <w:ind w:left="144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840B7B"/>
    <w:multiLevelType w:val="multilevel"/>
    <w:tmpl w:val="9B1CF228"/>
    <w:numStyleLink w:val="Definitions"/>
  </w:abstractNum>
  <w:abstractNum w:abstractNumId="10" w15:restartNumberingAfterBreak="0">
    <w:nsid w:val="54DD6276"/>
    <w:multiLevelType w:val="hybridMultilevel"/>
    <w:tmpl w:val="24CE3EF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75382EB7"/>
    <w:multiLevelType w:val="hybridMultilevel"/>
    <w:tmpl w:val="99560F72"/>
    <w:lvl w:ilvl="0" w:tplc="E188E3EA">
      <w:start w:val="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AC0386"/>
    <w:multiLevelType w:val="hybridMultilevel"/>
    <w:tmpl w:val="9006DDF2"/>
    <w:lvl w:ilvl="0" w:tplc="EC3418B2">
      <w:start w:val="3"/>
      <w:numFmt w:val="lowerLetter"/>
      <w:lvlText w:val="%1."/>
      <w:lvlJc w:val="left"/>
      <w:pPr>
        <w:ind w:left="109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0"/>
  </w:num>
  <w:num w:numId="3">
    <w:abstractNumId w:val="11"/>
  </w:num>
  <w:num w:numId="4">
    <w:abstractNumId w:val="12"/>
  </w:num>
  <w:num w:numId="5">
    <w:abstractNumId w:val="4"/>
  </w:num>
  <w:num w:numId="6">
    <w:abstractNumId w:val="9"/>
  </w:num>
  <w:num w:numId="7">
    <w:abstractNumId w:val="7"/>
  </w:num>
  <w:num w:numId="8">
    <w:abstractNumId w:val="1"/>
  </w:num>
  <w:num w:numId="9">
    <w:abstractNumId w:val="0"/>
  </w:num>
  <w:num w:numId="10">
    <w:abstractNumId w:val="6"/>
  </w:num>
  <w:num w:numId="11">
    <w:abstractNumId w:val="8"/>
  </w:num>
  <w:num w:numId="12">
    <w:abstractNumId w:val="5"/>
  </w:num>
  <w:num w:numId="1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363"/>
    <w:rsid w:val="000515F4"/>
    <w:rsid w:val="0005187A"/>
    <w:rsid w:val="0005297D"/>
    <w:rsid w:val="00074B7C"/>
    <w:rsid w:val="00075489"/>
    <w:rsid w:val="00076613"/>
    <w:rsid w:val="00091102"/>
    <w:rsid w:val="0009324C"/>
    <w:rsid w:val="000F28F6"/>
    <w:rsid w:val="000F3750"/>
    <w:rsid w:val="00110A2E"/>
    <w:rsid w:val="00114363"/>
    <w:rsid w:val="00123F3A"/>
    <w:rsid w:val="0016083B"/>
    <w:rsid w:val="00171125"/>
    <w:rsid w:val="00175AF6"/>
    <w:rsid w:val="00182788"/>
    <w:rsid w:val="001839D4"/>
    <w:rsid w:val="001927EF"/>
    <w:rsid w:val="001A1BF8"/>
    <w:rsid w:val="001C2600"/>
    <w:rsid w:val="001D6C07"/>
    <w:rsid w:val="001F2711"/>
    <w:rsid w:val="001F31B3"/>
    <w:rsid w:val="001F3EED"/>
    <w:rsid w:val="00200848"/>
    <w:rsid w:val="002250E2"/>
    <w:rsid w:val="00251D8D"/>
    <w:rsid w:val="00253615"/>
    <w:rsid w:val="00272416"/>
    <w:rsid w:val="00276EF5"/>
    <w:rsid w:val="002836A0"/>
    <w:rsid w:val="002B17E4"/>
    <w:rsid w:val="002B4107"/>
    <w:rsid w:val="003141AE"/>
    <w:rsid w:val="00324364"/>
    <w:rsid w:val="003257D9"/>
    <w:rsid w:val="003462C7"/>
    <w:rsid w:val="00352934"/>
    <w:rsid w:val="00365031"/>
    <w:rsid w:val="0038304D"/>
    <w:rsid w:val="003864EF"/>
    <w:rsid w:val="003939C2"/>
    <w:rsid w:val="003B28F9"/>
    <w:rsid w:val="003D33E4"/>
    <w:rsid w:val="0045332B"/>
    <w:rsid w:val="0046146E"/>
    <w:rsid w:val="00462784"/>
    <w:rsid w:val="00463459"/>
    <w:rsid w:val="00473952"/>
    <w:rsid w:val="004C5F27"/>
    <w:rsid w:val="004F2DAE"/>
    <w:rsid w:val="004F5847"/>
    <w:rsid w:val="00526C57"/>
    <w:rsid w:val="00530972"/>
    <w:rsid w:val="00542192"/>
    <w:rsid w:val="005716F8"/>
    <w:rsid w:val="00571DAC"/>
    <w:rsid w:val="0058366D"/>
    <w:rsid w:val="005B715B"/>
    <w:rsid w:val="005D2D9E"/>
    <w:rsid w:val="006002E3"/>
    <w:rsid w:val="00600DA5"/>
    <w:rsid w:val="00612C60"/>
    <w:rsid w:val="00613720"/>
    <w:rsid w:val="00664266"/>
    <w:rsid w:val="00672510"/>
    <w:rsid w:val="006819A5"/>
    <w:rsid w:val="006972EA"/>
    <w:rsid w:val="006A2AA0"/>
    <w:rsid w:val="006A2F37"/>
    <w:rsid w:val="006C0CBF"/>
    <w:rsid w:val="006C2B6A"/>
    <w:rsid w:val="006D057C"/>
    <w:rsid w:val="006D26B3"/>
    <w:rsid w:val="00711C3B"/>
    <w:rsid w:val="0072570A"/>
    <w:rsid w:val="00740EF7"/>
    <w:rsid w:val="00747486"/>
    <w:rsid w:val="00754830"/>
    <w:rsid w:val="00763A8A"/>
    <w:rsid w:val="007E4C8E"/>
    <w:rsid w:val="007E602F"/>
    <w:rsid w:val="008555CE"/>
    <w:rsid w:val="008A18A0"/>
    <w:rsid w:val="008A2449"/>
    <w:rsid w:val="008C32EF"/>
    <w:rsid w:val="008D4855"/>
    <w:rsid w:val="008E452F"/>
    <w:rsid w:val="008E5471"/>
    <w:rsid w:val="008F090A"/>
    <w:rsid w:val="00901BF1"/>
    <w:rsid w:val="009224D6"/>
    <w:rsid w:val="00954773"/>
    <w:rsid w:val="0096086C"/>
    <w:rsid w:val="00976DA1"/>
    <w:rsid w:val="009B1543"/>
    <w:rsid w:val="009B7C91"/>
    <w:rsid w:val="00A05800"/>
    <w:rsid w:val="00A353EE"/>
    <w:rsid w:val="00A713BE"/>
    <w:rsid w:val="00A76ECE"/>
    <w:rsid w:val="00A77F53"/>
    <w:rsid w:val="00AB1B4D"/>
    <w:rsid w:val="00AB75B4"/>
    <w:rsid w:val="00AE34BB"/>
    <w:rsid w:val="00AE4571"/>
    <w:rsid w:val="00AE5E92"/>
    <w:rsid w:val="00AF30BA"/>
    <w:rsid w:val="00B0023D"/>
    <w:rsid w:val="00B03B80"/>
    <w:rsid w:val="00B362C1"/>
    <w:rsid w:val="00B421AF"/>
    <w:rsid w:val="00B503F9"/>
    <w:rsid w:val="00B55C88"/>
    <w:rsid w:val="00B605A2"/>
    <w:rsid w:val="00B63247"/>
    <w:rsid w:val="00B85D2A"/>
    <w:rsid w:val="00BC1E64"/>
    <w:rsid w:val="00BC2955"/>
    <w:rsid w:val="00BC5B25"/>
    <w:rsid w:val="00BC5C1E"/>
    <w:rsid w:val="00BD1C0F"/>
    <w:rsid w:val="00BE6703"/>
    <w:rsid w:val="00BF10F1"/>
    <w:rsid w:val="00C33096"/>
    <w:rsid w:val="00C367CF"/>
    <w:rsid w:val="00C40A10"/>
    <w:rsid w:val="00C5322D"/>
    <w:rsid w:val="00C85D8A"/>
    <w:rsid w:val="00C87CCD"/>
    <w:rsid w:val="00CA4F82"/>
    <w:rsid w:val="00CC688D"/>
    <w:rsid w:val="00CE7D49"/>
    <w:rsid w:val="00CF08A4"/>
    <w:rsid w:val="00D37FDF"/>
    <w:rsid w:val="00D56170"/>
    <w:rsid w:val="00D76D88"/>
    <w:rsid w:val="00D802FF"/>
    <w:rsid w:val="00DA05A2"/>
    <w:rsid w:val="00DA7DD0"/>
    <w:rsid w:val="00DF3175"/>
    <w:rsid w:val="00E0738C"/>
    <w:rsid w:val="00E117E3"/>
    <w:rsid w:val="00E121B7"/>
    <w:rsid w:val="00E27958"/>
    <w:rsid w:val="00E50670"/>
    <w:rsid w:val="00EB090C"/>
    <w:rsid w:val="00EC3B94"/>
    <w:rsid w:val="00ED4F8B"/>
    <w:rsid w:val="00EE6B20"/>
    <w:rsid w:val="00EF3C3C"/>
    <w:rsid w:val="00F03D83"/>
    <w:rsid w:val="00F1265D"/>
    <w:rsid w:val="00F14C0F"/>
    <w:rsid w:val="00F2095F"/>
    <w:rsid w:val="00F23267"/>
    <w:rsid w:val="00F259CB"/>
    <w:rsid w:val="00F31DD9"/>
    <w:rsid w:val="00F50E5A"/>
    <w:rsid w:val="00F55A6C"/>
    <w:rsid w:val="00F63BFD"/>
    <w:rsid w:val="00F94A87"/>
    <w:rsid w:val="00FA0332"/>
    <w:rsid w:val="00FB2546"/>
    <w:rsid w:val="00FB5886"/>
    <w:rsid w:val="00FC4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7FE65"/>
  <w15:chartTrackingRefBased/>
  <w15:docId w15:val="{1461530A-B3FF-448C-83F8-7F0D9BCF0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363"/>
    <w:pPr>
      <w:spacing w:after="160" w:line="259" w:lineRule="auto"/>
    </w:pPr>
    <w:rPr>
      <w:lang w:val="en-GB"/>
    </w:rPr>
  </w:style>
  <w:style w:type="paragraph" w:styleId="Heading1">
    <w:name w:val="heading 1"/>
    <w:basedOn w:val="Normal"/>
    <w:next w:val="Normal"/>
    <w:link w:val="Heading1Char"/>
    <w:qFormat/>
    <w:rsid w:val="008D4855"/>
    <w:pPr>
      <w:keepNext/>
      <w:keepLines/>
      <w:suppressLineNumbers/>
      <w:suppressAutoHyphens/>
      <w:spacing w:before="60" w:after="60" w:line="240" w:lineRule="auto"/>
      <w:ind w:right="142"/>
      <w:jc w:val="center"/>
      <w:outlineLvl w:val="0"/>
    </w:pPr>
    <w:rPr>
      <w:rFonts w:ascii="Arial" w:eastAsia="Times New Roman" w:hAnsi="Arial" w:cs="Times New Roman"/>
      <w:b/>
      <w:sz w:val="20"/>
      <w:szCs w:val="20"/>
      <w:lang w:eastAsia="en-GB"/>
    </w:rPr>
  </w:style>
  <w:style w:type="paragraph" w:styleId="Heading2">
    <w:name w:val="heading 2"/>
    <w:basedOn w:val="Normal"/>
    <w:next w:val="Normal"/>
    <w:link w:val="Heading2Char"/>
    <w:unhideWhenUsed/>
    <w:qFormat/>
    <w:rsid w:val="003257D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14363"/>
    <w:pPr>
      <w:ind w:left="720"/>
      <w:contextualSpacing/>
    </w:pPr>
  </w:style>
  <w:style w:type="character" w:customStyle="1" w:styleId="Heading1Char">
    <w:name w:val="Heading 1 Char"/>
    <w:basedOn w:val="DefaultParagraphFont"/>
    <w:link w:val="Heading1"/>
    <w:rsid w:val="008D4855"/>
    <w:rPr>
      <w:rFonts w:ascii="Arial" w:eastAsia="Times New Roman" w:hAnsi="Arial" w:cs="Times New Roman"/>
      <w:b/>
      <w:sz w:val="20"/>
      <w:szCs w:val="20"/>
      <w:lang w:val="en-GB" w:eastAsia="en-GB"/>
    </w:rPr>
  </w:style>
  <w:style w:type="character" w:styleId="Hyperlink">
    <w:name w:val="Hyperlink"/>
    <w:rsid w:val="008D4855"/>
    <w:rPr>
      <w:color w:val="0000FF"/>
      <w:u w:val="single"/>
    </w:rPr>
  </w:style>
  <w:style w:type="paragraph" w:customStyle="1" w:styleId="DfTLevel1">
    <w:name w:val="DfT Level 1"/>
    <w:basedOn w:val="Normal"/>
    <w:rsid w:val="008D4855"/>
    <w:pPr>
      <w:tabs>
        <w:tab w:val="left" w:pos="-720"/>
      </w:tabs>
      <w:suppressAutoHyphens/>
      <w:spacing w:after="240" w:line="240" w:lineRule="auto"/>
    </w:pPr>
    <w:rPr>
      <w:rFonts w:ascii="Arial" w:eastAsia="Times New Roman" w:hAnsi="Arial" w:cs="Times New Roman"/>
      <w:spacing w:val="-2"/>
      <w:sz w:val="24"/>
      <w:szCs w:val="20"/>
      <w:lang w:eastAsia="en-GB"/>
    </w:rPr>
  </w:style>
  <w:style w:type="character" w:styleId="UnresolvedMention">
    <w:name w:val="Unresolved Mention"/>
    <w:basedOn w:val="DefaultParagraphFont"/>
    <w:uiPriority w:val="99"/>
    <w:semiHidden/>
    <w:unhideWhenUsed/>
    <w:rsid w:val="00463459"/>
    <w:rPr>
      <w:color w:val="808080"/>
      <w:shd w:val="clear" w:color="auto" w:fill="E6E6E6"/>
    </w:rPr>
  </w:style>
  <w:style w:type="table" w:styleId="TableGrid">
    <w:name w:val="Table Grid"/>
    <w:basedOn w:val="TableNormal"/>
    <w:uiPriority w:val="59"/>
    <w:rsid w:val="006D0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41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1AE"/>
    <w:rPr>
      <w:rFonts w:ascii="Segoe UI" w:hAnsi="Segoe UI" w:cs="Segoe UI"/>
      <w:sz w:val="18"/>
      <w:szCs w:val="18"/>
      <w:lang w:val="en-GB"/>
    </w:rPr>
  </w:style>
  <w:style w:type="paragraph" w:styleId="NormalWeb">
    <w:name w:val="Normal (Web)"/>
    <w:basedOn w:val="Normal"/>
    <w:uiPriority w:val="99"/>
    <w:unhideWhenUsed/>
    <w:rsid w:val="00C367C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basedOn w:val="DefaultParagraphFont"/>
    <w:link w:val="ListParagraph"/>
    <w:uiPriority w:val="34"/>
    <w:locked/>
    <w:rsid w:val="00C367CF"/>
    <w:rPr>
      <w:lang w:val="en-GB"/>
    </w:rPr>
  </w:style>
  <w:style w:type="character" w:styleId="FollowedHyperlink">
    <w:name w:val="FollowedHyperlink"/>
    <w:basedOn w:val="DefaultParagraphFont"/>
    <w:uiPriority w:val="99"/>
    <w:semiHidden/>
    <w:unhideWhenUsed/>
    <w:rsid w:val="00A05800"/>
    <w:rPr>
      <w:color w:val="800080" w:themeColor="followedHyperlink"/>
      <w:u w:val="single"/>
    </w:rPr>
  </w:style>
  <w:style w:type="paragraph" w:customStyle="1" w:styleId="MRDefinitions1">
    <w:name w:val="M&amp;R Definitions 1"/>
    <w:aliases w:val="M&amp;Rdef1"/>
    <w:basedOn w:val="Normal"/>
    <w:uiPriority w:val="24"/>
    <w:qFormat/>
    <w:rsid w:val="006C2B6A"/>
    <w:pPr>
      <w:numPr>
        <w:numId w:val="6"/>
      </w:numPr>
      <w:spacing w:before="240" w:after="0" w:line="360" w:lineRule="auto"/>
      <w:jc w:val="both"/>
    </w:pPr>
    <w:rPr>
      <w:rFonts w:ascii="Arial" w:eastAsia="Calibri" w:hAnsi="Arial" w:cs="Arial"/>
      <w:lang w:eastAsia="en-GB"/>
    </w:rPr>
  </w:style>
  <w:style w:type="paragraph" w:customStyle="1" w:styleId="MRDefinitions2">
    <w:name w:val="M&amp;R Definitions 2"/>
    <w:aliases w:val="M&amp;Rdef2"/>
    <w:basedOn w:val="Normal"/>
    <w:uiPriority w:val="24"/>
    <w:qFormat/>
    <w:rsid w:val="006C2B6A"/>
    <w:pPr>
      <w:numPr>
        <w:ilvl w:val="1"/>
        <w:numId w:val="6"/>
      </w:numPr>
      <w:tabs>
        <w:tab w:val="left" w:pos="1440"/>
      </w:tabs>
      <w:spacing w:before="240" w:after="0" w:line="360" w:lineRule="auto"/>
      <w:jc w:val="both"/>
    </w:pPr>
    <w:rPr>
      <w:rFonts w:ascii="Arial" w:eastAsia="Calibri" w:hAnsi="Arial" w:cs="Times New Roman"/>
      <w:lang w:eastAsia="en-GB"/>
    </w:rPr>
  </w:style>
  <w:style w:type="paragraph" w:customStyle="1" w:styleId="MRDefinitions3">
    <w:name w:val="M&amp;R Definitions 3"/>
    <w:aliases w:val="M&amp;Rdef3"/>
    <w:basedOn w:val="Normal"/>
    <w:uiPriority w:val="24"/>
    <w:qFormat/>
    <w:rsid w:val="006C2B6A"/>
    <w:pPr>
      <w:numPr>
        <w:ilvl w:val="2"/>
        <w:numId w:val="6"/>
      </w:numPr>
      <w:tabs>
        <w:tab w:val="left" w:pos="2160"/>
      </w:tabs>
      <w:spacing w:before="240" w:after="0" w:line="360" w:lineRule="auto"/>
      <w:jc w:val="both"/>
    </w:pPr>
    <w:rPr>
      <w:rFonts w:ascii="Arial" w:eastAsia="Calibri" w:hAnsi="Arial" w:cs="Times New Roman"/>
      <w:lang w:eastAsia="en-GB"/>
    </w:rPr>
  </w:style>
  <w:style w:type="paragraph" w:customStyle="1" w:styleId="MRDefinitions4">
    <w:name w:val="M&amp;R Definitions 4"/>
    <w:aliases w:val="M&amp;Rdef4"/>
    <w:basedOn w:val="Normal"/>
    <w:uiPriority w:val="24"/>
    <w:rsid w:val="006C2B6A"/>
    <w:pPr>
      <w:numPr>
        <w:ilvl w:val="3"/>
        <w:numId w:val="6"/>
      </w:numPr>
      <w:tabs>
        <w:tab w:val="left" w:pos="2880"/>
      </w:tabs>
      <w:spacing w:before="240" w:after="0" w:line="360" w:lineRule="auto"/>
      <w:jc w:val="both"/>
    </w:pPr>
    <w:rPr>
      <w:rFonts w:ascii="Arial" w:eastAsia="Calibri" w:hAnsi="Arial" w:cs="Times New Roman"/>
      <w:lang w:eastAsia="en-GB"/>
    </w:rPr>
  </w:style>
  <w:style w:type="paragraph" w:customStyle="1" w:styleId="MRDefinitions5">
    <w:name w:val="M&amp;R Definitions 5"/>
    <w:aliases w:val="M&amp;Rdef5"/>
    <w:basedOn w:val="Normal"/>
    <w:uiPriority w:val="24"/>
    <w:rsid w:val="006C2B6A"/>
    <w:pPr>
      <w:numPr>
        <w:ilvl w:val="4"/>
        <w:numId w:val="6"/>
      </w:numPr>
      <w:tabs>
        <w:tab w:val="left" w:pos="3600"/>
      </w:tabs>
      <w:spacing w:before="240" w:after="0" w:line="360" w:lineRule="auto"/>
      <w:jc w:val="both"/>
    </w:pPr>
    <w:rPr>
      <w:rFonts w:ascii="Arial" w:eastAsia="Calibri" w:hAnsi="Arial" w:cs="Times New Roman"/>
      <w:lang w:eastAsia="en-GB"/>
    </w:rPr>
  </w:style>
  <w:style w:type="numbering" w:customStyle="1" w:styleId="Definitions">
    <w:name w:val="Definitions"/>
    <w:rsid w:val="006C2B6A"/>
    <w:pPr>
      <w:numPr>
        <w:numId w:val="5"/>
      </w:numPr>
    </w:pPr>
  </w:style>
  <w:style w:type="table" w:customStyle="1" w:styleId="TableGrid1">
    <w:name w:val="Table Grid1"/>
    <w:basedOn w:val="TableNormal"/>
    <w:next w:val="TableGrid"/>
    <w:uiPriority w:val="59"/>
    <w:rsid w:val="006D26B3"/>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257D9"/>
    <w:rPr>
      <w:rFonts w:asciiTheme="majorHAnsi" w:eastAsiaTheme="majorEastAsia" w:hAnsiTheme="majorHAnsi" w:cstheme="majorBidi"/>
      <w:color w:val="365F91" w:themeColor="accent1" w:themeShade="BF"/>
      <w:sz w:val="26"/>
      <w:szCs w:val="26"/>
      <w:lang w:val="en-GB"/>
    </w:rPr>
  </w:style>
  <w:style w:type="numbering" w:customStyle="1" w:styleId="Definitions1">
    <w:name w:val="Definitions1"/>
    <w:rsid w:val="00B60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racts@mcga.gov.uk" TargetMode="External"/><Relationship Id="rId13" Type="http://schemas.openxmlformats.org/officeDocument/2006/relationships/hyperlink" Target="https://www.owasp.org/index.php/Category:OWASP_Application_Security_Verification_Standard_Projec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contracts@mcga.gov.uk" TargetMode="External"/><Relationship Id="rId12" Type="http://schemas.openxmlformats.org/officeDocument/2006/relationships/hyperlink" Target="https://www.ncsc.gov.uk/collection/security-design-principles-digital-services-mai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ontracts@mcga.gov.uk"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gov.uk/government/publications/government-security-classifications" TargetMode="External"/><Relationship Id="rId5" Type="http://schemas.openxmlformats.org/officeDocument/2006/relationships/webSettings" Target="webSettings.xml"/><Relationship Id="rId15" Type="http://schemas.openxmlformats.org/officeDocument/2006/relationships/hyperlink" Target="https://www.ncsc.gov.uk/guidance/implementing-cloud-security-principles" TargetMode="External"/><Relationship Id="rId10" Type="http://schemas.openxmlformats.org/officeDocument/2006/relationships/hyperlink" Target="https://www.gov.uk/government/publications/government-supplier-assurance-framework" TargetMode="External"/><Relationship Id="rId4" Type="http://schemas.openxmlformats.org/officeDocument/2006/relationships/settings" Target="settings.xml"/><Relationship Id="rId9" Type="http://schemas.openxmlformats.org/officeDocument/2006/relationships/hyperlink" Target="mailto:Acccounts.payable@mcga.gov.uk" TargetMode="External"/><Relationship Id="rId14" Type="http://schemas.openxmlformats.org/officeDocument/2006/relationships/hyperlink" Target="https://www.ncsc.gov.uk/guidance/systems-administration-architect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FFC7F-E2B1-483F-9036-1CA69F54E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2680</Words>
  <Characters>15281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Whittle</dc:creator>
  <cp:keywords/>
  <dc:description/>
  <cp:lastModifiedBy>Kathleen Monk</cp:lastModifiedBy>
  <cp:revision>2</cp:revision>
  <cp:lastPrinted>2019-03-29T11:25:00Z</cp:lastPrinted>
  <dcterms:created xsi:type="dcterms:W3CDTF">2020-06-05T10:23:00Z</dcterms:created>
  <dcterms:modified xsi:type="dcterms:W3CDTF">2020-06-05T10:23:00Z</dcterms:modified>
</cp:coreProperties>
</file>