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FE2" w:rsidRDefault="00E95FE2" w:rsidP="00E95FE2">
      <w:pPr>
        <w:rPr>
          <w:rFonts w:ascii="Arial" w:eastAsia="Times New Roman" w:hAnsi="Arial" w:cs="Arial"/>
          <w:color w:val="0B0C0C"/>
          <w:sz w:val="29"/>
          <w:szCs w:val="29"/>
          <w:shd w:val="clear" w:color="auto" w:fill="FFFFFF"/>
        </w:rPr>
      </w:pPr>
      <w:r>
        <w:rPr>
          <w:rFonts w:ascii="Arial" w:eastAsia="Times New Roman" w:hAnsi="Arial" w:cs="Arial"/>
          <w:color w:val="0B0C0C"/>
          <w:sz w:val="29"/>
          <w:szCs w:val="29"/>
          <w:shd w:val="clear" w:color="auto" w:fill="FFFFFF"/>
        </w:rPr>
        <w:t>Maximum Contract Value</w:t>
      </w:r>
    </w:p>
    <w:p w:rsidR="00E95FE2" w:rsidRDefault="00E95FE2" w:rsidP="00E95FE2">
      <w:pPr>
        <w:rPr>
          <w:rFonts w:ascii="Arial" w:hAnsi="Arial" w:cs="Arial"/>
          <w:color w:val="0B0C0C"/>
          <w:sz w:val="29"/>
          <w:szCs w:val="29"/>
        </w:rPr>
      </w:pPr>
      <w:r>
        <w:rPr>
          <w:rFonts w:ascii="Arial" w:hAnsi="Arial" w:cs="Arial"/>
          <w:color w:val="0B0C0C"/>
          <w:sz w:val="29"/>
          <w:szCs w:val="29"/>
        </w:rPr>
        <w:t xml:space="preserve"> </w:t>
      </w:r>
    </w:p>
    <w:p w:rsidR="00E95FE2" w:rsidRDefault="00E95FE2" w:rsidP="00E95FE2">
      <w:pPr>
        <w:rPr>
          <w:rFonts w:ascii="Arial" w:hAnsi="Arial" w:cs="Arial"/>
          <w:color w:val="0B0C0C"/>
          <w:sz w:val="29"/>
          <w:szCs w:val="29"/>
        </w:rPr>
      </w:pPr>
      <w:r>
        <w:rPr>
          <w:rFonts w:ascii="Arial" w:hAnsi="Arial" w:cs="Arial"/>
          <w:color w:val="0B0C0C"/>
          <w:sz w:val="29"/>
          <w:szCs w:val="29"/>
        </w:rPr>
        <w:t>There are three components to the financial information, all based upon 2018/19 pricing:</w:t>
      </w:r>
    </w:p>
    <w:p w:rsidR="00E95FE2" w:rsidRDefault="00E95FE2" w:rsidP="00E95FE2">
      <w:pPr>
        <w:rPr>
          <w:rFonts w:ascii="Arial" w:hAnsi="Arial" w:cs="Arial"/>
          <w:color w:val="0B0C0C"/>
          <w:sz w:val="29"/>
          <w:szCs w:val="29"/>
        </w:rPr>
      </w:pPr>
    </w:p>
    <w:p w:rsidR="00E95FE2" w:rsidRDefault="00E95FE2" w:rsidP="00E95FE2">
      <w:pPr>
        <w:pStyle w:val="ListParagraph"/>
        <w:numPr>
          <w:ilvl w:val="0"/>
          <w:numId w:val="1"/>
        </w:numPr>
        <w:rPr>
          <w:rFonts w:ascii="Arial" w:hAnsi="Arial" w:cs="Arial"/>
          <w:color w:val="0B0C0C"/>
          <w:sz w:val="29"/>
          <w:szCs w:val="29"/>
        </w:rPr>
      </w:pPr>
      <w:r>
        <w:rPr>
          <w:rFonts w:ascii="Arial" w:hAnsi="Arial" w:cs="Arial"/>
          <w:color w:val="0B0C0C"/>
          <w:sz w:val="29"/>
          <w:szCs w:val="29"/>
        </w:rPr>
        <w:t xml:space="preserve">A maximum contract value of £450,245,609 over the maximum 10 year contract term.  This is the financial component of the award criteria to be competed. </w:t>
      </w:r>
    </w:p>
    <w:p w:rsidR="00E95FE2" w:rsidRDefault="00E95FE2" w:rsidP="00E95FE2">
      <w:pPr>
        <w:pStyle w:val="ListParagraph"/>
        <w:numPr>
          <w:ilvl w:val="0"/>
          <w:numId w:val="1"/>
        </w:numPr>
        <w:rPr>
          <w:rFonts w:ascii="Arial" w:hAnsi="Arial" w:cs="Arial"/>
          <w:color w:val="0B0C0C"/>
          <w:sz w:val="29"/>
          <w:szCs w:val="29"/>
        </w:rPr>
      </w:pPr>
      <w:r>
        <w:rPr>
          <w:rFonts w:ascii="Arial" w:hAnsi="Arial" w:cs="Arial"/>
          <w:color w:val="0B0C0C"/>
          <w:sz w:val="29"/>
          <w:szCs w:val="29"/>
        </w:rPr>
        <w:t>Access to potential transformation funding of £47,405,694 over the maximum 10 year contract term. This value will not form part of the award criteria and cannot be relied on as a funding source for bidders.</w:t>
      </w:r>
    </w:p>
    <w:p w:rsidR="00E95FE2" w:rsidRPr="00FC5EFA" w:rsidRDefault="00E95FE2" w:rsidP="00E95FE2">
      <w:pPr>
        <w:pStyle w:val="ListParagraph"/>
        <w:numPr>
          <w:ilvl w:val="0"/>
          <w:numId w:val="1"/>
        </w:numPr>
        <w:rPr>
          <w:rFonts w:ascii="Arial" w:hAnsi="Arial" w:cs="Arial"/>
          <w:color w:val="0B0C0C"/>
          <w:sz w:val="29"/>
          <w:szCs w:val="29"/>
        </w:rPr>
      </w:pPr>
      <w:r>
        <w:rPr>
          <w:rFonts w:ascii="Arial" w:hAnsi="Arial" w:cs="Arial"/>
          <w:color w:val="0B0C0C"/>
          <w:sz w:val="29"/>
          <w:szCs w:val="29"/>
        </w:rPr>
        <w:t>Scope of potential additional services over the term of the contract, which has an annual equating to approximately £79,926,000. This value will not form part of the award criteria and inclusion will be subject to a due diligence process during the contract term - therefore</w:t>
      </w:r>
      <w:r w:rsidRPr="00FC5EFA">
        <w:rPr>
          <w:rFonts w:ascii="Arial" w:hAnsi="Arial" w:cs="Arial"/>
          <w:color w:val="0B0C0C"/>
          <w:sz w:val="29"/>
          <w:szCs w:val="29"/>
        </w:rPr>
        <w:t xml:space="preserve"> </w:t>
      </w:r>
      <w:r>
        <w:rPr>
          <w:rFonts w:ascii="Arial" w:hAnsi="Arial" w:cs="Arial"/>
          <w:color w:val="0B0C0C"/>
          <w:sz w:val="29"/>
          <w:szCs w:val="29"/>
        </w:rPr>
        <w:t>Inclusion of these services should not be relied upon by bidders.  Where services are included into the scope a reasonable view of growth in funding may need to be applied.</w:t>
      </w:r>
    </w:p>
    <w:p w:rsidR="00E95FE2" w:rsidRDefault="00E95FE2" w:rsidP="00E95FE2">
      <w:pPr>
        <w:rPr>
          <w:rFonts w:ascii="Arial" w:hAnsi="Arial" w:cs="Arial"/>
          <w:color w:val="0B0C0C"/>
          <w:sz w:val="29"/>
          <w:szCs w:val="29"/>
        </w:rPr>
      </w:pPr>
    </w:p>
    <w:p w:rsidR="00E95FE2" w:rsidRDefault="00E95FE2" w:rsidP="00E95FE2">
      <w:pPr>
        <w:rPr>
          <w:rFonts w:ascii="Arial" w:eastAsia="Times New Roman" w:hAnsi="Arial" w:cs="Arial"/>
          <w:color w:val="0B0C0C"/>
          <w:sz w:val="29"/>
          <w:szCs w:val="29"/>
          <w:shd w:val="clear" w:color="auto" w:fill="FFFFFF"/>
        </w:rPr>
      </w:pPr>
      <w:r w:rsidRPr="001B7DB5">
        <w:rPr>
          <w:rFonts w:ascii="Arial" w:eastAsia="Times New Roman" w:hAnsi="Arial" w:cs="Arial"/>
          <w:color w:val="0B0C0C"/>
          <w:sz w:val="29"/>
          <w:szCs w:val="29"/>
          <w:shd w:val="clear" w:color="auto" w:fill="FFFFFF"/>
        </w:rPr>
        <w:t xml:space="preserve">Any expenditure, work or effort undertaken prior to contract award is accordingly a matter solely for the commercial judgment of potential service providers. In such circumstances, and in any event, </w:t>
      </w:r>
      <w:r>
        <w:rPr>
          <w:rFonts w:ascii="Arial" w:eastAsia="Times New Roman" w:hAnsi="Arial" w:cs="Arial"/>
          <w:color w:val="0B0C0C"/>
          <w:sz w:val="29"/>
          <w:szCs w:val="29"/>
          <w:shd w:val="clear" w:color="auto" w:fill="FFFFFF"/>
        </w:rPr>
        <w:t xml:space="preserve">the </w:t>
      </w:r>
      <w:r w:rsidRPr="001B7DB5">
        <w:rPr>
          <w:rFonts w:ascii="Arial" w:eastAsia="Times New Roman" w:hAnsi="Arial" w:cs="Arial"/>
          <w:color w:val="0B0C0C"/>
          <w:sz w:val="29"/>
          <w:szCs w:val="29"/>
          <w:shd w:val="clear" w:color="auto" w:fill="FFFFFF"/>
        </w:rPr>
        <w:t>CCG or its advisors shall not be liable for any costs or loss of expenses whatsoever incurred by the respondent and company, agent, subsidiary or organisation may have contributed to any response submitted to this notice.</w:t>
      </w:r>
    </w:p>
    <w:p w:rsidR="00E95FE2" w:rsidRDefault="00E95FE2" w:rsidP="00E95FE2">
      <w:pPr>
        <w:rPr>
          <w:rFonts w:ascii="Arial" w:eastAsia="Times New Roman" w:hAnsi="Arial" w:cs="Arial"/>
          <w:color w:val="0B0C0C"/>
          <w:sz w:val="29"/>
          <w:szCs w:val="29"/>
          <w:shd w:val="clear" w:color="auto" w:fill="FFFFFF"/>
        </w:rPr>
      </w:pPr>
    </w:p>
    <w:p w:rsidR="003F3D0E" w:rsidRPr="00E95FE2" w:rsidRDefault="00E95FE2" w:rsidP="00E95FE2">
      <w:r w:rsidRPr="00203FE0">
        <w:rPr>
          <w:rFonts w:ascii="Arial" w:eastAsia="Times New Roman" w:hAnsi="Arial" w:cs="Arial"/>
          <w:color w:val="0B0C0C"/>
          <w:sz w:val="29"/>
          <w:szCs w:val="29"/>
          <w:shd w:val="clear" w:color="auto" w:fill="FFFFFF"/>
        </w:rPr>
        <w:t xml:space="preserve">The services in the scope of this procurement are healthcare services falling within Schedule 3 to the Public Contracts Regulations 2015 ("the Regulations") which are not subject to the full regime of the Regulations, but is instead governed by the "Light Touch Regime" contained within Chapter 3, Section 7 of the Regulations (Regulations 74 to 77). </w:t>
      </w:r>
      <w:r w:rsidRPr="00203FE0">
        <w:rPr>
          <w:rFonts w:ascii="Arial" w:eastAsia="Times New Roman" w:hAnsi="Arial" w:cs="Arial"/>
          <w:color w:val="0B0C0C"/>
          <w:sz w:val="29"/>
          <w:szCs w:val="29"/>
          <w:shd w:val="clear" w:color="auto" w:fill="FFFFFF"/>
        </w:rPr>
        <w:br/>
      </w:r>
      <w:r w:rsidRPr="00203FE0">
        <w:rPr>
          <w:rFonts w:ascii="Arial" w:eastAsia="Times New Roman" w:hAnsi="Arial" w:cs="Arial"/>
          <w:color w:val="0B0C0C"/>
          <w:sz w:val="29"/>
          <w:szCs w:val="29"/>
          <w:shd w:val="clear" w:color="auto" w:fill="FFFFFF"/>
        </w:rPr>
        <w:br/>
        <w:t xml:space="preserve">The tendering process will be conducted in accordance with the requirements and flexibilities provided by Regulations 74 to 76 of the Regulations.  Ealing CCG will run a transparent tender process, treating all Bidders equally. For the avoidance of doubt, Ealing CCG will not be bound by the Regulations or the Treaty on the Functioning </w:t>
      </w:r>
      <w:r w:rsidRPr="00203FE0">
        <w:rPr>
          <w:rFonts w:ascii="Arial" w:eastAsia="Times New Roman" w:hAnsi="Arial" w:cs="Arial"/>
          <w:color w:val="0B0C0C"/>
          <w:sz w:val="29"/>
          <w:szCs w:val="29"/>
          <w:shd w:val="clear" w:color="auto" w:fill="FFFFFF"/>
        </w:rPr>
        <w:lastRenderedPageBreak/>
        <w:t>of the European Union or any other regulations or legislation except for the specific parts or circumstances that apply to the procurement of services such as this. </w:t>
      </w:r>
      <w:r w:rsidRPr="00203FE0">
        <w:rPr>
          <w:rFonts w:ascii="Arial" w:eastAsia="Times New Roman" w:hAnsi="Arial" w:cs="Arial"/>
          <w:color w:val="0B0C0C"/>
          <w:sz w:val="29"/>
          <w:szCs w:val="29"/>
          <w:shd w:val="clear" w:color="auto" w:fill="FFFFFF"/>
        </w:rPr>
        <w:br/>
      </w:r>
      <w:r w:rsidRPr="00203FE0">
        <w:rPr>
          <w:rFonts w:ascii="Arial" w:eastAsia="Times New Roman" w:hAnsi="Arial" w:cs="Arial"/>
          <w:color w:val="0B0C0C"/>
          <w:sz w:val="29"/>
          <w:szCs w:val="29"/>
          <w:shd w:val="clear" w:color="auto" w:fill="FFFFFF"/>
        </w:rPr>
        <w:br/>
        <w:t>Neither the inclusion of a Bidder selection stage, nor the use of any language or terms found in the Regulations, nor the description of the procedure voluntarily adopted by Ealing CCG nor any other indication, shall be taken to mean that Ealing CCG intends to hold itself bound by the Regulations, save those applicable to services coming within the scope of such as this. </w:t>
      </w:r>
      <w:bookmarkStart w:id="0" w:name="_GoBack"/>
      <w:bookmarkEnd w:id="0"/>
    </w:p>
    <w:sectPr w:rsidR="003F3D0E" w:rsidRPr="00E95F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322FD"/>
    <w:multiLevelType w:val="hybridMultilevel"/>
    <w:tmpl w:val="E558F2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723"/>
    <w:rsid w:val="003F3D0E"/>
    <w:rsid w:val="00E95FE2"/>
    <w:rsid w:val="00EB4D59"/>
    <w:rsid w:val="00F357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FE2"/>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5FE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FE2"/>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5F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385</Words>
  <Characters>2197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NHS Shared Business Services</Company>
  <LinksUpToDate>false</LinksUpToDate>
  <CharactersWithSpaces>2577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Ekkehard Kugler</dc:creator>
  <cp:lastModifiedBy>Ekkehard Kugler</cp:lastModifiedBy>
  <cp:revision>1</cp:revision>
  <dcterms:created xsi:type="dcterms:W3CDTF">2018-05-04T12:13:00Z</dcterms:created>
  <dcterms:modified xsi:type="dcterms:W3CDTF">2018-05-04T12:31:00Z</dcterms:modified>
</cp:coreProperties>
</file>