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9" w:type="dxa"/>
        <w:tblInd w:w="-284" w:type="dxa"/>
        <w:tblLayout w:type="fixed"/>
        <w:tblCellMar>
          <w:left w:w="0" w:type="dxa"/>
          <w:right w:w="0" w:type="dxa"/>
        </w:tblCellMar>
        <w:tblLook w:val="04A0" w:firstRow="1" w:lastRow="0" w:firstColumn="1" w:lastColumn="0" w:noHBand="0" w:noVBand="1"/>
      </w:tblPr>
      <w:tblGrid>
        <w:gridCol w:w="4963"/>
        <w:gridCol w:w="2552"/>
        <w:gridCol w:w="2624"/>
      </w:tblGrid>
      <w:tr w:rsidR="00E030A2" w:rsidRPr="008B017B" w14:paraId="2522D81E" w14:textId="77777777" w:rsidTr="00202279">
        <w:trPr>
          <w:trHeight w:val="1163"/>
        </w:trPr>
        <w:tc>
          <w:tcPr>
            <w:tcW w:w="4962" w:type="dxa"/>
            <w:shd w:val="clear" w:color="auto" w:fill="auto"/>
          </w:tcPr>
          <w:p w14:paraId="4AC0E4E9" w14:textId="4E966A05" w:rsidR="00E030A2" w:rsidRPr="008B017B" w:rsidRDefault="00E030A2" w:rsidP="00202279">
            <w:pPr>
              <w:spacing w:before="0" w:after="0"/>
              <w:ind w:left="88"/>
              <w:rPr>
                <w:color w:val="FFFFFF"/>
                <w:sz w:val="28"/>
              </w:rPr>
            </w:pPr>
            <w:r>
              <w:rPr>
                <w:noProof/>
              </w:rPr>
              <w:drawing>
                <wp:inline distT="0" distB="0" distL="0" distR="0" wp14:anchorId="4E8B22BF" wp14:editId="558E4914">
                  <wp:extent cx="2647950" cy="828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47950" cy="828675"/>
                          </a:xfrm>
                          <a:prstGeom prst="rect">
                            <a:avLst/>
                          </a:prstGeom>
                          <a:noFill/>
                          <a:ln>
                            <a:noFill/>
                          </a:ln>
                        </pic:spPr>
                      </pic:pic>
                    </a:graphicData>
                  </a:graphic>
                </wp:inline>
              </w:drawing>
            </w:r>
          </w:p>
        </w:tc>
        <w:tc>
          <w:tcPr>
            <w:tcW w:w="2552" w:type="dxa"/>
            <w:shd w:val="clear" w:color="auto" w:fill="auto"/>
          </w:tcPr>
          <w:p w14:paraId="651A8B38" w14:textId="77777777" w:rsidR="00E030A2" w:rsidRPr="00363358" w:rsidRDefault="00E030A2" w:rsidP="00202279">
            <w:pPr>
              <w:spacing w:before="0" w:after="0"/>
              <w:rPr>
                <w:color w:val="FFFFFF"/>
              </w:rPr>
            </w:pPr>
          </w:p>
        </w:tc>
        <w:tc>
          <w:tcPr>
            <w:tcW w:w="2624" w:type="dxa"/>
            <w:shd w:val="clear" w:color="auto" w:fill="auto"/>
          </w:tcPr>
          <w:p w14:paraId="465BD59C" w14:textId="77777777" w:rsidR="00E030A2" w:rsidRPr="00153A32" w:rsidRDefault="00E030A2" w:rsidP="00202279">
            <w:pPr>
              <w:spacing w:before="0" w:after="0"/>
            </w:pPr>
            <w:r>
              <w:t>The OEP</w:t>
            </w:r>
          </w:p>
          <w:p w14:paraId="4C1E9B96" w14:textId="77777777" w:rsidR="00E030A2" w:rsidRDefault="00E030A2" w:rsidP="00202279">
            <w:pPr>
              <w:spacing w:before="0" w:after="0"/>
            </w:pPr>
            <w:r>
              <w:t>County Hall</w:t>
            </w:r>
          </w:p>
          <w:p w14:paraId="4D43A222" w14:textId="77777777" w:rsidR="00E030A2" w:rsidRDefault="00E030A2" w:rsidP="00202279">
            <w:pPr>
              <w:spacing w:before="0" w:after="0"/>
            </w:pPr>
            <w:proofErr w:type="spellStart"/>
            <w:r>
              <w:t>Spetchley</w:t>
            </w:r>
            <w:proofErr w:type="spellEnd"/>
            <w:r>
              <w:t xml:space="preserve"> Road</w:t>
            </w:r>
          </w:p>
          <w:p w14:paraId="36AFC79F" w14:textId="77777777" w:rsidR="00E030A2" w:rsidRPr="00153A32" w:rsidRDefault="00E030A2" w:rsidP="00202279">
            <w:pPr>
              <w:spacing w:before="0" w:after="0"/>
            </w:pPr>
            <w:r>
              <w:t>Worcester</w:t>
            </w:r>
          </w:p>
          <w:p w14:paraId="1089ED5D" w14:textId="77777777" w:rsidR="00E030A2" w:rsidRDefault="00E030A2" w:rsidP="00202279">
            <w:pPr>
              <w:spacing w:before="0" w:after="0"/>
            </w:pPr>
            <w:r>
              <w:t>WR5 2NP</w:t>
            </w:r>
          </w:p>
          <w:p w14:paraId="1663D105" w14:textId="77777777" w:rsidR="00E030A2" w:rsidRDefault="00E030A2" w:rsidP="00202279">
            <w:pPr>
              <w:spacing w:before="0" w:after="0"/>
            </w:pPr>
          </w:p>
          <w:p w14:paraId="2668FF9C" w14:textId="3B3810C4" w:rsidR="00E030A2" w:rsidRPr="00DF6AAC" w:rsidRDefault="00E030A2" w:rsidP="00DF6AAC">
            <w:pPr>
              <w:spacing w:before="0" w:after="0"/>
              <w:rPr>
                <w:color w:val="01426A"/>
              </w:rPr>
            </w:pPr>
            <w:r w:rsidRPr="00DF6AAC">
              <w:rPr>
                <w:color w:val="01426A"/>
              </w:rPr>
              <w:t>www.theoep.org.uk</w:t>
            </w:r>
          </w:p>
        </w:tc>
      </w:tr>
    </w:tbl>
    <w:p w14:paraId="17F3FE03" w14:textId="62F8B051" w:rsidR="00E030A2" w:rsidRPr="002D1912" w:rsidRDefault="00A504EE" w:rsidP="00E030A2">
      <w:pPr>
        <w:pStyle w:val="Heading1"/>
        <w:rPr>
          <w:color w:val="01426A"/>
        </w:rPr>
      </w:pPr>
      <w:r>
        <w:rPr>
          <w:color w:val="01426A"/>
        </w:rPr>
        <w:t xml:space="preserve">Tenderer </w:t>
      </w:r>
      <w:r w:rsidR="00BE614B">
        <w:rPr>
          <w:color w:val="01426A"/>
        </w:rPr>
        <w:t>Clarifications</w:t>
      </w:r>
    </w:p>
    <w:p w14:paraId="6DCE0067" w14:textId="77777777" w:rsidR="00E030A2" w:rsidRPr="00434DAB" w:rsidRDefault="00E030A2" w:rsidP="00E030A2">
      <w:pPr>
        <w:rPr>
          <w:sz w:val="24"/>
          <w:szCs w:val="24"/>
        </w:rPr>
      </w:pPr>
    </w:p>
    <w:tbl>
      <w:tblPr>
        <w:tblStyle w:val="TableGrid"/>
        <w:tblW w:w="0" w:type="auto"/>
        <w:tblBorders>
          <w:top w:val="single" w:sz="4" w:space="0" w:color="01426A"/>
          <w:left w:val="single" w:sz="4" w:space="0" w:color="01426A"/>
          <w:bottom w:val="single" w:sz="4" w:space="0" w:color="01426A"/>
          <w:right w:val="single" w:sz="4" w:space="0" w:color="01426A"/>
          <w:insideH w:val="single" w:sz="4" w:space="0" w:color="01426A"/>
          <w:insideV w:val="single" w:sz="4" w:space="0" w:color="01426A"/>
        </w:tblBorders>
        <w:tblLook w:val="04A0" w:firstRow="1" w:lastRow="0" w:firstColumn="1" w:lastColumn="0" w:noHBand="0" w:noVBand="1"/>
      </w:tblPr>
      <w:tblGrid>
        <w:gridCol w:w="1980"/>
        <w:gridCol w:w="7036"/>
      </w:tblGrid>
      <w:tr w:rsidR="00E030A2" w:rsidRPr="00434DAB" w14:paraId="0F87DFF2" w14:textId="77777777" w:rsidTr="0046223D">
        <w:tc>
          <w:tcPr>
            <w:tcW w:w="1980" w:type="dxa"/>
            <w:shd w:val="clear" w:color="auto" w:fill="01426A"/>
          </w:tcPr>
          <w:p w14:paraId="0E9D49E7" w14:textId="4349BEA0" w:rsidR="00E030A2" w:rsidRPr="00434DAB" w:rsidRDefault="00E030A2" w:rsidP="00E030A2">
            <w:pPr>
              <w:spacing w:before="120" w:after="120"/>
              <w:rPr>
                <w:b/>
                <w:bCs/>
                <w:color w:val="FFFFFF" w:themeColor="background1"/>
                <w:sz w:val="24"/>
                <w:szCs w:val="24"/>
              </w:rPr>
            </w:pPr>
            <w:r w:rsidRPr="00434DAB">
              <w:rPr>
                <w:b/>
                <w:bCs/>
                <w:color w:val="FFFFFF" w:themeColor="background1"/>
                <w:sz w:val="24"/>
                <w:szCs w:val="24"/>
              </w:rPr>
              <w:t>Project</w:t>
            </w:r>
          </w:p>
        </w:tc>
        <w:tc>
          <w:tcPr>
            <w:tcW w:w="7036" w:type="dxa"/>
          </w:tcPr>
          <w:p w14:paraId="4328CE87" w14:textId="13145851" w:rsidR="00E030A2" w:rsidRPr="00434DAB" w:rsidRDefault="00555ACD" w:rsidP="00555ACD">
            <w:pPr>
              <w:pStyle w:val="Heading2"/>
              <w:shd w:val="clear" w:color="auto" w:fill="FFFFFF"/>
              <w:spacing w:before="0" w:after="75" w:line="300" w:lineRule="atLeast"/>
              <w:rPr>
                <w:sz w:val="24"/>
                <w:szCs w:val="24"/>
              </w:rPr>
            </w:pPr>
            <w:r w:rsidRPr="00555ACD">
              <w:rPr>
                <w:sz w:val="24"/>
                <w:szCs w:val="24"/>
              </w:rPr>
              <w:t>RO043-01</w:t>
            </w:r>
            <w:r>
              <w:rPr>
                <w:sz w:val="24"/>
                <w:szCs w:val="24"/>
              </w:rPr>
              <w:t xml:space="preserve"> </w:t>
            </w:r>
            <w:r w:rsidRPr="00555ACD">
              <w:rPr>
                <w:rFonts w:ascii="Arial" w:hAnsi="Arial" w:cs="Arial"/>
                <w:color w:val="0B0C0C"/>
                <w:sz w:val="24"/>
                <w:szCs w:val="24"/>
              </w:rPr>
              <w:t>Assessment of protected wildlife sites in England and Northern Ireland</w:t>
            </w:r>
          </w:p>
        </w:tc>
      </w:tr>
    </w:tbl>
    <w:p w14:paraId="79CE4C6D" w14:textId="7B23AAD7" w:rsidR="00A504EE" w:rsidRDefault="00A504EE" w:rsidP="00DA5847">
      <w:pPr>
        <w:rPr>
          <w:sz w:val="24"/>
          <w:szCs w:val="24"/>
        </w:rPr>
      </w:pPr>
    </w:p>
    <w:p w14:paraId="225DFA63" w14:textId="7B609153" w:rsidR="000E41DF" w:rsidRDefault="00A211A4" w:rsidP="00DA5847">
      <w:pPr>
        <w:rPr>
          <w:sz w:val="24"/>
          <w:szCs w:val="24"/>
        </w:rPr>
      </w:pPr>
      <w:r w:rsidRPr="00A211A4">
        <w:rPr>
          <w:sz w:val="24"/>
          <w:szCs w:val="24"/>
        </w:rPr>
        <w:t xml:space="preserve">The following questions have been received in relation to the </w:t>
      </w:r>
      <w:r w:rsidR="007721A7">
        <w:rPr>
          <w:sz w:val="24"/>
          <w:szCs w:val="24"/>
        </w:rPr>
        <w:t xml:space="preserve">Invitation to Tender </w:t>
      </w:r>
      <w:r w:rsidRPr="00A211A4">
        <w:rPr>
          <w:sz w:val="24"/>
          <w:szCs w:val="24"/>
        </w:rPr>
        <w:t>for the above named project.  Responses are provided in clarification.</w:t>
      </w:r>
    </w:p>
    <w:p w14:paraId="31A855E5" w14:textId="26804934" w:rsidR="00966B32" w:rsidRPr="001A6F7C" w:rsidRDefault="00555ACD" w:rsidP="001A6F7C">
      <w:pPr>
        <w:spacing w:before="240" w:line="276" w:lineRule="auto"/>
        <w:rPr>
          <w:rFonts w:eastAsia="Calibri" w:cs="Times New Roman"/>
          <w:b/>
          <w:color w:val="01426A"/>
          <w:sz w:val="24"/>
        </w:rPr>
      </w:pPr>
      <w:r>
        <w:rPr>
          <w:rFonts w:eastAsia="Calibri" w:cs="Times New Roman"/>
          <w:b/>
          <w:color w:val="01426A"/>
          <w:sz w:val="24"/>
        </w:rPr>
        <w:t>25/4/2023</w:t>
      </w:r>
      <w:r>
        <w:rPr>
          <w:rFonts w:eastAsia="Calibri" w:cs="Times New Roman"/>
          <w:b/>
          <w:color w:val="01426A"/>
          <w:sz w:val="24"/>
        </w:rPr>
        <w:tab/>
      </w:r>
    </w:p>
    <w:p w14:paraId="126FB4F1" w14:textId="381B36BD" w:rsidR="00591EE3" w:rsidRPr="009B22F9" w:rsidRDefault="00555ACD" w:rsidP="00591EE3">
      <w:pPr>
        <w:pStyle w:val="ListParagraph"/>
        <w:numPr>
          <w:ilvl w:val="0"/>
          <w:numId w:val="9"/>
        </w:numPr>
        <w:ind w:left="510" w:hanging="510"/>
        <w:contextualSpacing w:val="0"/>
        <w:rPr>
          <w:b/>
          <w:bCs/>
          <w:sz w:val="24"/>
          <w:szCs w:val="24"/>
        </w:rPr>
      </w:pPr>
      <w:r>
        <w:rPr>
          <w:b/>
          <w:bCs/>
          <w:sz w:val="24"/>
          <w:szCs w:val="24"/>
        </w:rPr>
        <w:t xml:space="preserve"> </w:t>
      </w:r>
      <w:r>
        <w:rPr>
          <w:rFonts w:eastAsia="Times New Roman" w:cs="Arial"/>
          <w:sz w:val="20"/>
          <w:szCs w:val="20"/>
        </w:rPr>
        <w:t>Can the OEP provide any more clarity on how and when its internal work will be programmed? We ask because Deliverable A will form an important input to the OEP’s internal assessment, while all the internal work described at 4.6 will form an important input to deliverable B</w:t>
      </w:r>
    </w:p>
    <w:p w14:paraId="25E9B0EE" w14:textId="63537065" w:rsidR="00555ACD" w:rsidRDefault="007F26EA" w:rsidP="00555ACD">
      <w:pPr>
        <w:rPr>
          <w:rFonts w:cs="Arial"/>
        </w:rPr>
      </w:pPr>
      <w:r w:rsidRPr="009B22F9">
        <w:rPr>
          <w:i/>
          <w:iCs/>
          <w:sz w:val="24"/>
          <w:szCs w:val="24"/>
        </w:rPr>
        <w:t>A:</w:t>
      </w:r>
      <w:r w:rsidRPr="009B22F9">
        <w:rPr>
          <w:i/>
          <w:iCs/>
          <w:sz w:val="24"/>
          <w:szCs w:val="24"/>
        </w:rPr>
        <w:tab/>
      </w:r>
      <w:r w:rsidR="00555ACD">
        <w:rPr>
          <w:i/>
          <w:iCs/>
          <w:sz w:val="24"/>
          <w:szCs w:val="24"/>
        </w:rPr>
        <w:t xml:space="preserve"> </w:t>
      </w:r>
      <w:r w:rsidR="00555ACD">
        <w:rPr>
          <w:rFonts w:cs="Arial"/>
        </w:rPr>
        <w:t>Our internal work is underway:</w:t>
      </w:r>
    </w:p>
    <w:p w14:paraId="11354FF7" w14:textId="77777777" w:rsidR="00555ACD" w:rsidRDefault="00555ACD" w:rsidP="00555ACD">
      <w:pPr>
        <w:rPr>
          <w:rFonts w:cs="Arial"/>
        </w:rPr>
      </w:pPr>
      <w:r>
        <w:rPr>
          <w:rFonts w:cs="Arial"/>
        </w:rPr>
        <w:t xml:space="preserve">For the internal assessment of current legislation and its implementation we are reviewing a small number of key sources ourselves, we will share these sources at the project inception meeting. We accept that deliverable A (Literature Review) may involve the same key sources being reviewed in greater depth but would like a more thorough literature review conducted than the small OEP project team can carry out. </w:t>
      </w:r>
    </w:p>
    <w:p w14:paraId="45495E5E" w14:textId="77777777" w:rsidR="00555ACD" w:rsidRDefault="00555ACD" w:rsidP="00555ACD">
      <w:pPr>
        <w:rPr>
          <w:rFonts w:cs="Arial"/>
        </w:rPr>
      </w:pPr>
      <w:r>
        <w:rPr>
          <w:rFonts w:cs="Arial"/>
        </w:rPr>
        <w:t xml:space="preserve">The call for evidence was published here </w:t>
      </w:r>
      <w:hyperlink r:id="rId12" w:history="1">
        <w:r>
          <w:rPr>
            <w:rStyle w:val="Hyperlink"/>
            <w:rFonts w:cs="Arial"/>
          </w:rPr>
          <w:t>https://www.theoep.org.uk/report/call-evidence-protected-sites-nature-england-and-northern-irelandclosed</w:t>
        </w:r>
      </w:hyperlink>
      <w:r>
        <w:rPr>
          <w:rFonts w:cs="Arial"/>
        </w:rPr>
        <w:t xml:space="preserve"> and closed on Friday 21</w:t>
      </w:r>
      <w:r>
        <w:rPr>
          <w:rFonts w:cs="Arial"/>
          <w:vertAlign w:val="superscript"/>
        </w:rPr>
        <w:t xml:space="preserve"> </w:t>
      </w:r>
      <w:r>
        <w:rPr>
          <w:rFonts w:cs="Arial"/>
        </w:rPr>
        <w:t xml:space="preserve">April. The synthesis of the results will be carried out over the next couple of months depending on the number of responses and their scope. We will keep you </w:t>
      </w:r>
      <w:proofErr w:type="spellStart"/>
      <w:r>
        <w:rPr>
          <w:rFonts w:cs="Arial"/>
        </w:rPr>
        <w:t>unformed</w:t>
      </w:r>
      <w:proofErr w:type="spellEnd"/>
      <w:r>
        <w:rPr>
          <w:rFonts w:cs="Arial"/>
        </w:rPr>
        <w:t xml:space="preserve"> of the progress of this, particularly because we expect respondents to highlight sources to us.</w:t>
      </w:r>
    </w:p>
    <w:p w14:paraId="4EA3C880" w14:textId="2AB6195C" w:rsidR="00591EE3" w:rsidRPr="009B22F9" w:rsidRDefault="00591EE3" w:rsidP="007F26EA">
      <w:pPr>
        <w:ind w:left="510" w:hanging="510"/>
        <w:rPr>
          <w:i/>
          <w:iCs/>
          <w:sz w:val="24"/>
          <w:szCs w:val="24"/>
        </w:rPr>
      </w:pPr>
    </w:p>
    <w:p w14:paraId="6C89C8F2" w14:textId="77777777" w:rsidR="00697DDB" w:rsidRPr="009B22F9" w:rsidRDefault="00697DDB" w:rsidP="00591EE3">
      <w:pPr>
        <w:rPr>
          <w:sz w:val="24"/>
          <w:szCs w:val="24"/>
        </w:rPr>
      </w:pPr>
    </w:p>
    <w:p w14:paraId="395D0D90" w14:textId="0A7BEC3D" w:rsidR="00591EE3" w:rsidRPr="00555ACD" w:rsidRDefault="00555ACD" w:rsidP="00555ACD">
      <w:pPr>
        <w:pStyle w:val="ListParagraph"/>
        <w:numPr>
          <w:ilvl w:val="0"/>
          <w:numId w:val="9"/>
        </w:numPr>
        <w:rPr>
          <w:rFonts w:eastAsia="Times New Roman" w:cs="Arial"/>
          <w:sz w:val="20"/>
          <w:szCs w:val="20"/>
        </w:rPr>
      </w:pPr>
      <w:r>
        <w:rPr>
          <w:rFonts w:eastAsia="Times New Roman" w:cs="Arial"/>
          <w:sz w:val="20"/>
          <w:szCs w:val="20"/>
        </w:rPr>
        <w:t>Will there be any opportunity for the consultant to input to, or at least have early sight of, the methodology and criteria used for the internal assessment of the effectiveness of the current legislation and its implementation, so that the international comparison can be carried out consistently?</w:t>
      </w:r>
      <w:r w:rsidRPr="00555ACD">
        <w:rPr>
          <w:b/>
          <w:bCs/>
          <w:sz w:val="24"/>
          <w:szCs w:val="24"/>
        </w:rPr>
        <w:t xml:space="preserve"> </w:t>
      </w:r>
    </w:p>
    <w:p w14:paraId="003128EF" w14:textId="77777777" w:rsidR="00555ACD" w:rsidRDefault="0059266B" w:rsidP="00555ACD">
      <w:pPr>
        <w:rPr>
          <w:rFonts w:cs="Arial"/>
        </w:rPr>
      </w:pPr>
      <w:r w:rsidRPr="009B22F9">
        <w:rPr>
          <w:i/>
          <w:iCs/>
          <w:sz w:val="24"/>
          <w:szCs w:val="24"/>
        </w:rPr>
        <w:t>A:</w:t>
      </w:r>
      <w:r w:rsidRPr="009B22F9">
        <w:rPr>
          <w:i/>
          <w:iCs/>
          <w:sz w:val="24"/>
          <w:szCs w:val="24"/>
        </w:rPr>
        <w:tab/>
      </w:r>
      <w:r w:rsidR="00555ACD">
        <w:rPr>
          <w:rFonts w:cs="Arial"/>
        </w:rPr>
        <w:t>Yes we would be happy to share the draft approach at the inception meeting and would also welcome your expertise to develop this further.  </w:t>
      </w:r>
    </w:p>
    <w:p w14:paraId="26D958BF" w14:textId="77777777" w:rsidR="0059266B" w:rsidRPr="009B22F9" w:rsidRDefault="0059266B" w:rsidP="00591EE3">
      <w:pPr>
        <w:rPr>
          <w:sz w:val="24"/>
          <w:szCs w:val="24"/>
        </w:rPr>
      </w:pPr>
    </w:p>
    <w:p w14:paraId="207DC7AB" w14:textId="219F1345" w:rsidR="00591EE3" w:rsidRPr="003C1304" w:rsidRDefault="003C1304" w:rsidP="003C1304">
      <w:pPr>
        <w:pStyle w:val="ListParagraph"/>
        <w:numPr>
          <w:ilvl w:val="0"/>
          <w:numId w:val="9"/>
        </w:numPr>
        <w:rPr>
          <w:rFonts w:eastAsia="Times New Roman" w:cs="Arial"/>
          <w:sz w:val="20"/>
          <w:szCs w:val="20"/>
        </w:rPr>
      </w:pPr>
      <w:r>
        <w:rPr>
          <w:rFonts w:eastAsia="Times New Roman" w:cs="Arial"/>
          <w:sz w:val="20"/>
          <w:szCs w:val="20"/>
        </w:rPr>
        <w:t>Is the OEP planning any stakeholder workshops as part of its internal work?</w:t>
      </w:r>
    </w:p>
    <w:p w14:paraId="6313701F" w14:textId="77777777" w:rsidR="003C1304" w:rsidRDefault="0059266B" w:rsidP="003C1304">
      <w:pPr>
        <w:rPr>
          <w:rFonts w:cs="Arial"/>
        </w:rPr>
      </w:pPr>
      <w:r w:rsidRPr="009B22F9">
        <w:rPr>
          <w:i/>
          <w:iCs/>
          <w:sz w:val="24"/>
          <w:szCs w:val="24"/>
        </w:rPr>
        <w:t>A:</w:t>
      </w:r>
      <w:r w:rsidRPr="009B22F9">
        <w:rPr>
          <w:i/>
          <w:iCs/>
          <w:sz w:val="24"/>
          <w:szCs w:val="24"/>
        </w:rPr>
        <w:tab/>
      </w:r>
      <w:r w:rsidR="003C1304">
        <w:rPr>
          <w:rFonts w:cs="Arial"/>
        </w:rPr>
        <w:t xml:space="preserve">We do expect to speak with stakeholders throughout this project. </w:t>
      </w:r>
    </w:p>
    <w:p w14:paraId="7E8D9E6F" w14:textId="7BC13FF5" w:rsidR="0059266B" w:rsidRPr="009B22F9" w:rsidRDefault="003C1304" w:rsidP="003C1304">
      <w:pPr>
        <w:rPr>
          <w:i/>
          <w:iCs/>
          <w:sz w:val="24"/>
          <w:szCs w:val="24"/>
        </w:rPr>
      </w:pPr>
      <w:r>
        <w:rPr>
          <w:rFonts w:cs="Arial"/>
        </w:rPr>
        <w:t>We are developing a plan for stakeholder engagement which may include meeting with some groups of stakeholders but we are not currently planning any large workshops.  </w:t>
      </w:r>
    </w:p>
    <w:p w14:paraId="33E7EE28" w14:textId="53329768" w:rsidR="00591EE3" w:rsidRPr="009B22F9" w:rsidRDefault="00591EE3" w:rsidP="00690161">
      <w:pPr>
        <w:rPr>
          <w:sz w:val="24"/>
          <w:szCs w:val="24"/>
        </w:rPr>
      </w:pPr>
    </w:p>
    <w:p w14:paraId="2BC7EF45" w14:textId="63664077" w:rsidR="00AE6A53" w:rsidRPr="001A6F7C" w:rsidRDefault="00AE6A53" w:rsidP="001A6F7C">
      <w:pPr>
        <w:spacing w:before="240" w:line="276" w:lineRule="auto"/>
        <w:rPr>
          <w:rFonts w:eastAsia="Calibri" w:cs="Times New Roman"/>
          <w:b/>
          <w:color w:val="01426A"/>
          <w:sz w:val="24"/>
        </w:rPr>
      </w:pPr>
    </w:p>
    <w:p w14:paraId="3032F7EC" w14:textId="4219544D" w:rsidR="00AE6A53" w:rsidRDefault="003C1304" w:rsidP="003C1304">
      <w:pPr>
        <w:pStyle w:val="ListParagraph"/>
        <w:numPr>
          <w:ilvl w:val="0"/>
          <w:numId w:val="9"/>
        </w:numPr>
        <w:rPr>
          <w:rFonts w:eastAsia="Times New Roman" w:cs="Arial"/>
          <w:sz w:val="20"/>
          <w:szCs w:val="20"/>
        </w:rPr>
      </w:pPr>
      <w:r>
        <w:rPr>
          <w:rFonts w:eastAsia="Times New Roman" w:cs="Arial"/>
          <w:sz w:val="20"/>
          <w:szCs w:val="20"/>
        </w:rPr>
        <w:t>How will the call for evidence be published? Are certain organisations being targeted to support engagement?</w:t>
      </w:r>
    </w:p>
    <w:p w14:paraId="60C3F4C6" w14:textId="77777777" w:rsidR="003C1304" w:rsidRPr="003C1304" w:rsidRDefault="003C1304" w:rsidP="003C1304">
      <w:pPr>
        <w:pStyle w:val="ListParagraph"/>
        <w:rPr>
          <w:rFonts w:eastAsia="Times New Roman" w:cs="Arial"/>
          <w:sz w:val="20"/>
          <w:szCs w:val="20"/>
        </w:rPr>
      </w:pPr>
    </w:p>
    <w:p w14:paraId="4C138351" w14:textId="77777777" w:rsidR="003C1304" w:rsidRDefault="00AE6A53" w:rsidP="003C1304">
      <w:pPr>
        <w:rPr>
          <w:rFonts w:cs="Arial"/>
        </w:rPr>
      </w:pPr>
      <w:r w:rsidRPr="009B22F9">
        <w:rPr>
          <w:i/>
          <w:iCs/>
          <w:sz w:val="24"/>
          <w:szCs w:val="24"/>
        </w:rPr>
        <w:t>A:</w:t>
      </w:r>
      <w:r w:rsidR="003C1304">
        <w:rPr>
          <w:i/>
          <w:iCs/>
          <w:sz w:val="24"/>
          <w:szCs w:val="24"/>
        </w:rPr>
        <w:t xml:space="preserve"> </w:t>
      </w:r>
      <w:r w:rsidR="003C1304">
        <w:rPr>
          <w:rFonts w:cs="Arial"/>
        </w:rPr>
        <w:t xml:space="preserve">The call for evidence was published here </w:t>
      </w:r>
      <w:hyperlink r:id="rId13" w:history="1">
        <w:r w:rsidR="003C1304">
          <w:rPr>
            <w:rStyle w:val="Hyperlink"/>
            <w:rFonts w:cs="Arial"/>
          </w:rPr>
          <w:t>https://www.theoep.org.uk/report/call-evidence-protected-sites-nature-england-and-northern-irelandclosed</w:t>
        </w:r>
      </w:hyperlink>
      <w:r w:rsidR="003C1304">
        <w:rPr>
          <w:rFonts w:cs="Arial"/>
        </w:rPr>
        <w:t xml:space="preserve">. We did also make key stakeholders aware of this call for evidence. Many of these organisations we already have regular engagement with, </w:t>
      </w:r>
    </w:p>
    <w:p w14:paraId="2E5DD8A6" w14:textId="23A192EB" w:rsidR="00AE6A53" w:rsidRPr="009B22F9" w:rsidRDefault="00AE6A53" w:rsidP="00AE6A53">
      <w:pPr>
        <w:ind w:left="510" w:hanging="510"/>
        <w:rPr>
          <w:i/>
          <w:iCs/>
          <w:sz w:val="24"/>
          <w:szCs w:val="24"/>
        </w:rPr>
      </w:pPr>
    </w:p>
    <w:p w14:paraId="02DE78AB" w14:textId="52DED46A" w:rsidR="00AE6A53" w:rsidRPr="009B22F9" w:rsidRDefault="00AE6A53" w:rsidP="00690161">
      <w:pPr>
        <w:rPr>
          <w:sz w:val="24"/>
          <w:szCs w:val="24"/>
        </w:rPr>
      </w:pPr>
    </w:p>
    <w:sectPr w:rsidR="00AE6A53" w:rsidRPr="009B22F9">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8FCA1" w14:textId="77777777" w:rsidR="00920CA8" w:rsidRDefault="00920CA8" w:rsidP="00AB06A9">
      <w:pPr>
        <w:spacing w:before="0" w:after="0"/>
      </w:pPr>
      <w:r>
        <w:separator/>
      </w:r>
    </w:p>
  </w:endnote>
  <w:endnote w:type="continuationSeparator" w:id="0">
    <w:p w14:paraId="756224BA" w14:textId="77777777" w:rsidR="00920CA8" w:rsidRDefault="00920CA8" w:rsidP="00AB06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29C1" w14:textId="18E08484" w:rsidR="00DB34D0" w:rsidRPr="00555ACD" w:rsidRDefault="00DB34D0">
    <w:pPr>
      <w:pStyle w:val="Footer"/>
      <w:rPr>
        <w:sz w:val="16"/>
        <w:szCs w:val="16"/>
        <w:lang w:val="fr-FR"/>
      </w:rPr>
    </w:pPr>
    <w:r w:rsidRPr="00AB06A9">
      <w:rPr>
        <w:sz w:val="16"/>
        <w:szCs w:val="16"/>
      </w:rPr>
      <w:fldChar w:fldCharType="begin"/>
    </w:r>
    <w:r w:rsidRPr="00555ACD">
      <w:rPr>
        <w:sz w:val="16"/>
        <w:szCs w:val="16"/>
        <w:lang w:val="fr-FR"/>
      </w:rPr>
      <w:instrText xml:space="preserve"> FILENAME \* MERGEFORMAT </w:instrText>
    </w:r>
    <w:r w:rsidRPr="00AB06A9">
      <w:rPr>
        <w:sz w:val="16"/>
        <w:szCs w:val="16"/>
      </w:rPr>
      <w:fldChar w:fldCharType="separate"/>
    </w:r>
    <w:r w:rsidR="00962C1B" w:rsidRPr="00555ACD">
      <w:rPr>
        <w:noProof/>
        <w:sz w:val="16"/>
        <w:szCs w:val="16"/>
        <w:lang w:val="fr-FR"/>
      </w:rPr>
      <w:t>PT20 RfP-ITT Clarifications v1.docx</w:t>
    </w:r>
    <w:r w:rsidRPr="00AB06A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9AB4D" w14:textId="77777777" w:rsidR="00920CA8" w:rsidRDefault="00920CA8" w:rsidP="00AB06A9">
      <w:pPr>
        <w:spacing w:before="0" w:after="0"/>
      </w:pPr>
      <w:r>
        <w:separator/>
      </w:r>
    </w:p>
  </w:footnote>
  <w:footnote w:type="continuationSeparator" w:id="0">
    <w:p w14:paraId="234EFE2A" w14:textId="77777777" w:rsidR="00920CA8" w:rsidRDefault="00920CA8" w:rsidP="00AB06A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207"/>
    <w:multiLevelType w:val="hybridMultilevel"/>
    <w:tmpl w:val="FF143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EC3EF0"/>
    <w:multiLevelType w:val="hybridMultilevel"/>
    <w:tmpl w:val="B2CA819E"/>
    <w:lvl w:ilvl="0" w:tplc="B22025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90E02"/>
    <w:multiLevelType w:val="hybridMultilevel"/>
    <w:tmpl w:val="2612F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5C48D9"/>
    <w:multiLevelType w:val="hybridMultilevel"/>
    <w:tmpl w:val="07220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27B8B"/>
    <w:multiLevelType w:val="hybridMultilevel"/>
    <w:tmpl w:val="B15244E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3F4577"/>
    <w:multiLevelType w:val="hybridMultilevel"/>
    <w:tmpl w:val="76A89A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0D075B"/>
    <w:multiLevelType w:val="hybridMultilevel"/>
    <w:tmpl w:val="2C3C7E50"/>
    <w:lvl w:ilvl="0" w:tplc="D460FD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AC5AB0"/>
    <w:multiLevelType w:val="multilevel"/>
    <w:tmpl w:val="F0487C90"/>
    <w:lvl w:ilvl="0">
      <w:start w:val="1"/>
      <w:numFmt w:val="decimal"/>
      <w:lvlText w:val="(%1)"/>
      <w:lvlJc w:val="left"/>
      <w:pPr>
        <w:ind w:left="907" w:hanging="397"/>
      </w:pPr>
      <w:rPr>
        <w:b/>
      </w:rPr>
    </w:lvl>
    <w:lvl w:ilvl="1">
      <w:start w:val="1"/>
      <w:numFmt w:val="lowerLetter"/>
      <w:lvlText w:val="%2."/>
      <w:lvlJc w:val="left"/>
      <w:pPr>
        <w:tabs>
          <w:tab w:val="num" w:pos="2157"/>
        </w:tabs>
        <w:ind w:left="2157" w:hanging="360"/>
      </w:pPr>
    </w:lvl>
    <w:lvl w:ilvl="2">
      <w:start w:val="1"/>
      <w:numFmt w:val="lowerRoman"/>
      <w:lvlText w:val="%3."/>
      <w:lvlJc w:val="right"/>
      <w:pPr>
        <w:tabs>
          <w:tab w:val="num" w:pos="2877"/>
        </w:tabs>
        <w:ind w:left="2877" w:hanging="180"/>
      </w:pPr>
    </w:lvl>
    <w:lvl w:ilvl="3">
      <w:start w:val="1"/>
      <w:numFmt w:val="decimal"/>
      <w:lvlText w:val="%4."/>
      <w:lvlJc w:val="left"/>
      <w:pPr>
        <w:tabs>
          <w:tab w:val="num" w:pos="3597"/>
        </w:tabs>
        <w:ind w:left="3597" w:hanging="360"/>
      </w:pPr>
    </w:lvl>
    <w:lvl w:ilvl="4">
      <w:start w:val="1"/>
      <w:numFmt w:val="lowerLetter"/>
      <w:lvlText w:val="%5."/>
      <w:lvlJc w:val="left"/>
      <w:pPr>
        <w:tabs>
          <w:tab w:val="num" w:pos="4317"/>
        </w:tabs>
        <w:ind w:left="4317" w:hanging="360"/>
      </w:pPr>
    </w:lvl>
    <w:lvl w:ilvl="5">
      <w:start w:val="1"/>
      <w:numFmt w:val="lowerRoman"/>
      <w:lvlText w:val="%6."/>
      <w:lvlJc w:val="right"/>
      <w:pPr>
        <w:tabs>
          <w:tab w:val="num" w:pos="5037"/>
        </w:tabs>
        <w:ind w:left="5037" w:hanging="180"/>
      </w:pPr>
    </w:lvl>
    <w:lvl w:ilvl="6">
      <w:start w:val="1"/>
      <w:numFmt w:val="decimal"/>
      <w:lvlText w:val="%7."/>
      <w:lvlJc w:val="left"/>
      <w:pPr>
        <w:tabs>
          <w:tab w:val="num" w:pos="5757"/>
        </w:tabs>
        <w:ind w:left="5757" w:hanging="360"/>
      </w:pPr>
    </w:lvl>
    <w:lvl w:ilvl="7">
      <w:start w:val="1"/>
      <w:numFmt w:val="lowerLetter"/>
      <w:lvlText w:val="%8."/>
      <w:lvlJc w:val="left"/>
      <w:pPr>
        <w:tabs>
          <w:tab w:val="num" w:pos="6477"/>
        </w:tabs>
        <w:ind w:left="6477" w:hanging="360"/>
      </w:pPr>
    </w:lvl>
    <w:lvl w:ilvl="8">
      <w:start w:val="1"/>
      <w:numFmt w:val="lowerRoman"/>
      <w:lvlText w:val="%9."/>
      <w:lvlJc w:val="right"/>
      <w:pPr>
        <w:tabs>
          <w:tab w:val="num" w:pos="7197"/>
        </w:tabs>
        <w:ind w:left="7197" w:hanging="180"/>
      </w:pPr>
    </w:lvl>
  </w:abstractNum>
  <w:abstractNum w:abstractNumId="8" w15:restartNumberingAfterBreak="0">
    <w:nsid w:val="6F2E03DC"/>
    <w:multiLevelType w:val="hybridMultilevel"/>
    <w:tmpl w:val="710436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0943111">
    <w:abstractNumId w:val="0"/>
  </w:num>
  <w:num w:numId="2" w16cid:durableId="1372921618">
    <w:abstractNumId w:val="5"/>
  </w:num>
  <w:num w:numId="3" w16cid:durableId="1239628526">
    <w:abstractNumId w:val="4"/>
  </w:num>
  <w:num w:numId="4" w16cid:durableId="2043356078">
    <w:abstractNumId w:val="6"/>
  </w:num>
  <w:num w:numId="5" w16cid:durableId="443500608">
    <w:abstractNumId w:val="2"/>
  </w:num>
  <w:num w:numId="6" w16cid:durableId="15416695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92362418">
    <w:abstractNumId w:val="3"/>
  </w:num>
  <w:num w:numId="8" w16cid:durableId="1114984243">
    <w:abstractNumId w:val="1"/>
  </w:num>
  <w:num w:numId="9" w16cid:durableId="16669786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9CD"/>
    <w:rsid w:val="0002015A"/>
    <w:rsid w:val="00035BFE"/>
    <w:rsid w:val="000514E7"/>
    <w:rsid w:val="00055C38"/>
    <w:rsid w:val="0006559F"/>
    <w:rsid w:val="00074B57"/>
    <w:rsid w:val="000967FF"/>
    <w:rsid w:val="000D7AC1"/>
    <w:rsid w:val="000E0632"/>
    <w:rsid w:val="000E41DF"/>
    <w:rsid w:val="00106D77"/>
    <w:rsid w:val="00114F7C"/>
    <w:rsid w:val="00127C00"/>
    <w:rsid w:val="00170D21"/>
    <w:rsid w:val="00180134"/>
    <w:rsid w:val="00185FED"/>
    <w:rsid w:val="001A2D85"/>
    <w:rsid w:val="001A5D7E"/>
    <w:rsid w:val="001A6F7C"/>
    <w:rsid w:val="001D03B7"/>
    <w:rsid w:val="001D61AB"/>
    <w:rsid w:val="001E2CB8"/>
    <w:rsid w:val="001F3D4B"/>
    <w:rsid w:val="00202279"/>
    <w:rsid w:val="00245C96"/>
    <w:rsid w:val="00255ADA"/>
    <w:rsid w:val="00287C79"/>
    <w:rsid w:val="003305AB"/>
    <w:rsid w:val="00334A26"/>
    <w:rsid w:val="003C0577"/>
    <w:rsid w:val="003C1304"/>
    <w:rsid w:val="003E4A8C"/>
    <w:rsid w:val="004008D8"/>
    <w:rsid w:val="00410D3B"/>
    <w:rsid w:val="00434DAB"/>
    <w:rsid w:val="00447655"/>
    <w:rsid w:val="0046223D"/>
    <w:rsid w:val="00465313"/>
    <w:rsid w:val="00491D62"/>
    <w:rsid w:val="004C71F4"/>
    <w:rsid w:val="004D14BF"/>
    <w:rsid w:val="004E16F9"/>
    <w:rsid w:val="004F490C"/>
    <w:rsid w:val="00514EFE"/>
    <w:rsid w:val="00555ACD"/>
    <w:rsid w:val="00576C2F"/>
    <w:rsid w:val="005919CD"/>
    <w:rsid w:val="00591EE3"/>
    <w:rsid w:val="0059266B"/>
    <w:rsid w:val="005C2BC9"/>
    <w:rsid w:val="005C776A"/>
    <w:rsid w:val="005D4B46"/>
    <w:rsid w:val="00615544"/>
    <w:rsid w:val="00631329"/>
    <w:rsid w:val="006322A6"/>
    <w:rsid w:val="00690161"/>
    <w:rsid w:val="00697DDB"/>
    <w:rsid w:val="006E7253"/>
    <w:rsid w:val="00704BB3"/>
    <w:rsid w:val="0071037B"/>
    <w:rsid w:val="00766FF8"/>
    <w:rsid w:val="007721A7"/>
    <w:rsid w:val="007F26EA"/>
    <w:rsid w:val="00807658"/>
    <w:rsid w:val="0084278B"/>
    <w:rsid w:val="00846D65"/>
    <w:rsid w:val="0087313C"/>
    <w:rsid w:val="008C3849"/>
    <w:rsid w:val="00920CA8"/>
    <w:rsid w:val="00962C1B"/>
    <w:rsid w:val="00966B32"/>
    <w:rsid w:val="009B22F9"/>
    <w:rsid w:val="009D6702"/>
    <w:rsid w:val="00A211A4"/>
    <w:rsid w:val="00A504EE"/>
    <w:rsid w:val="00AB06A9"/>
    <w:rsid w:val="00AE6A53"/>
    <w:rsid w:val="00B113A2"/>
    <w:rsid w:val="00B347FA"/>
    <w:rsid w:val="00B430EB"/>
    <w:rsid w:val="00B90E15"/>
    <w:rsid w:val="00B93C7D"/>
    <w:rsid w:val="00BA02DB"/>
    <w:rsid w:val="00BA1266"/>
    <w:rsid w:val="00BB4445"/>
    <w:rsid w:val="00BE614B"/>
    <w:rsid w:val="00C0751C"/>
    <w:rsid w:val="00C41CD8"/>
    <w:rsid w:val="00CA3A52"/>
    <w:rsid w:val="00CA6D4B"/>
    <w:rsid w:val="00CC7E2D"/>
    <w:rsid w:val="00CD3535"/>
    <w:rsid w:val="00D0398D"/>
    <w:rsid w:val="00D13DC1"/>
    <w:rsid w:val="00D24BB8"/>
    <w:rsid w:val="00D34D00"/>
    <w:rsid w:val="00D944A0"/>
    <w:rsid w:val="00DA5847"/>
    <w:rsid w:val="00DB34D0"/>
    <w:rsid w:val="00DB374A"/>
    <w:rsid w:val="00DE3A6B"/>
    <w:rsid w:val="00DF6AAC"/>
    <w:rsid w:val="00E030A2"/>
    <w:rsid w:val="00E94B5F"/>
    <w:rsid w:val="00E96205"/>
    <w:rsid w:val="00F209E6"/>
    <w:rsid w:val="00F32F94"/>
    <w:rsid w:val="00F86EBA"/>
    <w:rsid w:val="00F97A18"/>
    <w:rsid w:val="00FB4B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A9EC"/>
  <w15:chartTrackingRefBased/>
  <w15:docId w15:val="{7B1165FA-0BAF-4983-958C-A5856CC60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A2"/>
    <w:rPr>
      <w:rFonts w:ascii="Arial" w:hAnsi="Arial"/>
    </w:rPr>
  </w:style>
  <w:style w:type="paragraph" w:styleId="Heading1">
    <w:name w:val="heading 1"/>
    <w:basedOn w:val="Normal"/>
    <w:next w:val="Normal"/>
    <w:link w:val="Heading1Char"/>
    <w:uiPriority w:val="9"/>
    <w:unhideWhenUsed/>
    <w:qFormat/>
    <w:rsid w:val="00E030A2"/>
    <w:pPr>
      <w:keepNext/>
      <w:keepLines/>
      <w:spacing w:before="360"/>
      <w:outlineLvl w:val="0"/>
    </w:pPr>
    <w:rPr>
      <w:rFonts w:eastAsia="Times New Roman" w:cs="Times New Roman"/>
      <w:b/>
      <w:bCs/>
      <w:color w:val="000000"/>
      <w:sz w:val="32"/>
      <w:szCs w:val="28"/>
    </w:rPr>
  </w:style>
  <w:style w:type="paragraph" w:styleId="Heading2">
    <w:name w:val="heading 2"/>
    <w:basedOn w:val="Normal"/>
    <w:next w:val="Normal"/>
    <w:link w:val="Heading2Char"/>
    <w:uiPriority w:val="9"/>
    <w:unhideWhenUsed/>
    <w:qFormat/>
    <w:rsid w:val="00555A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C71F4"/>
    <w:rPr>
      <w:sz w:val="16"/>
      <w:szCs w:val="16"/>
    </w:rPr>
  </w:style>
  <w:style w:type="paragraph" w:styleId="CommentText">
    <w:name w:val="annotation text"/>
    <w:basedOn w:val="Normal"/>
    <w:link w:val="CommentTextChar"/>
    <w:uiPriority w:val="99"/>
    <w:semiHidden/>
    <w:unhideWhenUsed/>
    <w:rsid w:val="004C71F4"/>
    <w:rPr>
      <w:sz w:val="20"/>
      <w:szCs w:val="20"/>
    </w:rPr>
  </w:style>
  <w:style w:type="character" w:customStyle="1" w:styleId="CommentTextChar">
    <w:name w:val="Comment Text Char"/>
    <w:basedOn w:val="DefaultParagraphFont"/>
    <w:link w:val="CommentText"/>
    <w:uiPriority w:val="99"/>
    <w:semiHidden/>
    <w:rsid w:val="004C71F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C71F4"/>
    <w:rPr>
      <w:b/>
      <w:bCs/>
    </w:rPr>
  </w:style>
  <w:style w:type="character" w:customStyle="1" w:styleId="CommentSubjectChar">
    <w:name w:val="Comment Subject Char"/>
    <w:basedOn w:val="CommentTextChar"/>
    <w:link w:val="CommentSubject"/>
    <w:uiPriority w:val="99"/>
    <w:semiHidden/>
    <w:rsid w:val="004C71F4"/>
    <w:rPr>
      <w:rFonts w:ascii="Arial" w:hAnsi="Arial"/>
      <w:b/>
      <w:bCs/>
      <w:sz w:val="20"/>
      <w:szCs w:val="20"/>
    </w:rPr>
  </w:style>
  <w:style w:type="paragraph" w:styleId="ListParagraph">
    <w:name w:val="List Paragraph"/>
    <w:basedOn w:val="Normal"/>
    <w:uiPriority w:val="34"/>
    <w:qFormat/>
    <w:rsid w:val="00DA5847"/>
    <w:pPr>
      <w:ind w:left="720"/>
      <w:contextualSpacing/>
    </w:pPr>
  </w:style>
  <w:style w:type="character" w:customStyle="1" w:styleId="Heading1Char">
    <w:name w:val="Heading 1 Char"/>
    <w:basedOn w:val="DefaultParagraphFont"/>
    <w:link w:val="Heading1"/>
    <w:uiPriority w:val="9"/>
    <w:rsid w:val="00E030A2"/>
    <w:rPr>
      <w:rFonts w:ascii="Arial" w:eastAsia="Times New Roman" w:hAnsi="Arial" w:cs="Times New Roman"/>
      <w:b/>
      <w:bCs/>
      <w:color w:val="000000"/>
      <w:sz w:val="32"/>
      <w:szCs w:val="28"/>
    </w:rPr>
  </w:style>
  <w:style w:type="table" w:styleId="TableGrid">
    <w:name w:val="Table Grid"/>
    <w:basedOn w:val="TableNormal"/>
    <w:uiPriority w:val="39"/>
    <w:rsid w:val="00E030A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30A2"/>
    <w:rPr>
      <w:color w:val="0563C1" w:themeColor="hyperlink"/>
      <w:u w:val="single"/>
    </w:rPr>
  </w:style>
  <w:style w:type="character" w:styleId="UnresolvedMention">
    <w:name w:val="Unresolved Mention"/>
    <w:basedOn w:val="DefaultParagraphFont"/>
    <w:uiPriority w:val="99"/>
    <w:unhideWhenUsed/>
    <w:rsid w:val="00E030A2"/>
    <w:rPr>
      <w:color w:val="605E5C"/>
      <w:shd w:val="clear" w:color="auto" w:fill="E1DFDD"/>
    </w:rPr>
  </w:style>
  <w:style w:type="paragraph" w:styleId="Header">
    <w:name w:val="header"/>
    <w:basedOn w:val="Normal"/>
    <w:link w:val="HeaderChar"/>
    <w:uiPriority w:val="99"/>
    <w:unhideWhenUsed/>
    <w:rsid w:val="00AB06A9"/>
    <w:pPr>
      <w:tabs>
        <w:tab w:val="center" w:pos="4513"/>
        <w:tab w:val="right" w:pos="9026"/>
      </w:tabs>
      <w:spacing w:before="0" w:after="0"/>
    </w:pPr>
  </w:style>
  <w:style w:type="character" w:customStyle="1" w:styleId="HeaderChar">
    <w:name w:val="Header Char"/>
    <w:basedOn w:val="DefaultParagraphFont"/>
    <w:link w:val="Header"/>
    <w:uiPriority w:val="99"/>
    <w:rsid w:val="00AB06A9"/>
    <w:rPr>
      <w:rFonts w:ascii="Arial" w:hAnsi="Arial"/>
    </w:rPr>
  </w:style>
  <w:style w:type="paragraph" w:styleId="Footer">
    <w:name w:val="footer"/>
    <w:basedOn w:val="Normal"/>
    <w:link w:val="FooterChar"/>
    <w:uiPriority w:val="99"/>
    <w:unhideWhenUsed/>
    <w:rsid w:val="00AB06A9"/>
    <w:pPr>
      <w:tabs>
        <w:tab w:val="center" w:pos="4513"/>
        <w:tab w:val="right" w:pos="9026"/>
      </w:tabs>
      <w:spacing w:before="0" w:after="0"/>
    </w:pPr>
  </w:style>
  <w:style w:type="character" w:customStyle="1" w:styleId="FooterChar">
    <w:name w:val="Footer Char"/>
    <w:basedOn w:val="DefaultParagraphFont"/>
    <w:link w:val="Footer"/>
    <w:uiPriority w:val="99"/>
    <w:rsid w:val="00AB06A9"/>
    <w:rPr>
      <w:rFonts w:ascii="Arial" w:hAnsi="Arial"/>
    </w:rPr>
  </w:style>
  <w:style w:type="character" w:styleId="Mention">
    <w:name w:val="Mention"/>
    <w:basedOn w:val="DefaultParagraphFont"/>
    <w:uiPriority w:val="99"/>
    <w:unhideWhenUsed/>
    <w:rsid w:val="00F97A18"/>
    <w:rPr>
      <w:color w:val="2B579A"/>
      <w:shd w:val="clear" w:color="auto" w:fill="E1DFDD"/>
    </w:rPr>
  </w:style>
  <w:style w:type="character" w:customStyle="1" w:styleId="Heading2Char">
    <w:name w:val="Heading 2 Char"/>
    <w:basedOn w:val="DefaultParagraphFont"/>
    <w:link w:val="Heading2"/>
    <w:uiPriority w:val="9"/>
    <w:rsid w:val="00555A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71945">
      <w:bodyDiv w:val="1"/>
      <w:marLeft w:val="0"/>
      <w:marRight w:val="0"/>
      <w:marTop w:val="0"/>
      <w:marBottom w:val="0"/>
      <w:divBdr>
        <w:top w:val="none" w:sz="0" w:space="0" w:color="auto"/>
        <w:left w:val="none" w:sz="0" w:space="0" w:color="auto"/>
        <w:bottom w:val="none" w:sz="0" w:space="0" w:color="auto"/>
        <w:right w:val="none" w:sz="0" w:space="0" w:color="auto"/>
      </w:divBdr>
    </w:div>
    <w:div w:id="932670875">
      <w:bodyDiv w:val="1"/>
      <w:marLeft w:val="0"/>
      <w:marRight w:val="0"/>
      <w:marTop w:val="0"/>
      <w:marBottom w:val="0"/>
      <w:divBdr>
        <w:top w:val="none" w:sz="0" w:space="0" w:color="auto"/>
        <w:left w:val="none" w:sz="0" w:space="0" w:color="auto"/>
        <w:bottom w:val="none" w:sz="0" w:space="0" w:color="auto"/>
        <w:right w:val="none" w:sz="0" w:space="0" w:color="auto"/>
      </w:divBdr>
    </w:div>
    <w:div w:id="1156267923">
      <w:bodyDiv w:val="1"/>
      <w:marLeft w:val="0"/>
      <w:marRight w:val="0"/>
      <w:marTop w:val="0"/>
      <w:marBottom w:val="0"/>
      <w:divBdr>
        <w:top w:val="none" w:sz="0" w:space="0" w:color="auto"/>
        <w:left w:val="none" w:sz="0" w:space="0" w:color="auto"/>
        <w:bottom w:val="none" w:sz="0" w:space="0" w:color="auto"/>
        <w:right w:val="none" w:sz="0" w:space="0" w:color="auto"/>
      </w:divBdr>
    </w:div>
    <w:div w:id="1294406470">
      <w:bodyDiv w:val="1"/>
      <w:marLeft w:val="0"/>
      <w:marRight w:val="0"/>
      <w:marTop w:val="0"/>
      <w:marBottom w:val="0"/>
      <w:divBdr>
        <w:top w:val="none" w:sz="0" w:space="0" w:color="auto"/>
        <w:left w:val="none" w:sz="0" w:space="0" w:color="auto"/>
        <w:bottom w:val="none" w:sz="0" w:space="0" w:color="auto"/>
        <w:right w:val="none" w:sz="0" w:space="0" w:color="auto"/>
      </w:divBdr>
    </w:div>
    <w:div w:id="1505781371">
      <w:bodyDiv w:val="1"/>
      <w:marLeft w:val="0"/>
      <w:marRight w:val="0"/>
      <w:marTop w:val="0"/>
      <w:marBottom w:val="0"/>
      <w:divBdr>
        <w:top w:val="none" w:sz="0" w:space="0" w:color="auto"/>
        <w:left w:val="none" w:sz="0" w:space="0" w:color="auto"/>
        <w:bottom w:val="none" w:sz="0" w:space="0" w:color="auto"/>
        <w:right w:val="none" w:sz="0" w:space="0" w:color="auto"/>
      </w:divBdr>
    </w:div>
    <w:div w:id="1571845325">
      <w:bodyDiv w:val="1"/>
      <w:marLeft w:val="0"/>
      <w:marRight w:val="0"/>
      <w:marTop w:val="0"/>
      <w:marBottom w:val="0"/>
      <w:divBdr>
        <w:top w:val="none" w:sz="0" w:space="0" w:color="auto"/>
        <w:left w:val="none" w:sz="0" w:space="0" w:color="auto"/>
        <w:bottom w:val="none" w:sz="0" w:space="0" w:color="auto"/>
        <w:right w:val="none" w:sz="0" w:space="0" w:color="auto"/>
      </w:divBdr>
    </w:div>
    <w:div w:id="205573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www.theoep.org.uk%2Freport%2Fcall-evidence-protected-sites-nature-england-and-northern-irelandclosed&amp;data=05%7C01%7CJohn.Cannon%40theOEP.org.uk%7C2276ead9176546653ae008db44c4ab7a%7Cc279a4963a7040afb133b6612ac4019e%7C0%7C0%7C638179383697056564%7CUnknown%7CTWFpbGZsb3d8eyJWIjoiMC4wLjAwMDAiLCJQIjoiV2luMzIiLCJBTiI6Ik1haWwiLCJXVCI6Mn0%3D%7C3000%7C%7C%7C&amp;sdata=VOE38d90BnAgd8%2F2B9C5vWedCWOnxQLkXS4KtPaDv9E%3D&amp;reserved=0"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br01.safelinks.protection.outlook.com/?url=https%3A%2F%2Fwww.theoep.org.uk%2Freport%2Fcall-evidence-protected-sites-nature-england-and-northern-irelandclosed&amp;data=05%7C01%7CJohn.Cannon%40theOEP.org.uk%7C2276ead9176546653ae008db44c4ab7a%7Cc279a4963a7040afb133b6612ac4019e%7C0%7C0%7C638179383697056564%7CUnknown%7CTWFpbGZsb3d8eyJWIjoiMC4wLjAwMDAiLCJQIjoiV2luMzIiLCJBTiI6Ik1haWwiLCJXVCI6Mn0%3D%7C3000%7C%7C%7C&amp;sdata=VOE38d90BnAgd8%2F2B9C5vWedCWOnxQLkXS4KtPaDv9E%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905C9F44E08646A8ED0C2C34827509" ma:contentTypeVersion="15" ma:contentTypeDescription="Create a new document." ma:contentTypeScope="" ma:versionID="354026fb4dba8526d645b59a34534499">
  <xsd:schema xmlns:xsd="http://www.w3.org/2001/XMLSchema" xmlns:xs="http://www.w3.org/2001/XMLSchema" xmlns:p="http://schemas.microsoft.com/office/2006/metadata/properties" xmlns:ns2="ad71752a-0ee9-44f1-ae8a-83132ef55b54" xmlns:ns3="37f1353b-b85d-4817-81a1-87e063a3ae86" targetNamespace="http://schemas.microsoft.com/office/2006/metadata/properties" ma:root="true" ma:fieldsID="da9108ebc042c3e1ebff65bc3b2916ab" ns2:_="" ns3:_="">
    <xsd:import namespace="ad71752a-0ee9-44f1-ae8a-83132ef55b54"/>
    <xsd:import namespace="37f1353b-b85d-4817-81a1-87e063a3ae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1752a-0ee9-44f1-ae8a-83132ef55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03e191-e31a-45e7-91de-ffbc440a80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f1353b-b85d-4817-81a1-87e063a3ae8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7f80268-0a33-4182-be4f-1f8ed06bf4e4}" ma:internalName="TaxCatchAll" ma:showField="CatchAllData" ma:web="37f1353b-b85d-4817-81a1-87e063a3a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7f1353b-b85d-4817-81a1-87e063a3ae86" xsi:nil="true"/>
    <lcf76f155ced4ddcb4097134ff3c332f xmlns="ad71752a-0ee9-44f1-ae8a-83132ef55b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617570-1ECE-4199-B255-83E98E3AD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1752a-0ee9-44f1-ae8a-83132ef55b54"/>
    <ds:schemaRef ds:uri="37f1353b-b85d-4817-81a1-87e063a3a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BDA2C3-A281-49A9-86A9-D9D188EC1983}">
  <ds:schemaRefs>
    <ds:schemaRef ds:uri="http://schemas.microsoft.com/sharepoint/v3/contenttype/forms"/>
  </ds:schemaRefs>
</ds:datastoreItem>
</file>

<file path=customXml/itemProps3.xml><?xml version="1.0" encoding="utf-8"?>
<ds:datastoreItem xmlns:ds="http://schemas.openxmlformats.org/officeDocument/2006/customXml" ds:itemID="{C11D0328-8251-4C02-8BC0-E1F2CD798A73}">
  <ds:schemaRefs>
    <ds:schemaRef ds:uri="http://schemas.microsoft.com/office/2006/metadata/properties"/>
    <ds:schemaRef ds:uri="http://schemas.microsoft.com/office/infopath/2007/PartnerControls"/>
    <ds:schemaRef ds:uri="37f1353b-b85d-4817-81a1-87e063a3ae86"/>
    <ds:schemaRef ds:uri="ad71752a-0ee9-44f1-ae8a-83132ef55b54"/>
  </ds:schemaRefs>
</ds:datastoreItem>
</file>

<file path=customXml/itemProps4.xml><?xml version="1.0" encoding="utf-8"?>
<ds:datastoreItem xmlns:ds="http://schemas.openxmlformats.org/officeDocument/2006/customXml" ds:itemID="{D1583FCE-6719-4889-A9C5-0B1047DB7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dave.marsh@theOEP.org.uk</dc:creator>
  <cp:keywords/>
  <dc:description/>
  <cp:lastModifiedBy>Cannon, John</cp:lastModifiedBy>
  <cp:revision>2</cp:revision>
  <dcterms:created xsi:type="dcterms:W3CDTF">2023-04-25T13:25:00Z</dcterms:created>
  <dcterms:modified xsi:type="dcterms:W3CDTF">2023-04-25T13:25:00Z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0x01010040905C9F44E08646A8ED0C2C34827509</vt:lpwstr>
  </property>
  <property fmtid="{D5CDD505-2E9C-101B-9397-08002B2CF9AE}" pid="3" name="MediaServiceImageTags">
    <vt:lpwstr/>
  </property>
</Properties>
</file>