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7D" w:rsidRPr="00881D95" w:rsidRDefault="00AE287D" w:rsidP="00AE287D">
      <w:pPr>
        <w:pStyle w:val="Heading1"/>
        <w:jc w:val="center"/>
        <w:rPr>
          <w:rFonts w:asciiTheme="minorHAnsi" w:hAnsiTheme="minorHAnsi"/>
          <w:b/>
          <w:color w:val="auto"/>
        </w:rPr>
      </w:pPr>
      <w:r>
        <w:rPr>
          <w:rFonts w:asciiTheme="minorHAnsi" w:hAnsiTheme="minorHAnsi"/>
          <w:b/>
          <w:color w:val="auto"/>
        </w:rPr>
        <w:t>Notice</w:t>
      </w:r>
    </w:p>
    <w:p w:rsidR="00AE287D" w:rsidRDefault="00AE287D" w:rsidP="00AE287D">
      <w:pPr>
        <w:spacing w:after="0" w:line="240" w:lineRule="auto"/>
        <w:rPr>
          <w:rFonts w:ascii="Arial" w:hAnsi="Arial" w:cs="Arial"/>
          <w:sz w:val="24"/>
          <w:szCs w:val="24"/>
        </w:rPr>
      </w:pPr>
    </w:p>
    <w:p w:rsidR="00AE287D" w:rsidRPr="004D6090" w:rsidRDefault="00AE287D" w:rsidP="00AE287D">
      <w:pPr>
        <w:spacing w:after="0" w:line="240" w:lineRule="auto"/>
        <w:jc w:val="center"/>
        <w:rPr>
          <w:rFonts w:ascii="Arial" w:hAnsi="Arial" w:cs="Arial"/>
          <w:b/>
          <w:sz w:val="24"/>
          <w:szCs w:val="24"/>
        </w:rPr>
      </w:pPr>
      <w:r>
        <w:rPr>
          <w:rFonts w:ascii="Arial" w:hAnsi="Arial" w:cs="Arial"/>
          <w:b/>
          <w:sz w:val="24"/>
          <w:szCs w:val="24"/>
        </w:rPr>
        <w:t xml:space="preserve">Admission to Categories 3 and 4 of the Healthier Lives </w:t>
      </w:r>
      <w:r w:rsidRPr="004D6090">
        <w:rPr>
          <w:rFonts w:ascii="Arial" w:hAnsi="Arial" w:cs="Arial"/>
          <w:b/>
          <w:sz w:val="24"/>
          <w:szCs w:val="24"/>
        </w:rPr>
        <w:t>Dynamic Purchasing Vehicle</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p>
    <w:p w:rsidR="00AE287D" w:rsidRPr="002C37C0" w:rsidRDefault="00AE287D" w:rsidP="00AE287D">
      <w:pPr>
        <w:spacing w:after="0" w:line="240" w:lineRule="auto"/>
        <w:jc w:val="both"/>
        <w:rPr>
          <w:rFonts w:ascii="Arial" w:hAnsi="Arial" w:cs="Arial"/>
          <w:sz w:val="24"/>
          <w:szCs w:val="24"/>
        </w:rPr>
      </w:pPr>
      <w:r>
        <w:rPr>
          <w:rFonts w:ascii="Arial" w:hAnsi="Arial" w:cs="Arial"/>
          <w:sz w:val="24"/>
          <w:szCs w:val="24"/>
        </w:rPr>
        <w:t>Newham Council would like local</w:t>
      </w:r>
      <w:r w:rsidRPr="002C37C0">
        <w:rPr>
          <w:rFonts w:ascii="Arial" w:hAnsi="Arial" w:cs="Arial"/>
          <w:sz w:val="24"/>
          <w:szCs w:val="24"/>
        </w:rPr>
        <w:t xml:space="preserve"> voluntary, community and faith sector </w:t>
      </w:r>
      <w:r>
        <w:rPr>
          <w:rFonts w:ascii="Arial" w:hAnsi="Arial" w:cs="Arial"/>
          <w:sz w:val="24"/>
          <w:szCs w:val="24"/>
        </w:rPr>
        <w:t xml:space="preserve">(VCFS) </w:t>
      </w:r>
      <w:r w:rsidRPr="002C37C0">
        <w:rPr>
          <w:rFonts w:ascii="Arial" w:hAnsi="Arial" w:cs="Arial"/>
          <w:sz w:val="24"/>
          <w:szCs w:val="24"/>
        </w:rPr>
        <w:t xml:space="preserve">organisations to </w:t>
      </w:r>
      <w:r>
        <w:rPr>
          <w:rFonts w:ascii="Arial" w:hAnsi="Arial" w:cs="Arial"/>
          <w:sz w:val="24"/>
          <w:szCs w:val="24"/>
        </w:rPr>
        <w:t>help us deliver against the priorities set out in the ’50 Steps to a Healthier Newham’ Health &amp; Wellbeing Strategy.</w:t>
      </w:r>
      <w:bookmarkStart w:id="0" w:name="_GoBack"/>
      <w:bookmarkEnd w:id="0"/>
    </w:p>
    <w:p w:rsidR="00AE287D" w:rsidRPr="002C37C0"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sidRPr="002C37C0">
        <w:rPr>
          <w:rFonts w:ascii="Arial" w:hAnsi="Arial" w:cs="Arial"/>
          <w:sz w:val="24"/>
          <w:szCs w:val="24"/>
        </w:rPr>
        <w:t xml:space="preserve">To enable more organisations to </w:t>
      </w:r>
      <w:r>
        <w:rPr>
          <w:rFonts w:ascii="Arial" w:hAnsi="Arial" w:cs="Arial"/>
          <w:sz w:val="24"/>
          <w:szCs w:val="24"/>
        </w:rPr>
        <w:t xml:space="preserve">participate in </w:t>
      </w:r>
      <w:r w:rsidRPr="002C37C0">
        <w:rPr>
          <w:rFonts w:ascii="Arial" w:hAnsi="Arial" w:cs="Arial"/>
          <w:sz w:val="24"/>
          <w:szCs w:val="24"/>
        </w:rPr>
        <w:t>commissioning opportunities</w:t>
      </w:r>
      <w:r>
        <w:rPr>
          <w:rFonts w:ascii="Arial" w:hAnsi="Arial" w:cs="Arial"/>
          <w:sz w:val="24"/>
          <w:szCs w:val="24"/>
        </w:rPr>
        <w:t xml:space="preserve"> related to health and wellbeing</w:t>
      </w:r>
      <w:r w:rsidRPr="002C37C0">
        <w:rPr>
          <w:rFonts w:ascii="Arial" w:hAnsi="Arial" w:cs="Arial"/>
          <w:sz w:val="24"/>
          <w:szCs w:val="24"/>
        </w:rPr>
        <w:t xml:space="preserve"> </w:t>
      </w:r>
      <w:r>
        <w:rPr>
          <w:rFonts w:ascii="Arial" w:hAnsi="Arial" w:cs="Arial"/>
          <w:sz w:val="24"/>
          <w:szCs w:val="24"/>
        </w:rPr>
        <w:t>–</w:t>
      </w:r>
      <w:r w:rsidRPr="002C37C0">
        <w:rPr>
          <w:rFonts w:ascii="Arial" w:hAnsi="Arial" w:cs="Arial"/>
          <w:sz w:val="24"/>
          <w:szCs w:val="24"/>
        </w:rPr>
        <w:t xml:space="preserve"> especially</w:t>
      </w:r>
      <w:r>
        <w:rPr>
          <w:rFonts w:ascii="Arial" w:hAnsi="Arial" w:cs="Arial"/>
          <w:sz w:val="24"/>
          <w:szCs w:val="24"/>
        </w:rPr>
        <w:t xml:space="preserve"> </w:t>
      </w:r>
      <w:r w:rsidRPr="002C37C0">
        <w:rPr>
          <w:rFonts w:ascii="Arial" w:hAnsi="Arial" w:cs="Arial"/>
          <w:sz w:val="24"/>
          <w:szCs w:val="24"/>
        </w:rPr>
        <w:t xml:space="preserve">smaller organisations </w:t>
      </w:r>
      <w:r>
        <w:rPr>
          <w:rFonts w:ascii="Arial" w:hAnsi="Arial" w:cs="Arial"/>
          <w:sz w:val="24"/>
          <w:szCs w:val="24"/>
        </w:rPr>
        <w:t xml:space="preserve">– the Council has developed </w:t>
      </w:r>
      <w:r w:rsidRPr="002C37C0">
        <w:rPr>
          <w:rFonts w:ascii="Arial" w:hAnsi="Arial" w:cs="Arial"/>
          <w:sz w:val="24"/>
          <w:szCs w:val="24"/>
        </w:rPr>
        <w:t>a light touch D</w:t>
      </w:r>
      <w:r>
        <w:rPr>
          <w:rFonts w:ascii="Arial" w:hAnsi="Arial" w:cs="Arial"/>
          <w:sz w:val="24"/>
          <w:szCs w:val="24"/>
        </w:rPr>
        <w:t xml:space="preserve">ynamic Purchasing Vehicle (DPV). The DPV is a procurement ‘vehicle’ that should allow Newham Council to commission a whole range of services over the next ten years.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The Healthier Lives DPV is open to all members of the </w:t>
      </w:r>
      <w:hyperlink r:id="rId5" w:history="1">
        <w:r w:rsidRPr="006967FC">
          <w:rPr>
            <w:rStyle w:val="Hyperlink"/>
            <w:rFonts w:cs="Arial"/>
            <w:szCs w:val="24"/>
          </w:rPr>
          <w:t>north east London Integrated Care System (ICS).</w:t>
        </w:r>
      </w:hyperlink>
      <w:r>
        <w:rPr>
          <w:rFonts w:ascii="Arial" w:hAnsi="Arial" w:cs="Arial"/>
          <w:sz w:val="24"/>
          <w:szCs w:val="24"/>
        </w:rPr>
        <w:t xml:space="preserve">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sidRPr="002C37C0">
        <w:rPr>
          <w:rFonts w:ascii="Arial" w:hAnsi="Arial" w:cs="Arial"/>
          <w:sz w:val="24"/>
          <w:szCs w:val="24"/>
        </w:rPr>
        <w:t>All providers registered on the DPV will also need to meet the service quality standards set out in the Contract General Terms and Conditions.</w:t>
      </w:r>
    </w:p>
    <w:p w:rsidR="00AE287D"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 xml:space="preserve">The Healthy Lives Dynamic Purchasing Vehicle (DPV) has </w:t>
      </w:r>
      <w:r>
        <w:rPr>
          <w:rFonts w:ascii="Arial" w:hAnsi="Arial" w:cs="Arial"/>
          <w:sz w:val="24"/>
          <w:szCs w:val="24"/>
        </w:rPr>
        <w:t>four</w:t>
      </w:r>
      <w:r w:rsidRPr="00853B33">
        <w:rPr>
          <w:rFonts w:ascii="Arial" w:hAnsi="Arial" w:cs="Arial"/>
          <w:sz w:val="24"/>
          <w:szCs w:val="24"/>
        </w:rPr>
        <w:t xml:space="preserve"> separate Categories: </w:t>
      </w:r>
    </w:p>
    <w:p w:rsidR="00AE287D" w:rsidRPr="00853B33" w:rsidRDefault="00AE287D" w:rsidP="00AE287D">
      <w:pPr>
        <w:spacing w:after="0" w:line="240" w:lineRule="auto"/>
        <w:jc w:val="both"/>
        <w:rPr>
          <w:rFonts w:ascii="Arial" w:hAnsi="Arial" w:cs="Arial"/>
          <w:sz w:val="24"/>
          <w:szCs w:val="24"/>
        </w:rPr>
      </w:pPr>
    </w:p>
    <w:p w:rsidR="00AE287D" w:rsidRPr="006967FC" w:rsidRDefault="00AE287D" w:rsidP="00AE287D">
      <w:pPr>
        <w:pStyle w:val="ListParagraph"/>
        <w:numPr>
          <w:ilvl w:val="0"/>
          <w:numId w:val="2"/>
        </w:numPr>
        <w:rPr>
          <w:rFonts w:cs="Arial"/>
          <w:szCs w:val="24"/>
        </w:rPr>
      </w:pPr>
      <w:r w:rsidRPr="006967FC">
        <w:rPr>
          <w:rFonts w:cs="Arial"/>
          <w:szCs w:val="24"/>
        </w:rPr>
        <w:t>Specialist smoking cessation</w:t>
      </w:r>
    </w:p>
    <w:p w:rsidR="00AE287D" w:rsidRPr="006967FC" w:rsidRDefault="00AE287D" w:rsidP="00AE287D">
      <w:pPr>
        <w:pStyle w:val="ListParagraph"/>
        <w:numPr>
          <w:ilvl w:val="0"/>
          <w:numId w:val="2"/>
        </w:numPr>
        <w:rPr>
          <w:rFonts w:cs="Arial"/>
          <w:szCs w:val="24"/>
        </w:rPr>
      </w:pPr>
      <w:r w:rsidRPr="006967FC">
        <w:rPr>
          <w:rFonts w:cs="Arial"/>
          <w:szCs w:val="24"/>
        </w:rPr>
        <w:t>All-age specialist weight management and movement service</w:t>
      </w:r>
    </w:p>
    <w:p w:rsidR="00AE287D" w:rsidRPr="006967FC" w:rsidRDefault="00AE287D" w:rsidP="00AE287D">
      <w:pPr>
        <w:pStyle w:val="ListParagraph"/>
        <w:numPr>
          <w:ilvl w:val="0"/>
          <w:numId w:val="2"/>
        </w:numPr>
        <w:rPr>
          <w:rFonts w:cs="Arial"/>
          <w:szCs w:val="24"/>
        </w:rPr>
      </w:pPr>
      <w:r w:rsidRPr="006967FC">
        <w:rPr>
          <w:rFonts w:cs="Arial"/>
          <w:szCs w:val="24"/>
        </w:rPr>
        <w:t>Community projects for health and wellbeing</w:t>
      </w:r>
    </w:p>
    <w:p w:rsidR="00AE287D" w:rsidRPr="006967FC" w:rsidRDefault="00AE287D" w:rsidP="00AE287D">
      <w:pPr>
        <w:pStyle w:val="ListParagraph"/>
        <w:numPr>
          <w:ilvl w:val="0"/>
          <w:numId w:val="2"/>
        </w:numPr>
        <w:rPr>
          <w:rFonts w:cs="Arial"/>
          <w:szCs w:val="24"/>
        </w:rPr>
      </w:pPr>
      <w:r w:rsidRPr="006967FC">
        <w:rPr>
          <w:rFonts w:cs="Arial"/>
          <w:szCs w:val="24"/>
        </w:rPr>
        <w:t>Addressing resource inequality</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It is hoped that local VCFS organisations will register for Categories 3 and 4 – and these are the categories for which the following guidance applies. </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b/>
          <w:sz w:val="24"/>
          <w:szCs w:val="24"/>
        </w:rPr>
      </w:pPr>
      <w:r w:rsidRPr="00853B33">
        <w:rPr>
          <w:rFonts w:ascii="Arial" w:hAnsi="Arial" w:cs="Arial"/>
          <w:b/>
          <w:sz w:val="24"/>
          <w:szCs w:val="24"/>
        </w:rPr>
        <w:t>How it works</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There are two stages to providing services on the DPV:</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1.</w:t>
      </w:r>
      <w:r w:rsidRPr="00853B33">
        <w:rPr>
          <w:rFonts w:ascii="Arial" w:hAnsi="Arial" w:cs="Arial"/>
          <w:sz w:val="24"/>
          <w:szCs w:val="24"/>
        </w:rPr>
        <w:tab/>
        <w:t>Registration (or ‘on-boarding’)</w:t>
      </w:r>
      <w:r>
        <w:rPr>
          <w:rFonts w:ascii="Arial" w:hAnsi="Arial" w:cs="Arial"/>
          <w:sz w:val="24"/>
          <w:szCs w:val="24"/>
        </w:rPr>
        <w:t xml:space="preserve"> – This is the first step taking place in July 2022 </w:t>
      </w: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2.</w:t>
      </w:r>
      <w:r w:rsidRPr="00853B33">
        <w:rPr>
          <w:rFonts w:ascii="Arial" w:hAnsi="Arial" w:cs="Arial"/>
          <w:sz w:val="24"/>
          <w:szCs w:val="24"/>
        </w:rPr>
        <w:tab/>
        <w:t>Mini competition (i.e. bidding for a specific service within the DPV)</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For each Category, there will be a ‘r</w:t>
      </w:r>
      <w:r>
        <w:rPr>
          <w:rFonts w:ascii="Arial" w:hAnsi="Arial" w:cs="Arial"/>
          <w:sz w:val="24"/>
          <w:szCs w:val="24"/>
        </w:rPr>
        <w:t>egistration’ phase followed by one or more</w:t>
      </w:r>
      <w:r w:rsidRPr="00853B33">
        <w:rPr>
          <w:rFonts w:ascii="Arial" w:hAnsi="Arial" w:cs="Arial"/>
          <w:sz w:val="24"/>
          <w:szCs w:val="24"/>
        </w:rPr>
        <w:t xml:space="preserve"> ‘mini competition’ </w:t>
      </w:r>
      <w:r>
        <w:rPr>
          <w:rFonts w:ascii="Arial" w:hAnsi="Arial" w:cs="Arial"/>
          <w:sz w:val="24"/>
          <w:szCs w:val="24"/>
        </w:rPr>
        <w:t>phases.</w:t>
      </w:r>
      <w:r w:rsidRPr="00853B33">
        <w:rPr>
          <w:rFonts w:ascii="Arial" w:hAnsi="Arial" w:cs="Arial"/>
          <w:sz w:val="24"/>
          <w:szCs w:val="24"/>
        </w:rPr>
        <w:t xml:space="preserve"> </w:t>
      </w:r>
    </w:p>
    <w:p w:rsidR="00AE287D" w:rsidRDefault="00AE287D" w:rsidP="00AE287D">
      <w:pPr>
        <w:spacing w:after="0" w:line="240" w:lineRule="auto"/>
        <w:jc w:val="both"/>
        <w:rPr>
          <w:rFonts w:ascii="Arial" w:hAnsi="Arial" w:cs="Arial"/>
          <w:b/>
          <w:sz w:val="24"/>
          <w:szCs w:val="24"/>
        </w:rPr>
      </w:pPr>
    </w:p>
    <w:p w:rsidR="00AE287D" w:rsidRDefault="00AE287D" w:rsidP="00AE287D">
      <w:pPr>
        <w:spacing w:after="0" w:line="240" w:lineRule="auto"/>
        <w:jc w:val="both"/>
        <w:rPr>
          <w:rFonts w:ascii="Arial" w:hAnsi="Arial" w:cs="Arial"/>
          <w:b/>
          <w:sz w:val="24"/>
          <w:szCs w:val="24"/>
        </w:rPr>
      </w:pPr>
      <w:r w:rsidRPr="00853B33">
        <w:rPr>
          <w:rFonts w:ascii="Arial" w:hAnsi="Arial" w:cs="Arial"/>
          <w:b/>
          <w:sz w:val="24"/>
          <w:szCs w:val="24"/>
        </w:rPr>
        <w:t>Registering onto the Healthy Lives DPV</w:t>
      </w:r>
    </w:p>
    <w:p w:rsidR="00AE287D" w:rsidRDefault="00AE287D" w:rsidP="00AE287D">
      <w:pPr>
        <w:spacing w:after="0" w:line="240" w:lineRule="auto"/>
        <w:jc w:val="both"/>
        <w:rPr>
          <w:rFonts w:ascii="Arial" w:hAnsi="Arial" w:cs="Arial"/>
          <w:b/>
          <w:sz w:val="24"/>
          <w:szCs w:val="24"/>
        </w:rPr>
      </w:pPr>
    </w:p>
    <w:p w:rsidR="00AE287D" w:rsidRPr="00853B33" w:rsidRDefault="00AE287D" w:rsidP="00AE287D">
      <w:pPr>
        <w:spacing w:after="0" w:line="240" w:lineRule="auto"/>
        <w:jc w:val="both"/>
        <w:rPr>
          <w:rFonts w:ascii="Arial" w:hAnsi="Arial" w:cs="Arial"/>
          <w:b/>
          <w:sz w:val="24"/>
          <w:szCs w:val="24"/>
        </w:rPr>
      </w:pPr>
      <w:r>
        <w:rPr>
          <w:rFonts w:ascii="Arial" w:hAnsi="Arial" w:cs="Arial"/>
          <w:b/>
          <w:noProof/>
          <w:sz w:val="24"/>
          <w:szCs w:val="24"/>
          <w:lang w:eastAsia="en-GB"/>
        </w:rPr>
        <w:drawing>
          <wp:inline distT="0" distB="0" distL="0" distR="0" wp14:anchorId="69277D96" wp14:editId="2B09CBDE">
            <wp:extent cx="207818" cy="207818"/>
            <wp:effectExtent l="0" t="0" r="1905" b="1905"/>
            <wp:docPr id="2" name="Graphic 2"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pwatch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flipH="1">
                      <a:off x="0" y="0"/>
                      <a:ext cx="213603" cy="213603"/>
                    </a:xfrm>
                    <a:prstGeom prst="rect">
                      <a:avLst/>
                    </a:prstGeom>
                  </pic:spPr>
                </pic:pic>
              </a:graphicData>
            </a:graphic>
          </wp:inline>
        </w:drawing>
      </w:r>
      <w:r>
        <w:rPr>
          <w:rFonts w:ascii="Arial" w:hAnsi="Arial" w:cs="Arial"/>
          <w:b/>
          <w:sz w:val="24"/>
          <w:szCs w:val="24"/>
        </w:rPr>
        <w:t xml:space="preserve"> Time to complete registration stage: Approximately one hour</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 xml:space="preserve">Registration is the process by which the Council collects the data needed to undertake due diligence on potential providers, i.e. checks to ensure that providers are financially </w:t>
      </w:r>
      <w:r w:rsidRPr="00853B33">
        <w:rPr>
          <w:rFonts w:ascii="Arial" w:hAnsi="Arial" w:cs="Arial"/>
          <w:sz w:val="24"/>
          <w:szCs w:val="24"/>
        </w:rPr>
        <w:lastRenderedPageBreak/>
        <w:t xml:space="preserve">secure and able to safely deliver services to a high standard. Registration is also an opportunity to discover whether the provider has the right accreditation and experience to deliver the service. </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 xml:space="preserve">Successful registration is based primarily on whether or not the required information has or has not been provided. For the Healthy Lives DPV, </w:t>
      </w:r>
      <w:r>
        <w:rPr>
          <w:rFonts w:ascii="Arial" w:hAnsi="Arial" w:cs="Arial"/>
          <w:sz w:val="24"/>
          <w:szCs w:val="24"/>
        </w:rPr>
        <w:t xml:space="preserve">there </w:t>
      </w:r>
      <w:r w:rsidRPr="00853B33">
        <w:rPr>
          <w:rFonts w:ascii="Arial" w:hAnsi="Arial" w:cs="Arial"/>
          <w:sz w:val="24"/>
          <w:szCs w:val="24"/>
        </w:rPr>
        <w:t xml:space="preserve">are short questions related to relevant experience that will be ‘scored’ (e.g. </w:t>
      </w:r>
      <w:r>
        <w:rPr>
          <w:rFonts w:ascii="Arial" w:hAnsi="Arial" w:cs="Arial"/>
          <w:sz w:val="24"/>
          <w:szCs w:val="24"/>
        </w:rPr>
        <w:t>with Yes/No or Pass/Fail). Call-off contract and</w:t>
      </w:r>
      <w:r w:rsidRPr="00194887">
        <w:rPr>
          <w:rFonts w:ascii="Arial" w:hAnsi="Arial" w:cs="Arial"/>
          <w:sz w:val="24"/>
          <w:szCs w:val="24"/>
        </w:rPr>
        <w:t xml:space="preserve"> Agreement</w:t>
      </w:r>
      <w:r>
        <w:rPr>
          <w:rFonts w:ascii="Arial" w:hAnsi="Arial" w:cs="Arial"/>
          <w:sz w:val="24"/>
          <w:szCs w:val="24"/>
        </w:rPr>
        <w:t xml:space="preserve"> will be shared at this stage for provider’s information only, providers DO NOT need to complete them at this stage. </w:t>
      </w:r>
    </w:p>
    <w:p w:rsidR="00AE287D" w:rsidRPr="00853B33"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sidRPr="00853B33">
        <w:rPr>
          <w:rFonts w:ascii="Arial" w:hAnsi="Arial" w:cs="Arial"/>
          <w:sz w:val="24"/>
          <w:szCs w:val="24"/>
        </w:rPr>
        <w:t xml:space="preserve">By registering on the DPV, providers are not obligated to bid for services at the mini competition stage.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The process of registration could take up to one hour to complete and requires information about you and your organisation. To support this, we have included a checklist of documents/information needed to make this as easy as possible (see below). </w:t>
      </w:r>
    </w:p>
    <w:p w:rsidR="00AE287D"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Pr>
          <w:rFonts w:ascii="Arial" w:hAnsi="Arial" w:cs="Arial"/>
          <w:sz w:val="24"/>
          <w:szCs w:val="24"/>
        </w:rPr>
        <w:t xml:space="preserve">The Fusion platform is secure, and you will be able to save and return to complete your registration if needed. It is important to be aware that the Fusion platform will timeout after 10 minutes of inactivity, so we encourage you to save your work regularly. </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sidRPr="00853B33">
        <w:rPr>
          <w:rFonts w:ascii="Arial" w:hAnsi="Arial" w:cs="Arial"/>
          <w:sz w:val="24"/>
          <w:szCs w:val="24"/>
        </w:rPr>
        <w:t>Full servi</w:t>
      </w:r>
      <w:r>
        <w:rPr>
          <w:rFonts w:ascii="Arial" w:hAnsi="Arial" w:cs="Arial"/>
          <w:sz w:val="24"/>
          <w:szCs w:val="24"/>
        </w:rPr>
        <w:t>ce specifications for Category 3 and 4</w:t>
      </w:r>
      <w:r w:rsidRPr="00853B33">
        <w:rPr>
          <w:rFonts w:ascii="Arial" w:hAnsi="Arial" w:cs="Arial"/>
          <w:sz w:val="24"/>
          <w:szCs w:val="24"/>
        </w:rPr>
        <w:t xml:space="preserve"> are not available to view at registration stage, but all the core information relevant to a service specification is included in the Appendices of the document</w:t>
      </w:r>
      <w:r>
        <w:rPr>
          <w:rFonts w:ascii="Arial" w:hAnsi="Arial" w:cs="Arial"/>
          <w:sz w:val="24"/>
          <w:szCs w:val="24"/>
        </w:rPr>
        <w:t xml:space="preserve"> titled ‘Healthy Lives DPV_ Cat 3 &amp; 4</w:t>
      </w:r>
      <w:r w:rsidRPr="00853B33">
        <w:rPr>
          <w:rFonts w:ascii="Arial" w:hAnsi="Arial" w:cs="Arial"/>
          <w:sz w:val="24"/>
          <w:szCs w:val="24"/>
        </w:rPr>
        <w:t xml:space="preserve">_ Minimum Quality and Business Admin Standards’. We think that this should give providers enough of a sense of what is required in order to decide whether or not they want to register on the Healthy Lives DPV. If a provider has a question or requires clarification on any point, then queries can be directed to commissioners via the Fusion portal. All queries and replies will be made public to all bidders for the purpose of transparency. </w:t>
      </w:r>
    </w:p>
    <w:p w:rsidR="00AE287D" w:rsidRDefault="00AE287D" w:rsidP="00AE287D">
      <w:pPr>
        <w:spacing w:after="0" w:line="240" w:lineRule="auto"/>
        <w:jc w:val="both"/>
        <w:rPr>
          <w:rFonts w:ascii="Arial" w:hAnsi="Arial" w:cs="Arial"/>
          <w:sz w:val="24"/>
          <w:szCs w:val="24"/>
        </w:rPr>
      </w:pPr>
    </w:p>
    <w:p w:rsidR="00AE287D" w:rsidRPr="004803FB" w:rsidRDefault="00AE287D" w:rsidP="00AE287D">
      <w:pPr>
        <w:spacing w:after="0" w:line="240" w:lineRule="auto"/>
        <w:jc w:val="both"/>
        <w:rPr>
          <w:rFonts w:ascii="Arial" w:hAnsi="Arial" w:cs="Arial"/>
          <w:b/>
          <w:bCs/>
          <w:sz w:val="24"/>
          <w:szCs w:val="24"/>
        </w:rPr>
      </w:pPr>
      <w:r w:rsidRPr="004803FB">
        <w:rPr>
          <w:rFonts w:ascii="Arial" w:hAnsi="Arial" w:cs="Arial"/>
          <w:b/>
          <w:bCs/>
          <w:sz w:val="24"/>
          <w:szCs w:val="24"/>
        </w:rPr>
        <w:t>When can you register?</w:t>
      </w:r>
    </w:p>
    <w:p w:rsidR="00AE287D" w:rsidRPr="00853B33"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Pr>
          <w:rFonts w:ascii="Arial" w:hAnsi="Arial" w:cs="Arial"/>
          <w:sz w:val="24"/>
          <w:szCs w:val="24"/>
        </w:rPr>
        <w:t>For Categories 3 and 4</w:t>
      </w:r>
      <w:r w:rsidRPr="00853B33">
        <w:rPr>
          <w:rFonts w:ascii="Arial" w:hAnsi="Arial" w:cs="Arial"/>
          <w:sz w:val="24"/>
          <w:szCs w:val="24"/>
        </w:rPr>
        <w:t>, pr</w:t>
      </w:r>
      <w:r>
        <w:rPr>
          <w:rFonts w:ascii="Arial" w:hAnsi="Arial" w:cs="Arial"/>
          <w:sz w:val="24"/>
          <w:szCs w:val="24"/>
        </w:rPr>
        <w:t>oviders can register between w/c 4 July 2022 and w/c 05</w:t>
      </w:r>
      <w:r w:rsidRPr="00853B33">
        <w:rPr>
          <w:rFonts w:ascii="Arial" w:hAnsi="Arial" w:cs="Arial"/>
          <w:sz w:val="24"/>
          <w:szCs w:val="24"/>
        </w:rPr>
        <w:t xml:space="preserve"> </w:t>
      </w:r>
      <w:r>
        <w:rPr>
          <w:rFonts w:ascii="Arial" w:hAnsi="Arial" w:cs="Arial"/>
          <w:sz w:val="24"/>
          <w:szCs w:val="24"/>
        </w:rPr>
        <w:t>August</w:t>
      </w:r>
      <w:r w:rsidRPr="00853B33">
        <w:rPr>
          <w:rFonts w:ascii="Arial" w:hAnsi="Arial" w:cs="Arial"/>
          <w:sz w:val="24"/>
          <w:szCs w:val="24"/>
        </w:rPr>
        <w:t xml:space="preserve"> 2022. The deadline f</w:t>
      </w:r>
      <w:r>
        <w:rPr>
          <w:rFonts w:ascii="Arial" w:hAnsi="Arial" w:cs="Arial"/>
          <w:sz w:val="24"/>
          <w:szCs w:val="24"/>
        </w:rPr>
        <w:t>or clarification questions is w/c 1 August</w:t>
      </w:r>
      <w:r w:rsidRPr="00853B33">
        <w:rPr>
          <w:rFonts w:ascii="Arial" w:hAnsi="Arial" w:cs="Arial"/>
          <w:sz w:val="24"/>
          <w:szCs w:val="24"/>
        </w:rPr>
        <w:t xml:space="preserve"> </w:t>
      </w:r>
      <w:r>
        <w:rPr>
          <w:rFonts w:ascii="Arial" w:hAnsi="Arial" w:cs="Arial"/>
          <w:sz w:val="24"/>
          <w:szCs w:val="24"/>
        </w:rPr>
        <w:t>2022</w:t>
      </w:r>
      <w:r w:rsidRPr="00853B33">
        <w:rPr>
          <w:rFonts w:ascii="Arial" w:hAnsi="Arial" w:cs="Arial"/>
          <w:sz w:val="24"/>
          <w:szCs w:val="24"/>
        </w:rPr>
        <w:t xml:space="preserve">. </w:t>
      </w:r>
      <w:r>
        <w:rPr>
          <w:rFonts w:ascii="Arial" w:hAnsi="Arial" w:cs="Arial"/>
          <w:sz w:val="24"/>
          <w:szCs w:val="24"/>
        </w:rPr>
        <w:t>Compliance checks and</w:t>
      </w:r>
      <w:r w:rsidRPr="00853B33">
        <w:rPr>
          <w:rFonts w:ascii="Arial" w:hAnsi="Arial" w:cs="Arial"/>
          <w:sz w:val="24"/>
          <w:szCs w:val="24"/>
        </w:rPr>
        <w:t xml:space="preserve"> evaluation window for Round 1 registration will </w:t>
      </w:r>
      <w:r>
        <w:rPr>
          <w:rFonts w:ascii="Arial" w:hAnsi="Arial" w:cs="Arial"/>
          <w:sz w:val="24"/>
          <w:szCs w:val="24"/>
        </w:rPr>
        <w:t xml:space="preserve">be carried out throughout August and September. </w:t>
      </w:r>
    </w:p>
    <w:p w:rsidR="00AE287D" w:rsidRDefault="00AE287D" w:rsidP="00AE287D">
      <w:pPr>
        <w:spacing w:after="0" w:line="240" w:lineRule="auto"/>
        <w:jc w:val="both"/>
        <w:rPr>
          <w:rFonts w:ascii="Arial" w:hAnsi="Arial" w:cs="Arial"/>
          <w:sz w:val="24"/>
          <w:szCs w:val="24"/>
        </w:rPr>
      </w:pPr>
    </w:p>
    <w:p w:rsidR="00AE287D" w:rsidRPr="004803FB" w:rsidRDefault="00AE287D" w:rsidP="00AE287D">
      <w:pPr>
        <w:spacing w:after="0" w:line="240" w:lineRule="auto"/>
        <w:jc w:val="both"/>
        <w:rPr>
          <w:rFonts w:ascii="Arial" w:hAnsi="Arial" w:cs="Arial"/>
          <w:b/>
          <w:bCs/>
          <w:sz w:val="24"/>
          <w:szCs w:val="24"/>
        </w:rPr>
      </w:pPr>
      <w:r w:rsidRPr="004803FB">
        <w:rPr>
          <w:rFonts w:ascii="Arial" w:hAnsi="Arial" w:cs="Arial"/>
          <w:b/>
          <w:bCs/>
          <w:sz w:val="24"/>
          <w:szCs w:val="24"/>
        </w:rPr>
        <w:t>When will you know whether you have been successful?</w:t>
      </w:r>
    </w:p>
    <w:p w:rsidR="00AE287D" w:rsidRPr="00853B33"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sidRPr="00853B33">
        <w:rPr>
          <w:rFonts w:ascii="Arial" w:hAnsi="Arial" w:cs="Arial"/>
          <w:sz w:val="24"/>
          <w:szCs w:val="24"/>
        </w:rPr>
        <w:t>Results of the reg</w:t>
      </w:r>
      <w:r>
        <w:rPr>
          <w:rFonts w:ascii="Arial" w:hAnsi="Arial" w:cs="Arial"/>
          <w:sz w:val="24"/>
          <w:szCs w:val="24"/>
        </w:rPr>
        <w:t>istration phase for Categories 3 and 4</w:t>
      </w:r>
      <w:r w:rsidRPr="00853B33">
        <w:rPr>
          <w:rFonts w:ascii="Arial" w:hAnsi="Arial" w:cs="Arial"/>
          <w:sz w:val="24"/>
          <w:szCs w:val="24"/>
        </w:rPr>
        <w:t xml:space="preserve"> will be communicated to providers in writing (i.e. a letter sent via email) by </w:t>
      </w:r>
      <w:r>
        <w:rPr>
          <w:rFonts w:ascii="Arial" w:hAnsi="Arial" w:cs="Arial"/>
          <w:sz w:val="24"/>
          <w:szCs w:val="24"/>
        </w:rPr>
        <w:t>October</w:t>
      </w:r>
      <w:r w:rsidRPr="00853B33">
        <w:rPr>
          <w:rFonts w:ascii="Arial" w:hAnsi="Arial" w:cs="Arial"/>
          <w:sz w:val="24"/>
          <w:szCs w:val="24"/>
        </w:rPr>
        <w:t xml:space="preserve"> 2022.</w:t>
      </w:r>
      <w:r>
        <w:rPr>
          <w:rFonts w:ascii="Arial" w:hAnsi="Arial" w:cs="Arial"/>
          <w:sz w:val="24"/>
          <w:szCs w:val="24"/>
        </w:rPr>
        <w:t xml:space="preserve"> Once successful, organisations will have access to the DPV via Fusion (or future equivalent system) for approximately 10 years. </w:t>
      </w:r>
    </w:p>
    <w:p w:rsidR="00AE287D" w:rsidRDefault="00AE287D" w:rsidP="00AE287D">
      <w:pPr>
        <w:spacing w:after="0" w:line="240" w:lineRule="auto"/>
        <w:jc w:val="both"/>
        <w:rPr>
          <w:rFonts w:ascii="Arial" w:hAnsi="Arial" w:cs="Arial"/>
          <w:sz w:val="24"/>
          <w:szCs w:val="24"/>
        </w:rPr>
      </w:pPr>
    </w:p>
    <w:p w:rsidR="00AE287D" w:rsidRPr="00853B33" w:rsidRDefault="00AE287D" w:rsidP="00AE287D">
      <w:pPr>
        <w:spacing w:after="0" w:line="240" w:lineRule="auto"/>
        <w:jc w:val="both"/>
        <w:rPr>
          <w:rFonts w:ascii="Arial" w:hAnsi="Arial" w:cs="Arial"/>
          <w:sz w:val="24"/>
          <w:szCs w:val="24"/>
        </w:rPr>
      </w:pPr>
      <w:r>
        <w:rPr>
          <w:rFonts w:ascii="Arial" w:hAnsi="Arial" w:cs="Arial"/>
          <w:sz w:val="24"/>
          <w:szCs w:val="24"/>
        </w:rPr>
        <w:t>The Healthier Lives DPV will be opened up for new registrations approximately once per year (exact timeline TBC).</w:t>
      </w:r>
    </w:p>
    <w:p w:rsidR="00AE287D" w:rsidRPr="00853B33" w:rsidRDefault="00AE287D" w:rsidP="00AE287D">
      <w:pPr>
        <w:spacing w:after="0" w:line="240" w:lineRule="auto"/>
        <w:jc w:val="both"/>
        <w:rPr>
          <w:rFonts w:ascii="Arial" w:hAnsi="Arial" w:cs="Arial"/>
          <w:sz w:val="24"/>
          <w:szCs w:val="24"/>
        </w:rPr>
      </w:pPr>
    </w:p>
    <w:p w:rsidR="00AE287D" w:rsidRPr="00515854" w:rsidRDefault="00AE287D" w:rsidP="00AE287D">
      <w:pPr>
        <w:spacing w:after="0" w:line="240" w:lineRule="auto"/>
        <w:jc w:val="both"/>
        <w:rPr>
          <w:rFonts w:ascii="Arial" w:hAnsi="Arial" w:cs="Arial"/>
          <w:b/>
          <w:sz w:val="24"/>
          <w:szCs w:val="24"/>
        </w:rPr>
      </w:pPr>
      <w:r w:rsidRPr="00515854">
        <w:rPr>
          <w:rFonts w:ascii="Arial" w:hAnsi="Arial" w:cs="Arial"/>
          <w:b/>
          <w:sz w:val="24"/>
          <w:szCs w:val="24"/>
        </w:rPr>
        <w:t>Mini competitions</w:t>
      </w:r>
    </w:p>
    <w:p w:rsidR="00AE287D" w:rsidRPr="00853B33"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lastRenderedPageBreak/>
        <w:t>Once providers for Category 3 and 4</w:t>
      </w:r>
      <w:r w:rsidRPr="00853B33">
        <w:rPr>
          <w:rFonts w:ascii="Arial" w:hAnsi="Arial" w:cs="Arial"/>
          <w:sz w:val="24"/>
          <w:szCs w:val="24"/>
        </w:rPr>
        <w:t xml:space="preserve"> are registered onto the DPV then ‘mini competitions’ can be undertaken. Mini competition refers to the “bid writing” stage, where providers submit tenders to win the contract outlined in the service specification. Full service specifications will be published in the Invitation to Tender (ITT) pack when the mini competition s</w:t>
      </w:r>
      <w:r>
        <w:rPr>
          <w:rFonts w:ascii="Arial" w:hAnsi="Arial" w:cs="Arial"/>
          <w:sz w:val="24"/>
          <w:szCs w:val="24"/>
        </w:rPr>
        <w:t xml:space="preserve">tage goes live. </w:t>
      </w:r>
    </w:p>
    <w:p w:rsidR="00AE287D" w:rsidRDefault="00AE287D" w:rsidP="00AE287D">
      <w:pPr>
        <w:spacing w:after="0" w:line="240" w:lineRule="auto"/>
        <w:jc w:val="both"/>
        <w:rPr>
          <w:rFonts w:ascii="Arial" w:hAnsi="Arial" w:cs="Arial"/>
          <w:sz w:val="24"/>
          <w:szCs w:val="24"/>
        </w:rPr>
      </w:pPr>
    </w:p>
    <w:p w:rsidR="00AE287D" w:rsidRPr="004803FB" w:rsidRDefault="00AE287D" w:rsidP="00AE287D">
      <w:pPr>
        <w:spacing w:after="0" w:line="240" w:lineRule="auto"/>
        <w:jc w:val="both"/>
        <w:rPr>
          <w:rFonts w:ascii="Arial" w:hAnsi="Arial" w:cs="Arial"/>
          <w:b/>
          <w:bCs/>
          <w:sz w:val="24"/>
          <w:szCs w:val="24"/>
        </w:rPr>
      </w:pPr>
      <w:r w:rsidRPr="004803FB">
        <w:rPr>
          <w:rFonts w:ascii="Arial" w:hAnsi="Arial" w:cs="Arial"/>
          <w:b/>
          <w:bCs/>
          <w:sz w:val="24"/>
          <w:szCs w:val="24"/>
        </w:rPr>
        <w:t>When do opportunities go live?</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Timings are indicative and subject to change. If dates slip then commissioners will aim to notify </w:t>
      </w:r>
      <w:r w:rsidRPr="00686E3F">
        <w:rPr>
          <w:rFonts w:ascii="Arial" w:hAnsi="Arial" w:cs="Arial"/>
          <w:sz w:val="24"/>
          <w:szCs w:val="24"/>
        </w:rPr>
        <w:t xml:space="preserve">providers </w:t>
      </w:r>
      <w:r>
        <w:rPr>
          <w:rFonts w:ascii="Arial" w:hAnsi="Arial" w:cs="Arial"/>
          <w:sz w:val="24"/>
          <w:szCs w:val="24"/>
        </w:rPr>
        <w:t xml:space="preserve">in good time. </w:t>
      </w:r>
      <w:r w:rsidRPr="00686E3F">
        <w:rPr>
          <w:rFonts w:ascii="Arial" w:hAnsi="Arial" w:cs="Arial"/>
          <w:sz w:val="24"/>
          <w:szCs w:val="24"/>
        </w:rPr>
        <w:t xml:space="preserve">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For Category 3, </w:t>
      </w:r>
      <w:r w:rsidRPr="00853B33">
        <w:rPr>
          <w:rFonts w:ascii="Arial" w:hAnsi="Arial" w:cs="Arial"/>
          <w:sz w:val="24"/>
          <w:szCs w:val="24"/>
        </w:rPr>
        <w:t>min</w:t>
      </w:r>
      <w:r>
        <w:rPr>
          <w:rFonts w:ascii="Arial" w:hAnsi="Arial" w:cs="Arial"/>
          <w:sz w:val="24"/>
          <w:szCs w:val="24"/>
        </w:rPr>
        <w:t xml:space="preserve">i competitions are scheduled to start in October 2022.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For Category 4, mini competitions are scheduled to start in November 2022.</w:t>
      </w:r>
    </w:p>
    <w:p w:rsidR="00AE287D" w:rsidRPr="00853B33" w:rsidRDefault="00AE287D" w:rsidP="00AE287D">
      <w:pPr>
        <w:spacing w:after="0" w:line="240" w:lineRule="auto"/>
        <w:jc w:val="both"/>
        <w:rPr>
          <w:rFonts w:ascii="Arial" w:hAnsi="Arial" w:cs="Arial"/>
          <w:sz w:val="24"/>
          <w:szCs w:val="24"/>
        </w:rPr>
      </w:pPr>
    </w:p>
    <w:p w:rsidR="00AE287D" w:rsidRPr="004803FB" w:rsidRDefault="00AE287D" w:rsidP="00AE287D">
      <w:pPr>
        <w:spacing w:after="0" w:line="240" w:lineRule="auto"/>
        <w:jc w:val="both"/>
        <w:rPr>
          <w:rFonts w:ascii="Arial" w:hAnsi="Arial" w:cs="Arial"/>
          <w:b/>
          <w:bCs/>
          <w:sz w:val="24"/>
          <w:szCs w:val="24"/>
        </w:rPr>
      </w:pPr>
      <w:r w:rsidRPr="004803FB">
        <w:rPr>
          <w:rFonts w:ascii="Arial" w:hAnsi="Arial" w:cs="Arial"/>
          <w:b/>
          <w:bCs/>
          <w:sz w:val="24"/>
          <w:szCs w:val="24"/>
        </w:rPr>
        <w:t>How will you be assessed</w:t>
      </w:r>
      <w:r>
        <w:rPr>
          <w:rFonts w:ascii="Arial" w:hAnsi="Arial" w:cs="Arial"/>
          <w:b/>
          <w:bCs/>
          <w:sz w:val="24"/>
          <w:szCs w:val="24"/>
        </w:rPr>
        <w:t xml:space="preserve"> at mini competition stage</w:t>
      </w:r>
      <w:r w:rsidRPr="004803FB">
        <w:rPr>
          <w:rFonts w:ascii="Arial" w:hAnsi="Arial" w:cs="Arial"/>
          <w:b/>
          <w:bCs/>
          <w:sz w:val="24"/>
          <w:szCs w:val="24"/>
        </w:rPr>
        <w:t>?</w:t>
      </w:r>
    </w:p>
    <w:p w:rsidR="00AE287D" w:rsidRPr="00853B33"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If you decide to bid for a service then your bid</w:t>
      </w:r>
      <w:r w:rsidRPr="00853B33">
        <w:rPr>
          <w:rFonts w:ascii="Arial" w:hAnsi="Arial" w:cs="Arial"/>
          <w:sz w:val="24"/>
          <w:szCs w:val="24"/>
        </w:rPr>
        <w:t xml:space="preserve"> will be ev</w:t>
      </w:r>
      <w:r>
        <w:rPr>
          <w:rFonts w:ascii="Arial" w:hAnsi="Arial" w:cs="Arial"/>
          <w:sz w:val="24"/>
          <w:szCs w:val="24"/>
        </w:rPr>
        <w:t xml:space="preserve">aluated via Method Statements; </w:t>
      </w:r>
      <w:r w:rsidRPr="00853B33">
        <w:rPr>
          <w:rFonts w:ascii="Arial" w:hAnsi="Arial" w:cs="Arial"/>
          <w:sz w:val="24"/>
          <w:szCs w:val="24"/>
        </w:rPr>
        <w:t xml:space="preserve">a series of questions that seek to understand how providers would deliver the programme objectives in line with the terms of the service specification.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sidRPr="00853B33">
        <w:rPr>
          <w:rFonts w:ascii="Arial" w:hAnsi="Arial" w:cs="Arial"/>
          <w:sz w:val="24"/>
          <w:szCs w:val="24"/>
        </w:rPr>
        <w:t xml:space="preserve">Method Statement questions are part of the </w:t>
      </w:r>
      <w:r>
        <w:rPr>
          <w:rFonts w:ascii="Arial" w:hAnsi="Arial" w:cs="Arial"/>
          <w:sz w:val="24"/>
          <w:szCs w:val="24"/>
        </w:rPr>
        <w:t>‘Invitation to Tender’ (</w:t>
      </w:r>
      <w:r w:rsidRPr="00853B33">
        <w:rPr>
          <w:rFonts w:ascii="Arial" w:hAnsi="Arial" w:cs="Arial"/>
          <w:sz w:val="24"/>
          <w:szCs w:val="24"/>
        </w:rPr>
        <w:t>ITT</w:t>
      </w:r>
      <w:r>
        <w:rPr>
          <w:rFonts w:ascii="Arial" w:hAnsi="Arial" w:cs="Arial"/>
          <w:sz w:val="24"/>
          <w:szCs w:val="24"/>
        </w:rPr>
        <w:t>)</w:t>
      </w:r>
      <w:r w:rsidRPr="00853B33">
        <w:rPr>
          <w:rFonts w:ascii="Arial" w:hAnsi="Arial" w:cs="Arial"/>
          <w:sz w:val="24"/>
          <w:szCs w:val="24"/>
        </w:rPr>
        <w:t xml:space="preserve"> pack. Providers upload their responses to the Method Statements via the Fusion portal. Method Stat</w:t>
      </w:r>
      <w:r>
        <w:rPr>
          <w:rFonts w:ascii="Arial" w:hAnsi="Arial" w:cs="Arial"/>
          <w:sz w:val="24"/>
          <w:szCs w:val="24"/>
        </w:rPr>
        <w:t>ement questions for Categories 3 and 4</w:t>
      </w:r>
      <w:r w:rsidRPr="00853B33">
        <w:rPr>
          <w:rFonts w:ascii="Arial" w:hAnsi="Arial" w:cs="Arial"/>
          <w:sz w:val="24"/>
          <w:szCs w:val="24"/>
        </w:rPr>
        <w:t xml:space="preserve"> are currently TBC, but there will likely be 5-6 questions for each Category, with responses required of approximately </w:t>
      </w:r>
      <w:r>
        <w:rPr>
          <w:rFonts w:ascii="Arial" w:hAnsi="Arial" w:cs="Arial"/>
          <w:sz w:val="24"/>
          <w:szCs w:val="24"/>
        </w:rPr>
        <w:t>500</w:t>
      </w:r>
      <w:r w:rsidRPr="00853B33">
        <w:rPr>
          <w:rFonts w:ascii="Arial" w:hAnsi="Arial" w:cs="Arial"/>
          <w:sz w:val="24"/>
          <w:szCs w:val="24"/>
        </w:rPr>
        <w:t xml:space="preserve"> words. </w:t>
      </w:r>
    </w:p>
    <w:p w:rsidR="00AE287D"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sz w:val="24"/>
          <w:szCs w:val="24"/>
        </w:rPr>
      </w:pPr>
      <w:r>
        <w:rPr>
          <w:rFonts w:ascii="Arial" w:hAnsi="Arial" w:cs="Arial"/>
          <w:sz w:val="24"/>
          <w:szCs w:val="24"/>
        </w:rPr>
        <w:t xml:space="preserve">Some of the services that Newham Council intends to commission within Category 3 for a start date of 1 April 2023 are listed below, with indicative funding allocations. </w:t>
      </w:r>
    </w:p>
    <w:p w:rsidR="00AE287D" w:rsidRDefault="00AE287D" w:rsidP="00AE287D">
      <w:pPr>
        <w:spacing w:after="0" w:line="240" w:lineRule="auto"/>
        <w:jc w:val="both"/>
        <w:rPr>
          <w:rFonts w:ascii="Arial" w:hAnsi="Arial" w:cs="Arial"/>
          <w:sz w:val="24"/>
          <w:szCs w:val="24"/>
        </w:rPr>
      </w:pPr>
    </w:p>
    <w:p w:rsidR="00AE287D" w:rsidRPr="00974BE9" w:rsidRDefault="00AE287D" w:rsidP="00AE287D">
      <w:pPr>
        <w:spacing w:after="0" w:line="240" w:lineRule="auto"/>
        <w:jc w:val="both"/>
        <w:rPr>
          <w:rFonts w:ascii="Arial" w:hAnsi="Arial" w:cs="Arial"/>
          <w:sz w:val="24"/>
          <w:szCs w:val="24"/>
        </w:rPr>
      </w:pPr>
      <w:r>
        <w:rPr>
          <w:rFonts w:ascii="Arial" w:hAnsi="Arial" w:cs="Arial"/>
          <w:sz w:val="24"/>
          <w:szCs w:val="24"/>
        </w:rPr>
        <w:t>Please note that additional services will be commissioned under Categories 3 and 4 but these services are currently TBC based on an analysis of need and engagement with residents.</w:t>
      </w:r>
    </w:p>
    <w:p w:rsidR="00AE287D" w:rsidRDefault="00AE287D" w:rsidP="00AE287D">
      <w:pPr>
        <w:spacing w:after="0" w:line="240" w:lineRule="auto"/>
        <w:jc w:val="both"/>
        <w:rPr>
          <w:rFonts w:ascii="Arial" w:hAnsi="Arial" w:cs="Arial"/>
          <w:sz w:val="24"/>
          <w:szCs w:val="24"/>
        </w:rPr>
      </w:pPr>
    </w:p>
    <w:tbl>
      <w:tblPr>
        <w:tblStyle w:val="TableGrid"/>
        <w:tblW w:w="9493" w:type="dxa"/>
        <w:tblInd w:w="-113" w:type="dxa"/>
        <w:tblLook w:val="0420" w:firstRow="1" w:lastRow="0" w:firstColumn="0" w:lastColumn="0" w:noHBand="0" w:noVBand="1"/>
      </w:tblPr>
      <w:tblGrid>
        <w:gridCol w:w="1630"/>
        <w:gridCol w:w="5910"/>
        <w:gridCol w:w="1953"/>
      </w:tblGrid>
      <w:tr w:rsidR="00AE287D" w:rsidRPr="00515854" w:rsidTr="001A6665">
        <w:trPr>
          <w:trHeight w:val="1060"/>
        </w:trPr>
        <w:tc>
          <w:tcPr>
            <w:tcW w:w="1630" w:type="dxa"/>
            <w:vMerge w:val="restart"/>
            <w:vAlign w:val="center"/>
            <w:hideMark/>
          </w:tcPr>
          <w:p w:rsidR="00AE287D" w:rsidRPr="00515854" w:rsidRDefault="00AE287D" w:rsidP="001A6665">
            <w:pPr>
              <w:jc w:val="center"/>
              <w:rPr>
                <w:rFonts w:ascii="Arial" w:hAnsi="Arial" w:cs="Arial"/>
                <w:sz w:val="24"/>
                <w:szCs w:val="24"/>
              </w:rPr>
            </w:pPr>
            <w:r>
              <w:rPr>
                <w:rFonts w:ascii="Arial" w:hAnsi="Arial" w:cs="Arial"/>
                <w:sz w:val="24"/>
                <w:szCs w:val="24"/>
              </w:rPr>
              <w:t>3.</w:t>
            </w:r>
            <w:r w:rsidRPr="00515854">
              <w:rPr>
                <w:rFonts w:ascii="Arial" w:hAnsi="Arial" w:cs="Arial"/>
                <w:sz w:val="24"/>
                <w:szCs w:val="24"/>
              </w:rPr>
              <w:t>Community projects for health and wellbeing</w:t>
            </w:r>
          </w:p>
        </w:tc>
        <w:tc>
          <w:tcPr>
            <w:tcW w:w="5910" w:type="dxa"/>
            <w:tcBorders>
              <w:right w:val="single" w:sz="4" w:space="0" w:color="auto"/>
            </w:tcBorders>
            <w:hideMark/>
          </w:tcPr>
          <w:p w:rsidR="00AE287D" w:rsidRPr="00515854" w:rsidRDefault="00AE287D" w:rsidP="00AE287D">
            <w:pPr>
              <w:pStyle w:val="ListParagraph"/>
              <w:numPr>
                <w:ilvl w:val="0"/>
                <w:numId w:val="1"/>
              </w:numPr>
              <w:rPr>
                <w:rFonts w:cs="Arial"/>
                <w:szCs w:val="24"/>
              </w:rPr>
            </w:pPr>
            <w:r w:rsidRPr="00515854">
              <w:rPr>
                <w:rFonts w:cs="Arial"/>
                <w:szCs w:val="24"/>
              </w:rPr>
              <w:t>Adults, Families and CYP</w:t>
            </w:r>
            <w:r>
              <w:rPr>
                <w:rFonts w:cs="Arial"/>
                <w:szCs w:val="24"/>
              </w:rPr>
              <w:t xml:space="preserve"> (Children and Young People)</w:t>
            </w:r>
            <w:r w:rsidRPr="00515854">
              <w:rPr>
                <w:rFonts w:cs="Arial"/>
                <w:szCs w:val="24"/>
              </w:rPr>
              <w:t xml:space="preserve">: Cooking Classes, Physical Activity and Train the Trainer </w:t>
            </w:r>
          </w:p>
          <w:p w:rsidR="00AE287D" w:rsidRPr="00250157" w:rsidRDefault="00AE287D" w:rsidP="001A6665">
            <w:pPr>
              <w:rPr>
                <w:rFonts w:cs="Arial"/>
                <w:szCs w:val="24"/>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AE287D" w:rsidRPr="00974BE9" w:rsidRDefault="00AE287D" w:rsidP="001A6665">
            <w:pPr>
              <w:jc w:val="right"/>
              <w:rPr>
                <w:rFonts w:ascii="Arial" w:hAnsi="Arial" w:cs="Arial"/>
                <w:sz w:val="24"/>
              </w:rPr>
            </w:pPr>
            <w:r w:rsidRPr="00974BE9">
              <w:rPr>
                <w:rFonts w:ascii="Arial" w:hAnsi="Arial" w:cs="Arial"/>
                <w:sz w:val="24"/>
              </w:rPr>
              <w:t>£190,000</w:t>
            </w:r>
          </w:p>
        </w:tc>
      </w:tr>
      <w:tr w:rsidR="00AE287D" w:rsidRPr="00515854" w:rsidTr="001A6665">
        <w:trPr>
          <w:trHeight w:val="1056"/>
        </w:trPr>
        <w:tc>
          <w:tcPr>
            <w:tcW w:w="1630" w:type="dxa"/>
            <w:vMerge/>
          </w:tcPr>
          <w:p w:rsidR="00AE287D" w:rsidRPr="00515854" w:rsidRDefault="00AE287D" w:rsidP="001A6665">
            <w:pPr>
              <w:jc w:val="both"/>
              <w:rPr>
                <w:rFonts w:ascii="Arial" w:hAnsi="Arial" w:cs="Arial"/>
                <w:sz w:val="24"/>
                <w:szCs w:val="24"/>
              </w:rPr>
            </w:pPr>
          </w:p>
        </w:tc>
        <w:tc>
          <w:tcPr>
            <w:tcW w:w="5910" w:type="dxa"/>
            <w:tcBorders>
              <w:right w:val="single" w:sz="4" w:space="0" w:color="auto"/>
            </w:tcBorders>
          </w:tcPr>
          <w:p w:rsidR="00AE287D" w:rsidRPr="00250157" w:rsidRDefault="00AE287D" w:rsidP="00AE287D">
            <w:pPr>
              <w:pStyle w:val="ListParagraph"/>
              <w:numPr>
                <w:ilvl w:val="0"/>
                <w:numId w:val="1"/>
              </w:numPr>
              <w:rPr>
                <w:rFonts w:cs="Arial"/>
                <w:szCs w:val="24"/>
              </w:rPr>
            </w:pPr>
            <w:r w:rsidRPr="00515854">
              <w:rPr>
                <w:rFonts w:eastAsiaTheme="minorEastAsia" w:cs="Arial"/>
                <w:szCs w:val="24"/>
              </w:rPr>
              <w:t xml:space="preserve">Young People 11+ years: Healthy cooking and physical activity programmes </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AE287D" w:rsidRPr="00974BE9" w:rsidRDefault="00AE287D" w:rsidP="001A6665">
            <w:pPr>
              <w:ind w:left="35"/>
              <w:jc w:val="right"/>
              <w:rPr>
                <w:rFonts w:ascii="Arial" w:hAnsi="Arial" w:cs="Arial"/>
                <w:sz w:val="24"/>
              </w:rPr>
            </w:pPr>
            <w:r w:rsidRPr="00974BE9">
              <w:rPr>
                <w:rFonts w:ascii="Arial" w:hAnsi="Arial" w:cs="Arial"/>
                <w:sz w:val="24"/>
              </w:rPr>
              <w:t>£10,000</w:t>
            </w:r>
          </w:p>
        </w:tc>
      </w:tr>
      <w:tr w:rsidR="00AE287D" w:rsidRPr="00515854" w:rsidTr="001A6665">
        <w:trPr>
          <w:trHeight w:val="1056"/>
        </w:trPr>
        <w:tc>
          <w:tcPr>
            <w:tcW w:w="1630" w:type="dxa"/>
            <w:vMerge/>
          </w:tcPr>
          <w:p w:rsidR="00AE287D" w:rsidRPr="00515854" w:rsidRDefault="00AE287D" w:rsidP="001A6665">
            <w:pPr>
              <w:jc w:val="both"/>
              <w:rPr>
                <w:rFonts w:ascii="Arial" w:hAnsi="Arial" w:cs="Arial"/>
                <w:sz w:val="24"/>
                <w:szCs w:val="24"/>
              </w:rPr>
            </w:pPr>
          </w:p>
        </w:tc>
        <w:tc>
          <w:tcPr>
            <w:tcW w:w="5910" w:type="dxa"/>
            <w:tcBorders>
              <w:right w:val="single" w:sz="4" w:space="0" w:color="auto"/>
            </w:tcBorders>
          </w:tcPr>
          <w:p w:rsidR="00AE287D" w:rsidRPr="00515854" w:rsidRDefault="00AE287D" w:rsidP="00AE287D">
            <w:pPr>
              <w:pStyle w:val="ListParagraph"/>
              <w:numPr>
                <w:ilvl w:val="0"/>
                <w:numId w:val="1"/>
              </w:numPr>
              <w:rPr>
                <w:rFonts w:eastAsiaTheme="minorEastAsia" w:cs="Arial"/>
                <w:szCs w:val="24"/>
              </w:rPr>
            </w:pPr>
            <w:r>
              <w:rPr>
                <w:rFonts w:eastAsiaTheme="minorEastAsia" w:cs="Arial"/>
                <w:szCs w:val="24"/>
              </w:rPr>
              <w:t>Cooking and healthy eating for</w:t>
            </w:r>
            <w:r w:rsidRPr="00974BE9">
              <w:rPr>
                <w:rFonts w:eastAsiaTheme="minorEastAsia" w:cs="Arial"/>
                <w:szCs w:val="24"/>
              </w:rPr>
              <w:t xml:space="preserve"> </w:t>
            </w:r>
            <w:r>
              <w:rPr>
                <w:rFonts w:eastAsiaTheme="minorEastAsia" w:cs="Arial"/>
                <w:szCs w:val="24"/>
              </w:rPr>
              <w:t>residents with physical and mental health issues</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AE287D" w:rsidRPr="00974BE9" w:rsidRDefault="00AE287D" w:rsidP="001A6665">
            <w:pPr>
              <w:ind w:left="35"/>
              <w:jc w:val="right"/>
              <w:rPr>
                <w:rFonts w:ascii="Arial" w:hAnsi="Arial" w:cs="Arial"/>
                <w:sz w:val="24"/>
              </w:rPr>
            </w:pPr>
            <w:r w:rsidRPr="00974BE9">
              <w:rPr>
                <w:rFonts w:ascii="Arial" w:hAnsi="Arial" w:cs="Arial"/>
                <w:sz w:val="24"/>
              </w:rPr>
              <w:t>£25,000</w:t>
            </w:r>
          </w:p>
        </w:tc>
      </w:tr>
      <w:tr w:rsidR="00AE287D" w:rsidRPr="00515854" w:rsidTr="001A6665">
        <w:trPr>
          <w:trHeight w:val="699"/>
        </w:trPr>
        <w:tc>
          <w:tcPr>
            <w:tcW w:w="1630" w:type="dxa"/>
            <w:vMerge/>
          </w:tcPr>
          <w:p w:rsidR="00AE287D" w:rsidRPr="00515854" w:rsidRDefault="00AE287D" w:rsidP="001A6665">
            <w:pPr>
              <w:jc w:val="both"/>
              <w:rPr>
                <w:rFonts w:ascii="Arial" w:hAnsi="Arial" w:cs="Arial"/>
                <w:sz w:val="24"/>
                <w:szCs w:val="24"/>
              </w:rPr>
            </w:pPr>
          </w:p>
        </w:tc>
        <w:tc>
          <w:tcPr>
            <w:tcW w:w="5910" w:type="dxa"/>
            <w:tcBorders>
              <w:right w:val="single" w:sz="4" w:space="0" w:color="auto"/>
            </w:tcBorders>
          </w:tcPr>
          <w:p w:rsidR="00AE287D" w:rsidRPr="00250157" w:rsidRDefault="00AE287D" w:rsidP="00AE287D">
            <w:pPr>
              <w:pStyle w:val="ListParagraph"/>
              <w:numPr>
                <w:ilvl w:val="0"/>
                <w:numId w:val="1"/>
              </w:numPr>
              <w:rPr>
                <w:rFonts w:cs="Arial"/>
                <w:szCs w:val="24"/>
              </w:rPr>
            </w:pPr>
            <w:r w:rsidRPr="00515854">
              <w:rPr>
                <w:rFonts w:eastAsiaTheme="minorEastAsia" w:cs="Arial"/>
                <w:szCs w:val="24"/>
              </w:rPr>
              <w:t>Stroke support</w:t>
            </w: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rsidR="00AE287D" w:rsidRPr="00974BE9" w:rsidRDefault="00AE287D" w:rsidP="001A6665">
            <w:pPr>
              <w:ind w:left="-107"/>
              <w:jc w:val="right"/>
              <w:rPr>
                <w:rFonts w:ascii="Arial" w:hAnsi="Arial" w:cs="Arial"/>
                <w:sz w:val="24"/>
              </w:rPr>
            </w:pPr>
            <w:r w:rsidRPr="00974BE9">
              <w:rPr>
                <w:rFonts w:ascii="Arial" w:hAnsi="Arial" w:cs="Arial"/>
                <w:sz w:val="24"/>
              </w:rPr>
              <w:t>£71,000</w:t>
            </w:r>
          </w:p>
        </w:tc>
      </w:tr>
      <w:tr w:rsidR="00AE287D" w:rsidRPr="00515854" w:rsidTr="001A6665">
        <w:trPr>
          <w:trHeight w:val="1618"/>
        </w:trPr>
        <w:tc>
          <w:tcPr>
            <w:tcW w:w="1630" w:type="dxa"/>
            <w:vAlign w:val="center"/>
            <w:hideMark/>
          </w:tcPr>
          <w:p w:rsidR="00AE287D" w:rsidRPr="00515854" w:rsidRDefault="00AE287D" w:rsidP="001A6665">
            <w:pPr>
              <w:jc w:val="center"/>
              <w:rPr>
                <w:rFonts w:ascii="Arial" w:hAnsi="Arial" w:cs="Arial"/>
                <w:sz w:val="24"/>
                <w:szCs w:val="24"/>
              </w:rPr>
            </w:pPr>
            <w:r w:rsidRPr="00515854">
              <w:rPr>
                <w:rFonts w:ascii="Arial" w:hAnsi="Arial" w:cs="Arial"/>
                <w:sz w:val="24"/>
                <w:szCs w:val="24"/>
              </w:rPr>
              <w:lastRenderedPageBreak/>
              <w:t>4. Addressing resource inequality</w:t>
            </w:r>
          </w:p>
        </w:tc>
        <w:tc>
          <w:tcPr>
            <w:tcW w:w="5910" w:type="dxa"/>
            <w:hideMark/>
          </w:tcPr>
          <w:p w:rsidR="00AE287D" w:rsidRPr="00B97219" w:rsidRDefault="00AE287D" w:rsidP="00AE287D">
            <w:pPr>
              <w:pStyle w:val="ListParagraph"/>
              <w:numPr>
                <w:ilvl w:val="0"/>
                <w:numId w:val="1"/>
              </w:numPr>
              <w:rPr>
                <w:rFonts w:eastAsiaTheme="minorEastAsia" w:cs="Arial"/>
                <w:szCs w:val="24"/>
              </w:rPr>
            </w:pPr>
            <w:r w:rsidRPr="00B97219">
              <w:rPr>
                <w:rFonts w:eastAsiaTheme="minorEastAsia" w:cs="Arial"/>
                <w:szCs w:val="24"/>
              </w:rPr>
              <w:t xml:space="preserve">Enabling residents to access existing community activities/services related to health and wellbeing that meet pre-defined quality standards and achieve demonstrable outcomes. </w:t>
            </w:r>
          </w:p>
        </w:tc>
        <w:tc>
          <w:tcPr>
            <w:tcW w:w="1953" w:type="dxa"/>
            <w:vAlign w:val="center"/>
          </w:tcPr>
          <w:p w:rsidR="00AE287D" w:rsidRPr="00974BE9" w:rsidRDefault="00AE287D" w:rsidP="001A6665">
            <w:pPr>
              <w:ind w:left="35"/>
              <w:jc w:val="right"/>
              <w:rPr>
                <w:rFonts w:ascii="Arial" w:hAnsi="Arial" w:cs="Arial"/>
                <w:sz w:val="24"/>
              </w:rPr>
            </w:pPr>
            <w:r w:rsidRPr="00974BE9">
              <w:rPr>
                <w:rFonts w:ascii="Arial" w:hAnsi="Arial" w:cs="Arial"/>
                <w:sz w:val="24"/>
              </w:rPr>
              <w:t>£245,000.00</w:t>
            </w:r>
          </w:p>
        </w:tc>
      </w:tr>
    </w:tbl>
    <w:p w:rsidR="00AE287D" w:rsidRPr="00853B33" w:rsidRDefault="00AE287D" w:rsidP="00AE287D">
      <w:pPr>
        <w:spacing w:after="0" w:line="240" w:lineRule="auto"/>
        <w:jc w:val="both"/>
        <w:rPr>
          <w:rFonts w:ascii="Arial" w:hAnsi="Arial" w:cs="Arial"/>
          <w:sz w:val="24"/>
          <w:szCs w:val="24"/>
        </w:rPr>
      </w:pPr>
    </w:p>
    <w:p w:rsidR="00AE287D" w:rsidRDefault="00AE287D" w:rsidP="00AE287D">
      <w:pPr>
        <w:spacing w:after="0" w:line="240" w:lineRule="auto"/>
        <w:jc w:val="both"/>
        <w:rPr>
          <w:rFonts w:ascii="Arial" w:hAnsi="Arial" w:cs="Arial"/>
          <w:b/>
          <w:sz w:val="24"/>
          <w:szCs w:val="24"/>
        </w:rPr>
      </w:pPr>
    </w:p>
    <w:p w:rsidR="00AE287D" w:rsidRPr="0005137C" w:rsidRDefault="00AE287D" w:rsidP="00AE287D">
      <w:pPr>
        <w:spacing w:after="0" w:line="240" w:lineRule="auto"/>
        <w:jc w:val="both"/>
        <w:rPr>
          <w:rFonts w:ascii="Arial" w:hAnsi="Arial" w:cs="Arial"/>
          <w:b/>
          <w:sz w:val="24"/>
          <w:szCs w:val="24"/>
        </w:rPr>
      </w:pPr>
      <w:r w:rsidRPr="0005137C">
        <w:rPr>
          <w:rFonts w:ascii="Arial" w:hAnsi="Arial" w:cs="Arial"/>
          <w:b/>
          <w:sz w:val="24"/>
          <w:szCs w:val="24"/>
        </w:rPr>
        <w:t xml:space="preserve">Indicative dates and milestones for Admission to </w:t>
      </w:r>
      <w:r>
        <w:rPr>
          <w:rFonts w:ascii="Arial" w:hAnsi="Arial" w:cs="Arial"/>
          <w:b/>
          <w:sz w:val="24"/>
          <w:szCs w:val="24"/>
        </w:rPr>
        <w:t xml:space="preserve">Healthier Lives </w:t>
      </w:r>
      <w:r w:rsidRPr="0005137C">
        <w:rPr>
          <w:rFonts w:ascii="Arial" w:hAnsi="Arial" w:cs="Arial"/>
          <w:b/>
          <w:sz w:val="24"/>
          <w:szCs w:val="24"/>
        </w:rPr>
        <w:t xml:space="preserve">DPV </w:t>
      </w:r>
    </w:p>
    <w:p w:rsidR="00AE287D" w:rsidRDefault="00AE287D" w:rsidP="00AE287D">
      <w:pPr>
        <w:spacing w:after="0" w:line="240" w:lineRule="auto"/>
        <w:jc w:val="both"/>
        <w:rPr>
          <w:rFonts w:ascii="Arial" w:hAnsi="Arial" w:cs="Arial"/>
          <w:sz w:val="24"/>
          <w:szCs w:val="24"/>
        </w:rPr>
      </w:pPr>
    </w:p>
    <w:tbl>
      <w:tblPr>
        <w:tblStyle w:val="TableGridLight"/>
        <w:tblW w:w="9639" w:type="dxa"/>
        <w:tblLook w:val="0420" w:firstRow="1" w:lastRow="0" w:firstColumn="0" w:lastColumn="0" w:noHBand="0" w:noVBand="1"/>
      </w:tblPr>
      <w:tblGrid>
        <w:gridCol w:w="2835"/>
        <w:gridCol w:w="6804"/>
      </w:tblGrid>
      <w:tr w:rsidR="00AE287D" w:rsidRPr="0005137C" w:rsidTr="001A6665">
        <w:trPr>
          <w:trHeight w:val="319"/>
        </w:trPr>
        <w:tc>
          <w:tcPr>
            <w:tcW w:w="2835" w:type="dxa"/>
            <w:hideMark/>
          </w:tcPr>
          <w:p w:rsidR="00AE287D" w:rsidRPr="0005137C" w:rsidRDefault="00AE287D" w:rsidP="001A6665">
            <w:pPr>
              <w:jc w:val="both"/>
              <w:rPr>
                <w:rFonts w:ascii="Arial" w:hAnsi="Arial" w:cs="Arial"/>
                <w:sz w:val="24"/>
                <w:szCs w:val="24"/>
              </w:rPr>
            </w:pPr>
            <w:r w:rsidRPr="0005137C">
              <w:rPr>
                <w:rFonts w:ascii="Arial" w:hAnsi="Arial" w:cs="Arial"/>
                <w:b/>
                <w:bCs/>
                <w:sz w:val="24"/>
                <w:szCs w:val="24"/>
              </w:rPr>
              <w:t>Date</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b/>
                <w:bCs/>
                <w:sz w:val="24"/>
                <w:szCs w:val="24"/>
              </w:rPr>
              <w:t>Milestone</w:t>
            </w:r>
          </w:p>
        </w:tc>
      </w:tr>
      <w:tr w:rsidR="00AE287D" w:rsidRPr="0005137C" w:rsidTr="001A6665">
        <w:trPr>
          <w:trHeight w:val="245"/>
        </w:trPr>
        <w:tc>
          <w:tcPr>
            <w:tcW w:w="2835" w:type="dxa"/>
            <w:hideMark/>
          </w:tcPr>
          <w:p w:rsidR="00AE287D" w:rsidRPr="0005137C" w:rsidRDefault="00AE287D" w:rsidP="001A6665">
            <w:pPr>
              <w:jc w:val="both"/>
              <w:rPr>
                <w:rFonts w:ascii="Arial" w:hAnsi="Arial" w:cs="Arial"/>
                <w:sz w:val="24"/>
                <w:szCs w:val="24"/>
              </w:rPr>
            </w:pPr>
            <w:r>
              <w:rPr>
                <w:rFonts w:ascii="Arial" w:hAnsi="Arial" w:cs="Arial"/>
                <w:sz w:val="24"/>
                <w:szCs w:val="24"/>
              </w:rPr>
              <w:t>w/c 4</w:t>
            </w:r>
            <w:r w:rsidRPr="0005137C">
              <w:rPr>
                <w:rFonts w:ascii="Arial" w:hAnsi="Arial" w:cs="Arial"/>
                <w:sz w:val="24"/>
                <w:szCs w:val="24"/>
                <w:vertAlign w:val="superscript"/>
              </w:rPr>
              <w:t>th</w:t>
            </w:r>
            <w:r>
              <w:rPr>
                <w:rFonts w:ascii="Arial" w:hAnsi="Arial" w:cs="Arial"/>
                <w:sz w:val="24"/>
                <w:szCs w:val="24"/>
              </w:rPr>
              <w:t xml:space="preserve"> of July 2022</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DPV opens for registration</w:t>
            </w:r>
            <w:r>
              <w:rPr>
                <w:rFonts w:ascii="Arial" w:hAnsi="Arial" w:cs="Arial"/>
                <w:sz w:val="24"/>
                <w:szCs w:val="24"/>
              </w:rPr>
              <w:t xml:space="preserve"> and providers can access and read the documents (Selection questionnaire, Call-off contract, Agreement, etc.)</w:t>
            </w:r>
          </w:p>
        </w:tc>
      </w:tr>
      <w:tr w:rsidR="00AE287D" w:rsidRPr="0005137C" w:rsidTr="001A6665">
        <w:trPr>
          <w:trHeight w:val="234"/>
        </w:trPr>
        <w:tc>
          <w:tcPr>
            <w:tcW w:w="2835" w:type="dxa"/>
            <w:hideMark/>
          </w:tcPr>
          <w:p w:rsidR="00AE287D" w:rsidRPr="0005137C" w:rsidRDefault="00AE287D" w:rsidP="001A6665">
            <w:pPr>
              <w:jc w:val="both"/>
              <w:rPr>
                <w:rFonts w:ascii="Arial" w:hAnsi="Arial" w:cs="Arial"/>
                <w:sz w:val="24"/>
                <w:szCs w:val="24"/>
              </w:rPr>
            </w:pPr>
            <w:r>
              <w:rPr>
                <w:rFonts w:ascii="Arial" w:hAnsi="Arial" w:cs="Arial"/>
                <w:sz w:val="24"/>
                <w:szCs w:val="24"/>
              </w:rPr>
              <w:t>w/c 1</w:t>
            </w:r>
            <w:r w:rsidRPr="0005137C">
              <w:rPr>
                <w:rFonts w:ascii="Arial" w:hAnsi="Arial" w:cs="Arial"/>
                <w:sz w:val="24"/>
                <w:szCs w:val="24"/>
                <w:vertAlign w:val="superscript"/>
              </w:rPr>
              <w:t>st</w:t>
            </w:r>
            <w:r>
              <w:rPr>
                <w:rFonts w:ascii="Arial" w:hAnsi="Arial" w:cs="Arial"/>
                <w:sz w:val="24"/>
                <w:szCs w:val="24"/>
              </w:rPr>
              <w:t xml:space="preserve"> of August 2022</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 xml:space="preserve">Deadline for </w:t>
            </w:r>
            <w:r>
              <w:rPr>
                <w:rFonts w:ascii="Arial" w:hAnsi="Arial" w:cs="Arial"/>
                <w:sz w:val="24"/>
                <w:szCs w:val="24"/>
              </w:rPr>
              <w:t>providers to ask questions</w:t>
            </w:r>
            <w:r w:rsidRPr="0005137C">
              <w:rPr>
                <w:rFonts w:ascii="Arial" w:hAnsi="Arial" w:cs="Arial"/>
                <w:sz w:val="24"/>
                <w:szCs w:val="24"/>
              </w:rPr>
              <w:t xml:space="preserve"> </w:t>
            </w:r>
          </w:p>
        </w:tc>
      </w:tr>
      <w:tr w:rsidR="00AE287D" w:rsidRPr="0005137C" w:rsidTr="001A6665">
        <w:trPr>
          <w:trHeight w:val="213"/>
        </w:trPr>
        <w:tc>
          <w:tcPr>
            <w:tcW w:w="2835" w:type="dxa"/>
            <w:hideMark/>
          </w:tcPr>
          <w:p w:rsidR="00AE287D" w:rsidRPr="0005137C" w:rsidRDefault="00AE287D" w:rsidP="001A6665">
            <w:pPr>
              <w:jc w:val="both"/>
              <w:rPr>
                <w:rFonts w:ascii="Arial" w:hAnsi="Arial" w:cs="Arial"/>
                <w:sz w:val="24"/>
                <w:szCs w:val="24"/>
              </w:rPr>
            </w:pPr>
            <w:r>
              <w:rPr>
                <w:rFonts w:ascii="Arial" w:hAnsi="Arial" w:cs="Arial"/>
                <w:sz w:val="24"/>
                <w:szCs w:val="24"/>
              </w:rPr>
              <w:t>w/c 5</w:t>
            </w:r>
            <w:r w:rsidRPr="0005137C">
              <w:rPr>
                <w:rFonts w:ascii="Arial" w:hAnsi="Arial" w:cs="Arial"/>
                <w:sz w:val="24"/>
                <w:szCs w:val="24"/>
                <w:vertAlign w:val="superscript"/>
              </w:rPr>
              <w:t>th</w:t>
            </w:r>
            <w:r>
              <w:rPr>
                <w:rFonts w:ascii="Arial" w:hAnsi="Arial" w:cs="Arial"/>
                <w:sz w:val="24"/>
                <w:szCs w:val="24"/>
              </w:rPr>
              <w:t xml:space="preserve"> of August 2022</w:t>
            </w:r>
          </w:p>
        </w:tc>
        <w:tc>
          <w:tcPr>
            <w:tcW w:w="6804" w:type="dxa"/>
            <w:hideMark/>
          </w:tcPr>
          <w:p w:rsidR="00AE287D" w:rsidRPr="0005137C" w:rsidRDefault="00AE287D" w:rsidP="001A6665">
            <w:pPr>
              <w:jc w:val="both"/>
              <w:rPr>
                <w:rFonts w:ascii="Arial" w:hAnsi="Arial" w:cs="Arial"/>
                <w:sz w:val="24"/>
                <w:szCs w:val="24"/>
              </w:rPr>
            </w:pPr>
            <w:r>
              <w:rPr>
                <w:rFonts w:ascii="Arial" w:hAnsi="Arial" w:cs="Arial"/>
                <w:sz w:val="24"/>
                <w:szCs w:val="24"/>
              </w:rPr>
              <w:t>Deadline for providers to complete the Selection Questionnaire and register onto the DPV</w:t>
            </w:r>
            <w:r w:rsidRPr="0005137C">
              <w:rPr>
                <w:rFonts w:ascii="Arial" w:hAnsi="Arial" w:cs="Arial"/>
                <w:sz w:val="24"/>
                <w:szCs w:val="24"/>
              </w:rPr>
              <w:t xml:space="preserve"> </w:t>
            </w:r>
          </w:p>
        </w:tc>
      </w:tr>
      <w:tr w:rsidR="00AE287D" w:rsidRPr="0005137C" w:rsidTr="001A6665">
        <w:trPr>
          <w:trHeight w:val="307"/>
        </w:trPr>
        <w:tc>
          <w:tcPr>
            <w:tcW w:w="2835"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August - September</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Newham Council evaluation and governance for registration</w:t>
            </w:r>
          </w:p>
        </w:tc>
      </w:tr>
      <w:tr w:rsidR="00AE287D" w:rsidRPr="0005137C" w:rsidTr="001A6665">
        <w:trPr>
          <w:trHeight w:val="334"/>
        </w:trPr>
        <w:tc>
          <w:tcPr>
            <w:tcW w:w="2835"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September</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Award letters for registration onto DPV</w:t>
            </w:r>
          </w:p>
        </w:tc>
      </w:tr>
      <w:tr w:rsidR="00AE287D" w:rsidRPr="0005137C" w:rsidTr="001A6665">
        <w:trPr>
          <w:trHeight w:val="359"/>
        </w:trPr>
        <w:tc>
          <w:tcPr>
            <w:tcW w:w="2835"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 xml:space="preserve">October – November </w:t>
            </w:r>
          </w:p>
        </w:tc>
        <w:tc>
          <w:tcPr>
            <w:tcW w:w="6804" w:type="dxa"/>
            <w:hideMark/>
          </w:tcPr>
          <w:p w:rsidR="00AE287D" w:rsidRPr="0005137C" w:rsidRDefault="00AE287D" w:rsidP="001A6665">
            <w:pPr>
              <w:jc w:val="both"/>
              <w:rPr>
                <w:rFonts w:ascii="Arial" w:hAnsi="Arial" w:cs="Arial"/>
                <w:sz w:val="24"/>
                <w:szCs w:val="24"/>
              </w:rPr>
            </w:pPr>
            <w:r w:rsidRPr="0005137C">
              <w:rPr>
                <w:rFonts w:ascii="Arial" w:hAnsi="Arial" w:cs="Arial"/>
                <w:sz w:val="24"/>
                <w:szCs w:val="24"/>
              </w:rPr>
              <w:t>Mini competitions commence for Category 3 and 4</w:t>
            </w:r>
          </w:p>
        </w:tc>
      </w:tr>
    </w:tbl>
    <w:p w:rsidR="006E3931" w:rsidRDefault="002B22D1"/>
    <w:sectPr w:rsidR="006E3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C4142"/>
    <w:multiLevelType w:val="hybridMultilevel"/>
    <w:tmpl w:val="61AA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457E47"/>
    <w:multiLevelType w:val="hybridMultilevel"/>
    <w:tmpl w:val="6ECC2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7D"/>
    <w:rsid w:val="002B22D1"/>
    <w:rsid w:val="008C15E9"/>
    <w:rsid w:val="00AE287D"/>
    <w:rsid w:val="00E11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41E99-EF75-42CA-9B4E-3DCDFBA5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7D"/>
  </w:style>
  <w:style w:type="paragraph" w:styleId="Heading1">
    <w:name w:val="heading 1"/>
    <w:basedOn w:val="Normal"/>
    <w:next w:val="Normal"/>
    <w:link w:val="Heading1Char"/>
    <w:uiPriority w:val="9"/>
    <w:qFormat/>
    <w:rsid w:val="00AE2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87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AE287D"/>
    <w:rPr>
      <w:rFonts w:ascii="Arial" w:hAnsi="Arial" w:cs="Times New Roman"/>
      <w:color w:val="0000FF"/>
      <w:sz w:val="24"/>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AE287D"/>
    <w:pPr>
      <w:suppressAutoHyphens/>
      <w:spacing w:after="0" w:line="240" w:lineRule="auto"/>
      <w:ind w:left="720"/>
      <w:jc w:val="both"/>
    </w:pPr>
    <w:rPr>
      <w:rFonts w:ascii="Arial" w:eastAsia="Times New Roman" w:hAnsi="Arial" w:cs="Times New Roman"/>
      <w:sz w:val="24"/>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locked/>
    <w:rsid w:val="00AE287D"/>
    <w:rPr>
      <w:rFonts w:ascii="Arial" w:eastAsia="Times New Roman" w:hAnsi="Arial" w:cs="Times New Roman"/>
      <w:sz w:val="24"/>
      <w:szCs w:val="20"/>
    </w:rPr>
  </w:style>
  <w:style w:type="table" w:styleId="TableGrid">
    <w:name w:val="Table Grid"/>
    <w:basedOn w:val="TableNormal"/>
    <w:uiPriority w:val="39"/>
    <w:rsid w:val="00AE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E2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astlondonhcp.nhs.uk/aboutus/north-east-london-integrated-care-system.htm" TargetMode="Externa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Pop</dc:creator>
  <cp:keywords/>
  <dc:description/>
  <cp:lastModifiedBy>Munir Hussain Patel</cp:lastModifiedBy>
  <cp:revision>2</cp:revision>
  <dcterms:created xsi:type="dcterms:W3CDTF">2022-07-07T15:09:00Z</dcterms:created>
  <dcterms:modified xsi:type="dcterms:W3CDTF">2022-07-07T15:09:00Z</dcterms:modified>
</cp:coreProperties>
</file>