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77151" w:rsidRDefault="00D77151">
      <w:pPr>
        <w:spacing w:after="0" w:line="240" w:lineRule="auto"/>
        <w:rPr>
          <w:rFonts w:cs="Calibri"/>
          <w:color w:val="404040" w:themeColor="text1" w:themeTint="BF"/>
          <w:sz w:val="24"/>
          <w:szCs w:val="24"/>
        </w:rPr>
      </w:pPr>
      <w:r>
        <w:rPr>
          <w:noProof/>
          <w:lang w:eastAsia="en-GB"/>
        </w:rPr>
        <mc:AlternateContent>
          <mc:Choice Requires="wps">
            <w:drawing>
              <wp:anchor distT="0" distB="0" distL="114300" distR="114300" simplePos="0" relativeHeight="251659264" behindDoc="0" locked="0" layoutInCell="1" allowOverlap="1" wp14:anchorId="430DC4E6" wp14:editId="66731752">
                <wp:simplePos x="0" y="0"/>
                <wp:positionH relativeFrom="column">
                  <wp:posOffset>130175</wp:posOffset>
                </wp:positionH>
                <wp:positionV relativeFrom="paragraph">
                  <wp:posOffset>2538095</wp:posOffset>
                </wp:positionV>
                <wp:extent cx="6350000" cy="417576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350000" cy="41757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746B1" w:rsidRPr="005D626D" w:rsidRDefault="003746B1" w:rsidP="00D77151">
                            <w:pPr>
                              <w:jc w:val="center"/>
                              <w:rPr>
                                <w:sz w:val="72"/>
                                <w:szCs w:val="72"/>
                              </w:rPr>
                            </w:pPr>
                            <w:r>
                              <w:rPr>
                                <w:sz w:val="72"/>
                                <w:szCs w:val="72"/>
                              </w:rPr>
                              <w:t xml:space="preserve">Draft Community </w:t>
                            </w:r>
                            <w:r w:rsidRPr="005D626D">
                              <w:rPr>
                                <w:sz w:val="72"/>
                                <w:szCs w:val="72"/>
                              </w:rPr>
                              <w:t>Ear, Nose and Throat (ENT)</w:t>
                            </w:r>
                            <w:r>
                              <w:rPr>
                                <w:sz w:val="72"/>
                                <w:szCs w:val="72"/>
                              </w:rPr>
                              <w:t xml:space="preserve"> Service Specification </w:t>
                            </w: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32"/>
                              </w:rPr>
                            </w:pPr>
                          </w:p>
                          <w:p w:rsidR="003746B1" w:rsidRDefault="003746B1" w:rsidP="00D77151">
                            <w:pPr>
                              <w:jc w:val="right"/>
                              <w:rPr>
                                <w:sz w:val="24"/>
                              </w:rPr>
                            </w:pPr>
                            <w:r w:rsidRPr="003A2877">
                              <w:rPr>
                                <w:b/>
                                <w:sz w:val="32"/>
                              </w:rPr>
                              <w:t>Date</w:t>
                            </w:r>
                            <w:r>
                              <w:rPr>
                                <w:b/>
                                <w:sz w:val="32"/>
                              </w:rPr>
                              <w:t>: 18</w:t>
                            </w:r>
                            <w:r w:rsidRPr="005D626D">
                              <w:rPr>
                                <w:b/>
                                <w:sz w:val="32"/>
                                <w:vertAlign w:val="superscript"/>
                              </w:rPr>
                              <w:t>th</w:t>
                            </w:r>
                            <w:r>
                              <w:rPr>
                                <w:b/>
                                <w:sz w:val="32"/>
                              </w:rPr>
                              <w:t xml:space="preserve"> March 2015</w:t>
                            </w:r>
                          </w:p>
                          <w:p w:rsidR="003746B1" w:rsidRDefault="003746B1" w:rsidP="00D77151">
                            <w:pPr>
                              <w:jc w:val="right"/>
                              <w:rPr>
                                <w:sz w:val="24"/>
                              </w:rPr>
                            </w:pPr>
                            <w:r w:rsidRPr="003A2877">
                              <w:rPr>
                                <w:b/>
                                <w:sz w:val="32"/>
                              </w:rPr>
                              <w:t>Version</w:t>
                            </w:r>
                            <w:r>
                              <w:rPr>
                                <w:b/>
                                <w:sz w:val="32"/>
                              </w:rPr>
                              <w:t>: v0.1</w:t>
                            </w:r>
                            <w:r w:rsidR="007F19B1">
                              <w:rPr>
                                <w:b/>
                                <w:sz w:val="32"/>
                              </w:rPr>
                              <w:t>1</w:t>
                            </w: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sz w:val="24"/>
                              </w:rPr>
                            </w:pPr>
                            <w:r w:rsidRPr="003A2877">
                              <w:rPr>
                                <w:b/>
                                <w:sz w:val="32"/>
                              </w:rPr>
                              <w:t>Date:</w:t>
                            </w:r>
                            <w:r w:rsidRPr="00C008E2">
                              <w:rPr>
                                <w:color w:val="548DD4" w:themeColor="text2" w:themeTint="99"/>
                                <w:sz w:val="24"/>
                              </w:rPr>
                              <w:t>&lt;insert date that this version was created&gt;</w:t>
                            </w:r>
                          </w:p>
                          <w:p w:rsidR="003746B1" w:rsidRDefault="003746B1" w:rsidP="00D77151">
                            <w:pPr>
                              <w:jc w:val="right"/>
                              <w:rPr>
                                <w:sz w:val="24"/>
                              </w:rPr>
                            </w:pPr>
                            <w:r w:rsidRPr="003A2877">
                              <w:rPr>
                                <w:b/>
                                <w:sz w:val="32"/>
                              </w:rPr>
                              <w:t>Version:</w:t>
                            </w:r>
                            <w:r w:rsidRPr="00C008E2">
                              <w:rPr>
                                <w:color w:val="548DD4" w:themeColor="text2" w:themeTint="99"/>
                                <w:sz w:val="16"/>
                              </w:rPr>
                              <w:t>&lt;</w:t>
                            </w:r>
                            <w:r w:rsidRPr="00C008E2">
                              <w:rPr>
                                <w:color w:val="548DD4" w:themeColor="text2" w:themeTint="99"/>
                                <w:sz w:val="24"/>
                              </w:rPr>
                              <w:t>insert version control number&gt;</w:t>
                            </w:r>
                          </w:p>
                          <w:p w:rsidR="003746B1" w:rsidRPr="0030295F" w:rsidRDefault="003746B1" w:rsidP="00D77151">
                            <w:pPr>
                              <w:pStyle w:val="Strapline"/>
                              <w:rPr>
                                <w:rFonts w:ascii="Corbel" w:hAnsi="Corbel"/>
                                <w:color w:val="404040" w:themeColor="text1" w:themeTint="BF"/>
                              </w:rPr>
                            </w:pPr>
                          </w:p>
                          <w:p w:rsidR="003746B1" w:rsidRPr="00F43EC3" w:rsidRDefault="003746B1" w:rsidP="00D77151">
                            <w:pPr>
                              <w:pStyle w:val="Heading3"/>
                              <w:rPr>
                                <w:rFonts w:ascii="Rockwell" w:hAnsi="Rockwell"/>
                                <w:b w:val="0"/>
                                <w:color w:val="003F51"/>
                                <w:sz w:val="32"/>
                                <w:szCs w:val="32"/>
                              </w:rPr>
                            </w:pPr>
                            <w:bookmarkStart w:id="1" w:name="_Toc414882528"/>
                            <w:r w:rsidRPr="00F43EC3">
                              <w:rPr>
                                <w:rFonts w:ascii="Rockwell" w:hAnsi="Rockwell"/>
                                <w:b w:val="0"/>
                                <w:color w:val="003F51"/>
                                <w:sz w:val="32"/>
                                <w:szCs w:val="32"/>
                              </w:rPr>
                              <w:t>Date or version information</w:t>
                            </w:r>
                            <w:bookmarkEnd w:id="1"/>
                          </w:p>
                          <w:p w:rsidR="003746B1" w:rsidRPr="00D61AA7" w:rsidRDefault="003746B1" w:rsidP="006414AC">
                            <w:pPr>
                              <w:pStyle w:val="Coverheader"/>
                              <w:rPr>
                                <w:rFonts w:ascii="Rockwell" w:hAnsi="Rockwell"/>
                                <w:color w:val="595959" w:themeColor="text1" w:themeTint="A6"/>
                              </w:rPr>
                            </w:pPr>
                            <w:r w:rsidRPr="00D61AA7">
                              <w:rPr>
                                <w:rFonts w:ascii="Rockwell" w:hAnsi="Rockwell"/>
                                <w:color w:val="595959" w:themeColor="text1" w:themeTint="A6"/>
                              </w:rPr>
                              <w:t>ent title</w:t>
                            </w:r>
                          </w:p>
                          <w:p w:rsidR="003746B1" w:rsidRPr="0030295F" w:rsidRDefault="003746B1" w:rsidP="00891A5D">
                            <w:pPr>
                              <w:pStyle w:val="Strapline"/>
                              <w:rPr>
                                <w:rFonts w:ascii="Corbel" w:hAnsi="Corbel"/>
                                <w:color w:val="404040" w:themeColor="text1" w:themeTint="BF"/>
                              </w:rPr>
                            </w:pPr>
                          </w:p>
                          <w:p w:rsidR="003746B1" w:rsidRPr="000B3143" w:rsidRDefault="003746B1" w:rsidP="00EF06DA">
                            <w:pPr>
                              <w:pStyle w:val="Heading3"/>
                              <w:rPr>
                                <w:rFonts w:ascii="Rockwell" w:hAnsi="Rockwell"/>
                                <w:b w:val="0"/>
                                <w:color w:val="404040" w:themeColor="text1" w:themeTint="BF"/>
                                <w:sz w:val="32"/>
                                <w:szCs w:val="32"/>
                              </w:rPr>
                            </w:pPr>
                            <w:bookmarkStart w:id="2" w:name="_Toc414882529"/>
                            <w:r w:rsidRPr="000B3143">
                              <w:rPr>
                                <w:rFonts w:ascii="Rockwell" w:hAnsi="Rockwell"/>
                                <w:b w:val="0"/>
                                <w:color w:val="404040" w:themeColor="text1" w:themeTint="BF"/>
                                <w:sz w:val="32"/>
                                <w:szCs w:val="32"/>
                              </w:rPr>
                              <w:t>Date or version information</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5pt;margin-top:199.85pt;width:500pt;height:3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R8rAIAAKQFAAAOAAAAZHJzL2Uyb0RvYy54bWysVE1v2zAMvQ/YfxB0T21nTtIYdQo3RYYB&#10;RVusHXpWZKkxZouapCTOhv33UbKdZt0uHZaDQ5FPFPn4cXHZNjXZCWMrUDlNzmJKhOJQVuo5p18e&#10;V6NzSqxjqmQ1KJHTg7D0cvH+3cVeZ2IMG6hLYQg6UTbb65xunNNZFFm+EQ2zZ6CFQqME0zCHR/Mc&#10;lYbt0XtTR+M4nkZ7MKU2wIW1qL3ujHQR/EspuLuT0gpH6pxibC58Tfiu/TdaXLDs2TC9qXgfBvuH&#10;KBpWKXz06OqaOUa2pvrDVVNxAxakO+PQRCBlxUXIAbNJ4lfZPGyYFiEXJMfqI032/7nlt7t7Q6oy&#10;p2NKFGuwRI+ideQKWjL27Oy1zRD0oBHmWlRjlQe9RaVPupWm8f+YDkE78nw4cuudcVROP0xi/FHC&#10;0ZYms8lsGtiPXq5rY91HAQ3xQk4NFi9wynY31mEoCB0g/jUFq6quQwFr9ZsCgZ1GhA7obrMMQ0HR&#10;I31QoTo/lpPZuJhN5qNpMUlGaRKfj4oiHo+uV0VcxOlqOU+vfvp80edwP/KcdLkHyR1q4b3W6rOQ&#10;yGWgwCtCF4tlbciOYf8xzoVygb0QIaI9SmIWb7nY40MeIb+3XO4YGV4G5Y6Xm0qBCXy/Crv8OoQs&#10;OzyScZK3F127bvteWUN5wFYx0I2a1XxVYTlvmHX3zOBsYQvgvnB3+JE17HMKvUTJBsz3v+k9Hlse&#10;rZTscVZzar9tmRGU1J8UDsM8SVM/3OGQYkXxYE4t61OL2jZLwHIkuJk0D6LHu3oQpYHmCddK4V9F&#10;E1Mc386pG8Sl6zYIriUuiiKAcJw1czfqQXPv2lfHN+tj+8SM7jvaYQfdwjDVLHvV2B3W31RQbB3I&#10;KnS9J7hjtSceV0Hox35t+V1zeg6ol+W6+AUAAP//AwBQSwMEFAAGAAgAAAAhAAPg2ZneAAAADAEA&#10;AA8AAABkcnMvZG93bnJldi54bWxMj8tOwzAQRfdI/IM1SOzomJZQksapEIgtiPKQunPjaRIRj6PY&#10;bcLf1+kGdvM4unMmX4+2FUfqfeNYwe1MgiAunWm4UvD58XLzAMIHzUa3jknBL3lYF5cXuc6MG/id&#10;jptQiRjCPtMK6hC6DNGXNVntZ64jjru9660Ose0rNL0eYrhtcS7lPVrdcLxQ646eaip/Nger4Ot1&#10;v/2+k2/Vs026wY0S2aao1PXV+LgCEWgMfzBM+lEdiui0cwc2XrQK5jKJpIJFmi5BTIA8j3ZTlSwX&#10;gEWO/58oTgAAAP//AwBQSwECLQAUAAYACAAAACEAtoM4kv4AAADhAQAAEwAAAAAAAAAAAAAAAAAA&#10;AAAAW0NvbnRlbnRfVHlwZXNdLnhtbFBLAQItABQABgAIAAAAIQA4/SH/1gAAAJQBAAALAAAAAAAA&#10;AAAAAAAAAC8BAABfcmVscy8ucmVsc1BLAQItABQABgAIAAAAIQDVmWR8rAIAAKQFAAAOAAAAAAAA&#10;AAAAAAAAAC4CAABkcnMvZTJvRG9jLnhtbFBLAQItABQABgAIAAAAIQAD4NmZ3gAAAAwBAAAPAAAA&#10;AAAAAAAAAAAAAAYFAABkcnMvZG93bnJldi54bWxQSwUGAAAAAAQABADzAAAAEQYAAAAA&#10;" filled="f" stroked="f">
                <v:textbox>
                  <w:txbxContent>
                    <w:p w:rsidR="003746B1" w:rsidRPr="005D626D" w:rsidRDefault="003746B1" w:rsidP="00D77151">
                      <w:pPr>
                        <w:jc w:val="center"/>
                        <w:rPr>
                          <w:sz w:val="72"/>
                          <w:szCs w:val="72"/>
                        </w:rPr>
                      </w:pPr>
                      <w:r>
                        <w:rPr>
                          <w:sz w:val="72"/>
                          <w:szCs w:val="72"/>
                        </w:rPr>
                        <w:t xml:space="preserve">Draft Community </w:t>
                      </w:r>
                      <w:r w:rsidRPr="005D626D">
                        <w:rPr>
                          <w:sz w:val="72"/>
                          <w:szCs w:val="72"/>
                        </w:rPr>
                        <w:t>Ear, Nose and Throat (ENT)</w:t>
                      </w:r>
                      <w:r>
                        <w:rPr>
                          <w:sz w:val="72"/>
                          <w:szCs w:val="72"/>
                        </w:rPr>
                        <w:t xml:space="preserve"> Service Specification </w:t>
                      </w: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32"/>
                        </w:rPr>
                      </w:pPr>
                    </w:p>
                    <w:p w:rsidR="003746B1" w:rsidRDefault="003746B1" w:rsidP="00D77151">
                      <w:pPr>
                        <w:jc w:val="right"/>
                        <w:rPr>
                          <w:sz w:val="24"/>
                        </w:rPr>
                      </w:pPr>
                      <w:r w:rsidRPr="003A2877">
                        <w:rPr>
                          <w:b/>
                          <w:sz w:val="32"/>
                        </w:rPr>
                        <w:t>Date</w:t>
                      </w:r>
                      <w:r>
                        <w:rPr>
                          <w:b/>
                          <w:sz w:val="32"/>
                        </w:rPr>
                        <w:t>: 18</w:t>
                      </w:r>
                      <w:r w:rsidRPr="005D626D">
                        <w:rPr>
                          <w:b/>
                          <w:sz w:val="32"/>
                          <w:vertAlign w:val="superscript"/>
                        </w:rPr>
                        <w:t>th</w:t>
                      </w:r>
                      <w:r>
                        <w:rPr>
                          <w:b/>
                          <w:sz w:val="32"/>
                        </w:rPr>
                        <w:t xml:space="preserve"> March 2015</w:t>
                      </w:r>
                    </w:p>
                    <w:p w:rsidR="003746B1" w:rsidRDefault="003746B1" w:rsidP="00D77151">
                      <w:pPr>
                        <w:jc w:val="right"/>
                        <w:rPr>
                          <w:sz w:val="24"/>
                        </w:rPr>
                      </w:pPr>
                      <w:r w:rsidRPr="003A2877">
                        <w:rPr>
                          <w:b/>
                          <w:sz w:val="32"/>
                        </w:rPr>
                        <w:t>Version</w:t>
                      </w:r>
                      <w:r>
                        <w:rPr>
                          <w:b/>
                          <w:sz w:val="32"/>
                        </w:rPr>
                        <w:t>: v0.1</w:t>
                      </w:r>
                      <w:r w:rsidR="007F19B1">
                        <w:rPr>
                          <w:b/>
                          <w:sz w:val="32"/>
                        </w:rPr>
                        <w:t>1</w:t>
                      </w: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b/>
                          <w:sz w:val="48"/>
                        </w:rPr>
                      </w:pPr>
                    </w:p>
                    <w:p w:rsidR="003746B1" w:rsidRDefault="003746B1" w:rsidP="00D77151">
                      <w:pPr>
                        <w:jc w:val="right"/>
                        <w:rPr>
                          <w:sz w:val="24"/>
                        </w:rPr>
                      </w:pPr>
                      <w:r w:rsidRPr="003A2877">
                        <w:rPr>
                          <w:b/>
                          <w:sz w:val="32"/>
                        </w:rPr>
                        <w:t>Date:</w:t>
                      </w:r>
                      <w:r w:rsidRPr="00C008E2">
                        <w:rPr>
                          <w:color w:val="548DD4" w:themeColor="text2" w:themeTint="99"/>
                          <w:sz w:val="24"/>
                        </w:rPr>
                        <w:t>&lt;insert date that this version was created&gt;</w:t>
                      </w:r>
                    </w:p>
                    <w:p w:rsidR="003746B1" w:rsidRDefault="003746B1" w:rsidP="00D77151">
                      <w:pPr>
                        <w:jc w:val="right"/>
                        <w:rPr>
                          <w:sz w:val="24"/>
                        </w:rPr>
                      </w:pPr>
                      <w:r w:rsidRPr="003A2877">
                        <w:rPr>
                          <w:b/>
                          <w:sz w:val="32"/>
                        </w:rPr>
                        <w:t>Version:</w:t>
                      </w:r>
                      <w:r w:rsidRPr="00C008E2">
                        <w:rPr>
                          <w:color w:val="548DD4" w:themeColor="text2" w:themeTint="99"/>
                          <w:sz w:val="16"/>
                        </w:rPr>
                        <w:t>&lt;</w:t>
                      </w:r>
                      <w:r w:rsidRPr="00C008E2">
                        <w:rPr>
                          <w:color w:val="548DD4" w:themeColor="text2" w:themeTint="99"/>
                          <w:sz w:val="24"/>
                        </w:rPr>
                        <w:t>insert version control number&gt;</w:t>
                      </w:r>
                    </w:p>
                    <w:p w:rsidR="003746B1" w:rsidRPr="0030295F" w:rsidRDefault="003746B1" w:rsidP="00D77151">
                      <w:pPr>
                        <w:pStyle w:val="Strapline"/>
                        <w:rPr>
                          <w:rFonts w:ascii="Corbel" w:hAnsi="Corbel"/>
                          <w:color w:val="404040" w:themeColor="text1" w:themeTint="BF"/>
                        </w:rPr>
                      </w:pPr>
                    </w:p>
                    <w:p w:rsidR="003746B1" w:rsidRPr="00F43EC3" w:rsidRDefault="003746B1" w:rsidP="00D77151">
                      <w:pPr>
                        <w:pStyle w:val="Heading3"/>
                        <w:rPr>
                          <w:rFonts w:ascii="Rockwell" w:hAnsi="Rockwell"/>
                          <w:b w:val="0"/>
                          <w:color w:val="003F51"/>
                          <w:sz w:val="32"/>
                          <w:szCs w:val="32"/>
                        </w:rPr>
                      </w:pPr>
                      <w:bookmarkStart w:id="2" w:name="_Toc414882528"/>
                      <w:r w:rsidRPr="00F43EC3">
                        <w:rPr>
                          <w:rFonts w:ascii="Rockwell" w:hAnsi="Rockwell"/>
                          <w:b w:val="0"/>
                          <w:color w:val="003F51"/>
                          <w:sz w:val="32"/>
                          <w:szCs w:val="32"/>
                        </w:rPr>
                        <w:t>Date or version information</w:t>
                      </w:r>
                      <w:bookmarkEnd w:id="2"/>
                    </w:p>
                    <w:p w:rsidR="003746B1" w:rsidRPr="00D61AA7" w:rsidRDefault="003746B1" w:rsidP="006414AC">
                      <w:pPr>
                        <w:pStyle w:val="Coverheader"/>
                        <w:rPr>
                          <w:rFonts w:ascii="Rockwell" w:hAnsi="Rockwell"/>
                          <w:color w:val="595959" w:themeColor="text1" w:themeTint="A6"/>
                        </w:rPr>
                      </w:pPr>
                      <w:r w:rsidRPr="00D61AA7">
                        <w:rPr>
                          <w:rFonts w:ascii="Rockwell" w:hAnsi="Rockwell"/>
                          <w:color w:val="595959" w:themeColor="text1" w:themeTint="A6"/>
                        </w:rPr>
                        <w:t>ent title</w:t>
                      </w:r>
                    </w:p>
                    <w:p w:rsidR="003746B1" w:rsidRPr="0030295F" w:rsidRDefault="003746B1" w:rsidP="00891A5D">
                      <w:pPr>
                        <w:pStyle w:val="Strapline"/>
                        <w:rPr>
                          <w:rFonts w:ascii="Corbel" w:hAnsi="Corbel"/>
                          <w:color w:val="404040" w:themeColor="text1" w:themeTint="BF"/>
                        </w:rPr>
                      </w:pPr>
                    </w:p>
                    <w:p w:rsidR="003746B1" w:rsidRPr="000B3143" w:rsidRDefault="003746B1" w:rsidP="00EF06DA">
                      <w:pPr>
                        <w:pStyle w:val="Heading3"/>
                        <w:rPr>
                          <w:rFonts w:ascii="Rockwell" w:hAnsi="Rockwell"/>
                          <w:b w:val="0"/>
                          <w:color w:val="404040" w:themeColor="text1" w:themeTint="BF"/>
                          <w:sz w:val="32"/>
                          <w:szCs w:val="32"/>
                        </w:rPr>
                      </w:pPr>
                      <w:bookmarkStart w:id="3" w:name="_Toc414882529"/>
                      <w:r w:rsidRPr="000B3143">
                        <w:rPr>
                          <w:rFonts w:ascii="Rockwell" w:hAnsi="Rockwell"/>
                          <w:b w:val="0"/>
                          <w:color w:val="404040" w:themeColor="text1" w:themeTint="BF"/>
                          <w:sz w:val="32"/>
                          <w:szCs w:val="32"/>
                        </w:rPr>
                        <w:t>Date or version information</w:t>
                      </w:r>
                      <w:bookmarkEnd w:id="3"/>
                    </w:p>
                  </w:txbxContent>
                </v:textbox>
                <w10:wrap type="square"/>
              </v:shape>
            </w:pict>
          </mc:Fallback>
        </mc:AlternateContent>
      </w:r>
      <w:r w:rsidR="00185097">
        <w:rPr>
          <w:noProof/>
          <w:lang w:eastAsia="en-GB"/>
        </w:rPr>
        <w:drawing>
          <wp:anchor distT="0" distB="0" distL="114300" distR="114300" simplePos="0" relativeHeight="251662336" behindDoc="1" locked="0" layoutInCell="1" allowOverlap="1" wp14:anchorId="3B9E0791" wp14:editId="519E3E70">
            <wp:simplePos x="0" y="0"/>
            <wp:positionH relativeFrom="column">
              <wp:posOffset>-820420</wp:posOffset>
            </wp:positionH>
            <wp:positionV relativeFrom="paragraph">
              <wp:posOffset>-1177290</wp:posOffset>
            </wp:positionV>
            <wp:extent cx="7583268" cy="10726478"/>
            <wp:effectExtent l="0" t="0" r="1143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cover-01.png"/>
                    <pic:cNvPicPr/>
                  </pic:nvPicPr>
                  <pic:blipFill>
                    <a:blip r:embed="rId9">
                      <a:extLst>
                        <a:ext uri="{28A0092B-C50C-407E-A947-70E740481C1C}">
                          <a14:useLocalDpi xmlns:a14="http://schemas.microsoft.com/office/drawing/2010/main" val="0"/>
                        </a:ext>
                      </a:extLst>
                    </a:blip>
                    <a:stretch>
                      <a:fillRect/>
                    </a:stretch>
                  </pic:blipFill>
                  <pic:spPr>
                    <a:xfrm>
                      <a:off x="0" y="0"/>
                      <a:ext cx="7583268" cy="10726478"/>
                    </a:xfrm>
                    <a:prstGeom prst="rect">
                      <a:avLst/>
                    </a:prstGeom>
                  </pic:spPr>
                </pic:pic>
              </a:graphicData>
            </a:graphic>
            <wp14:sizeRelH relativeFrom="page">
              <wp14:pctWidth>0</wp14:pctWidth>
            </wp14:sizeRelH>
            <wp14:sizeRelV relativeFrom="page">
              <wp14:pctHeight>0</wp14:pctHeight>
            </wp14:sizeRelV>
          </wp:anchor>
        </w:drawing>
      </w:r>
      <w:r w:rsidR="00CF1CE1">
        <w:rPr>
          <w:noProof/>
          <w:lang w:eastAsia="en-GB"/>
        </w:rPr>
        <mc:AlternateContent>
          <mc:Choice Requires="wps">
            <w:drawing>
              <wp:anchor distT="0" distB="0" distL="114300" distR="114300" simplePos="0" relativeHeight="251661312" behindDoc="0" locked="0" layoutInCell="1" allowOverlap="1" wp14:anchorId="74F3EB17" wp14:editId="3668379F">
                <wp:simplePos x="0" y="0"/>
                <wp:positionH relativeFrom="column">
                  <wp:posOffset>254000</wp:posOffset>
                </wp:positionH>
                <wp:positionV relativeFrom="paragraph">
                  <wp:posOffset>4480560</wp:posOffset>
                </wp:positionV>
                <wp:extent cx="5524500" cy="0"/>
                <wp:effectExtent l="0" t="0" r="12700" b="25400"/>
                <wp:wrapNone/>
                <wp:docPr id="9" name="Straight Connector 9"/>
                <wp:cNvGraphicFramePr/>
                <a:graphic xmlns:a="http://schemas.openxmlformats.org/drawingml/2006/main">
                  <a:graphicData uri="http://schemas.microsoft.com/office/word/2010/wordprocessingShape">
                    <wps:wsp>
                      <wps:cNvCnPr/>
                      <wps:spPr>
                        <a:xfrm>
                          <a:off x="0" y="0"/>
                          <a:ext cx="5524500" cy="0"/>
                        </a:xfrm>
                        <a:prstGeom prst="line">
                          <a:avLst/>
                        </a:prstGeom>
                        <a:ln>
                          <a:solidFill>
                            <a:srgbClr val="40404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pt,352.8pt" to="455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Ax1wEAABIEAAAOAAAAZHJzL2Uyb0RvYy54bWysU9uK2zAQfS/0H4TeGzthU7omzj5k2b6U&#10;NnS7H6DIo1igGyM1Tv6+I9nxhrawUIpB1khzZs45kjYPZ2vYCTBq71q+XNScgZO+0+7Y8pcfTx8+&#10;cRaTcJ0w3kHLLxD5w/b9u80QGlj53psOkFERF5shtLxPKTRVFWUPVsSFD+BoU3m0IlGIx6pDMVB1&#10;a6pVXX+sBo9dQC8hRlp9HDf5ttRXCmT6plSExEzLiVsqI5bxkMdquxHNEUXotZxoiH9gYYV21HQu&#10;9SiSYD9R/1HKaok+epUW0tvKK6UlFA2kZln/pua5FwGKFjInhtmm+P/Kyq+nPTLdtfyeMycsHdFz&#10;QqGPfWI77xwZ6JHdZ5+GEBtK37k9TlEMe8yizwpt/pMcdi7eXmZv4ZyYpMX1enW3rukI5HWvegUG&#10;jOkzeMvypOVGuyxbNOL0JSZqRqnXlLxsXB6jN7p70saUAI+HnUF2EnTQd3X+MmcC3qRRNEKh3Iyp&#10;dtY1KimzdDEwNvkOipwh7qtCptxJmJsIKcGl5dTFOMrOMEWEZmD9NnDKz9CR1Qxevg2eEaWzd2kG&#10;W+08/q1AOl8pqzGfTLrRnacH313KGZcNunjFx+mR5Jt9Gxf461Pe/gIAAP//AwBQSwMEFAAGAAgA&#10;AAAhAAfT18bgAAAACgEAAA8AAABkcnMvZG93bnJldi54bWxMj0FPwzAMhe9I/IfISFzQlgxBGaXp&#10;BEgc2ODANk3j5jWhrdY4VZNu5d/jSUhw9PPz8/ey2eAacbBdqD1pmIwVCEuFNzWVGtarl9EURIhI&#10;BhtPVsO3DTDLz88yTI0/0oc9LGMpOIRCihqqGNtUylBU1mEY+9YS77585zDy2JXSdHjkcNfIa6US&#10;6bAm/lBha58rW+yXvWOMz80K569vi820f9rOt0m/fx+utL68GB4fQEQ7xD8znPD5BnJm2vmeTBCN&#10;hhvFVaKGO3WbgGDD/eSk7H4VmWfyf4X8BwAA//8DAFBLAQItABQABgAIAAAAIQC2gziS/gAAAOEB&#10;AAATAAAAAAAAAAAAAAAAAAAAAABbQ29udGVudF9UeXBlc10ueG1sUEsBAi0AFAAGAAgAAAAhADj9&#10;If/WAAAAlAEAAAsAAAAAAAAAAAAAAAAALwEAAF9yZWxzLy5yZWxzUEsBAi0AFAAGAAgAAAAhAKXo&#10;EDHXAQAAEgQAAA4AAAAAAAAAAAAAAAAALgIAAGRycy9lMm9Eb2MueG1sUEsBAi0AFAAGAAgAAAAh&#10;AAfT18bgAAAACgEAAA8AAAAAAAAAAAAAAAAAMQQAAGRycy9kb3ducmV2LnhtbFBLBQYAAAAABAAE&#10;APMAAAA+BQAAAAA=&#10;" strokecolor="#404040" strokeweight="2pt"/>
            </w:pict>
          </mc:Fallback>
        </mc:AlternateContent>
      </w:r>
      <w:r w:rsidR="00891A5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Tr="002407EF">
        <w:tc>
          <w:tcPr>
            <w:tcW w:w="9242" w:type="dxa"/>
            <w:shd w:val="clear" w:color="auto" w:fill="BFBFBF" w:themeFill="background1" w:themeFillShade="BF"/>
          </w:tcPr>
          <w:p w:rsidR="00D77151" w:rsidRPr="003A2877" w:rsidRDefault="00D77151" w:rsidP="002407EF">
            <w:pPr>
              <w:rPr>
                <w:sz w:val="36"/>
              </w:rPr>
            </w:pPr>
            <w:r>
              <w:rPr>
                <w:sz w:val="36"/>
              </w:rPr>
              <w:lastRenderedPageBreak/>
              <w:t>Service Specification</w:t>
            </w:r>
            <w:r w:rsidRPr="003A2877">
              <w:rPr>
                <w:sz w:val="36"/>
              </w:rPr>
              <w:t xml:space="preserve"> Document History</w:t>
            </w:r>
          </w:p>
        </w:tc>
      </w:tr>
    </w:tbl>
    <w:p w:rsidR="00D77151" w:rsidRDefault="00D77151" w:rsidP="00D77151">
      <w:pPr>
        <w:rPr>
          <w:sz w:val="36"/>
        </w:rPr>
      </w:pPr>
    </w:p>
    <w:tbl>
      <w:tblPr>
        <w:tblStyle w:val="TableGrid"/>
        <w:tblW w:w="9322" w:type="dxa"/>
        <w:tblLook w:val="04A0" w:firstRow="1" w:lastRow="0" w:firstColumn="1" w:lastColumn="0" w:noHBand="0" w:noVBand="1"/>
      </w:tblPr>
      <w:tblGrid>
        <w:gridCol w:w="1540"/>
        <w:gridCol w:w="1540"/>
        <w:gridCol w:w="1540"/>
        <w:gridCol w:w="2009"/>
        <w:gridCol w:w="2693"/>
      </w:tblGrid>
      <w:tr w:rsidR="00D77151" w:rsidTr="002407EF">
        <w:tc>
          <w:tcPr>
            <w:tcW w:w="1540" w:type="dxa"/>
            <w:shd w:val="clear" w:color="auto" w:fill="BFBFBF" w:themeFill="background1" w:themeFillShade="BF"/>
          </w:tcPr>
          <w:p w:rsidR="00D77151" w:rsidRPr="003A2877" w:rsidRDefault="00D77151" w:rsidP="002407EF">
            <w:r w:rsidRPr="003A2877">
              <w:t>Author</w:t>
            </w:r>
          </w:p>
        </w:tc>
        <w:tc>
          <w:tcPr>
            <w:tcW w:w="1540" w:type="dxa"/>
            <w:shd w:val="clear" w:color="auto" w:fill="BFBFBF" w:themeFill="background1" w:themeFillShade="BF"/>
          </w:tcPr>
          <w:p w:rsidR="00D77151" w:rsidRPr="003A2877" w:rsidRDefault="00D77151" w:rsidP="002407EF">
            <w:r w:rsidRPr="003A2877">
              <w:t>Release Date</w:t>
            </w:r>
          </w:p>
        </w:tc>
        <w:tc>
          <w:tcPr>
            <w:tcW w:w="1540" w:type="dxa"/>
            <w:shd w:val="clear" w:color="auto" w:fill="BFBFBF" w:themeFill="background1" w:themeFillShade="BF"/>
          </w:tcPr>
          <w:p w:rsidR="00D77151" w:rsidRPr="003A2877" w:rsidRDefault="00D77151" w:rsidP="002407EF">
            <w:r w:rsidRPr="003A2877">
              <w:t>Reason for change</w:t>
            </w:r>
          </w:p>
        </w:tc>
        <w:tc>
          <w:tcPr>
            <w:tcW w:w="2009" w:type="dxa"/>
            <w:shd w:val="clear" w:color="auto" w:fill="BFBFBF" w:themeFill="background1" w:themeFillShade="BF"/>
          </w:tcPr>
          <w:p w:rsidR="00D77151" w:rsidRPr="003A2877" w:rsidRDefault="00D77151" w:rsidP="002407EF">
            <w:r w:rsidRPr="003A2877">
              <w:t>Version #</w:t>
            </w:r>
          </w:p>
        </w:tc>
        <w:tc>
          <w:tcPr>
            <w:tcW w:w="2693" w:type="dxa"/>
            <w:shd w:val="clear" w:color="auto" w:fill="BFBFBF" w:themeFill="background1" w:themeFillShade="BF"/>
          </w:tcPr>
          <w:p w:rsidR="00D77151" w:rsidRPr="003A2877" w:rsidRDefault="00D77151" w:rsidP="002407EF">
            <w:r w:rsidRPr="003A2877">
              <w:t>Approval</w:t>
            </w:r>
          </w:p>
        </w:tc>
      </w:tr>
      <w:tr w:rsidR="00D77151" w:rsidTr="002407EF">
        <w:tc>
          <w:tcPr>
            <w:tcW w:w="1540" w:type="dxa"/>
          </w:tcPr>
          <w:p w:rsidR="00D77151" w:rsidRDefault="00D77151" w:rsidP="002407EF">
            <w:pPr>
              <w:rPr>
                <w:sz w:val="36"/>
              </w:rPr>
            </w:pPr>
          </w:p>
        </w:tc>
        <w:tc>
          <w:tcPr>
            <w:tcW w:w="1540" w:type="dxa"/>
          </w:tcPr>
          <w:p w:rsidR="00D77151" w:rsidRDefault="00D77151" w:rsidP="002407EF">
            <w:pPr>
              <w:rPr>
                <w:sz w:val="36"/>
              </w:rPr>
            </w:pPr>
          </w:p>
        </w:tc>
        <w:tc>
          <w:tcPr>
            <w:tcW w:w="1540" w:type="dxa"/>
          </w:tcPr>
          <w:p w:rsidR="00D77151" w:rsidRDefault="00D77151" w:rsidP="002407EF">
            <w:pPr>
              <w:rPr>
                <w:sz w:val="36"/>
              </w:rPr>
            </w:pPr>
          </w:p>
        </w:tc>
        <w:tc>
          <w:tcPr>
            <w:tcW w:w="2009" w:type="dxa"/>
          </w:tcPr>
          <w:p w:rsidR="00D77151" w:rsidRDefault="00D77151" w:rsidP="002407EF">
            <w:pPr>
              <w:rPr>
                <w:sz w:val="36"/>
              </w:rPr>
            </w:pPr>
          </w:p>
        </w:tc>
        <w:tc>
          <w:tcPr>
            <w:tcW w:w="2693" w:type="dxa"/>
          </w:tcPr>
          <w:p w:rsidR="00D77151" w:rsidRDefault="00D77151" w:rsidP="002407EF">
            <w:pPr>
              <w:rPr>
                <w:sz w:val="36"/>
              </w:rPr>
            </w:pPr>
          </w:p>
        </w:tc>
      </w:tr>
      <w:tr w:rsidR="00D77151" w:rsidTr="002407EF">
        <w:tc>
          <w:tcPr>
            <w:tcW w:w="1540" w:type="dxa"/>
          </w:tcPr>
          <w:p w:rsidR="00D77151" w:rsidRDefault="00D77151" w:rsidP="002407EF">
            <w:pPr>
              <w:rPr>
                <w:sz w:val="36"/>
              </w:rPr>
            </w:pPr>
          </w:p>
        </w:tc>
        <w:tc>
          <w:tcPr>
            <w:tcW w:w="1540" w:type="dxa"/>
          </w:tcPr>
          <w:p w:rsidR="00D77151" w:rsidRDefault="00D77151" w:rsidP="002407EF">
            <w:pPr>
              <w:rPr>
                <w:sz w:val="36"/>
              </w:rPr>
            </w:pPr>
          </w:p>
        </w:tc>
        <w:tc>
          <w:tcPr>
            <w:tcW w:w="1540" w:type="dxa"/>
          </w:tcPr>
          <w:p w:rsidR="00D77151" w:rsidRDefault="00D77151" w:rsidP="002407EF">
            <w:pPr>
              <w:rPr>
                <w:sz w:val="36"/>
              </w:rPr>
            </w:pPr>
          </w:p>
        </w:tc>
        <w:tc>
          <w:tcPr>
            <w:tcW w:w="2009" w:type="dxa"/>
          </w:tcPr>
          <w:p w:rsidR="00D77151" w:rsidRDefault="00D77151" w:rsidP="002407EF">
            <w:pPr>
              <w:rPr>
                <w:sz w:val="36"/>
              </w:rPr>
            </w:pPr>
          </w:p>
        </w:tc>
        <w:tc>
          <w:tcPr>
            <w:tcW w:w="2693" w:type="dxa"/>
          </w:tcPr>
          <w:p w:rsidR="00D77151" w:rsidRDefault="00D77151" w:rsidP="002407EF">
            <w:pPr>
              <w:rPr>
                <w:sz w:val="36"/>
              </w:rPr>
            </w:pPr>
          </w:p>
        </w:tc>
      </w:tr>
    </w:tbl>
    <w:p w:rsidR="00D77151" w:rsidRDefault="00D77151" w:rsidP="00D77151">
      <w:pPr>
        <w:rPr>
          <w:sz w:val="36"/>
        </w:rPr>
      </w:pPr>
    </w:p>
    <w:p w:rsidR="00D77151" w:rsidRPr="005D3A02" w:rsidRDefault="00D77151" w:rsidP="00D77151">
      <w:pPr>
        <w:rPr>
          <w:i/>
          <w:color w:val="548DD4" w:themeColor="text2" w:themeTint="99"/>
        </w:rPr>
      </w:pPr>
      <w:r w:rsidRPr="005D3A02">
        <w:rPr>
          <w:i/>
          <w:color w:val="548DD4" w:themeColor="text2" w:themeTint="99"/>
        </w:rPr>
        <w:t>Notes:</w:t>
      </w:r>
    </w:p>
    <w:p w:rsidR="00D77151" w:rsidRPr="005D3A02" w:rsidRDefault="00D77151" w:rsidP="00D77151">
      <w:pPr>
        <w:rPr>
          <w:i/>
          <w:color w:val="548DD4" w:themeColor="text2" w:themeTint="99"/>
        </w:rPr>
      </w:pPr>
      <w:r w:rsidRPr="005D3A02">
        <w:rPr>
          <w:i/>
          <w:color w:val="548DD4" w:themeColor="text2" w:themeTint="99"/>
        </w:rPr>
        <w:t xml:space="preserve">Draft versions </w:t>
      </w:r>
      <w:r w:rsidRPr="00815166">
        <w:rPr>
          <w:i/>
          <w:color w:val="548DD4" w:themeColor="text2" w:themeTint="99"/>
        </w:rPr>
        <w:t xml:space="preserve">should be numbered </w:t>
      </w:r>
      <w:r w:rsidRPr="005D3A02">
        <w:rPr>
          <w:i/>
          <w:color w:val="548DD4" w:themeColor="text2" w:themeTint="99"/>
        </w:rPr>
        <w:t>“Draft 0.1”, “Draft 0.2” etc. Approved releases should be numbered “1.x”, “2.x” etc.</w:t>
      </w:r>
    </w:p>
    <w:p w:rsidR="00D77151" w:rsidRPr="005D3A02" w:rsidRDefault="00D77151" w:rsidP="00D77151">
      <w:pPr>
        <w:rPr>
          <w:i/>
          <w:color w:val="548DD4" w:themeColor="text2" w:themeTint="99"/>
        </w:rPr>
      </w:pPr>
      <w:r w:rsidRPr="005D3A02">
        <w:rPr>
          <w:i/>
          <w:color w:val="548DD4" w:themeColor="text2" w:themeTint="99"/>
        </w:rPr>
        <w:t>Approval – this should be the person or forum responsible for sponsoring this work.</w:t>
      </w:r>
    </w:p>
    <w:p w:rsidR="00D77151" w:rsidRDefault="00D77151" w:rsidP="00D77151">
      <w:pPr>
        <w:rPr>
          <w:i/>
          <w:sz w:val="24"/>
        </w:rPr>
      </w:pPr>
      <w:r>
        <w:rPr>
          <w:i/>
          <w:sz w:val="24"/>
        </w:rPr>
        <w:br w:type="page"/>
      </w:r>
    </w:p>
    <w:p w:rsidR="00D77151" w:rsidRDefault="00D77151" w:rsidP="00D77151">
      <w:pPr>
        <w:rPr>
          <w:sz w:val="24"/>
        </w:rPr>
      </w:pPr>
    </w:p>
    <w:sdt>
      <w:sdtPr>
        <w:rPr>
          <w:rFonts w:asciiTheme="minorHAnsi" w:eastAsiaTheme="minorHAnsi" w:hAnsiTheme="minorHAnsi" w:cstheme="minorBidi"/>
          <w:b w:val="0"/>
          <w:bCs w:val="0"/>
          <w:color w:val="auto"/>
          <w:sz w:val="22"/>
          <w:szCs w:val="22"/>
          <w:lang w:val="en-GB" w:eastAsia="en-US"/>
        </w:rPr>
        <w:id w:val="1331865314"/>
        <w:docPartObj>
          <w:docPartGallery w:val="Table of Contents"/>
          <w:docPartUnique/>
        </w:docPartObj>
      </w:sdtPr>
      <w:sdtEndPr>
        <w:rPr>
          <w:rFonts w:ascii="Arial" w:eastAsia="Calibri" w:hAnsi="Arial" w:cs="Times New Roman"/>
          <w:noProof/>
          <w:sz w:val="20"/>
        </w:rPr>
      </w:sdtEndPr>
      <w:sdtContent>
        <w:p w:rsidR="00D77151" w:rsidRDefault="00D77151" w:rsidP="00D77151">
          <w:pPr>
            <w:pStyle w:val="TOCHeading"/>
          </w:pPr>
          <w:r>
            <w:t>Contents</w:t>
          </w:r>
        </w:p>
        <w:p w:rsidR="004737CF" w:rsidRDefault="00D77151">
          <w:pPr>
            <w:pStyle w:val="TOC3"/>
            <w:rPr>
              <w:rFonts w:asciiTheme="minorHAnsi" w:eastAsiaTheme="minorEastAsia" w:hAnsiTheme="minorHAnsi" w:cstheme="minorBidi"/>
              <w:sz w:val="22"/>
              <w:szCs w:val="22"/>
              <w:lang w:eastAsia="en-GB"/>
            </w:rPr>
          </w:pPr>
          <w:r>
            <w:fldChar w:fldCharType="begin"/>
          </w:r>
          <w:r>
            <w:instrText xml:space="preserve"> TOC \o "1-3" \h \z \u </w:instrText>
          </w:r>
          <w:r>
            <w:fldChar w:fldCharType="separate"/>
          </w:r>
          <w:hyperlink r:id="rId10" w:anchor="_Toc414882528" w:history="1">
            <w:r w:rsidR="004737CF" w:rsidRPr="005E4C3A">
              <w:rPr>
                <w:rStyle w:val="Hyperlink"/>
                <w:rFonts w:ascii="Rockwell" w:hAnsi="Rockwell"/>
              </w:rPr>
              <w:t>Date or version information</w:t>
            </w:r>
            <w:r w:rsidR="004737CF">
              <w:rPr>
                <w:webHidden/>
              </w:rPr>
              <w:tab/>
            </w:r>
            <w:r w:rsidR="004737CF">
              <w:rPr>
                <w:webHidden/>
              </w:rPr>
              <w:fldChar w:fldCharType="begin"/>
            </w:r>
            <w:r w:rsidR="004737CF">
              <w:rPr>
                <w:webHidden/>
              </w:rPr>
              <w:instrText xml:space="preserve"> PAGEREF _Toc414882528 \h </w:instrText>
            </w:r>
            <w:r w:rsidR="004737CF">
              <w:rPr>
                <w:webHidden/>
              </w:rPr>
            </w:r>
            <w:r w:rsidR="004737CF">
              <w:rPr>
                <w:webHidden/>
              </w:rPr>
              <w:fldChar w:fldCharType="separate"/>
            </w:r>
            <w:r w:rsidR="004737CF">
              <w:rPr>
                <w:webHidden/>
              </w:rPr>
              <w:t>1</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r:id="rId11" w:anchor="_Toc414882529" w:history="1">
            <w:r w:rsidR="004737CF" w:rsidRPr="005E4C3A">
              <w:rPr>
                <w:rStyle w:val="Hyperlink"/>
                <w:rFonts w:ascii="Rockwell" w:hAnsi="Rockwell"/>
              </w:rPr>
              <w:t>Date or version information</w:t>
            </w:r>
            <w:r w:rsidR="004737CF">
              <w:rPr>
                <w:webHidden/>
              </w:rPr>
              <w:tab/>
            </w:r>
            <w:r w:rsidR="004737CF">
              <w:rPr>
                <w:webHidden/>
              </w:rPr>
              <w:fldChar w:fldCharType="begin"/>
            </w:r>
            <w:r w:rsidR="004737CF">
              <w:rPr>
                <w:webHidden/>
              </w:rPr>
              <w:instrText xml:space="preserve"> PAGEREF _Toc414882529 \h </w:instrText>
            </w:r>
            <w:r w:rsidR="004737CF">
              <w:rPr>
                <w:webHidden/>
              </w:rPr>
            </w:r>
            <w:r w:rsidR="004737CF">
              <w:rPr>
                <w:webHidden/>
              </w:rPr>
              <w:fldChar w:fldCharType="separate"/>
            </w:r>
            <w:r w:rsidR="004737CF">
              <w:rPr>
                <w:webHidden/>
              </w:rPr>
              <w:t>1</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30" w:history="1">
            <w:r w:rsidR="004737CF" w:rsidRPr="005E4C3A">
              <w:rPr>
                <w:rStyle w:val="Hyperlink"/>
              </w:rPr>
              <w:t>1.0</w:t>
            </w:r>
            <w:r w:rsidR="004737CF">
              <w:rPr>
                <w:rFonts w:asciiTheme="minorHAnsi" w:eastAsiaTheme="minorEastAsia" w:hAnsiTheme="minorHAnsi" w:cstheme="minorBidi"/>
                <w:lang w:eastAsia="en-GB"/>
              </w:rPr>
              <w:tab/>
            </w:r>
            <w:r w:rsidR="004737CF" w:rsidRPr="005E4C3A">
              <w:rPr>
                <w:rStyle w:val="Hyperlink"/>
              </w:rPr>
              <w:t>Aims</w:t>
            </w:r>
            <w:r w:rsidR="004737CF">
              <w:rPr>
                <w:webHidden/>
              </w:rPr>
              <w:tab/>
            </w:r>
            <w:r w:rsidR="004737CF">
              <w:rPr>
                <w:webHidden/>
              </w:rPr>
              <w:fldChar w:fldCharType="begin"/>
            </w:r>
            <w:r w:rsidR="004737CF">
              <w:rPr>
                <w:webHidden/>
              </w:rPr>
              <w:instrText xml:space="preserve"> PAGEREF _Toc414882530 \h </w:instrText>
            </w:r>
            <w:r w:rsidR="004737CF">
              <w:rPr>
                <w:webHidden/>
              </w:rPr>
            </w:r>
            <w:r w:rsidR="004737CF">
              <w:rPr>
                <w:webHidden/>
              </w:rPr>
              <w:fldChar w:fldCharType="separate"/>
            </w:r>
            <w:r w:rsidR="004737CF">
              <w:rPr>
                <w:webHidden/>
              </w:rPr>
              <w:t>5</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31" w:history="1">
            <w:r w:rsidR="004737CF" w:rsidRPr="005E4C3A">
              <w:rPr>
                <w:rStyle w:val="Hyperlink"/>
              </w:rPr>
              <w:t>1.1 Evidence Base for change</w:t>
            </w:r>
            <w:r w:rsidR="004737CF">
              <w:rPr>
                <w:webHidden/>
              </w:rPr>
              <w:tab/>
            </w:r>
            <w:r w:rsidR="004737CF">
              <w:rPr>
                <w:webHidden/>
              </w:rPr>
              <w:fldChar w:fldCharType="begin"/>
            </w:r>
            <w:r w:rsidR="004737CF">
              <w:rPr>
                <w:webHidden/>
              </w:rPr>
              <w:instrText xml:space="preserve"> PAGEREF _Toc414882531 \h </w:instrText>
            </w:r>
            <w:r w:rsidR="004737CF">
              <w:rPr>
                <w:webHidden/>
              </w:rPr>
            </w:r>
            <w:r w:rsidR="004737CF">
              <w:rPr>
                <w:webHidden/>
              </w:rPr>
              <w:fldChar w:fldCharType="separate"/>
            </w:r>
            <w:r w:rsidR="004737CF">
              <w:rPr>
                <w:webHidden/>
              </w:rPr>
              <w:t>5</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32" w:history="1">
            <w:r w:rsidR="004737CF" w:rsidRPr="005E4C3A">
              <w:rPr>
                <w:rStyle w:val="Hyperlink"/>
              </w:rPr>
              <w:t>For the remainder of the document ‘the service’ will refer to the community ENT service</w:t>
            </w:r>
            <w:r w:rsidR="004737CF">
              <w:rPr>
                <w:webHidden/>
              </w:rPr>
              <w:tab/>
            </w:r>
            <w:r w:rsidR="004737CF">
              <w:rPr>
                <w:webHidden/>
              </w:rPr>
              <w:fldChar w:fldCharType="begin"/>
            </w:r>
            <w:r w:rsidR="004737CF">
              <w:rPr>
                <w:webHidden/>
              </w:rPr>
              <w:instrText xml:space="preserve"> PAGEREF _Toc414882532 \h </w:instrText>
            </w:r>
            <w:r w:rsidR="004737CF">
              <w:rPr>
                <w:webHidden/>
              </w:rPr>
            </w:r>
            <w:r w:rsidR="004737CF">
              <w:rPr>
                <w:webHidden/>
              </w:rPr>
              <w:fldChar w:fldCharType="separate"/>
            </w:r>
            <w:r w:rsidR="004737CF">
              <w:rPr>
                <w:webHidden/>
              </w:rPr>
              <w:t>7</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33" w:history="1">
            <w:r w:rsidR="004737CF" w:rsidRPr="005E4C3A">
              <w:rPr>
                <w:rStyle w:val="Hyperlink"/>
              </w:rPr>
              <w:t>2.0</w:t>
            </w:r>
            <w:r w:rsidR="004737CF">
              <w:rPr>
                <w:rFonts w:asciiTheme="minorHAnsi" w:eastAsiaTheme="minorEastAsia" w:hAnsiTheme="minorHAnsi" w:cstheme="minorBidi"/>
                <w:lang w:eastAsia="en-GB"/>
              </w:rPr>
              <w:tab/>
            </w:r>
            <w:r w:rsidR="004737CF" w:rsidRPr="005E4C3A">
              <w:rPr>
                <w:rStyle w:val="Hyperlink"/>
              </w:rPr>
              <w:t>Scope</w:t>
            </w:r>
            <w:r w:rsidR="004737CF">
              <w:rPr>
                <w:webHidden/>
              </w:rPr>
              <w:tab/>
            </w:r>
            <w:r w:rsidR="004737CF">
              <w:rPr>
                <w:webHidden/>
              </w:rPr>
              <w:fldChar w:fldCharType="begin"/>
            </w:r>
            <w:r w:rsidR="004737CF">
              <w:rPr>
                <w:webHidden/>
              </w:rPr>
              <w:instrText xml:space="preserve"> PAGEREF _Toc414882533 \h </w:instrText>
            </w:r>
            <w:r w:rsidR="004737CF">
              <w:rPr>
                <w:webHidden/>
              </w:rPr>
            </w:r>
            <w:r w:rsidR="004737CF">
              <w:rPr>
                <w:webHidden/>
              </w:rPr>
              <w:fldChar w:fldCharType="separate"/>
            </w:r>
            <w:r w:rsidR="004737CF">
              <w:rPr>
                <w:webHidden/>
              </w:rPr>
              <w:t>7</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34" w:history="1">
            <w:r w:rsidR="004737CF" w:rsidRPr="005E4C3A">
              <w:rPr>
                <w:rStyle w:val="Hyperlink"/>
              </w:rPr>
              <w:t>2.1 Aims and Objectives of Service</w:t>
            </w:r>
            <w:r w:rsidR="004737CF">
              <w:rPr>
                <w:webHidden/>
              </w:rPr>
              <w:tab/>
            </w:r>
            <w:r w:rsidR="004737CF">
              <w:rPr>
                <w:webHidden/>
              </w:rPr>
              <w:fldChar w:fldCharType="begin"/>
            </w:r>
            <w:r w:rsidR="004737CF">
              <w:rPr>
                <w:webHidden/>
              </w:rPr>
              <w:instrText xml:space="preserve"> PAGEREF _Toc414882534 \h </w:instrText>
            </w:r>
            <w:r w:rsidR="004737CF">
              <w:rPr>
                <w:webHidden/>
              </w:rPr>
            </w:r>
            <w:r w:rsidR="004737CF">
              <w:rPr>
                <w:webHidden/>
              </w:rPr>
              <w:fldChar w:fldCharType="separate"/>
            </w:r>
            <w:r w:rsidR="004737CF">
              <w:rPr>
                <w:webHidden/>
              </w:rPr>
              <w:t>7</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35" w:history="1">
            <w:r w:rsidR="004737CF" w:rsidRPr="005E4C3A">
              <w:rPr>
                <w:rStyle w:val="Hyperlink"/>
              </w:rPr>
              <w:t>2.2 Service Model</w:t>
            </w:r>
            <w:r w:rsidR="004737CF">
              <w:rPr>
                <w:webHidden/>
              </w:rPr>
              <w:tab/>
            </w:r>
            <w:r w:rsidR="004737CF">
              <w:rPr>
                <w:webHidden/>
              </w:rPr>
              <w:fldChar w:fldCharType="begin"/>
            </w:r>
            <w:r w:rsidR="004737CF">
              <w:rPr>
                <w:webHidden/>
              </w:rPr>
              <w:instrText xml:space="preserve"> PAGEREF _Toc414882535 \h </w:instrText>
            </w:r>
            <w:r w:rsidR="004737CF">
              <w:rPr>
                <w:webHidden/>
              </w:rPr>
            </w:r>
            <w:r w:rsidR="004737CF">
              <w:rPr>
                <w:webHidden/>
              </w:rPr>
              <w:fldChar w:fldCharType="separate"/>
            </w:r>
            <w:r w:rsidR="004737CF">
              <w:rPr>
                <w:webHidden/>
              </w:rPr>
              <w:t>8</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36" w:history="1">
            <w:r w:rsidR="004737CF" w:rsidRPr="005E4C3A">
              <w:rPr>
                <w:rStyle w:val="Hyperlink"/>
              </w:rPr>
              <w:t>3.0</w:t>
            </w:r>
            <w:r w:rsidR="004737CF">
              <w:rPr>
                <w:rFonts w:asciiTheme="minorHAnsi" w:eastAsiaTheme="minorEastAsia" w:hAnsiTheme="minorHAnsi" w:cstheme="minorBidi"/>
                <w:lang w:eastAsia="en-GB"/>
              </w:rPr>
              <w:tab/>
            </w:r>
            <w:r w:rsidR="004737CF" w:rsidRPr="005E4C3A">
              <w:rPr>
                <w:rStyle w:val="Hyperlink"/>
              </w:rPr>
              <w:t>Out of Scope</w:t>
            </w:r>
            <w:r w:rsidR="004737CF">
              <w:rPr>
                <w:webHidden/>
              </w:rPr>
              <w:tab/>
            </w:r>
            <w:r w:rsidR="004737CF">
              <w:rPr>
                <w:webHidden/>
              </w:rPr>
              <w:fldChar w:fldCharType="begin"/>
            </w:r>
            <w:r w:rsidR="004737CF">
              <w:rPr>
                <w:webHidden/>
              </w:rPr>
              <w:instrText xml:space="preserve"> PAGEREF _Toc414882536 \h </w:instrText>
            </w:r>
            <w:r w:rsidR="004737CF">
              <w:rPr>
                <w:webHidden/>
              </w:rPr>
            </w:r>
            <w:r w:rsidR="004737CF">
              <w:rPr>
                <w:webHidden/>
              </w:rPr>
              <w:fldChar w:fldCharType="separate"/>
            </w:r>
            <w:r w:rsidR="004737CF">
              <w:rPr>
                <w:webHidden/>
              </w:rPr>
              <w:t>9</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37" w:history="1">
            <w:r w:rsidR="004737CF" w:rsidRPr="005E4C3A">
              <w:rPr>
                <w:rStyle w:val="Hyperlink"/>
              </w:rPr>
              <w:t>3.1 Services out of Scope</w:t>
            </w:r>
            <w:r w:rsidR="004737CF">
              <w:rPr>
                <w:webHidden/>
              </w:rPr>
              <w:tab/>
            </w:r>
            <w:r w:rsidR="004737CF">
              <w:rPr>
                <w:webHidden/>
              </w:rPr>
              <w:fldChar w:fldCharType="begin"/>
            </w:r>
            <w:r w:rsidR="004737CF">
              <w:rPr>
                <w:webHidden/>
              </w:rPr>
              <w:instrText xml:space="preserve"> PAGEREF _Toc414882537 \h </w:instrText>
            </w:r>
            <w:r w:rsidR="004737CF">
              <w:rPr>
                <w:webHidden/>
              </w:rPr>
            </w:r>
            <w:r w:rsidR="004737CF">
              <w:rPr>
                <w:webHidden/>
              </w:rPr>
              <w:fldChar w:fldCharType="separate"/>
            </w:r>
            <w:r w:rsidR="004737CF">
              <w:rPr>
                <w:webHidden/>
              </w:rPr>
              <w:t>9</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38" w:history="1">
            <w:r w:rsidR="004737CF" w:rsidRPr="005E4C3A">
              <w:rPr>
                <w:rStyle w:val="Hyperlink"/>
              </w:rPr>
              <w:t>3.2 Condition and Treatment Exclusions</w:t>
            </w:r>
            <w:r w:rsidR="004737CF">
              <w:rPr>
                <w:webHidden/>
              </w:rPr>
              <w:tab/>
            </w:r>
            <w:r w:rsidR="004737CF">
              <w:rPr>
                <w:webHidden/>
              </w:rPr>
              <w:fldChar w:fldCharType="begin"/>
            </w:r>
            <w:r w:rsidR="004737CF">
              <w:rPr>
                <w:webHidden/>
              </w:rPr>
              <w:instrText xml:space="preserve"> PAGEREF _Toc414882538 \h </w:instrText>
            </w:r>
            <w:r w:rsidR="004737CF">
              <w:rPr>
                <w:webHidden/>
              </w:rPr>
            </w:r>
            <w:r w:rsidR="004737CF">
              <w:rPr>
                <w:webHidden/>
              </w:rPr>
              <w:fldChar w:fldCharType="separate"/>
            </w:r>
            <w:r w:rsidR="004737CF">
              <w:rPr>
                <w:webHidden/>
              </w:rPr>
              <w:t>10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39" w:history="1">
            <w:r w:rsidR="004737CF" w:rsidRPr="005E4C3A">
              <w:rPr>
                <w:rStyle w:val="Hyperlink"/>
                <w:rFonts w:cs="Arial"/>
              </w:rPr>
              <w:t>3.3 Incidental Cancer Pathways</w:t>
            </w:r>
            <w:r w:rsidR="004737CF">
              <w:rPr>
                <w:webHidden/>
              </w:rPr>
              <w:tab/>
            </w:r>
            <w:r w:rsidR="004737CF">
              <w:rPr>
                <w:webHidden/>
              </w:rPr>
              <w:fldChar w:fldCharType="begin"/>
            </w:r>
            <w:r w:rsidR="004737CF">
              <w:rPr>
                <w:webHidden/>
              </w:rPr>
              <w:instrText xml:space="preserve"> PAGEREF _Toc414882539 \h </w:instrText>
            </w:r>
            <w:r w:rsidR="004737CF">
              <w:rPr>
                <w:webHidden/>
              </w:rPr>
            </w:r>
            <w:r w:rsidR="004737CF">
              <w:rPr>
                <w:webHidden/>
              </w:rPr>
              <w:fldChar w:fldCharType="separate"/>
            </w:r>
            <w:r w:rsidR="004737CF">
              <w:rPr>
                <w:webHidden/>
              </w:rPr>
              <w:t>10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0" w:history="1">
            <w:r w:rsidR="004737CF" w:rsidRPr="005E4C3A">
              <w:rPr>
                <w:rStyle w:val="Hyperlink"/>
              </w:rPr>
              <w:t>3.4 Semi-Elective Trauma</w:t>
            </w:r>
            <w:r w:rsidR="004737CF">
              <w:rPr>
                <w:webHidden/>
              </w:rPr>
              <w:tab/>
            </w:r>
            <w:r w:rsidR="004737CF">
              <w:rPr>
                <w:webHidden/>
              </w:rPr>
              <w:fldChar w:fldCharType="begin"/>
            </w:r>
            <w:r w:rsidR="004737CF">
              <w:rPr>
                <w:webHidden/>
              </w:rPr>
              <w:instrText xml:space="preserve"> PAGEREF _Toc414882540 \h </w:instrText>
            </w:r>
            <w:r w:rsidR="004737CF">
              <w:rPr>
                <w:webHidden/>
              </w:rPr>
            </w:r>
            <w:r w:rsidR="004737CF">
              <w:rPr>
                <w:webHidden/>
              </w:rPr>
              <w:fldChar w:fldCharType="separate"/>
            </w:r>
            <w:r w:rsidR="004737CF">
              <w:rPr>
                <w:webHidden/>
              </w:rPr>
              <w:t>10</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41" w:history="1">
            <w:r w:rsidR="004737CF" w:rsidRPr="005E4C3A">
              <w:rPr>
                <w:rStyle w:val="Hyperlink"/>
              </w:rPr>
              <w:t>4.0</w:t>
            </w:r>
            <w:r w:rsidR="004737CF">
              <w:rPr>
                <w:rFonts w:asciiTheme="minorHAnsi" w:eastAsiaTheme="minorEastAsia" w:hAnsiTheme="minorHAnsi" w:cstheme="minorBidi"/>
                <w:lang w:eastAsia="en-GB"/>
              </w:rPr>
              <w:tab/>
            </w:r>
            <w:r w:rsidR="004737CF" w:rsidRPr="005E4C3A">
              <w:rPr>
                <w:rStyle w:val="Hyperlink"/>
              </w:rPr>
              <w:t>Service Description/Pathway</w:t>
            </w:r>
            <w:r w:rsidR="004737CF">
              <w:rPr>
                <w:webHidden/>
              </w:rPr>
              <w:tab/>
            </w:r>
            <w:r w:rsidR="004737CF">
              <w:rPr>
                <w:webHidden/>
              </w:rPr>
              <w:fldChar w:fldCharType="begin"/>
            </w:r>
            <w:r w:rsidR="004737CF">
              <w:rPr>
                <w:webHidden/>
              </w:rPr>
              <w:instrText xml:space="preserve"> PAGEREF _Toc414882541 \h </w:instrText>
            </w:r>
            <w:r w:rsidR="004737CF">
              <w:rPr>
                <w:webHidden/>
              </w:rPr>
            </w:r>
            <w:r w:rsidR="004737CF">
              <w:rPr>
                <w:webHidden/>
              </w:rPr>
              <w:fldChar w:fldCharType="separate"/>
            </w:r>
            <w:r w:rsidR="004737CF">
              <w:rPr>
                <w:webHidden/>
              </w:rPr>
              <w:t>10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2" w:history="1">
            <w:r w:rsidR="004737CF" w:rsidRPr="005E4C3A">
              <w:rPr>
                <w:rStyle w:val="Hyperlink"/>
              </w:rPr>
              <w:t>4.1 Self Management with Primary Care Support</w:t>
            </w:r>
            <w:r w:rsidR="004737CF">
              <w:rPr>
                <w:webHidden/>
              </w:rPr>
              <w:tab/>
            </w:r>
            <w:r w:rsidR="004737CF">
              <w:rPr>
                <w:webHidden/>
              </w:rPr>
              <w:fldChar w:fldCharType="begin"/>
            </w:r>
            <w:r w:rsidR="004737CF">
              <w:rPr>
                <w:webHidden/>
              </w:rPr>
              <w:instrText xml:space="preserve"> PAGEREF _Toc414882542 \h </w:instrText>
            </w:r>
            <w:r w:rsidR="004737CF">
              <w:rPr>
                <w:webHidden/>
              </w:rPr>
            </w:r>
            <w:r w:rsidR="004737CF">
              <w:rPr>
                <w:webHidden/>
              </w:rPr>
              <w:fldChar w:fldCharType="separate"/>
            </w:r>
            <w:r w:rsidR="004737CF">
              <w:rPr>
                <w:webHidden/>
              </w:rPr>
              <w:t>10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3" w:history="1">
            <w:r w:rsidR="004737CF" w:rsidRPr="005E4C3A">
              <w:rPr>
                <w:rStyle w:val="Hyperlink"/>
              </w:rPr>
              <w:t>4.2 Community ENT Service</w:t>
            </w:r>
            <w:r w:rsidR="004737CF">
              <w:rPr>
                <w:webHidden/>
              </w:rPr>
              <w:tab/>
            </w:r>
            <w:r w:rsidR="004737CF">
              <w:rPr>
                <w:webHidden/>
              </w:rPr>
              <w:fldChar w:fldCharType="begin"/>
            </w:r>
            <w:r w:rsidR="004737CF">
              <w:rPr>
                <w:webHidden/>
              </w:rPr>
              <w:instrText xml:space="preserve"> PAGEREF _Toc414882543 \h </w:instrText>
            </w:r>
            <w:r w:rsidR="004737CF">
              <w:rPr>
                <w:webHidden/>
              </w:rPr>
            </w:r>
            <w:r w:rsidR="004737CF">
              <w:rPr>
                <w:webHidden/>
              </w:rPr>
              <w:fldChar w:fldCharType="separate"/>
            </w:r>
            <w:r w:rsidR="004737CF">
              <w:rPr>
                <w:webHidden/>
              </w:rPr>
              <w:t>11</w:t>
            </w:r>
            <w:r w:rsidR="004737CF">
              <w:rPr>
                <w:webHidden/>
              </w:rPr>
              <w:fldChar w:fldCharType="end"/>
            </w:r>
          </w:hyperlink>
        </w:p>
        <w:p w:rsidR="004737CF" w:rsidRDefault="00526E5D">
          <w:pPr>
            <w:pStyle w:val="TOC2"/>
            <w:tabs>
              <w:tab w:val="right" w:leader="dot" w:pos="9629"/>
            </w:tabs>
            <w:rPr>
              <w:rFonts w:asciiTheme="minorHAnsi" w:eastAsiaTheme="minorEastAsia" w:hAnsiTheme="minorHAnsi" w:cstheme="minorBidi"/>
              <w:noProof/>
              <w:sz w:val="22"/>
              <w:lang w:eastAsia="en-GB"/>
            </w:rPr>
          </w:pPr>
          <w:hyperlink w:anchor="_Toc414882544" w:history="1">
            <w:r w:rsidR="004737CF" w:rsidRPr="005E4C3A">
              <w:rPr>
                <w:rStyle w:val="Hyperlink"/>
                <w:rFonts w:cs="Arial"/>
                <w:noProof/>
              </w:rPr>
              <w:t>Conditions to be included</w:t>
            </w:r>
            <w:r w:rsidR="004737CF">
              <w:rPr>
                <w:noProof/>
                <w:webHidden/>
              </w:rPr>
              <w:tab/>
            </w:r>
            <w:r w:rsidR="004737CF">
              <w:rPr>
                <w:noProof/>
                <w:webHidden/>
              </w:rPr>
              <w:fldChar w:fldCharType="begin"/>
            </w:r>
            <w:r w:rsidR="004737CF">
              <w:rPr>
                <w:noProof/>
                <w:webHidden/>
              </w:rPr>
              <w:instrText xml:space="preserve"> PAGEREF _Toc414882544 \h </w:instrText>
            </w:r>
            <w:r w:rsidR="004737CF">
              <w:rPr>
                <w:noProof/>
                <w:webHidden/>
              </w:rPr>
            </w:r>
            <w:r w:rsidR="004737CF">
              <w:rPr>
                <w:noProof/>
                <w:webHidden/>
              </w:rPr>
              <w:fldChar w:fldCharType="separate"/>
            </w:r>
            <w:r w:rsidR="004737CF">
              <w:rPr>
                <w:noProof/>
                <w:webHidden/>
              </w:rPr>
              <w:t>17</w:t>
            </w:r>
            <w:r w:rsidR="004737CF">
              <w:rPr>
                <w:noProof/>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5" w:history="1">
            <w:r w:rsidR="004737CF" w:rsidRPr="00381D68">
              <w:rPr>
                <w:rStyle w:val="Hyperlink"/>
              </w:rPr>
              <w:t>4.3 Medicines Management –</w:t>
            </w:r>
            <w:r w:rsidR="00381D68">
              <w:rPr>
                <w:rStyle w:val="Hyperlink"/>
              </w:rPr>
              <w:t xml:space="preserve"> under review</w:t>
            </w:r>
            <w:r w:rsidR="004737CF">
              <w:rPr>
                <w:webHidden/>
              </w:rPr>
              <w:tab/>
            </w:r>
            <w:r w:rsidR="004737CF">
              <w:rPr>
                <w:webHidden/>
              </w:rPr>
              <w:fldChar w:fldCharType="begin"/>
            </w:r>
            <w:r w:rsidR="004737CF">
              <w:rPr>
                <w:webHidden/>
              </w:rPr>
              <w:instrText xml:space="preserve"> PAGEREF _Toc414882545 \h </w:instrText>
            </w:r>
            <w:r w:rsidR="004737CF">
              <w:rPr>
                <w:webHidden/>
              </w:rPr>
            </w:r>
            <w:r w:rsidR="004737CF">
              <w:rPr>
                <w:webHidden/>
              </w:rPr>
              <w:fldChar w:fldCharType="separate"/>
            </w:r>
            <w:r w:rsidR="004737CF">
              <w:rPr>
                <w:webHidden/>
              </w:rPr>
              <w:t>17</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6" w:history="1">
            <w:r w:rsidR="004737CF" w:rsidRPr="005E4C3A">
              <w:rPr>
                <w:rStyle w:val="Hyperlink"/>
              </w:rPr>
              <w:t>4.4 Referrals to Secondary Care</w:t>
            </w:r>
            <w:r w:rsidR="004737CF">
              <w:rPr>
                <w:webHidden/>
              </w:rPr>
              <w:tab/>
            </w:r>
            <w:r w:rsidR="004737CF">
              <w:rPr>
                <w:webHidden/>
              </w:rPr>
              <w:fldChar w:fldCharType="begin"/>
            </w:r>
            <w:r w:rsidR="004737CF">
              <w:rPr>
                <w:webHidden/>
              </w:rPr>
              <w:instrText xml:space="preserve"> PAGEREF _Toc414882546 \h </w:instrText>
            </w:r>
            <w:r w:rsidR="004737CF">
              <w:rPr>
                <w:webHidden/>
              </w:rPr>
            </w:r>
            <w:r w:rsidR="004737CF">
              <w:rPr>
                <w:webHidden/>
              </w:rPr>
              <w:fldChar w:fldCharType="separate"/>
            </w:r>
            <w:r w:rsidR="004737CF">
              <w:rPr>
                <w:webHidden/>
              </w:rPr>
              <w:t>18</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7" w:history="1">
            <w:r w:rsidR="004737CF" w:rsidRPr="005E4C3A">
              <w:rPr>
                <w:rStyle w:val="Hyperlink"/>
              </w:rPr>
              <w:t>4.5 Discharge from the Service</w:t>
            </w:r>
            <w:r w:rsidR="004737CF">
              <w:rPr>
                <w:webHidden/>
              </w:rPr>
              <w:tab/>
            </w:r>
            <w:r w:rsidR="004737CF">
              <w:rPr>
                <w:webHidden/>
              </w:rPr>
              <w:fldChar w:fldCharType="begin"/>
            </w:r>
            <w:r w:rsidR="004737CF">
              <w:rPr>
                <w:webHidden/>
              </w:rPr>
              <w:instrText xml:space="preserve"> PAGEREF _Toc414882547 \h </w:instrText>
            </w:r>
            <w:r w:rsidR="004737CF">
              <w:rPr>
                <w:webHidden/>
              </w:rPr>
            </w:r>
            <w:r w:rsidR="004737CF">
              <w:rPr>
                <w:webHidden/>
              </w:rPr>
              <w:fldChar w:fldCharType="separate"/>
            </w:r>
            <w:r w:rsidR="004737CF">
              <w:rPr>
                <w:webHidden/>
              </w:rPr>
              <w:t>18</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48" w:history="1">
            <w:r w:rsidR="004737CF" w:rsidRPr="005E4C3A">
              <w:rPr>
                <w:rStyle w:val="Hyperlink"/>
              </w:rPr>
              <w:t>5.0</w:t>
            </w:r>
            <w:r w:rsidR="004737CF">
              <w:rPr>
                <w:rFonts w:asciiTheme="minorHAnsi" w:eastAsiaTheme="minorEastAsia" w:hAnsiTheme="minorHAnsi" w:cstheme="minorBidi"/>
                <w:lang w:eastAsia="en-GB"/>
              </w:rPr>
              <w:tab/>
            </w:r>
            <w:r w:rsidR="004737CF" w:rsidRPr="005E4C3A">
              <w:rPr>
                <w:rStyle w:val="Hyperlink"/>
              </w:rPr>
              <w:t>Interdependence with other services/providers</w:t>
            </w:r>
            <w:r w:rsidR="004737CF">
              <w:rPr>
                <w:webHidden/>
              </w:rPr>
              <w:tab/>
            </w:r>
            <w:r w:rsidR="004737CF">
              <w:rPr>
                <w:webHidden/>
              </w:rPr>
              <w:fldChar w:fldCharType="begin"/>
            </w:r>
            <w:r w:rsidR="004737CF">
              <w:rPr>
                <w:webHidden/>
              </w:rPr>
              <w:instrText xml:space="preserve"> PAGEREF _Toc414882548 \h </w:instrText>
            </w:r>
            <w:r w:rsidR="004737CF">
              <w:rPr>
                <w:webHidden/>
              </w:rPr>
            </w:r>
            <w:r w:rsidR="004737CF">
              <w:rPr>
                <w:webHidden/>
              </w:rPr>
              <w:fldChar w:fldCharType="separate"/>
            </w:r>
            <w:r w:rsidR="004737CF">
              <w:rPr>
                <w:webHidden/>
              </w:rPr>
              <w:t>18</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49" w:history="1">
            <w:r w:rsidR="004737CF" w:rsidRPr="005E4C3A">
              <w:rPr>
                <w:rStyle w:val="Hyperlink"/>
              </w:rPr>
              <w:t>5.1 Community</w:t>
            </w:r>
            <w:r w:rsidR="004737CF">
              <w:rPr>
                <w:webHidden/>
              </w:rPr>
              <w:tab/>
            </w:r>
            <w:r w:rsidR="004737CF">
              <w:rPr>
                <w:webHidden/>
              </w:rPr>
              <w:fldChar w:fldCharType="begin"/>
            </w:r>
            <w:r w:rsidR="004737CF">
              <w:rPr>
                <w:webHidden/>
              </w:rPr>
              <w:instrText xml:space="preserve"> PAGEREF _Toc414882549 \h </w:instrText>
            </w:r>
            <w:r w:rsidR="004737CF">
              <w:rPr>
                <w:webHidden/>
              </w:rPr>
            </w:r>
            <w:r w:rsidR="004737CF">
              <w:rPr>
                <w:webHidden/>
              </w:rPr>
              <w:fldChar w:fldCharType="separate"/>
            </w:r>
            <w:r w:rsidR="004737CF">
              <w:rPr>
                <w:webHidden/>
              </w:rPr>
              <w:t>18</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50" w:history="1">
            <w:r w:rsidR="004737CF" w:rsidRPr="005E4C3A">
              <w:rPr>
                <w:rStyle w:val="Hyperlink"/>
              </w:rPr>
              <w:t>6.0</w:t>
            </w:r>
            <w:r w:rsidR="004737CF">
              <w:rPr>
                <w:rFonts w:asciiTheme="minorHAnsi" w:eastAsiaTheme="minorEastAsia" w:hAnsiTheme="minorHAnsi" w:cstheme="minorBidi"/>
                <w:lang w:eastAsia="en-GB"/>
              </w:rPr>
              <w:tab/>
            </w:r>
            <w:r w:rsidR="004737CF" w:rsidRPr="005E4C3A">
              <w:rPr>
                <w:rStyle w:val="Hyperlink"/>
              </w:rPr>
              <w:t>Quality</w:t>
            </w:r>
            <w:r w:rsidR="004737CF">
              <w:rPr>
                <w:webHidden/>
              </w:rPr>
              <w:tab/>
            </w:r>
            <w:r w:rsidR="004737CF">
              <w:rPr>
                <w:webHidden/>
              </w:rPr>
              <w:fldChar w:fldCharType="begin"/>
            </w:r>
            <w:r w:rsidR="004737CF">
              <w:rPr>
                <w:webHidden/>
              </w:rPr>
              <w:instrText xml:space="preserve"> PAGEREF _Toc414882550 \h </w:instrText>
            </w:r>
            <w:r w:rsidR="004737CF">
              <w:rPr>
                <w:webHidden/>
              </w:rPr>
            </w:r>
            <w:r w:rsidR="004737CF">
              <w:rPr>
                <w:webHidden/>
              </w:rPr>
              <w:fldChar w:fldCharType="separate"/>
            </w:r>
            <w:r w:rsidR="004737CF">
              <w:rPr>
                <w:webHidden/>
              </w:rPr>
              <w:t>19</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1" w:history="1">
            <w:r w:rsidR="004737CF" w:rsidRPr="005E4C3A">
              <w:rPr>
                <w:rStyle w:val="Hyperlink"/>
              </w:rPr>
              <w:t>6.1 Patient and Carer Information</w:t>
            </w:r>
            <w:r w:rsidR="004737CF">
              <w:rPr>
                <w:webHidden/>
              </w:rPr>
              <w:tab/>
            </w:r>
            <w:r w:rsidR="004737CF">
              <w:rPr>
                <w:webHidden/>
              </w:rPr>
              <w:fldChar w:fldCharType="begin"/>
            </w:r>
            <w:r w:rsidR="004737CF">
              <w:rPr>
                <w:webHidden/>
              </w:rPr>
              <w:instrText xml:space="preserve"> PAGEREF _Toc414882551 \h </w:instrText>
            </w:r>
            <w:r w:rsidR="004737CF">
              <w:rPr>
                <w:webHidden/>
              </w:rPr>
            </w:r>
            <w:r w:rsidR="004737CF">
              <w:rPr>
                <w:webHidden/>
              </w:rPr>
              <w:fldChar w:fldCharType="separate"/>
            </w:r>
            <w:r w:rsidR="004737CF">
              <w:rPr>
                <w:webHidden/>
              </w:rPr>
              <w:t>19</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2" w:history="1">
            <w:r w:rsidR="004737CF" w:rsidRPr="005E4C3A">
              <w:rPr>
                <w:rStyle w:val="Hyperlink"/>
              </w:rPr>
              <w:t>6.2 Patient Experience</w:t>
            </w:r>
            <w:r w:rsidR="004737CF">
              <w:rPr>
                <w:webHidden/>
              </w:rPr>
              <w:tab/>
            </w:r>
            <w:r w:rsidR="004737CF">
              <w:rPr>
                <w:webHidden/>
              </w:rPr>
              <w:fldChar w:fldCharType="begin"/>
            </w:r>
            <w:r w:rsidR="004737CF">
              <w:rPr>
                <w:webHidden/>
              </w:rPr>
              <w:instrText xml:space="preserve"> PAGEREF _Toc414882552 \h </w:instrText>
            </w:r>
            <w:r w:rsidR="004737CF">
              <w:rPr>
                <w:webHidden/>
              </w:rPr>
            </w:r>
            <w:r w:rsidR="004737CF">
              <w:rPr>
                <w:webHidden/>
              </w:rPr>
              <w:fldChar w:fldCharType="separate"/>
            </w:r>
            <w:r w:rsidR="004737CF">
              <w:rPr>
                <w:webHidden/>
              </w:rPr>
              <w:t>19</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3" w:history="1">
            <w:r w:rsidR="004737CF" w:rsidRPr="005E4C3A">
              <w:rPr>
                <w:rStyle w:val="Hyperlink"/>
              </w:rPr>
              <w:t>6.3 Complaints and Plaudits</w:t>
            </w:r>
            <w:r w:rsidR="004737CF">
              <w:rPr>
                <w:webHidden/>
              </w:rPr>
              <w:tab/>
            </w:r>
            <w:r w:rsidR="004737CF">
              <w:rPr>
                <w:webHidden/>
              </w:rPr>
              <w:fldChar w:fldCharType="begin"/>
            </w:r>
            <w:r w:rsidR="004737CF">
              <w:rPr>
                <w:webHidden/>
              </w:rPr>
              <w:instrText xml:space="preserve"> PAGEREF _Toc414882553 \h </w:instrText>
            </w:r>
            <w:r w:rsidR="004737CF">
              <w:rPr>
                <w:webHidden/>
              </w:rPr>
            </w:r>
            <w:r w:rsidR="004737CF">
              <w:rPr>
                <w:webHidden/>
              </w:rPr>
              <w:fldChar w:fldCharType="separate"/>
            </w:r>
            <w:r w:rsidR="004737CF">
              <w:rPr>
                <w:webHidden/>
              </w:rPr>
              <w:t>20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4" w:history="1">
            <w:r w:rsidR="004737CF" w:rsidRPr="005E4C3A">
              <w:rPr>
                <w:rStyle w:val="Hyperlink"/>
              </w:rPr>
              <w:t>6.4 Incident Reporting and Management</w:t>
            </w:r>
            <w:r w:rsidR="004737CF">
              <w:rPr>
                <w:webHidden/>
              </w:rPr>
              <w:tab/>
            </w:r>
            <w:r w:rsidR="004737CF">
              <w:rPr>
                <w:webHidden/>
              </w:rPr>
              <w:fldChar w:fldCharType="begin"/>
            </w:r>
            <w:r w:rsidR="004737CF">
              <w:rPr>
                <w:webHidden/>
              </w:rPr>
              <w:instrText xml:space="preserve"> PAGEREF _Toc414882554 \h </w:instrText>
            </w:r>
            <w:r w:rsidR="004737CF">
              <w:rPr>
                <w:webHidden/>
              </w:rPr>
            </w:r>
            <w:r w:rsidR="004737CF">
              <w:rPr>
                <w:webHidden/>
              </w:rPr>
              <w:fldChar w:fldCharType="separate"/>
            </w:r>
            <w:r w:rsidR="004737CF">
              <w:rPr>
                <w:webHidden/>
              </w:rPr>
              <w:t>20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5" w:history="1">
            <w:r w:rsidR="004737CF" w:rsidRPr="005E4C3A">
              <w:rPr>
                <w:rStyle w:val="Hyperlink"/>
              </w:rPr>
              <w:t>6.5 Safeguarding the needs of Children and Vulnerable Adults</w:t>
            </w:r>
            <w:r w:rsidR="004737CF">
              <w:rPr>
                <w:webHidden/>
              </w:rPr>
              <w:tab/>
            </w:r>
            <w:r w:rsidR="004737CF">
              <w:rPr>
                <w:webHidden/>
              </w:rPr>
              <w:fldChar w:fldCharType="begin"/>
            </w:r>
            <w:r w:rsidR="004737CF">
              <w:rPr>
                <w:webHidden/>
              </w:rPr>
              <w:instrText xml:space="preserve"> PAGEREF _Toc414882555 \h </w:instrText>
            </w:r>
            <w:r w:rsidR="004737CF">
              <w:rPr>
                <w:webHidden/>
              </w:rPr>
            </w:r>
            <w:r w:rsidR="004737CF">
              <w:rPr>
                <w:webHidden/>
              </w:rPr>
              <w:fldChar w:fldCharType="separate"/>
            </w:r>
            <w:r w:rsidR="004737CF">
              <w:rPr>
                <w:webHidden/>
              </w:rPr>
              <w:t>20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6" w:history="1">
            <w:r w:rsidR="004737CF" w:rsidRPr="005E4C3A">
              <w:rPr>
                <w:rStyle w:val="Hyperlink"/>
              </w:rPr>
              <w:t>6.6 Safety Alerts</w:t>
            </w:r>
            <w:r w:rsidR="004737CF">
              <w:rPr>
                <w:webHidden/>
              </w:rPr>
              <w:tab/>
            </w:r>
            <w:r w:rsidR="004737CF">
              <w:rPr>
                <w:webHidden/>
              </w:rPr>
              <w:fldChar w:fldCharType="begin"/>
            </w:r>
            <w:r w:rsidR="004737CF">
              <w:rPr>
                <w:webHidden/>
              </w:rPr>
              <w:instrText xml:space="preserve"> PAGEREF _Toc414882556 \h </w:instrText>
            </w:r>
            <w:r w:rsidR="004737CF">
              <w:rPr>
                <w:webHidden/>
              </w:rPr>
            </w:r>
            <w:r w:rsidR="004737CF">
              <w:rPr>
                <w:webHidden/>
              </w:rPr>
              <w:fldChar w:fldCharType="separate"/>
            </w:r>
            <w:r w:rsidR="004737CF">
              <w:rPr>
                <w:webHidden/>
              </w:rPr>
              <w:t>20</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7" w:history="1">
            <w:r w:rsidR="004737CF" w:rsidRPr="005E4C3A">
              <w:rPr>
                <w:rStyle w:val="Hyperlink"/>
              </w:rPr>
              <w:t>6.7 NICE Guidance</w:t>
            </w:r>
            <w:r w:rsidR="004737CF">
              <w:rPr>
                <w:webHidden/>
              </w:rPr>
              <w:tab/>
            </w:r>
            <w:r w:rsidR="004737CF">
              <w:rPr>
                <w:webHidden/>
              </w:rPr>
              <w:fldChar w:fldCharType="begin"/>
            </w:r>
            <w:r w:rsidR="004737CF">
              <w:rPr>
                <w:webHidden/>
              </w:rPr>
              <w:instrText xml:space="preserve"> PAGEREF _Toc414882557 \h </w:instrText>
            </w:r>
            <w:r w:rsidR="004737CF">
              <w:rPr>
                <w:webHidden/>
              </w:rPr>
            </w:r>
            <w:r w:rsidR="004737CF">
              <w:rPr>
                <w:webHidden/>
              </w:rPr>
              <w:fldChar w:fldCharType="separate"/>
            </w:r>
            <w:r w:rsidR="004737CF">
              <w:rPr>
                <w:webHidden/>
              </w:rPr>
              <w:t>21</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8" w:history="1">
            <w:r w:rsidR="004737CF" w:rsidRPr="005E4C3A">
              <w:rPr>
                <w:rStyle w:val="Hyperlink"/>
              </w:rPr>
              <w:t>6.8 Infection Prevention and Control</w:t>
            </w:r>
            <w:r w:rsidR="004737CF">
              <w:rPr>
                <w:webHidden/>
              </w:rPr>
              <w:tab/>
            </w:r>
            <w:r w:rsidR="004737CF">
              <w:rPr>
                <w:webHidden/>
              </w:rPr>
              <w:fldChar w:fldCharType="begin"/>
            </w:r>
            <w:r w:rsidR="004737CF">
              <w:rPr>
                <w:webHidden/>
              </w:rPr>
              <w:instrText xml:space="preserve"> PAGEREF _Toc414882558 \h </w:instrText>
            </w:r>
            <w:r w:rsidR="004737CF">
              <w:rPr>
                <w:webHidden/>
              </w:rPr>
            </w:r>
            <w:r w:rsidR="004737CF">
              <w:rPr>
                <w:webHidden/>
              </w:rPr>
              <w:fldChar w:fldCharType="separate"/>
            </w:r>
            <w:r w:rsidR="004737CF">
              <w:rPr>
                <w:webHidden/>
              </w:rPr>
              <w:t>21</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59" w:history="1">
            <w:r w:rsidR="004737CF" w:rsidRPr="005E4C3A">
              <w:rPr>
                <w:rStyle w:val="Hyperlink"/>
                <w:rFonts w:cs="Arial"/>
              </w:rPr>
              <w:t>6.9 Governance</w:t>
            </w:r>
            <w:r w:rsidR="004737CF">
              <w:rPr>
                <w:webHidden/>
              </w:rPr>
              <w:tab/>
            </w:r>
            <w:r w:rsidR="004737CF">
              <w:rPr>
                <w:webHidden/>
              </w:rPr>
              <w:fldChar w:fldCharType="begin"/>
            </w:r>
            <w:r w:rsidR="004737CF">
              <w:rPr>
                <w:webHidden/>
              </w:rPr>
              <w:instrText xml:space="preserve"> PAGEREF _Toc414882559 \h </w:instrText>
            </w:r>
            <w:r w:rsidR="004737CF">
              <w:rPr>
                <w:webHidden/>
              </w:rPr>
            </w:r>
            <w:r w:rsidR="004737CF">
              <w:rPr>
                <w:webHidden/>
              </w:rPr>
              <w:fldChar w:fldCharType="separate"/>
            </w:r>
            <w:r w:rsidR="004737CF">
              <w:rPr>
                <w:webHidden/>
              </w:rPr>
              <w:t>21</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60" w:history="1">
            <w:r w:rsidR="004737CF" w:rsidRPr="005E4C3A">
              <w:rPr>
                <w:rStyle w:val="Hyperlink"/>
              </w:rPr>
              <w:t>7.0</w:t>
            </w:r>
            <w:r w:rsidR="004737CF">
              <w:rPr>
                <w:rFonts w:asciiTheme="minorHAnsi" w:eastAsiaTheme="minorEastAsia" w:hAnsiTheme="minorHAnsi" w:cstheme="minorBidi"/>
                <w:lang w:eastAsia="en-GB"/>
              </w:rPr>
              <w:tab/>
            </w:r>
            <w:r w:rsidR="004737CF" w:rsidRPr="005E4C3A">
              <w:rPr>
                <w:rStyle w:val="Hyperlink"/>
              </w:rPr>
              <w:t>Outcomes and KPIs</w:t>
            </w:r>
            <w:r w:rsidR="004737CF">
              <w:rPr>
                <w:webHidden/>
              </w:rPr>
              <w:tab/>
            </w:r>
            <w:r w:rsidR="004737CF">
              <w:rPr>
                <w:webHidden/>
              </w:rPr>
              <w:fldChar w:fldCharType="begin"/>
            </w:r>
            <w:r w:rsidR="004737CF">
              <w:rPr>
                <w:webHidden/>
              </w:rPr>
              <w:instrText xml:space="preserve"> PAGEREF _Toc414882560 \h </w:instrText>
            </w:r>
            <w:r w:rsidR="004737CF">
              <w:rPr>
                <w:webHidden/>
              </w:rPr>
            </w:r>
            <w:r w:rsidR="004737CF">
              <w:rPr>
                <w:webHidden/>
              </w:rPr>
              <w:fldChar w:fldCharType="separate"/>
            </w:r>
            <w:r w:rsidR="004737CF">
              <w:rPr>
                <w:webHidden/>
              </w:rPr>
              <w:t>23</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1" w:history="1">
            <w:r w:rsidR="004737CF" w:rsidRPr="005E4C3A">
              <w:rPr>
                <w:rStyle w:val="Hyperlink"/>
              </w:rPr>
              <w:t>7.1 Critical Success Factors with Indicative Outcomes and Evidence</w:t>
            </w:r>
            <w:r w:rsidR="004737CF">
              <w:rPr>
                <w:webHidden/>
              </w:rPr>
              <w:tab/>
            </w:r>
            <w:r w:rsidR="004737CF">
              <w:rPr>
                <w:webHidden/>
              </w:rPr>
              <w:fldChar w:fldCharType="begin"/>
            </w:r>
            <w:r w:rsidR="004737CF">
              <w:rPr>
                <w:webHidden/>
              </w:rPr>
              <w:instrText xml:space="preserve"> PAGEREF _Toc414882561 \h </w:instrText>
            </w:r>
            <w:r w:rsidR="004737CF">
              <w:rPr>
                <w:webHidden/>
              </w:rPr>
            </w:r>
            <w:r w:rsidR="004737CF">
              <w:rPr>
                <w:webHidden/>
              </w:rPr>
              <w:fldChar w:fldCharType="separate"/>
            </w:r>
            <w:r w:rsidR="004737CF">
              <w:rPr>
                <w:webHidden/>
              </w:rPr>
              <w:t>23</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2" w:history="1">
            <w:r w:rsidR="004737CF" w:rsidRPr="005E4C3A">
              <w:rPr>
                <w:rStyle w:val="Hyperlink"/>
              </w:rPr>
              <w:t>7.2 Performance Report</w:t>
            </w:r>
            <w:r w:rsidR="004737CF">
              <w:rPr>
                <w:webHidden/>
              </w:rPr>
              <w:tab/>
            </w:r>
            <w:r w:rsidR="004737CF">
              <w:rPr>
                <w:webHidden/>
              </w:rPr>
              <w:fldChar w:fldCharType="begin"/>
            </w:r>
            <w:r w:rsidR="004737CF">
              <w:rPr>
                <w:webHidden/>
              </w:rPr>
              <w:instrText xml:space="preserve"> PAGEREF _Toc414882562 \h </w:instrText>
            </w:r>
            <w:r w:rsidR="004737CF">
              <w:rPr>
                <w:webHidden/>
              </w:rPr>
            </w:r>
            <w:r w:rsidR="004737CF">
              <w:rPr>
                <w:webHidden/>
              </w:rPr>
              <w:fldChar w:fldCharType="separate"/>
            </w:r>
            <w:r w:rsidR="004737CF">
              <w:rPr>
                <w:webHidden/>
              </w:rPr>
              <w:t>23</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3" w:history="1">
            <w:r w:rsidR="004737CF" w:rsidRPr="005E4C3A">
              <w:rPr>
                <w:rStyle w:val="Hyperlink"/>
              </w:rPr>
              <w:t>7.3 Minimum Data Set- Based on National Community MDS</w:t>
            </w:r>
            <w:r w:rsidR="004737CF">
              <w:rPr>
                <w:webHidden/>
              </w:rPr>
              <w:tab/>
            </w:r>
            <w:r w:rsidR="004737CF">
              <w:rPr>
                <w:webHidden/>
              </w:rPr>
              <w:fldChar w:fldCharType="begin"/>
            </w:r>
            <w:r w:rsidR="004737CF">
              <w:rPr>
                <w:webHidden/>
              </w:rPr>
              <w:instrText xml:space="preserve"> PAGEREF _Toc414882563 \h </w:instrText>
            </w:r>
            <w:r w:rsidR="004737CF">
              <w:rPr>
                <w:webHidden/>
              </w:rPr>
            </w:r>
            <w:r w:rsidR="004737CF">
              <w:rPr>
                <w:webHidden/>
              </w:rPr>
              <w:fldChar w:fldCharType="separate"/>
            </w:r>
            <w:r w:rsidR="004737CF">
              <w:rPr>
                <w:webHidden/>
              </w:rPr>
              <w:t>23</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4" w:history="1">
            <w:r w:rsidR="004737CF" w:rsidRPr="005E4C3A">
              <w:rPr>
                <w:rStyle w:val="Hyperlink"/>
              </w:rPr>
              <w:t>7.6 Local Quality Requirements (LQR)</w:t>
            </w:r>
            <w:r w:rsidR="004737CF">
              <w:rPr>
                <w:webHidden/>
              </w:rPr>
              <w:tab/>
            </w:r>
            <w:r w:rsidR="004737CF">
              <w:rPr>
                <w:webHidden/>
              </w:rPr>
              <w:fldChar w:fldCharType="begin"/>
            </w:r>
            <w:r w:rsidR="004737CF">
              <w:rPr>
                <w:webHidden/>
              </w:rPr>
              <w:instrText xml:space="preserve"> PAGEREF _Toc414882564 \h </w:instrText>
            </w:r>
            <w:r w:rsidR="004737CF">
              <w:rPr>
                <w:webHidden/>
              </w:rPr>
            </w:r>
            <w:r w:rsidR="004737CF">
              <w:rPr>
                <w:webHidden/>
              </w:rPr>
              <w:fldChar w:fldCharType="separate"/>
            </w:r>
            <w:r w:rsidR="004737CF">
              <w:rPr>
                <w:webHidden/>
              </w:rPr>
              <w:t>23</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65" w:history="1">
            <w:r w:rsidR="004737CF" w:rsidRPr="005E4C3A">
              <w:rPr>
                <w:rStyle w:val="Hyperlink"/>
              </w:rPr>
              <w:t>8.0</w:t>
            </w:r>
            <w:r w:rsidR="004737CF">
              <w:rPr>
                <w:rFonts w:asciiTheme="minorHAnsi" w:eastAsiaTheme="minorEastAsia" w:hAnsiTheme="minorHAnsi" w:cstheme="minorBidi"/>
                <w:lang w:eastAsia="en-GB"/>
              </w:rPr>
              <w:tab/>
            </w:r>
            <w:r w:rsidR="004737CF" w:rsidRPr="005E4C3A">
              <w:rPr>
                <w:rStyle w:val="Hyperlink"/>
              </w:rPr>
              <w:t>Equality, Sustainability (Environmental) and Social Value</w:t>
            </w:r>
            <w:r w:rsidR="004737CF">
              <w:rPr>
                <w:webHidden/>
              </w:rPr>
              <w:tab/>
            </w:r>
            <w:r w:rsidR="004737CF">
              <w:rPr>
                <w:webHidden/>
              </w:rPr>
              <w:fldChar w:fldCharType="begin"/>
            </w:r>
            <w:r w:rsidR="004737CF">
              <w:rPr>
                <w:webHidden/>
              </w:rPr>
              <w:instrText xml:space="preserve"> PAGEREF _Toc414882565 \h </w:instrText>
            </w:r>
            <w:r w:rsidR="004737CF">
              <w:rPr>
                <w:webHidden/>
              </w:rPr>
            </w:r>
            <w:r w:rsidR="004737CF">
              <w:rPr>
                <w:webHidden/>
              </w:rPr>
              <w:fldChar w:fldCharType="separate"/>
            </w:r>
            <w:r w:rsidR="004737CF">
              <w:rPr>
                <w:webHidden/>
              </w:rPr>
              <w:t>24</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6" w:history="1">
            <w:r w:rsidR="004737CF" w:rsidRPr="005E4C3A">
              <w:rPr>
                <w:rStyle w:val="Hyperlink"/>
              </w:rPr>
              <w:t>8.1 Equality</w:t>
            </w:r>
            <w:r w:rsidR="004737CF">
              <w:rPr>
                <w:webHidden/>
              </w:rPr>
              <w:tab/>
            </w:r>
            <w:r w:rsidR="004737CF">
              <w:rPr>
                <w:webHidden/>
              </w:rPr>
              <w:fldChar w:fldCharType="begin"/>
            </w:r>
            <w:r w:rsidR="004737CF">
              <w:rPr>
                <w:webHidden/>
              </w:rPr>
              <w:instrText xml:space="preserve"> PAGEREF _Toc414882566 \h </w:instrText>
            </w:r>
            <w:r w:rsidR="004737CF">
              <w:rPr>
                <w:webHidden/>
              </w:rPr>
            </w:r>
            <w:r w:rsidR="004737CF">
              <w:rPr>
                <w:webHidden/>
              </w:rPr>
              <w:fldChar w:fldCharType="separate"/>
            </w:r>
            <w:r w:rsidR="004737CF">
              <w:rPr>
                <w:webHidden/>
              </w:rPr>
              <w:t>24</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7" w:history="1">
            <w:r w:rsidR="004737CF" w:rsidRPr="005E4C3A">
              <w:rPr>
                <w:rStyle w:val="Hyperlink"/>
              </w:rPr>
              <w:t>8.2 Social Value</w:t>
            </w:r>
            <w:r w:rsidR="004737CF">
              <w:rPr>
                <w:webHidden/>
              </w:rPr>
              <w:tab/>
            </w:r>
            <w:r w:rsidR="004737CF">
              <w:rPr>
                <w:webHidden/>
              </w:rPr>
              <w:fldChar w:fldCharType="begin"/>
            </w:r>
            <w:r w:rsidR="004737CF">
              <w:rPr>
                <w:webHidden/>
              </w:rPr>
              <w:instrText xml:space="preserve"> PAGEREF _Toc414882567 \h </w:instrText>
            </w:r>
            <w:r w:rsidR="004737CF">
              <w:rPr>
                <w:webHidden/>
              </w:rPr>
            </w:r>
            <w:r w:rsidR="004737CF">
              <w:rPr>
                <w:webHidden/>
              </w:rPr>
              <w:fldChar w:fldCharType="separate"/>
            </w:r>
            <w:r w:rsidR="004737CF">
              <w:rPr>
                <w:webHidden/>
              </w:rPr>
              <w:t>24</w:t>
            </w:r>
            <w:r w:rsidR="004737CF">
              <w:rPr>
                <w:webHidden/>
              </w:rPr>
              <w:fldChar w:fldCharType="end"/>
            </w:r>
          </w:hyperlink>
        </w:p>
        <w:p w:rsidR="004737CF" w:rsidRDefault="00526E5D">
          <w:pPr>
            <w:pStyle w:val="TOC3"/>
            <w:rPr>
              <w:rFonts w:asciiTheme="minorHAnsi" w:eastAsiaTheme="minorEastAsia" w:hAnsiTheme="minorHAnsi" w:cstheme="minorBidi"/>
              <w:sz w:val="22"/>
              <w:szCs w:val="22"/>
              <w:lang w:eastAsia="en-GB"/>
            </w:rPr>
          </w:pPr>
          <w:hyperlink w:anchor="_Toc414882568" w:history="1">
            <w:r w:rsidR="004737CF" w:rsidRPr="005E4C3A">
              <w:rPr>
                <w:rStyle w:val="Hyperlink"/>
              </w:rPr>
              <w:t>8.3 Sustainability</w:t>
            </w:r>
            <w:r w:rsidR="004737CF">
              <w:rPr>
                <w:webHidden/>
              </w:rPr>
              <w:tab/>
            </w:r>
            <w:r w:rsidR="004737CF">
              <w:rPr>
                <w:webHidden/>
              </w:rPr>
              <w:fldChar w:fldCharType="begin"/>
            </w:r>
            <w:r w:rsidR="004737CF">
              <w:rPr>
                <w:webHidden/>
              </w:rPr>
              <w:instrText xml:space="preserve"> PAGEREF _Toc414882568 \h </w:instrText>
            </w:r>
            <w:r w:rsidR="004737CF">
              <w:rPr>
                <w:webHidden/>
              </w:rPr>
            </w:r>
            <w:r w:rsidR="004737CF">
              <w:rPr>
                <w:webHidden/>
              </w:rPr>
              <w:fldChar w:fldCharType="separate"/>
            </w:r>
            <w:r w:rsidR="004737CF">
              <w:rPr>
                <w:webHidden/>
              </w:rPr>
              <w:t>25</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69" w:history="1">
            <w:r w:rsidR="004737CF" w:rsidRPr="005E4C3A">
              <w:rPr>
                <w:rStyle w:val="Hyperlink"/>
              </w:rPr>
              <w:t>9.0</w:t>
            </w:r>
            <w:r w:rsidR="004737CF">
              <w:rPr>
                <w:rFonts w:asciiTheme="minorHAnsi" w:eastAsiaTheme="minorEastAsia" w:hAnsiTheme="minorHAnsi" w:cstheme="minorBidi"/>
                <w:lang w:eastAsia="en-GB"/>
              </w:rPr>
              <w:tab/>
            </w:r>
            <w:r w:rsidR="004737CF" w:rsidRPr="005E4C3A">
              <w:rPr>
                <w:rStyle w:val="Hyperlink"/>
              </w:rPr>
              <w:t>Armed Forces</w:t>
            </w:r>
            <w:r w:rsidR="004737CF">
              <w:rPr>
                <w:webHidden/>
              </w:rPr>
              <w:tab/>
            </w:r>
            <w:r w:rsidR="004737CF">
              <w:rPr>
                <w:webHidden/>
              </w:rPr>
              <w:fldChar w:fldCharType="begin"/>
            </w:r>
            <w:r w:rsidR="004737CF">
              <w:rPr>
                <w:webHidden/>
              </w:rPr>
              <w:instrText xml:space="preserve"> PAGEREF _Toc414882569 \h </w:instrText>
            </w:r>
            <w:r w:rsidR="004737CF">
              <w:rPr>
                <w:webHidden/>
              </w:rPr>
            </w:r>
            <w:r w:rsidR="004737CF">
              <w:rPr>
                <w:webHidden/>
              </w:rPr>
              <w:fldChar w:fldCharType="separate"/>
            </w:r>
            <w:r w:rsidR="004737CF">
              <w:rPr>
                <w:webHidden/>
              </w:rPr>
              <w:t>25</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0" w:history="1">
            <w:r w:rsidR="004737CF" w:rsidRPr="005E4C3A">
              <w:rPr>
                <w:rStyle w:val="Hyperlink"/>
              </w:rPr>
              <w:t>10.0</w:t>
            </w:r>
            <w:r w:rsidR="004737CF">
              <w:rPr>
                <w:rFonts w:asciiTheme="minorHAnsi" w:eastAsiaTheme="minorEastAsia" w:hAnsiTheme="minorHAnsi" w:cstheme="minorBidi"/>
                <w:lang w:eastAsia="en-GB"/>
              </w:rPr>
              <w:tab/>
            </w:r>
            <w:r w:rsidR="004737CF" w:rsidRPr="005E4C3A">
              <w:rPr>
                <w:rStyle w:val="Hyperlink"/>
              </w:rPr>
              <w:t>Thresholds</w:t>
            </w:r>
            <w:r w:rsidR="004737CF">
              <w:rPr>
                <w:webHidden/>
              </w:rPr>
              <w:tab/>
            </w:r>
            <w:r w:rsidR="004737CF">
              <w:rPr>
                <w:webHidden/>
              </w:rPr>
              <w:fldChar w:fldCharType="begin"/>
            </w:r>
            <w:r w:rsidR="004737CF">
              <w:rPr>
                <w:webHidden/>
              </w:rPr>
              <w:instrText xml:space="preserve"> PAGEREF _Toc414882570 \h </w:instrText>
            </w:r>
            <w:r w:rsidR="004737CF">
              <w:rPr>
                <w:webHidden/>
              </w:rPr>
            </w:r>
            <w:r w:rsidR="004737CF">
              <w:rPr>
                <w:webHidden/>
              </w:rPr>
              <w:fldChar w:fldCharType="separate"/>
            </w:r>
            <w:r w:rsidR="004737CF">
              <w:rPr>
                <w:webHidden/>
              </w:rPr>
              <w:t>26</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1" w:history="1">
            <w:r w:rsidR="004737CF" w:rsidRPr="005E4C3A">
              <w:rPr>
                <w:rStyle w:val="Hyperlink"/>
              </w:rPr>
              <w:t>11.0</w:t>
            </w:r>
            <w:r w:rsidR="004737CF">
              <w:rPr>
                <w:rFonts w:asciiTheme="minorHAnsi" w:eastAsiaTheme="minorEastAsia" w:hAnsiTheme="minorHAnsi" w:cstheme="minorBidi"/>
                <w:lang w:eastAsia="en-GB"/>
              </w:rPr>
              <w:tab/>
            </w:r>
            <w:r w:rsidR="004737CF" w:rsidRPr="005E4C3A">
              <w:rPr>
                <w:rStyle w:val="Hyperlink"/>
              </w:rPr>
              <w:t>Business Continuity</w:t>
            </w:r>
            <w:r w:rsidR="004737CF">
              <w:rPr>
                <w:webHidden/>
              </w:rPr>
              <w:tab/>
            </w:r>
            <w:r w:rsidR="004737CF">
              <w:rPr>
                <w:webHidden/>
              </w:rPr>
              <w:fldChar w:fldCharType="begin"/>
            </w:r>
            <w:r w:rsidR="004737CF">
              <w:rPr>
                <w:webHidden/>
              </w:rPr>
              <w:instrText xml:space="preserve"> PAGEREF _Toc414882571 \h </w:instrText>
            </w:r>
            <w:r w:rsidR="004737CF">
              <w:rPr>
                <w:webHidden/>
              </w:rPr>
            </w:r>
            <w:r w:rsidR="004737CF">
              <w:rPr>
                <w:webHidden/>
              </w:rPr>
              <w:fldChar w:fldCharType="separate"/>
            </w:r>
            <w:r w:rsidR="004737CF">
              <w:rPr>
                <w:webHidden/>
              </w:rPr>
              <w:t>26</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2" w:history="1">
            <w:r w:rsidR="004737CF" w:rsidRPr="005E4C3A">
              <w:rPr>
                <w:rStyle w:val="Hyperlink"/>
              </w:rPr>
              <w:t>12.0</w:t>
            </w:r>
            <w:r w:rsidR="004737CF">
              <w:rPr>
                <w:rFonts w:asciiTheme="minorHAnsi" w:eastAsiaTheme="minorEastAsia" w:hAnsiTheme="minorHAnsi" w:cstheme="minorBidi"/>
                <w:lang w:eastAsia="en-GB"/>
              </w:rPr>
              <w:tab/>
            </w:r>
            <w:r w:rsidR="004737CF" w:rsidRPr="005E4C3A">
              <w:rPr>
                <w:rStyle w:val="Hyperlink"/>
              </w:rPr>
              <w:t>Finance</w:t>
            </w:r>
            <w:r w:rsidR="004737CF">
              <w:rPr>
                <w:webHidden/>
              </w:rPr>
              <w:tab/>
            </w:r>
            <w:r w:rsidR="004737CF">
              <w:rPr>
                <w:webHidden/>
              </w:rPr>
              <w:fldChar w:fldCharType="begin"/>
            </w:r>
            <w:r w:rsidR="004737CF">
              <w:rPr>
                <w:webHidden/>
              </w:rPr>
              <w:instrText xml:space="preserve"> PAGEREF _Toc414882572 \h </w:instrText>
            </w:r>
            <w:r w:rsidR="004737CF">
              <w:rPr>
                <w:webHidden/>
              </w:rPr>
            </w:r>
            <w:r w:rsidR="004737CF">
              <w:rPr>
                <w:webHidden/>
              </w:rPr>
              <w:fldChar w:fldCharType="separate"/>
            </w:r>
            <w:r w:rsidR="004737CF">
              <w:rPr>
                <w:webHidden/>
              </w:rPr>
              <w:t>27</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3" w:history="1">
            <w:r w:rsidR="004737CF" w:rsidRPr="005E4C3A">
              <w:rPr>
                <w:rStyle w:val="Hyperlink"/>
              </w:rPr>
              <w:t>13.0</w:t>
            </w:r>
            <w:r w:rsidR="004737CF">
              <w:rPr>
                <w:rFonts w:asciiTheme="minorHAnsi" w:eastAsiaTheme="minorEastAsia" w:hAnsiTheme="minorHAnsi" w:cstheme="minorBidi"/>
                <w:lang w:eastAsia="en-GB"/>
              </w:rPr>
              <w:tab/>
            </w:r>
            <w:r w:rsidR="004737CF" w:rsidRPr="005E4C3A">
              <w:rPr>
                <w:rStyle w:val="Hyperlink"/>
              </w:rPr>
              <w:t>Estates</w:t>
            </w:r>
            <w:r w:rsidR="004737CF">
              <w:rPr>
                <w:webHidden/>
              </w:rPr>
              <w:tab/>
            </w:r>
            <w:r w:rsidR="004737CF">
              <w:rPr>
                <w:webHidden/>
              </w:rPr>
              <w:fldChar w:fldCharType="begin"/>
            </w:r>
            <w:r w:rsidR="004737CF">
              <w:rPr>
                <w:webHidden/>
              </w:rPr>
              <w:instrText xml:space="preserve"> PAGEREF _Toc414882573 \h </w:instrText>
            </w:r>
            <w:r w:rsidR="004737CF">
              <w:rPr>
                <w:webHidden/>
              </w:rPr>
            </w:r>
            <w:r w:rsidR="004737CF">
              <w:rPr>
                <w:webHidden/>
              </w:rPr>
              <w:fldChar w:fldCharType="separate"/>
            </w:r>
            <w:r w:rsidR="004737CF">
              <w:rPr>
                <w:webHidden/>
              </w:rPr>
              <w:t>27</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4" w:history="1">
            <w:r w:rsidR="004737CF" w:rsidRPr="005E4C3A">
              <w:rPr>
                <w:rStyle w:val="Hyperlink"/>
              </w:rPr>
              <w:t>14.0</w:t>
            </w:r>
            <w:r w:rsidR="004737CF">
              <w:rPr>
                <w:rFonts w:asciiTheme="minorHAnsi" w:eastAsiaTheme="minorEastAsia" w:hAnsiTheme="minorHAnsi" w:cstheme="minorBidi"/>
                <w:lang w:eastAsia="en-GB"/>
              </w:rPr>
              <w:tab/>
            </w:r>
            <w:r w:rsidR="004737CF" w:rsidRPr="005E4C3A">
              <w:rPr>
                <w:rStyle w:val="Hyperlink"/>
              </w:rPr>
              <w:t>Information Technology</w:t>
            </w:r>
            <w:r w:rsidR="004737CF">
              <w:rPr>
                <w:webHidden/>
              </w:rPr>
              <w:tab/>
            </w:r>
            <w:r w:rsidR="004737CF">
              <w:rPr>
                <w:webHidden/>
              </w:rPr>
              <w:fldChar w:fldCharType="begin"/>
            </w:r>
            <w:r w:rsidR="004737CF">
              <w:rPr>
                <w:webHidden/>
              </w:rPr>
              <w:instrText xml:space="preserve"> PAGEREF _Toc414882574 \h </w:instrText>
            </w:r>
            <w:r w:rsidR="004737CF">
              <w:rPr>
                <w:webHidden/>
              </w:rPr>
            </w:r>
            <w:r w:rsidR="004737CF">
              <w:rPr>
                <w:webHidden/>
              </w:rPr>
              <w:fldChar w:fldCharType="separate"/>
            </w:r>
            <w:r w:rsidR="004737CF">
              <w:rPr>
                <w:webHidden/>
              </w:rPr>
              <w:t>27</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5" w:history="1">
            <w:r w:rsidR="004737CF" w:rsidRPr="005E4C3A">
              <w:rPr>
                <w:rStyle w:val="Hyperlink"/>
              </w:rPr>
              <w:t>15.0</w:t>
            </w:r>
            <w:r w:rsidR="004737CF">
              <w:rPr>
                <w:rFonts w:asciiTheme="minorHAnsi" w:eastAsiaTheme="minorEastAsia" w:hAnsiTheme="minorHAnsi" w:cstheme="minorBidi"/>
                <w:lang w:eastAsia="en-GB"/>
              </w:rPr>
              <w:tab/>
            </w:r>
            <w:r w:rsidR="004737CF" w:rsidRPr="005E4C3A">
              <w:rPr>
                <w:rStyle w:val="Hyperlink"/>
              </w:rPr>
              <w:t>Workforce, training and Education</w:t>
            </w:r>
            <w:r w:rsidR="004737CF">
              <w:rPr>
                <w:webHidden/>
              </w:rPr>
              <w:tab/>
            </w:r>
            <w:r w:rsidR="004737CF">
              <w:rPr>
                <w:webHidden/>
              </w:rPr>
              <w:fldChar w:fldCharType="begin"/>
            </w:r>
            <w:r w:rsidR="004737CF">
              <w:rPr>
                <w:webHidden/>
              </w:rPr>
              <w:instrText xml:space="preserve"> PAGEREF _Toc414882575 \h </w:instrText>
            </w:r>
            <w:r w:rsidR="004737CF">
              <w:rPr>
                <w:webHidden/>
              </w:rPr>
            </w:r>
            <w:r w:rsidR="004737CF">
              <w:rPr>
                <w:webHidden/>
              </w:rPr>
              <w:fldChar w:fldCharType="separate"/>
            </w:r>
            <w:r w:rsidR="004737CF">
              <w:rPr>
                <w:webHidden/>
              </w:rPr>
              <w:t>30</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6" w:history="1">
            <w:r w:rsidR="004737CF" w:rsidRPr="005E4C3A">
              <w:rPr>
                <w:rStyle w:val="Hyperlink"/>
              </w:rPr>
              <w:t>16.0</w:t>
            </w:r>
            <w:r w:rsidR="004737CF">
              <w:rPr>
                <w:rFonts w:asciiTheme="minorHAnsi" w:eastAsiaTheme="minorEastAsia" w:hAnsiTheme="minorHAnsi" w:cstheme="minorBidi"/>
                <w:lang w:eastAsia="en-GB"/>
              </w:rPr>
              <w:tab/>
            </w:r>
            <w:r w:rsidR="004737CF" w:rsidRPr="005E4C3A">
              <w:rPr>
                <w:rStyle w:val="Hyperlink"/>
              </w:rPr>
              <w:t>Research, Audit and Development</w:t>
            </w:r>
            <w:r w:rsidR="004737CF">
              <w:rPr>
                <w:webHidden/>
              </w:rPr>
              <w:tab/>
            </w:r>
            <w:r w:rsidR="004737CF">
              <w:rPr>
                <w:webHidden/>
              </w:rPr>
              <w:fldChar w:fldCharType="begin"/>
            </w:r>
            <w:r w:rsidR="004737CF">
              <w:rPr>
                <w:webHidden/>
              </w:rPr>
              <w:instrText xml:space="preserve"> PAGEREF _Toc414882576 \h </w:instrText>
            </w:r>
            <w:r w:rsidR="004737CF">
              <w:rPr>
                <w:webHidden/>
              </w:rPr>
            </w:r>
            <w:r w:rsidR="004737CF">
              <w:rPr>
                <w:webHidden/>
              </w:rPr>
              <w:fldChar w:fldCharType="separate"/>
            </w:r>
            <w:r w:rsidR="004737CF">
              <w:rPr>
                <w:webHidden/>
              </w:rPr>
              <w:t>32</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7" w:history="1">
            <w:r w:rsidR="004737CF" w:rsidRPr="005E4C3A">
              <w:rPr>
                <w:rStyle w:val="Hyperlink"/>
              </w:rPr>
              <w:t>Appendix 1</w:t>
            </w:r>
            <w:r w:rsidR="004737CF">
              <w:rPr>
                <w:webHidden/>
              </w:rPr>
              <w:tab/>
            </w:r>
            <w:r w:rsidR="004737CF">
              <w:rPr>
                <w:webHidden/>
              </w:rPr>
              <w:fldChar w:fldCharType="begin"/>
            </w:r>
            <w:r w:rsidR="004737CF">
              <w:rPr>
                <w:webHidden/>
              </w:rPr>
              <w:instrText xml:space="preserve"> PAGEREF _Toc414882577 \h </w:instrText>
            </w:r>
            <w:r w:rsidR="004737CF">
              <w:rPr>
                <w:webHidden/>
              </w:rPr>
            </w:r>
            <w:r w:rsidR="004737CF">
              <w:rPr>
                <w:webHidden/>
              </w:rPr>
              <w:fldChar w:fldCharType="separate"/>
            </w:r>
            <w:r w:rsidR="004737CF">
              <w:rPr>
                <w:webHidden/>
              </w:rPr>
              <w:t>33</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8" w:history="1">
            <w:r w:rsidR="004737CF" w:rsidRPr="005E4C3A">
              <w:rPr>
                <w:rStyle w:val="Hyperlink"/>
              </w:rPr>
              <w:t>Appendix 2</w:t>
            </w:r>
            <w:r w:rsidR="004737CF">
              <w:rPr>
                <w:webHidden/>
              </w:rPr>
              <w:tab/>
            </w:r>
            <w:r w:rsidR="004737CF">
              <w:rPr>
                <w:webHidden/>
              </w:rPr>
              <w:fldChar w:fldCharType="begin"/>
            </w:r>
            <w:r w:rsidR="004737CF">
              <w:rPr>
                <w:webHidden/>
              </w:rPr>
              <w:instrText xml:space="preserve"> PAGEREF _Toc414882578 \h </w:instrText>
            </w:r>
            <w:r w:rsidR="004737CF">
              <w:rPr>
                <w:webHidden/>
              </w:rPr>
            </w:r>
            <w:r w:rsidR="004737CF">
              <w:rPr>
                <w:webHidden/>
              </w:rPr>
              <w:fldChar w:fldCharType="separate"/>
            </w:r>
            <w:r w:rsidR="004737CF">
              <w:rPr>
                <w:webHidden/>
              </w:rPr>
              <w:t>33</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79" w:history="1">
            <w:r w:rsidR="004737CF" w:rsidRPr="005E4C3A">
              <w:rPr>
                <w:rStyle w:val="Hyperlink"/>
              </w:rPr>
              <w:t>Appendix 3</w:t>
            </w:r>
            <w:r w:rsidR="004737CF">
              <w:rPr>
                <w:webHidden/>
              </w:rPr>
              <w:tab/>
            </w:r>
            <w:r w:rsidR="004737CF">
              <w:rPr>
                <w:webHidden/>
              </w:rPr>
              <w:fldChar w:fldCharType="begin"/>
            </w:r>
            <w:r w:rsidR="004737CF">
              <w:rPr>
                <w:webHidden/>
              </w:rPr>
              <w:instrText xml:space="preserve"> PAGEREF _Toc414882579 \h </w:instrText>
            </w:r>
            <w:r w:rsidR="004737CF">
              <w:rPr>
                <w:webHidden/>
              </w:rPr>
            </w:r>
            <w:r w:rsidR="004737CF">
              <w:rPr>
                <w:webHidden/>
              </w:rPr>
              <w:fldChar w:fldCharType="separate"/>
            </w:r>
            <w:r w:rsidR="004737CF">
              <w:rPr>
                <w:webHidden/>
              </w:rPr>
              <w:t>33</w:t>
            </w:r>
            <w:r w:rsidR="004737CF">
              <w:rPr>
                <w:webHidden/>
              </w:rPr>
              <w:fldChar w:fldCharType="end"/>
            </w:r>
          </w:hyperlink>
        </w:p>
        <w:p w:rsidR="004737CF" w:rsidRDefault="00526E5D">
          <w:pPr>
            <w:pStyle w:val="TOC1"/>
            <w:rPr>
              <w:rFonts w:asciiTheme="minorHAnsi" w:eastAsiaTheme="minorEastAsia" w:hAnsiTheme="minorHAnsi" w:cstheme="minorBidi"/>
              <w:lang w:eastAsia="en-GB"/>
            </w:rPr>
          </w:pPr>
          <w:hyperlink w:anchor="_Toc414882580" w:history="1">
            <w:r w:rsidR="004737CF" w:rsidRPr="005E4C3A">
              <w:rPr>
                <w:rStyle w:val="Hyperlink"/>
              </w:rPr>
              <w:t>Appendix 4</w:t>
            </w:r>
            <w:r w:rsidR="004737CF">
              <w:rPr>
                <w:webHidden/>
              </w:rPr>
              <w:tab/>
            </w:r>
            <w:r w:rsidR="004737CF">
              <w:rPr>
                <w:webHidden/>
              </w:rPr>
              <w:fldChar w:fldCharType="begin"/>
            </w:r>
            <w:r w:rsidR="004737CF">
              <w:rPr>
                <w:webHidden/>
              </w:rPr>
              <w:instrText xml:space="preserve"> PAGEREF _Toc414882580 \h </w:instrText>
            </w:r>
            <w:r w:rsidR="004737CF">
              <w:rPr>
                <w:webHidden/>
              </w:rPr>
            </w:r>
            <w:r w:rsidR="004737CF">
              <w:rPr>
                <w:webHidden/>
              </w:rPr>
              <w:fldChar w:fldCharType="separate"/>
            </w:r>
            <w:r w:rsidR="004737CF">
              <w:rPr>
                <w:webHidden/>
              </w:rPr>
              <w:t>33</w:t>
            </w:r>
            <w:r w:rsidR="004737CF">
              <w:rPr>
                <w:webHidden/>
              </w:rPr>
              <w:fldChar w:fldCharType="end"/>
            </w:r>
          </w:hyperlink>
        </w:p>
        <w:p w:rsidR="00D77151" w:rsidRDefault="00D77151" w:rsidP="00D77151">
          <w:r>
            <w:rPr>
              <w:b/>
              <w:bCs/>
              <w:noProof/>
            </w:rPr>
            <w:fldChar w:fldCharType="end"/>
          </w:r>
        </w:p>
      </w:sdtContent>
    </w:sdt>
    <w:p w:rsidR="00D77151" w:rsidRDefault="00D77151" w:rsidP="00D77151">
      <w:pPr>
        <w:rPr>
          <w:sz w:val="24"/>
        </w:rPr>
      </w:pPr>
      <w:r>
        <w:rPr>
          <w:sz w:val="24"/>
        </w:rPr>
        <w:br w:type="page"/>
      </w: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186AEC" w:rsidTr="002407EF">
        <w:trPr>
          <w:trHeight w:val="324"/>
        </w:trPr>
        <w:tc>
          <w:tcPr>
            <w:tcW w:w="9242" w:type="dxa"/>
            <w:shd w:val="clear" w:color="auto" w:fill="548DD4" w:themeFill="text2" w:themeFillTint="99"/>
          </w:tcPr>
          <w:p w:rsidR="00D77151" w:rsidRPr="00186AEC" w:rsidRDefault="00D77151" w:rsidP="002407EF">
            <w:pPr>
              <w:pStyle w:val="Heading1"/>
              <w:spacing w:before="0"/>
            </w:pPr>
            <w:bookmarkStart w:id="3" w:name="_Toc414882530"/>
            <w:r w:rsidRPr="00186AEC">
              <w:rPr>
                <w:color w:val="FFFFFF" w:themeColor="background1"/>
              </w:rPr>
              <w:lastRenderedPageBreak/>
              <w:t>1.0</w:t>
            </w:r>
            <w:r w:rsidRPr="00186AEC">
              <w:rPr>
                <w:color w:val="FFFFFF" w:themeColor="background1"/>
              </w:rPr>
              <w:tab/>
              <w:t>Aims</w:t>
            </w:r>
            <w:bookmarkEnd w:id="3"/>
          </w:p>
        </w:tc>
      </w:tr>
    </w:tbl>
    <w:p w:rsidR="00D77151" w:rsidRDefault="00D77151" w:rsidP="00D77151">
      <w:pPr>
        <w:rPr>
          <w:sz w:val="24"/>
        </w:rPr>
      </w:pPr>
    </w:p>
    <w:p w:rsidR="002407EF" w:rsidRDefault="002407EF" w:rsidP="002407EF">
      <w:pPr>
        <w:spacing w:after="0" w:line="240" w:lineRule="auto"/>
        <w:jc w:val="both"/>
        <w:rPr>
          <w:rFonts w:eastAsia="Times New Roman" w:cs="Arial"/>
          <w:szCs w:val="20"/>
        </w:rPr>
      </w:pPr>
      <w:r w:rsidRPr="003D6D11">
        <w:rPr>
          <w:rFonts w:eastAsia="Times New Roman" w:cs="Arial"/>
          <w:szCs w:val="20"/>
        </w:rPr>
        <w:t xml:space="preserve">This service specification sets out the criteria for the different parts of a </w:t>
      </w:r>
      <w:r w:rsidR="005D626D">
        <w:rPr>
          <w:rFonts w:eastAsia="Times New Roman" w:cs="Arial"/>
          <w:szCs w:val="20"/>
        </w:rPr>
        <w:t>ENT</w:t>
      </w:r>
      <w:r>
        <w:rPr>
          <w:rFonts w:eastAsia="Times New Roman" w:cs="Arial"/>
          <w:szCs w:val="20"/>
        </w:rPr>
        <w:t xml:space="preserve"> service </w:t>
      </w:r>
      <w:r w:rsidRPr="003D6D11">
        <w:rPr>
          <w:rFonts w:eastAsia="Times New Roman" w:cs="Arial"/>
          <w:szCs w:val="20"/>
        </w:rPr>
        <w:t xml:space="preserve">needed to meet and deliver high quality care to patients. </w:t>
      </w:r>
    </w:p>
    <w:p w:rsidR="002407EF" w:rsidRPr="003D6D11" w:rsidRDefault="002407EF" w:rsidP="002407EF">
      <w:pPr>
        <w:spacing w:after="0" w:line="240" w:lineRule="auto"/>
        <w:jc w:val="both"/>
        <w:rPr>
          <w:rFonts w:eastAsia="Times New Roman" w:cs="Arial"/>
          <w:szCs w:val="20"/>
        </w:rPr>
      </w:pPr>
    </w:p>
    <w:p w:rsidR="002407EF" w:rsidRPr="003D6D11" w:rsidRDefault="002407EF" w:rsidP="002407EF">
      <w:pPr>
        <w:spacing w:after="0" w:line="240" w:lineRule="auto"/>
        <w:jc w:val="both"/>
        <w:rPr>
          <w:rFonts w:eastAsia="Times New Roman" w:cs="Arial"/>
          <w:szCs w:val="20"/>
        </w:rPr>
      </w:pPr>
      <w:r w:rsidRPr="003D6D11">
        <w:rPr>
          <w:rFonts w:eastAsia="Times New Roman" w:cs="Arial"/>
          <w:szCs w:val="20"/>
        </w:rPr>
        <w:t>This service specification has been developed by members of NHS Crawley, and NHS Horsham and Mid Sussex Clinical Commissioning Groups (CCGs)</w:t>
      </w:r>
      <w:r w:rsidR="00EC464E">
        <w:rPr>
          <w:rFonts w:eastAsia="Times New Roman" w:cs="Arial"/>
          <w:szCs w:val="20"/>
        </w:rPr>
        <w:t xml:space="preserve"> and </w:t>
      </w:r>
      <w:r w:rsidR="0020684D">
        <w:rPr>
          <w:rFonts w:eastAsia="Times New Roman" w:cs="Arial"/>
          <w:szCs w:val="20"/>
        </w:rPr>
        <w:t xml:space="preserve">Coastal </w:t>
      </w:r>
      <w:r w:rsidR="00EC464E">
        <w:rPr>
          <w:rFonts w:eastAsia="Times New Roman" w:cs="Arial"/>
          <w:szCs w:val="20"/>
        </w:rPr>
        <w:t>West Sussex CCG</w:t>
      </w:r>
      <w:r w:rsidRPr="003D6D11">
        <w:rPr>
          <w:rFonts w:eastAsia="Times New Roman" w:cs="Arial"/>
          <w:szCs w:val="20"/>
        </w:rPr>
        <w:t xml:space="preserve"> in discussion with stakeholders, including clinical staff working in </w:t>
      </w:r>
      <w:r w:rsidR="00F01007">
        <w:rPr>
          <w:rFonts w:eastAsia="MS Mincho" w:cs="Arial"/>
          <w:color w:val="000000"/>
          <w:szCs w:val="20"/>
          <w:lang w:val="en-US" w:eastAsia="ja-JP"/>
        </w:rPr>
        <w:t>ENT</w:t>
      </w:r>
      <w:r>
        <w:rPr>
          <w:rFonts w:eastAsia="MS Mincho" w:cs="Arial"/>
          <w:color w:val="000000"/>
          <w:szCs w:val="20"/>
          <w:lang w:val="en-US" w:eastAsia="ja-JP"/>
        </w:rPr>
        <w:t xml:space="preserve"> S</w:t>
      </w:r>
      <w:r w:rsidRPr="00176B4B">
        <w:rPr>
          <w:rFonts w:eastAsia="MS Mincho" w:cs="Arial"/>
          <w:color w:val="000000"/>
          <w:szCs w:val="20"/>
          <w:lang w:val="en-US" w:eastAsia="ja-JP"/>
        </w:rPr>
        <w:t>ervice</w:t>
      </w:r>
      <w:r>
        <w:rPr>
          <w:rFonts w:eastAsia="MS Mincho" w:cs="Arial"/>
          <w:color w:val="000000"/>
          <w:szCs w:val="20"/>
          <w:lang w:val="en-US" w:eastAsia="ja-JP"/>
        </w:rPr>
        <w:t>s</w:t>
      </w:r>
      <w:r w:rsidRPr="003D6D11">
        <w:rPr>
          <w:rFonts w:eastAsia="Times New Roman" w:cs="Arial"/>
          <w:szCs w:val="20"/>
        </w:rPr>
        <w:t xml:space="preserve">, </w:t>
      </w:r>
      <w:r>
        <w:rPr>
          <w:rFonts w:eastAsia="Times New Roman" w:cs="Arial"/>
          <w:szCs w:val="20"/>
        </w:rPr>
        <w:t>p</w:t>
      </w:r>
      <w:r w:rsidRPr="003D6D11">
        <w:rPr>
          <w:rFonts w:eastAsia="Times New Roman" w:cs="Arial"/>
          <w:szCs w:val="20"/>
        </w:rPr>
        <w:t xml:space="preserve">ublic and </w:t>
      </w:r>
      <w:r>
        <w:rPr>
          <w:rFonts w:eastAsia="Times New Roman" w:cs="Arial"/>
          <w:szCs w:val="20"/>
        </w:rPr>
        <w:t>p</w:t>
      </w:r>
      <w:r w:rsidRPr="003D6D11">
        <w:rPr>
          <w:rFonts w:eastAsia="Times New Roman" w:cs="Arial"/>
          <w:szCs w:val="20"/>
        </w:rPr>
        <w:t xml:space="preserve">atients, other related services and commissioners. </w:t>
      </w:r>
      <w:r>
        <w:rPr>
          <w:rFonts w:eastAsia="Times New Roman" w:cs="Arial"/>
          <w:szCs w:val="20"/>
        </w:rPr>
        <w:t xml:space="preserve">This also included a </w:t>
      </w:r>
      <w:r w:rsidRPr="00EC464E">
        <w:rPr>
          <w:rFonts w:eastAsia="Times New Roman" w:cs="Arial"/>
          <w:szCs w:val="20"/>
        </w:rPr>
        <w:t>clinical stakeholder market engagement event. This</w:t>
      </w:r>
      <w:r>
        <w:rPr>
          <w:rFonts w:eastAsia="Times New Roman" w:cs="Arial"/>
          <w:szCs w:val="20"/>
        </w:rPr>
        <w:t xml:space="preserve"> specification builds on and develops the service and patient pathways originally </w:t>
      </w:r>
      <w:r w:rsidR="00F01007">
        <w:rPr>
          <w:rFonts w:eastAsia="Times New Roman" w:cs="Arial"/>
          <w:szCs w:val="20"/>
        </w:rPr>
        <w:t>in place for many years, this is the first procurement process for this service</w:t>
      </w:r>
      <w:r>
        <w:rPr>
          <w:rFonts w:eastAsia="Times New Roman" w:cs="Arial"/>
          <w:szCs w:val="20"/>
        </w:rPr>
        <w:t xml:space="preserve">. </w:t>
      </w:r>
      <w:r w:rsidRPr="003D6D11">
        <w:rPr>
          <w:rFonts w:eastAsia="Times New Roman" w:cs="Arial"/>
          <w:szCs w:val="20"/>
        </w:rPr>
        <w:t xml:space="preserve">This document aims to build on clinical best practice and provide flexibility for innovation. </w:t>
      </w:r>
    </w:p>
    <w:p w:rsidR="00D77151" w:rsidRDefault="00D77151" w:rsidP="00D77151">
      <w:pPr>
        <w:rPr>
          <w:sz w:val="24"/>
        </w:rPr>
      </w:pPr>
    </w:p>
    <w:p w:rsidR="00D77151" w:rsidRPr="00313040" w:rsidRDefault="002407EF" w:rsidP="00D77151">
      <w:pPr>
        <w:pStyle w:val="Heading3"/>
      </w:pPr>
      <w:bookmarkStart w:id="4" w:name="_Toc414882531"/>
      <w:r>
        <w:t xml:space="preserve">1.1 </w:t>
      </w:r>
      <w:r w:rsidR="00D77151" w:rsidRPr="00313040">
        <w:t>Evidence Base for change</w:t>
      </w:r>
      <w:bookmarkEnd w:id="4"/>
      <w:r w:rsidR="00D77151" w:rsidRPr="00313040">
        <w:br/>
      </w:r>
    </w:p>
    <w:p w:rsidR="00D77151" w:rsidRPr="00815166" w:rsidRDefault="00D77151" w:rsidP="00D77151">
      <w:pPr>
        <w:pStyle w:val="Subtitle"/>
        <w:rPr>
          <w:noProof/>
          <w:lang w:eastAsia="en-GB"/>
        </w:rPr>
      </w:pPr>
      <w:r w:rsidRPr="00815166">
        <w:rPr>
          <w:noProof/>
          <w:lang w:eastAsia="en-GB"/>
        </w:rPr>
        <w:t>National</w:t>
      </w:r>
    </w:p>
    <w:p w:rsidR="002407EF" w:rsidRDefault="002407EF" w:rsidP="002407EF">
      <w:pPr>
        <w:jc w:val="both"/>
      </w:pPr>
      <w:r>
        <w:t xml:space="preserve">There have been a range of publications considering the opportunities to redesign some </w:t>
      </w:r>
      <w:r w:rsidR="005D626D">
        <w:t>ENT</w:t>
      </w:r>
      <w:r>
        <w:t xml:space="preserve"> pathways and services and providing more integrated services in community settings, closer to home.</w:t>
      </w:r>
    </w:p>
    <w:p w:rsidR="002407EF" w:rsidRDefault="002407EF" w:rsidP="002407EF">
      <w:pPr>
        <w:spacing w:after="0"/>
        <w:jc w:val="both"/>
      </w:pPr>
      <w:r>
        <w:t>•</w:t>
      </w:r>
      <w:r>
        <w:tab/>
        <w:t>‘Our Health, our care, our say – a new direction for community services’ (DH, 2006)</w:t>
      </w:r>
    </w:p>
    <w:p w:rsidR="002407EF" w:rsidRDefault="002407EF" w:rsidP="002407EF">
      <w:pPr>
        <w:spacing w:after="0"/>
        <w:jc w:val="both"/>
      </w:pPr>
      <w:r>
        <w:t>•</w:t>
      </w:r>
      <w:r>
        <w:tab/>
        <w:t>‘Shifting Care Closer to Home Demonstration Sites – report of the specialty sub-groups’ (DH: 2007)</w:t>
      </w:r>
    </w:p>
    <w:p w:rsidR="002407EF" w:rsidRDefault="002407EF" w:rsidP="00EC464E">
      <w:pPr>
        <w:spacing w:after="0"/>
        <w:jc w:val="both"/>
      </w:pPr>
    </w:p>
    <w:p w:rsidR="002407EF" w:rsidRDefault="002407EF" w:rsidP="002407EF">
      <w:pPr>
        <w:spacing w:after="0"/>
        <w:jc w:val="both"/>
      </w:pPr>
    </w:p>
    <w:p w:rsidR="002407EF" w:rsidRDefault="002407EF" w:rsidP="002407EF">
      <w:pPr>
        <w:spacing w:after="0"/>
        <w:jc w:val="both"/>
      </w:pPr>
      <w:r>
        <w:t xml:space="preserve">National guidance and policy have also influenced key aspects within this service specification.   </w:t>
      </w:r>
    </w:p>
    <w:p w:rsidR="002407EF" w:rsidRDefault="002407EF" w:rsidP="002407EF">
      <w:pPr>
        <w:spacing w:after="0"/>
        <w:jc w:val="both"/>
      </w:pPr>
      <w:r>
        <w:t>•</w:t>
      </w:r>
      <w:r>
        <w:tab/>
        <w:t>National Institute for Health and Care Excellence (NICE) – guidelines and quality standards</w:t>
      </w:r>
    </w:p>
    <w:p w:rsidR="002407EF" w:rsidRDefault="002407EF" w:rsidP="002407EF">
      <w:pPr>
        <w:spacing w:after="0"/>
        <w:jc w:val="both"/>
      </w:pPr>
      <w:r>
        <w:t>•</w:t>
      </w:r>
      <w:r>
        <w:tab/>
        <w:t>NHS Constitution – March 2013</w:t>
      </w:r>
    </w:p>
    <w:p w:rsidR="002407EF" w:rsidRDefault="002407EF" w:rsidP="002407EF">
      <w:pPr>
        <w:spacing w:after="0"/>
        <w:jc w:val="both"/>
      </w:pPr>
      <w:r>
        <w:t>•</w:t>
      </w:r>
      <w:r>
        <w:tab/>
      </w:r>
      <w:r w:rsidRPr="00650CE3">
        <w:t>NHS Outcomes Framework 2014/15</w:t>
      </w:r>
    </w:p>
    <w:p w:rsidR="002407EF" w:rsidRDefault="002407EF" w:rsidP="002407EF">
      <w:pPr>
        <w:spacing w:after="0"/>
        <w:jc w:val="both"/>
      </w:pPr>
      <w:r>
        <w:t>•</w:t>
      </w:r>
      <w:r>
        <w:tab/>
        <w:t>Francis Report – February 2013</w:t>
      </w:r>
    </w:p>
    <w:p w:rsidR="002407EF" w:rsidRDefault="002407EF" w:rsidP="002407EF">
      <w:pPr>
        <w:spacing w:after="0"/>
        <w:jc w:val="both"/>
      </w:pPr>
    </w:p>
    <w:p w:rsidR="00CE492D" w:rsidRPr="003D6D11" w:rsidRDefault="00CE492D" w:rsidP="00CE492D">
      <w:p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 xml:space="preserve">The </w:t>
      </w:r>
      <w:r>
        <w:rPr>
          <w:rFonts w:eastAsia="MS Mincho" w:cs="Arial"/>
          <w:szCs w:val="20"/>
          <w:lang w:val="en-US" w:eastAsia="ja-JP"/>
        </w:rPr>
        <w:t>ENT service</w:t>
      </w:r>
      <w:r w:rsidRPr="003D6D11">
        <w:rPr>
          <w:rFonts w:eastAsia="MS Mincho" w:cs="Arial"/>
          <w:szCs w:val="20"/>
          <w:lang w:val="en-US" w:eastAsia="ja-JP"/>
        </w:rPr>
        <w:t xml:space="preserve"> will carry out the service in accordance with best practice in health care and shall comply with the standards and recommendations contained in, issued or referenced as follows (or any updates to these areas of best practice):</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Issued by the Care Quality Commissioning &amp; NHS Commissioning Board;</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The Health &amp; Social Care Act (2008) Code of Practice on the Prevention and Control of Infections and related Guidance).</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The Equality Act 2010 &amp; Human Rights Act 1998</w:t>
      </w:r>
      <w:r w:rsidR="00F10EC7">
        <w:rPr>
          <w:rFonts w:eastAsia="MS Mincho" w:cs="Arial"/>
          <w:szCs w:val="20"/>
          <w:lang w:val="en-US" w:eastAsia="ja-JP"/>
        </w:rPr>
        <w:t>.</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All legislation associated with infection control.</w:t>
      </w:r>
    </w:p>
    <w:p w:rsidR="00CE492D" w:rsidRPr="00CC1BE4" w:rsidRDefault="00CE492D" w:rsidP="00CE492D">
      <w:pPr>
        <w:numPr>
          <w:ilvl w:val="0"/>
          <w:numId w:val="46"/>
        </w:numPr>
        <w:spacing w:after="0" w:line="240" w:lineRule="auto"/>
        <w:jc w:val="both"/>
        <w:rPr>
          <w:rFonts w:eastAsia="MS Mincho" w:cs="Arial"/>
          <w:szCs w:val="20"/>
          <w:lang w:val="en-US" w:eastAsia="ja-JP"/>
        </w:rPr>
      </w:pPr>
      <w:r w:rsidRPr="003D6D11">
        <w:rPr>
          <w:rFonts w:eastAsia="MS Mincho" w:cs="Arial"/>
          <w:szCs w:val="20"/>
          <w:lang w:val="en-US" w:eastAsia="ja-JP"/>
        </w:rPr>
        <w:t>Issued by the National Institute for Health and Clinical Excellence (including NICE CG 139 Infection: Prevention and control of healthcare associated infections in primary and community care)</w:t>
      </w:r>
      <w:r w:rsidR="00F10EC7">
        <w:rPr>
          <w:rFonts w:eastAsia="MS Mincho" w:cs="Arial"/>
          <w:szCs w:val="20"/>
          <w:lang w:val="en-US" w:eastAsia="ja-JP"/>
        </w:rPr>
        <w:t>.</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Issued by any of the British clinical royal colleges and BMA</w:t>
      </w:r>
      <w:r w:rsidR="00F10EC7">
        <w:rPr>
          <w:rFonts w:eastAsia="MS Mincho" w:cs="Arial"/>
          <w:szCs w:val="20"/>
          <w:lang w:val="en-US" w:eastAsia="ja-JP"/>
        </w:rPr>
        <w:t>.</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Data Protection Act 1998.</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Child Protection Act 1999 / Safe Guarding Children 2008.</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DH Clinical Governance &amp; Adult Safeguarding guidance Feb 2010</w:t>
      </w:r>
      <w:r w:rsidR="00F10EC7">
        <w:rPr>
          <w:rFonts w:eastAsia="MS Mincho" w:cs="Arial"/>
          <w:szCs w:val="20"/>
          <w:lang w:val="en-US" w:eastAsia="ja-JP"/>
        </w:rPr>
        <w:t>.</w:t>
      </w:r>
      <w:r w:rsidRPr="003D6D11">
        <w:rPr>
          <w:rFonts w:eastAsia="MS Mincho" w:cs="Arial"/>
          <w:szCs w:val="20"/>
          <w:lang w:val="en-US" w:eastAsia="ja-JP"/>
        </w:rPr>
        <w:t xml:space="preserve"> </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Freedom of Information Act 2000.</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szCs w:val="20"/>
          <w:lang w:val="en-US" w:eastAsia="ja-JP"/>
        </w:rPr>
      </w:pPr>
      <w:r w:rsidRPr="003D6D11">
        <w:rPr>
          <w:rFonts w:eastAsia="MS Mincho" w:cs="Arial"/>
          <w:szCs w:val="20"/>
          <w:lang w:val="en-US" w:eastAsia="ja-JP"/>
        </w:rPr>
        <w:t>Health &amp; Safety, NPSA and MHRA legislation or directives - this includes but is not limited to policies in relation to managing musculoskeletal disorders (i.e. back problems), social care, stress, violence, incident reporting, infection control and latex allergies</w:t>
      </w:r>
      <w:r w:rsidR="00F10EC7">
        <w:rPr>
          <w:rFonts w:eastAsia="MS Mincho" w:cs="Arial"/>
          <w:szCs w:val="20"/>
          <w:lang w:val="en-US" w:eastAsia="ja-JP"/>
        </w:rPr>
        <w:t>.</w:t>
      </w:r>
      <w:r w:rsidRPr="003D6D11">
        <w:rPr>
          <w:rFonts w:eastAsia="MS Mincho" w:cs="Arial"/>
          <w:szCs w:val="20"/>
          <w:lang w:val="en-US" w:eastAsia="ja-JP"/>
        </w:rPr>
        <w:t xml:space="preserve"> </w:t>
      </w:r>
    </w:p>
    <w:p w:rsidR="00CE492D" w:rsidRPr="003D6D11" w:rsidRDefault="00CE492D" w:rsidP="00CE492D">
      <w:pPr>
        <w:numPr>
          <w:ilvl w:val="0"/>
          <w:numId w:val="46"/>
        </w:numPr>
        <w:autoSpaceDE w:val="0"/>
        <w:autoSpaceDN w:val="0"/>
        <w:adjustRightInd w:val="0"/>
        <w:spacing w:after="0" w:line="240" w:lineRule="auto"/>
        <w:jc w:val="both"/>
        <w:rPr>
          <w:rFonts w:eastAsia="MS Mincho" w:cs="Arial"/>
          <w:b/>
          <w:bCs/>
          <w:szCs w:val="20"/>
          <w:lang w:val="en-US" w:eastAsia="ja-JP"/>
        </w:rPr>
      </w:pPr>
      <w:r w:rsidRPr="003D6D11">
        <w:rPr>
          <w:rFonts w:eastAsia="MS Mincho" w:cs="Arial"/>
          <w:szCs w:val="20"/>
          <w:lang w:val="en-US" w:eastAsia="ja-JP"/>
        </w:rPr>
        <w:t>Issued following any audit, Serious Untoward Incident or Adverse Incident Reporting</w:t>
      </w:r>
      <w:r w:rsidR="00F10EC7">
        <w:rPr>
          <w:rFonts w:eastAsia="MS Mincho" w:cs="Arial"/>
          <w:szCs w:val="20"/>
          <w:lang w:val="en-US" w:eastAsia="ja-JP"/>
        </w:rPr>
        <w:t>.</w:t>
      </w:r>
    </w:p>
    <w:p w:rsidR="00CE492D" w:rsidRDefault="00CE492D" w:rsidP="002407EF">
      <w:pPr>
        <w:spacing w:after="0"/>
        <w:jc w:val="both"/>
      </w:pPr>
    </w:p>
    <w:p w:rsidR="00CE492D" w:rsidRDefault="00CE492D" w:rsidP="002407EF">
      <w:pPr>
        <w:spacing w:after="0"/>
        <w:jc w:val="both"/>
      </w:pPr>
    </w:p>
    <w:p w:rsidR="002407EF" w:rsidRPr="00EC464E" w:rsidRDefault="002407EF" w:rsidP="002407EF">
      <w:pPr>
        <w:widowControl w:val="0"/>
        <w:spacing w:after="0" w:line="240" w:lineRule="auto"/>
        <w:jc w:val="both"/>
        <w:rPr>
          <w:rFonts w:eastAsia="MS Mincho" w:cs="Arial"/>
          <w:szCs w:val="20"/>
          <w:lang w:val="en-US" w:eastAsia="ja-JP"/>
        </w:rPr>
      </w:pPr>
      <w:r w:rsidRPr="00EC464E">
        <w:rPr>
          <w:rFonts w:eastAsia="MS Mincho" w:cs="Arial"/>
          <w:szCs w:val="20"/>
          <w:lang w:val="en-US" w:eastAsia="ja-JP"/>
        </w:rPr>
        <w:t xml:space="preserve">The Commissioner requires that the service is receiving devices, or has access to a decontamination service that meets the essential requirements of the Medical Device Regulations 2002. </w:t>
      </w:r>
    </w:p>
    <w:p w:rsidR="002407EF" w:rsidRPr="00EC464E" w:rsidRDefault="002407EF" w:rsidP="002407EF">
      <w:pPr>
        <w:widowControl w:val="0"/>
        <w:spacing w:after="0" w:line="240" w:lineRule="auto"/>
        <w:jc w:val="both"/>
        <w:rPr>
          <w:rFonts w:eastAsia="MS Mincho" w:cs="Arial"/>
          <w:szCs w:val="20"/>
          <w:lang w:val="en-US" w:eastAsia="ja-JP"/>
        </w:rPr>
      </w:pPr>
      <w:r w:rsidRPr="00EC464E">
        <w:rPr>
          <w:rFonts w:eastAsia="MS Mincho" w:cs="Arial"/>
          <w:szCs w:val="20"/>
          <w:lang w:val="en-US" w:eastAsia="ja-JP"/>
        </w:rPr>
        <w:t>The Commissioner expects the service to be compliant with the essential quality requirements outlined in CFPP01-01 and expects the service to have a plan in place to achieve Best Practice. This plan should have been developed having taken account of the risk of surgical procedures.</w:t>
      </w:r>
    </w:p>
    <w:p w:rsidR="002407EF" w:rsidRPr="00EC464E" w:rsidRDefault="002407EF" w:rsidP="002407EF">
      <w:pPr>
        <w:widowControl w:val="0"/>
        <w:spacing w:after="0" w:line="240" w:lineRule="auto"/>
        <w:jc w:val="both"/>
        <w:rPr>
          <w:rFonts w:eastAsia="MS Mincho" w:cs="Arial"/>
          <w:szCs w:val="20"/>
          <w:lang w:val="en-US" w:eastAsia="ja-JP"/>
        </w:rPr>
      </w:pPr>
      <w:r w:rsidRPr="00EC464E">
        <w:rPr>
          <w:rFonts w:eastAsia="MS Mincho" w:cs="Arial"/>
          <w:szCs w:val="20"/>
          <w:lang w:val="en-US" w:eastAsia="ja-JP"/>
        </w:rPr>
        <w:t xml:space="preserve">The Commissioner reserves the right to ask for evidence of compliance with any aspect of this guidance throughout the duration of the contract. </w:t>
      </w:r>
    </w:p>
    <w:p w:rsidR="002407EF" w:rsidRPr="005960A2" w:rsidRDefault="002407EF" w:rsidP="002407EF">
      <w:pPr>
        <w:spacing w:after="0" w:line="240" w:lineRule="auto"/>
        <w:jc w:val="both"/>
        <w:rPr>
          <w:rFonts w:eastAsia="MS Mincho" w:cs="Arial"/>
          <w:szCs w:val="20"/>
          <w:lang w:val="en-US" w:eastAsia="ja-JP"/>
        </w:rPr>
      </w:pPr>
    </w:p>
    <w:p w:rsidR="002407EF" w:rsidRPr="00D80BAE" w:rsidRDefault="002407EF" w:rsidP="002407EF">
      <w:pPr>
        <w:spacing w:after="0" w:line="240" w:lineRule="auto"/>
        <w:jc w:val="both"/>
        <w:rPr>
          <w:rFonts w:eastAsia="Times New Roman"/>
          <w:szCs w:val="20"/>
        </w:rPr>
      </w:pPr>
      <w:r w:rsidRPr="005960A2">
        <w:rPr>
          <w:rFonts w:eastAsia="Times New Roman"/>
          <w:szCs w:val="20"/>
        </w:rPr>
        <w:t xml:space="preserve">A full list of references </w:t>
      </w:r>
      <w:r w:rsidR="00E96792">
        <w:rPr>
          <w:rFonts w:eastAsia="Times New Roman"/>
          <w:szCs w:val="20"/>
        </w:rPr>
        <w:t>will follow</w:t>
      </w:r>
      <w:r w:rsidRPr="005960A2">
        <w:rPr>
          <w:rFonts w:eastAsia="Times New Roman"/>
          <w:szCs w:val="20"/>
        </w:rPr>
        <w:t>.</w:t>
      </w:r>
    </w:p>
    <w:p w:rsidR="002407EF" w:rsidRDefault="002407EF" w:rsidP="002407EF">
      <w:pPr>
        <w:widowControl w:val="0"/>
        <w:spacing w:after="0" w:line="240" w:lineRule="auto"/>
        <w:jc w:val="both"/>
        <w:rPr>
          <w:rFonts w:eastAsia="MS Mincho" w:cs="Arial"/>
          <w:szCs w:val="20"/>
          <w:lang w:val="en-US" w:eastAsia="ja-JP"/>
        </w:rPr>
      </w:pPr>
    </w:p>
    <w:p w:rsidR="00D77151" w:rsidRPr="00815166" w:rsidRDefault="00D77151" w:rsidP="00D77151">
      <w:pPr>
        <w:rPr>
          <w:color w:val="548DD4" w:themeColor="text2" w:themeTint="99"/>
          <w:lang w:eastAsia="en-GB"/>
        </w:rPr>
      </w:pPr>
    </w:p>
    <w:p w:rsidR="00D77151" w:rsidRPr="00815166" w:rsidRDefault="00D77151" w:rsidP="00D77151">
      <w:pPr>
        <w:pStyle w:val="Subtitle"/>
        <w:rPr>
          <w:lang w:eastAsia="en-GB"/>
        </w:rPr>
      </w:pPr>
      <w:r w:rsidRPr="00815166">
        <w:rPr>
          <w:lang w:eastAsia="en-GB"/>
        </w:rPr>
        <w:t>Local</w:t>
      </w:r>
    </w:p>
    <w:p w:rsidR="002407EF" w:rsidRDefault="002407EF" w:rsidP="002407EF">
      <w:pPr>
        <w:spacing w:before="240"/>
        <w:jc w:val="both"/>
      </w:pPr>
      <w:r>
        <w:t>Crawley CCG</w:t>
      </w:r>
      <w:r w:rsidR="0020684D">
        <w:t>,</w:t>
      </w:r>
      <w:r>
        <w:t xml:space="preserve"> Horsham and Mid Sussex CCG,</w:t>
      </w:r>
      <w:r w:rsidR="0020684D">
        <w:t xml:space="preserve"> and Coastal West Sussex CCG</w:t>
      </w:r>
      <w:r>
        <w:t xml:space="preserve"> “the commissioners” are committed to ensuring equity of patient access to community based, high quality </w:t>
      </w:r>
      <w:r w:rsidR="005D626D">
        <w:t>ENT</w:t>
      </w:r>
      <w:r>
        <w:t xml:space="preserve"> care.</w:t>
      </w:r>
    </w:p>
    <w:p w:rsidR="002407EF" w:rsidRDefault="002407EF" w:rsidP="002407EF">
      <w:pPr>
        <w:jc w:val="both"/>
      </w:pPr>
      <w:r>
        <w:t xml:space="preserve">The key aim of this specification is therefore to describe the core principles and the specialty specific standards required to deliver </w:t>
      </w:r>
      <w:r w:rsidR="005D626D">
        <w:t>ENT</w:t>
      </w:r>
      <w:r>
        <w:t xml:space="preserve"> in the heart of local communities, which means outside of the acute hospital setting for many patients. </w:t>
      </w:r>
    </w:p>
    <w:p w:rsidR="002407EF" w:rsidRDefault="002407EF" w:rsidP="002407EF">
      <w:pPr>
        <w:jc w:val="both"/>
      </w:pPr>
      <w:r>
        <w:t>The specification represents an invitation for innovation in terms of achieving pathway efficiencies with services provided from a range of community locations, ensuring access in semi-rural areas. Attention is drawn to the specific pathways that have been developed in partnership with the CCG planned care clinical directors and shared with the practices that should continue to be provided.</w:t>
      </w:r>
    </w:p>
    <w:p w:rsidR="008E6E92" w:rsidRDefault="008E6E92" w:rsidP="00F35F8C">
      <w:pPr>
        <w:pStyle w:val="ListParagraph"/>
        <w:numPr>
          <w:ilvl w:val="0"/>
          <w:numId w:val="3"/>
        </w:numPr>
        <w:jc w:val="both"/>
      </w:pPr>
      <w:r>
        <w:t xml:space="preserve">Recurrent </w:t>
      </w:r>
      <w:r w:rsidR="00F35F8C">
        <w:t>t</w:t>
      </w:r>
      <w:r w:rsidR="0020684D">
        <w:t>onsillitis</w:t>
      </w:r>
      <w:r w:rsidR="002407EF">
        <w:t xml:space="preserve"> </w:t>
      </w:r>
    </w:p>
    <w:p w:rsidR="008E6E92" w:rsidRDefault="008E6E92" w:rsidP="00F35F8C">
      <w:pPr>
        <w:pStyle w:val="ListParagraph"/>
        <w:numPr>
          <w:ilvl w:val="0"/>
          <w:numId w:val="3"/>
        </w:numPr>
        <w:jc w:val="both"/>
      </w:pPr>
      <w:r>
        <w:t>Adult hearing loss</w:t>
      </w:r>
    </w:p>
    <w:p w:rsidR="002407EF" w:rsidRDefault="008E6E92" w:rsidP="00F35F8C">
      <w:pPr>
        <w:pStyle w:val="ListParagraph"/>
        <w:numPr>
          <w:ilvl w:val="0"/>
          <w:numId w:val="3"/>
        </w:numPr>
        <w:jc w:val="both"/>
      </w:pPr>
      <w:r>
        <w:t>Nasal polyp</w:t>
      </w:r>
    </w:p>
    <w:p w:rsidR="008E6E92" w:rsidRDefault="008E6E92" w:rsidP="00F35F8C">
      <w:pPr>
        <w:pStyle w:val="ListParagraph"/>
        <w:numPr>
          <w:ilvl w:val="0"/>
          <w:numId w:val="3"/>
        </w:numPr>
        <w:jc w:val="both"/>
      </w:pPr>
      <w:r>
        <w:t>Allergic rhinitis</w:t>
      </w:r>
    </w:p>
    <w:p w:rsidR="008E6E92" w:rsidRDefault="008E6E92" w:rsidP="00F35F8C">
      <w:pPr>
        <w:pStyle w:val="ListParagraph"/>
        <w:numPr>
          <w:ilvl w:val="0"/>
          <w:numId w:val="3"/>
        </w:numPr>
        <w:jc w:val="both"/>
      </w:pPr>
      <w:r>
        <w:t>Discharging ear</w:t>
      </w:r>
    </w:p>
    <w:p w:rsidR="002407EF" w:rsidRDefault="002407EF" w:rsidP="002407EF">
      <w:pPr>
        <w:jc w:val="both"/>
      </w:pPr>
      <w:r>
        <w:t>Further pathways may be developed between the Service and Commissioners throughout the contract.</w:t>
      </w:r>
    </w:p>
    <w:p w:rsidR="002407EF" w:rsidRPr="003D6D11" w:rsidRDefault="002407EF" w:rsidP="002407EF">
      <w:pPr>
        <w:spacing w:after="0" w:line="240" w:lineRule="auto"/>
        <w:jc w:val="both"/>
        <w:rPr>
          <w:rFonts w:eastAsia="Times New Roman"/>
          <w:szCs w:val="20"/>
        </w:rPr>
      </w:pPr>
      <w:r w:rsidRPr="003D6D11">
        <w:rPr>
          <w:rFonts w:eastAsia="Times New Roman"/>
          <w:szCs w:val="20"/>
        </w:rPr>
        <w:t>The Joint Strategic Needs Assessment (JSNA) for 2013 for each CCG summarises where there are concerns relating to population needs which include some of the issues highlighted.</w:t>
      </w:r>
    </w:p>
    <w:p w:rsidR="002407EF" w:rsidRPr="003D6D11" w:rsidRDefault="002407EF" w:rsidP="002407EF">
      <w:pPr>
        <w:spacing w:after="0" w:line="240" w:lineRule="auto"/>
        <w:jc w:val="both"/>
        <w:rPr>
          <w:rFonts w:eastAsia="Times New Roman"/>
          <w:szCs w:val="20"/>
        </w:rPr>
      </w:pPr>
      <w:r w:rsidRPr="003D6D11">
        <w:rPr>
          <w:rFonts w:eastAsia="Times New Roman"/>
          <w:szCs w:val="20"/>
        </w:rPr>
        <w:t xml:space="preserve">The following table highlights the populations for each CCG area (taken </w:t>
      </w:r>
      <w:r>
        <w:rPr>
          <w:rFonts w:eastAsia="Times New Roman"/>
          <w:szCs w:val="20"/>
        </w:rPr>
        <w:t>from the JSNA 2013</w:t>
      </w:r>
      <w:r w:rsidRPr="003D6D11">
        <w:rPr>
          <w:rFonts w:eastAsia="Times New Roman"/>
          <w:szCs w:val="20"/>
        </w:rPr>
        <w:t>):</w:t>
      </w:r>
    </w:p>
    <w:p w:rsidR="002407EF" w:rsidRDefault="002407EF" w:rsidP="002407E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49"/>
        <w:gridCol w:w="3049"/>
      </w:tblGrid>
      <w:tr w:rsidR="002407EF" w:rsidRPr="003D6D11" w:rsidTr="002407EF">
        <w:tc>
          <w:tcPr>
            <w:tcW w:w="3048" w:type="dxa"/>
            <w:shd w:val="clear" w:color="auto" w:fill="4F81BD" w:themeFill="accent1"/>
            <w:vAlign w:val="center"/>
          </w:tcPr>
          <w:p w:rsidR="002407EF" w:rsidRPr="003D6D11" w:rsidRDefault="002407EF" w:rsidP="002407EF">
            <w:pPr>
              <w:spacing w:after="0" w:line="240" w:lineRule="auto"/>
              <w:jc w:val="center"/>
              <w:rPr>
                <w:rFonts w:eastAsia="Times New Roman"/>
                <w:b/>
                <w:color w:val="FFFFFF"/>
                <w:szCs w:val="20"/>
              </w:rPr>
            </w:pPr>
            <w:r w:rsidRPr="003D6D11">
              <w:rPr>
                <w:rFonts w:eastAsia="Times New Roman"/>
                <w:b/>
                <w:color w:val="FFFFFF"/>
                <w:szCs w:val="20"/>
              </w:rPr>
              <w:t>CCG</w:t>
            </w:r>
          </w:p>
        </w:tc>
        <w:tc>
          <w:tcPr>
            <w:tcW w:w="3049" w:type="dxa"/>
            <w:shd w:val="clear" w:color="auto" w:fill="4F81BD" w:themeFill="accent1"/>
            <w:vAlign w:val="center"/>
          </w:tcPr>
          <w:p w:rsidR="002407EF" w:rsidRPr="003D6D11" w:rsidRDefault="002407EF" w:rsidP="002407EF">
            <w:pPr>
              <w:spacing w:after="0" w:line="240" w:lineRule="auto"/>
              <w:jc w:val="center"/>
              <w:rPr>
                <w:rFonts w:eastAsia="Times New Roman"/>
                <w:b/>
                <w:color w:val="FFFFFF"/>
                <w:szCs w:val="20"/>
              </w:rPr>
            </w:pPr>
            <w:r w:rsidRPr="003D6D11">
              <w:rPr>
                <w:rFonts w:eastAsia="Times New Roman"/>
                <w:b/>
                <w:color w:val="FFFFFF"/>
                <w:szCs w:val="20"/>
              </w:rPr>
              <w:t>GP population</w:t>
            </w:r>
          </w:p>
          <w:p w:rsidR="002407EF" w:rsidRPr="003D6D11" w:rsidRDefault="002407EF" w:rsidP="002407EF">
            <w:pPr>
              <w:spacing w:after="0" w:line="240" w:lineRule="auto"/>
              <w:jc w:val="center"/>
              <w:rPr>
                <w:rFonts w:eastAsia="Times New Roman"/>
                <w:b/>
                <w:color w:val="FFFFFF"/>
                <w:szCs w:val="20"/>
              </w:rPr>
            </w:pPr>
            <w:r w:rsidRPr="003D6D11">
              <w:rPr>
                <w:rFonts w:eastAsia="Times New Roman"/>
                <w:b/>
                <w:color w:val="FFFFFF"/>
                <w:szCs w:val="20"/>
              </w:rPr>
              <w:t>(From Exeter June 201</w:t>
            </w:r>
            <w:r>
              <w:rPr>
                <w:rFonts w:eastAsia="Times New Roman"/>
                <w:b/>
                <w:color w:val="FFFFFF"/>
                <w:szCs w:val="20"/>
              </w:rPr>
              <w:t>3</w:t>
            </w:r>
            <w:r w:rsidRPr="003D6D11">
              <w:rPr>
                <w:rFonts w:eastAsia="Times New Roman"/>
                <w:b/>
                <w:color w:val="FFFFFF"/>
                <w:szCs w:val="20"/>
              </w:rPr>
              <w:t>)</w:t>
            </w:r>
          </w:p>
        </w:tc>
        <w:tc>
          <w:tcPr>
            <w:tcW w:w="3049" w:type="dxa"/>
            <w:shd w:val="clear" w:color="auto" w:fill="4F81BD" w:themeFill="accent1"/>
            <w:vAlign w:val="center"/>
          </w:tcPr>
          <w:p w:rsidR="002407EF" w:rsidRPr="003D6D11" w:rsidRDefault="002407EF" w:rsidP="002407EF">
            <w:pPr>
              <w:spacing w:after="0" w:line="240" w:lineRule="auto"/>
              <w:jc w:val="center"/>
              <w:rPr>
                <w:rFonts w:eastAsia="Times New Roman"/>
                <w:b/>
                <w:color w:val="FFFFFF"/>
                <w:szCs w:val="20"/>
              </w:rPr>
            </w:pPr>
            <w:r w:rsidRPr="003D6D11">
              <w:rPr>
                <w:rFonts w:eastAsia="Times New Roman"/>
                <w:b/>
                <w:color w:val="FFFFFF"/>
                <w:szCs w:val="20"/>
              </w:rPr>
              <w:t>Resident’s population</w:t>
            </w:r>
          </w:p>
        </w:tc>
      </w:tr>
      <w:tr w:rsidR="002407EF" w:rsidRPr="003D6D11" w:rsidTr="002407EF">
        <w:tc>
          <w:tcPr>
            <w:tcW w:w="3048" w:type="dxa"/>
            <w:shd w:val="clear" w:color="auto" w:fill="auto"/>
          </w:tcPr>
          <w:p w:rsidR="002407EF" w:rsidRPr="003D6D11" w:rsidRDefault="002407EF" w:rsidP="002407EF">
            <w:pPr>
              <w:spacing w:after="0" w:line="240" w:lineRule="auto"/>
              <w:jc w:val="both"/>
              <w:rPr>
                <w:rFonts w:eastAsia="Times New Roman"/>
                <w:szCs w:val="20"/>
              </w:rPr>
            </w:pPr>
            <w:r w:rsidRPr="003D6D11">
              <w:rPr>
                <w:rFonts w:eastAsia="Times New Roman"/>
                <w:szCs w:val="20"/>
              </w:rPr>
              <w:t>Crawley</w:t>
            </w:r>
          </w:p>
        </w:tc>
        <w:tc>
          <w:tcPr>
            <w:tcW w:w="3049" w:type="dxa"/>
            <w:shd w:val="clear" w:color="auto" w:fill="auto"/>
          </w:tcPr>
          <w:p w:rsidR="002407EF" w:rsidRPr="003D6D11" w:rsidRDefault="002407EF" w:rsidP="002407EF">
            <w:pPr>
              <w:spacing w:after="0" w:line="240" w:lineRule="auto"/>
              <w:jc w:val="center"/>
              <w:rPr>
                <w:rFonts w:eastAsia="Times New Roman"/>
                <w:szCs w:val="20"/>
              </w:rPr>
            </w:pPr>
            <w:r w:rsidRPr="003D6D11">
              <w:rPr>
                <w:rFonts w:eastAsia="Times New Roman"/>
                <w:szCs w:val="20"/>
              </w:rPr>
              <w:t xml:space="preserve"> 127,258 (March 13)</w:t>
            </w:r>
          </w:p>
        </w:tc>
        <w:tc>
          <w:tcPr>
            <w:tcW w:w="3049" w:type="dxa"/>
            <w:shd w:val="clear" w:color="auto" w:fill="auto"/>
          </w:tcPr>
          <w:p w:rsidR="002407EF" w:rsidRPr="003D6D11" w:rsidRDefault="002407EF" w:rsidP="002407EF">
            <w:pPr>
              <w:spacing w:after="0" w:line="240" w:lineRule="auto"/>
              <w:jc w:val="center"/>
              <w:rPr>
                <w:rFonts w:eastAsia="Times New Roman"/>
                <w:szCs w:val="20"/>
              </w:rPr>
            </w:pPr>
            <w:r w:rsidRPr="003D6D11">
              <w:rPr>
                <w:rFonts w:eastAsia="Times New Roman"/>
                <w:szCs w:val="20"/>
              </w:rPr>
              <w:t>108,000*</w:t>
            </w:r>
          </w:p>
        </w:tc>
      </w:tr>
      <w:tr w:rsidR="002407EF" w:rsidRPr="003D6D11" w:rsidTr="002407EF">
        <w:tc>
          <w:tcPr>
            <w:tcW w:w="3048" w:type="dxa"/>
            <w:shd w:val="clear" w:color="auto" w:fill="auto"/>
          </w:tcPr>
          <w:p w:rsidR="002407EF" w:rsidRPr="003D6D11" w:rsidRDefault="002407EF" w:rsidP="002407EF">
            <w:pPr>
              <w:spacing w:after="0" w:line="240" w:lineRule="auto"/>
              <w:jc w:val="both"/>
              <w:rPr>
                <w:rFonts w:eastAsia="Times New Roman"/>
                <w:szCs w:val="20"/>
              </w:rPr>
            </w:pPr>
            <w:r w:rsidRPr="003D6D11">
              <w:rPr>
                <w:rFonts w:eastAsia="Times New Roman"/>
                <w:szCs w:val="20"/>
              </w:rPr>
              <w:t>Horsham and Mid Sussex</w:t>
            </w:r>
          </w:p>
        </w:tc>
        <w:tc>
          <w:tcPr>
            <w:tcW w:w="3049" w:type="dxa"/>
            <w:shd w:val="clear" w:color="auto" w:fill="auto"/>
          </w:tcPr>
          <w:p w:rsidR="002407EF" w:rsidRPr="003D6D11" w:rsidRDefault="002407EF" w:rsidP="002407EF">
            <w:pPr>
              <w:spacing w:after="0" w:line="240" w:lineRule="auto"/>
              <w:jc w:val="center"/>
              <w:rPr>
                <w:rFonts w:eastAsia="Times New Roman"/>
                <w:szCs w:val="20"/>
              </w:rPr>
            </w:pPr>
            <w:r w:rsidRPr="003D6D11">
              <w:rPr>
                <w:rFonts w:eastAsia="Times New Roman"/>
                <w:szCs w:val="20"/>
              </w:rPr>
              <w:t xml:space="preserve"> 227,281 (March 13)</w:t>
            </w:r>
          </w:p>
        </w:tc>
        <w:tc>
          <w:tcPr>
            <w:tcW w:w="3049" w:type="dxa"/>
            <w:shd w:val="clear" w:color="auto" w:fill="auto"/>
          </w:tcPr>
          <w:p w:rsidR="002407EF" w:rsidRPr="003D6D11" w:rsidRDefault="002407EF" w:rsidP="002407EF">
            <w:pPr>
              <w:spacing w:after="0" w:line="240" w:lineRule="auto"/>
              <w:jc w:val="center"/>
              <w:rPr>
                <w:rFonts w:eastAsia="Times New Roman"/>
                <w:szCs w:val="20"/>
              </w:rPr>
            </w:pPr>
            <w:r w:rsidRPr="003D6D11">
              <w:rPr>
                <w:rFonts w:eastAsia="Times New Roman"/>
                <w:szCs w:val="20"/>
              </w:rPr>
              <w:t>223,000*</w:t>
            </w:r>
          </w:p>
        </w:tc>
      </w:tr>
      <w:tr w:rsidR="00CE492D" w:rsidRPr="003D6D11" w:rsidTr="00600F37">
        <w:tc>
          <w:tcPr>
            <w:tcW w:w="3048" w:type="dxa"/>
            <w:shd w:val="clear" w:color="auto" w:fill="auto"/>
          </w:tcPr>
          <w:p w:rsidR="00CE492D" w:rsidRPr="00CE492D" w:rsidRDefault="00CE492D" w:rsidP="00600F37">
            <w:pPr>
              <w:spacing w:after="0" w:line="240" w:lineRule="auto"/>
              <w:jc w:val="both"/>
              <w:rPr>
                <w:rFonts w:eastAsia="Times New Roman"/>
                <w:szCs w:val="20"/>
              </w:rPr>
            </w:pPr>
            <w:r w:rsidRPr="00CE492D">
              <w:rPr>
                <w:rFonts w:eastAsia="Times New Roman"/>
                <w:szCs w:val="20"/>
              </w:rPr>
              <w:t>Coastal West Sussex</w:t>
            </w:r>
          </w:p>
        </w:tc>
        <w:tc>
          <w:tcPr>
            <w:tcW w:w="3049" w:type="dxa"/>
            <w:shd w:val="clear" w:color="auto" w:fill="auto"/>
          </w:tcPr>
          <w:p w:rsidR="00CE492D" w:rsidRPr="00CE492D" w:rsidRDefault="00CE492D" w:rsidP="00600F37">
            <w:pPr>
              <w:spacing w:after="0" w:line="240" w:lineRule="auto"/>
              <w:jc w:val="center"/>
              <w:rPr>
                <w:rFonts w:eastAsia="Times New Roman"/>
                <w:szCs w:val="20"/>
              </w:rPr>
            </w:pPr>
            <w:r w:rsidRPr="00CE492D">
              <w:rPr>
                <w:rFonts w:eastAsia="Times New Roman"/>
                <w:szCs w:val="20"/>
              </w:rPr>
              <w:t>490,900 (March 13)</w:t>
            </w:r>
          </w:p>
        </w:tc>
        <w:tc>
          <w:tcPr>
            <w:tcW w:w="3049" w:type="dxa"/>
            <w:shd w:val="clear" w:color="auto" w:fill="auto"/>
          </w:tcPr>
          <w:p w:rsidR="00CE492D" w:rsidRPr="00CE492D" w:rsidRDefault="00CE492D" w:rsidP="00600F37">
            <w:pPr>
              <w:spacing w:after="0" w:line="240" w:lineRule="auto"/>
              <w:jc w:val="center"/>
              <w:rPr>
                <w:rFonts w:eastAsia="Times New Roman"/>
                <w:szCs w:val="20"/>
              </w:rPr>
            </w:pPr>
            <w:r w:rsidRPr="00CE492D">
              <w:rPr>
                <w:rFonts w:eastAsia="Times New Roman"/>
                <w:szCs w:val="20"/>
              </w:rPr>
              <w:t>480,000*</w:t>
            </w:r>
          </w:p>
        </w:tc>
      </w:tr>
      <w:tr w:rsidR="002407EF" w:rsidRPr="003D6D11" w:rsidTr="002407EF">
        <w:tc>
          <w:tcPr>
            <w:tcW w:w="3048" w:type="dxa"/>
            <w:shd w:val="clear" w:color="auto" w:fill="auto"/>
          </w:tcPr>
          <w:p w:rsidR="002407EF" w:rsidRPr="003D6D11" w:rsidRDefault="002407EF" w:rsidP="002407EF">
            <w:pPr>
              <w:spacing w:after="0" w:line="240" w:lineRule="auto"/>
              <w:jc w:val="both"/>
              <w:rPr>
                <w:rFonts w:eastAsia="Times New Roman"/>
                <w:szCs w:val="20"/>
              </w:rPr>
            </w:pPr>
            <w:r w:rsidRPr="003D6D11">
              <w:rPr>
                <w:rFonts w:eastAsia="Times New Roman"/>
                <w:szCs w:val="20"/>
              </w:rPr>
              <w:t>Total</w:t>
            </w:r>
          </w:p>
        </w:tc>
        <w:tc>
          <w:tcPr>
            <w:tcW w:w="3049" w:type="dxa"/>
            <w:shd w:val="clear" w:color="auto" w:fill="auto"/>
          </w:tcPr>
          <w:p w:rsidR="002407EF" w:rsidRPr="003D6D11" w:rsidRDefault="002407EF" w:rsidP="002407EF">
            <w:pPr>
              <w:spacing w:after="0" w:line="240" w:lineRule="auto"/>
              <w:jc w:val="center"/>
              <w:rPr>
                <w:rFonts w:eastAsia="Times New Roman"/>
                <w:szCs w:val="20"/>
              </w:rPr>
            </w:pPr>
            <w:r w:rsidRPr="003D6D11">
              <w:rPr>
                <w:rFonts w:eastAsia="Times New Roman"/>
                <w:szCs w:val="20"/>
              </w:rPr>
              <w:t>354539</w:t>
            </w:r>
          </w:p>
        </w:tc>
        <w:tc>
          <w:tcPr>
            <w:tcW w:w="3049" w:type="dxa"/>
            <w:shd w:val="clear" w:color="auto" w:fill="auto"/>
          </w:tcPr>
          <w:p w:rsidR="002407EF" w:rsidRPr="003D6D11" w:rsidRDefault="002407EF" w:rsidP="002407EF">
            <w:pPr>
              <w:spacing w:after="0" w:line="240" w:lineRule="auto"/>
              <w:jc w:val="center"/>
              <w:rPr>
                <w:rFonts w:eastAsia="Times New Roman"/>
                <w:szCs w:val="20"/>
              </w:rPr>
            </w:pPr>
            <w:r w:rsidRPr="003D6D11">
              <w:rPr>
                <w:rFonts w:eastAsia="Times New Roman"/>
                <w:szCs w:val="20"/>
              </w:rPr>
              <w:t>331000</w:t>
            </w:r>
          </w:p>
        </w:tc>
      </w:tr>
    </w:tbl>
    <w:p w:rsidR="002407EF" w:rsidRPr="00856723" w:rsidRDefault="002407EF" w:rsidP="002407EF">
      <w:pPr>
        <w:spacing w:after="0" w:line="240" w:lineRule="auto"/>
        <w:jc w:val="right"/>
        <w:rPr>
          <w:rFonts w:eastAsia="Times New Roman"/>
          <w:sz w:val="16"/>
          <w:szCs w:val="16"/>
        </w:rPr>
      </w:pPr>
      <w:r w:rsidRPr="00856723">
        <w:rPr>
          <w:rFonts w:eastAsia="Times New Roman"/>
          <w:sz w:val="16"/>
          <w:szCs w:val="16"/>
        </w:rPr>
        <w:t>* From JSNA 2013</w:t>
      </w:r>
    </w:p>
    <w:p w:rsidR="002407EF" w:rsidRDefault="002407EF" w:rsidP="002407EF"/>
    <w:p w:rsidR="002407EF" w:rsidRPr="001F3250" w:rsidRDefault="002407EF" w:rsidP="002407EF">
      <w:pPr>
        <w:spacing w:after="0" w:line="240" w:lineRule="auto"/>
        <w:jc w:val="both"/>
        <w:rPr>
          <w:rFonts w:eastAsia="Times New Roman"/>
          <w:b/>
          <w:color w:val="0070C0"/>
          <w:szCs w:val="20"/>
        </w:rPr>
      </w:pPr>
      <w:r w:rsidRPr="001F3250">
        <w:rPr>
          <w:rFonts w:eastAsia="Times New Roman"/>
          <w:b/>
          <w:color w:val="0070C0"/>
          <w:szCs w:val="20"/>
        </w:rPr>
        <w:t>Crawley CCG</w:t>
      </w:r>
    </w:p>
    <w:p w:rsidR="002407EF" w:rsidRPr="001F3250" w:rsidRDefault="002407EF" w:rsidP="002407EF">
      <w:pPr>
        <w:spacing w:after="0" w:line="240" w:lineRule="auto"/>
        <w:jc w:val="both"/>
        <w:rPr>
          <w:rFonts w:eastAsia="Times New Roman"/>
        </w:rPr>
      </w:pPr>
      <w:r w:rsidRPr="001F3250">
        <w:t xml:space="preserve">NHS Crawley CCG comprises of 13 practices within the Crawley area. </w:t>
      </w:r>
      <w:r w:rsidRPr="001F3250">
        <w:rPr>
          <w:rFonts w:eastAsia="Times New Roman"/>
          <w:szCs w:val="20"/>
        </w:rPr>
        <w:t xml:space="preserve">There are fewer people in the 60 – 74 years age group than other areas of West Sussex, but it is the second highest percentage of the population. The highest is the younger working age people (25 – 34 years) which is also higher than England overall. </w:t>
      </w:r>
      <w:r w:rsidRPr="001F3250">
        <w:rPr>
          <w:rFonts w:eastAsia="Times New Roman"/>
          <w:szCs w:val="20"/>
        </w:rPr>
        <w:lastRenderedPageBreak/>
        <w:t>Broadfield south ward contains the most deprived area of Crawley and this falls within the most deprived 20% of areas in England</w:t>
      </w:r>
    </w:p>
    <w:p w:rsidR="002407EF" w:rsidRPr="001F3250" w:rsidRDefault="002407EF" w:rsidP="002407EF">
      <w:pPr>
        <w:spacing w:after="0" w:line="240" w:lineRule="auto"/>
        <w:jc w:val="both"/>
        <w:rPr>
          <w:rFonts w:eastAsia="Times New Roman"/>
        </w:rPr>
      </w:pPr>
    </w:p>
    <w:p w:rsidR="002407EF" w:rsidRPr="001F3250" w:rsidRDefault="002407EF" w:rsidP="002407EF">
      <w:pPr>
        <w:spacing w:after="0" w:line="240" w:lineRule="auto"/>
        <w:jc w:val="both"/>
        <w:rPr>
          <w:rFonts w:eastAsia="Times New Roman"/>
          <w:b/>
          <w:color w:val="0070C0"/>
          <w:szCs w:val="20"/>
        </w:rPr>
      </w:pPr>
      <w:r w:rsidRPr="001F3250">
        <w:rPr>
          <w:rFonts w:eastAsia="Times New Roman"/>
          <w:b/>
          <w:color w:val="0070C0"/>
          <w:szCs w:val="20"/>
        </w:rPr>
        <w:t>Horsham and Mid Sussex CCG</w:t>
      </w:r>
    </w:p>
    <w:p w:rsidR="002407EF" w:rsidRPr="001F3250" w:rsidRDefault="002407EF" w:rsidP="002407EF">
      <w:pPr>
        <w:spacing w:after="0" w:line="240" w:lineRule="auto"/>
        <w:jc w:val="both"/>
        <w:rPr>
          <w:rFonts w:eastAsia="Times New Roman"/>
        </w:rPr>
      </w:pPr>
      <w:r w:rsidRPr="001F3250">
        <w:t xml:space="preserve">NHS Horsham and Mid Sussex comprises of 23 practices within the Horsham, East Grinstead, Haywards Heath, Burgess Hill and surrounding geographical areas. </w:t>
      </w:r>
      <w:r w:rsidRPr="001F3250">
        <w:rPr>
          <w:rFonts w:eastAsia="Times New Roman"/>
          <w:szCs w:val="20"/>
        </w:rPr>
        <w:t>This CCG area has an older age structure than England but there are fewer people in the young working age (20 – 34 years). However, both of these age groups are the highest percentage of the population.</w:t>
      </w:r>
    </w:p>
    <w:p w:rsidR="002407EF" w:rsidRDefault="002407EF" w:rsidP="002407EF">
      <w:pPr>
        <w:pStyle w:val="Heading1"/>
        <w:spacing w:before="0"/>
      </w:pPr>
    </w:p>
    <w:p w:rsidR="0020684D" w:rsidRPr="001F3250" w:rsidRDefault="0020684D" w:rsidP="0020684D">
      <w:pPr>
        <w:spacing w:after="0" w:line="240" w:lineRule="auto"/>
        <w:jc w:val="both"/>
        <w:rPr>
          <w:rFonts w:eastAsia="Times New Roman"/>
          <w:b/>
          <w:color w:val="0070C0"/>
          <w:szCs w:val="20"/>
        </w:rPr>
      </w:pPr>
      <w:r>
        <w:rPr>
          <w:rFonts w:eastAsia="Times New Roman"/>
          <w:b/>
          <w:color w:val="0070C0"/>
          <w:szCs w:val="20"/>
        </w:rPr>
        <w:t>Coastal West Sussex</w:t>
      </w:r>
      <w:r w:rsidRPr="001F3250">
        <w:rPr>
          <w:rFonts w:eastAsia="Times New Roman"/>
          <w:b/>
          <w:color w:val="0070C0"/>
          <w:szCs w:val="20"/>
        </w:rPr>
        <w:t xml:space="preserve"> CCG</w:t>
      </w:r>
    </w:p>
    <w:p w:rsidR="00CE492D" w:rsidRPr="00CE492D" w:rsidRDefault="00CE492D" w:rsidP="00CE492D">
      <w:pPr>
        <w:rPr>
          <w:rFonts w:cs="Arial"/>
          <w:szCs w:val="20"/>
        </w:rPr>
      </w:pPr>
      <w:r w:rsidRPr="00CE492D">
        <w:rPr>
          <w:rFonts w:cs="Arial"/>
          <w:szCs w:val="20"/>
        </w:rPr>
        <w:t xml:space="preserve">NHS Coastal West Sussex CCG serves a population of over 482,000; has an annual budget of around £600m is made up of 54 member GP practices working together to form six localities. We already have one of the oldest populations in the country with over 25% of the population over 65; by 2019 there will be 13% more people aged over 85 living locally. There are also wide inequalities between our communities; some local neighbourhoods have a life expectancy over 10 years shorter than their neighbours just a few miles away. </w:t>
      </w:r>
    </w:p>
    <w:p w:rsidR="00D77151" w:rsidRDefault="00E84152" w:rsidP="00D77151">
      <w:pPr>
        <w:pStyle w:val="Heading1"/>
        <w:spacing w:before="0"/>
        <w:rPr>
          <w:rFonts w:ascii="Arial" w:hAnsi="Arial" w:cs="Arial"/>
          <w:b w:val="0"/>
          <w:color w:val="auto"/>
          <w:sz w:val="20"/>
          <w:szCs w:val="20"/>
        </w:rPr>
      </w:pPr>
      <w:bookmarkStart w:id="5" w:name="_Toc414882532"/>
      <w:r w:rsidRPr="00E84152">
        <w:rPr>
          <w:rFonts w:ascii="Arial" w:hAnsi="Arial" w:cs="Arial"/>
          <w:b w:val="0"/>
          <w:color w:val="auto"/>
          <w:sz w:val="20"/>
          <w:szCs w:val="20"/>
        </w:rPr>
        <w:t>For the remainder of the document ‘the service’ will refer to the community ENT service</w:t>
      </w:r>
      <w:bookmarkEnd w:id="5"/>
      <w:r w:rsidR="00F10EC7">
        <w:rPr>
          <w:rFonts w:ascii="Arial" w:hAnsi="Arial" w:cs="Arial"/>
          <w:b w:val="0"/>
          <w:color w:val="auto"/>
          <w:sz w:val="20"/>
          <w:szCs w:val="20"/>
        </w:rPr>
        <w:t>.</w:t>
      </w:r>
    </w:p>
    <w:p w:rsidR="00E84152" w:rsidRPr="00E84152" w:rsidRDefault="00E84152" w:rsidP="00E84152"/>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815166" w:rsidRDefault="00D77151" w:rsidP="002407EF">
            <w:pPr>
              <w:pStyle w:val="Heading1"/>
              <w:spacing w:before="0"/>
              <w:rPr>
                <w:rFonts w:ascii="Arial" w:hAnsi="Arial" w:cs="Arial"/>
              </w:rPr>
            </w:pPr>
            <w:bookmarkStart w:id="6" w:name="_Toc414882533"/>
            <w:r>
              <w:rPr>
                <w:rFonts w:ascii="Arial" w:hAnsi="Arial" w:cs="Arial"/>
                <w:color w:val="FFFFFF" w:themeColor="background1"/>
              </w:rPr>
              <w:t>2</w:t>
            </w:r>
            <w:r w:rsidRPr="00815166">
              <w:rPr>
                <w:rFonts w:ascii="Arial" w:hAnsi="Arial" w:cs="Arial"/>
                <w:color w:val="FFFFFF" w:themeColor="background1"/>
              </w:rPr>
              <w:t>.0</w:t>
            </w:r>
            <w:r w:rsidRPr="00815166">
              <w:rPr>
                <w:rFonts w:ascii="Arial" w:hAnsi="Arial" w:cs="Arial"/>
                <w:color w:val="FFFFFF" w:themeColor="background1"/>
              </w:rPr>
              <w:tab/>
            </w:r>
            <w:r>
              <w:rPr>
                <w:rFonts w:ascii="Arial" w:hAnsi="Arial" w:cs="Arial"/>
                <w:color w:val="FFFFFF" w:themeColor="background1"/>
              </w:rPr>
              <w:t>Scope</w:t>
            </w:r>
            <w:bookmarkEnd w:id="6"/>
          </w:p>
        </w:tc>
      </w:tr>
    </w:tbl>
    <w:p w:rsidR="00D77151" w:rsidRPr="00C562EE" w:rsidRDefault="00D77151" w:rsidP="00D77151">
      <w:pPr>
        <w:rPr>
          <w:color w:val="548DD4" w:themeColor="text2" w:themeTint="99"/>
          <w:sz w:val="24"/>
        </w:rPr>
      </w:pPr>
    </w:p>
    <w:p w:rsidR="00D77151" w:rsidRPr="00C562EE" w:rsidRDefault="00D77151" w:rsidP="00D77151">
      <w:pPr>
        <w:pStyle w:val="Heading3"/>
      </w:pPr>
      <w:bookmarkStart w:id="7" w:name="_Toc414882534"/>
      <w:r w:rsidRPr="00C562EE">
        <w:t>2.1 Aims and Objectives of Service</w:t>
      </w:r>
      <w:bookmarkEnd w:id="7"/>
    </w:p>
    <w:p w:rsidR="00D77151" w:rsidRDefault="005D626D" w:rsidP="00D77151">
      <w:pPr>
        <w:rPr>
          <w:color w:val="548DD4" w:themeColor="text2" w:themeTint="99"/>
          <w:sz w:val="24"/>
        </w:rPr>
      </w:pPr>
      <w:r>
        <w:rPr>
          <w:color w:val="548DD4" w:themeColor="text2" w:themeTint="99"/>
          <w:sz w:val="24"/>
        </w:rPr>
        <w:t xml:space="preserve">2.1.1 The </w:t>
      </w:r>
      <w:r w:rsidR="00D77151" w:rsidRPr="00815166">
        <w:rPr>
          <w:color w:val="548DD4" w:themeColor="text2" w:themeTint="99"/>
          <w:sz w:val="24"/>
        </w:rPr>
        <w:t>Service will deliver:</w:t>
      </w:r>
    </w:p>
    <w:p w:rsidR="00FC14CD" w:rsidRPr="00FC14CD" w:rsidRDefault="00FC14CD" w:rsidP="005A697C">
      <w:pPr>
        <w:pStyle w:val="ListParagraph"/>
        <w:numPr>
          <w:ilvl w:val="0"/>
          <w:numId w:val="4"/>
        </w:numPr>
        <w:spacing w:line="240" w:lineRule="auto"/>
        <w:rPr>
          <w:szCs w:val="20"/>
        </w:rPr>
      </w:pPr>
      <w:r w:rsidRPr="00FC14CD">
        <w:rPr>
          <w:szCs w:val="20"/>
        </w:rPr>
        <w:t>Right person, right place, first time</w:t>
      </w:r>
      <w:r w:rsidR="00F10EC7">
        <w:rPr>
          <w:szCs w:val="20"/>
        </w:rPr>
        <w:t>.</w:t>
      </w:r>
    </w:p>
    <w:p w:rsidR="00FC14CD" w:rsidRPr="00CA4685" w:rsidRDefault="00FC14CD" w:rsidP="005A697C">
      <w:pPr>
        <w:pStyle w:val="ListParagraph"/>
        <w:numPr>
          <w:ilvl w:val="0"/>
          <w:numId w:val="4"/>
        </w:numPr>
        <w:autoSpaceDE w:val="0"/>
        <w:autoSpaceDN w:val="0"/>
        <w:adjustRightInd w:val="0"/>
        <w:spacing w:line="240" w:lineRule="auto"/>
        <w:jc w:val="both"/>
        <w:rPr>
          <w:rFonts w:eastAsia="MS Mincho" w:cs="Arial"/>
          <w:szCs w:val="20"/>
          <w:lang w:val="en-US" w:eastAsia="ja-JP"/>
        </w:rPr>
      </w:pPr>
      <w:r w:rsidRPr="00FC14CD">
        <w:rPr>
          <w:rFonts w:eastAsia="MS Mincho" w:cs="Arial"/>
          <w:szCs w:val="20"/>
          <w:lang w:val="en-US" w:eastAsia="ja-JP"/>
        </w:rPr>
        <w:t>This model of care should be provided to patients that live within, or are registered at a GP practice that is within, NHS Crawley CCG and NHS Horsham and Mid Sussex CCG locality</w:t>
      </w:r>
      <w:r w:rsidR="0020684D">
        <w:rPr>
          <w:rFonts w:eastAsia="MS Mincho" w:cs="Arial"/>
          <w:szCs w:val="20"/>
          <w:lang w:val="en-US" w:eastAsia="ja-JP"/>
        </w:rPr>
        <w:t>, and Coastal West Sussex CCG</w:t>
      </w:r>
      <w:r w:rsidRPr="00FC14CD">
        <w:rPr>
          <w:rFonts w:eastAsia="MS Mincho" w:cs="Arial"/>
          <w:szCs w:val="20"/>
          <w:lang w:val="en-US" w:eastAsia="ja-JP"/>
        </w:rPr>
        <w:t xml:space="preserve"> and achieve a consistent level of high quality </w:t>
      </w:r>
      <w:r w:rsidR="00683290">
        <w:rPr>
          <w:rFonts w:eastAsia="MS Mincho" w:cs="Arial"/>
          <w:szCs w:val="20"/>
          <w:lang w:val="en-US" w:eastAsia="ja-JP"/>
        </w:rPr>
        <w:t>Service</w:t>
      </w:r>
      <w:r w:rsidR="00F10EC7">
        <w:rPr>
          <w:rFonts w:eastAsia="MS Mincho" w:cs="Arial"/>
          <w:szCs w:val="20"/>
          <w:lang w:val="en-US" w:eastAsia="ja-JP"/>
        </w:rPr>
        <w:t>.</w:t>
      </w:r>
    </w:p>
    <w:p w:rsidR="00FC14CD" w:rsidRPr="00FC14CD" w:rsidRDefault="00FC14CD" w:rsidP="005A697C">
      <w:pPr>
        <w:pStyle w:val="ListParagraph"/>
        <w:numPr>
          <w:ilvl w:val="0"/>
          <w:numId w:val="4"/>
        </w:numPr>
        <w:spacing w:line="240" w:lineRule="auto"/>
        <w:rPr>
          <w:szCs w:val="20"/>
        </w:rPr>
      </w:pPr>
      <w:r w:rsidRPr="00FC14CD">
        <w:rPr>
          <w:szCs w:val="20"/>
        </w:rPr>
        <w:t>Co</w:t>
      </w:r>
      <w:r>
        <w:rPr>
          <w:szCs w:val="20"/>
        </w:rPr>
        <w:t>-create with Commissioners GP Cli</w:t>
      </w:r>
      <w:r w:rsidRPr="00FC14CD">
        <w:rPr>
          <w:szCs w:val="20"/>
        </w:rPr>
        <w:t>nical Care Pathways that describe what referring clinicians would normally do prior to referral into the service.</w:t>
      </w:r>
    </w:p>
    <w:p w:rsidR="00FC14CD" w:rsidRDefault="00FC14CD" w:rsidP="005A697C">
      <w:pPr>
        <w:pStyle w:val="ListParagraph"/>
        <w:numPr>
          <w:ilvl w:val="0"/>
          <w:numId w:val="4"/>
        </w:numPr>
        <w:spacing w:line="240" w:lineRule="auto"/>
        <w:rPr>
          <w:szCs w:val="20"/>
        </w:rPr>
      </w:pPr>
      <w:r w:rsidRPr="00FC14CD">
        <w:rPr>
          <w:szCs w:val="20"/>
        </w:rPr>
        <w:t>Achieve care closer to home.</w:t>
      </w:r>
    </w:p>
    <w:p w:rsidR="00FC14CD" w:rsidRPr="00CA4685" w:rsidRDefault="00CA4685" w:rsidP="005A697C">
      <w:pPr>
        <w:pStyle w:val="ListParagraph"/>
        <w:numPr>
          <w:ilvl w:val="0"/>
          <w:numId w:val="4"/>
        </w:numPr>
        <w:spacing w:line="240" w:lineRule="auto"/>
        <w:rPr>
          <w:szCs w:val="20"/>
        </w:rPr>
      </w:pPr>
      <w:r>
        <w:rPr>
          <w:szCs w:val="20"/>
        </w:rPr>
        <w:t>Patients</w:t>
      </w:r>
      <w:r>
        <w:rPr>
          <w:rFonts w:eastAsia="Times New Roman" w:cs="Arial"/>
          <w:szCs w:val="20"/>
        </w:rPr>
        <w:t xml:space="preserve"> will have equal access to</w:t>
      </w:r>
      <w:r w:rsidR="00F01007">
        <w:rPr>
          <w:rFonts w:eastAsia="Times New Roman" w:cs="Arial"/>
          <w:szCs w:val="20"/>
        </w:rPr>
        <w:t xml:space="preserve"> </w:t>
      </w:r>
      <w:r w:rsidR="00E84152">
        <w:rPr>
          <w:rFonts w:eastAsia="Times New Roman" w:cs="Arial"/>
          <w:szCs w:val="20"/>
        </w:rPr>
        <w:t xml:space="preserve">the </w:t>
      </w:r>
      <w:r w:rsidR="00F01007">
        <w:rPr>
          <w:rFonts w:eastAsia="Times New Roman" w:cs="Arial"/>
          <w:szCs w:val="20"/>
        </w:rPr>
        <w:t>service</w:t>
      </w:r>
      <w:r>
        <w:rPr>
          <w:rFonts w:eastAsia="Times New Roman" w:cs="Arial"/>
          <w:szCs w:val="20"/>
        </w:rPr>
        <w:t xml:space="preserve"> </w:t>
      </w:r>
      <w:r w:rsidRPr="001F4670">
        <w:rPr>
          <w:rFonts w:eastAsia="Times New Roman" w:cs="Arial"/>
          <w:szCs w:val="20"/>
        </w:rPr>
        <w:t>that offer</w:t>
      </w:r>
      <w:r>
        <w:rPr>
          <w:rFonts w:eastAsia="Times New Roman" w:cs="Arial"/>
          <w:szCs w:val="20"/>
        </w:rPr>
        <w:t>s</w:t>
      </w:r>
      <w:r w:rsidRPr="001F4670">
        <w:rPr>
          <w:rFonts w:eastAsia="Times New Roman" w:cs="Arial"/>
          <w:szCs w:val="20"/>
        </w:rPr>
        <w:t xml:space="preserve"> consistent levels of service regardless of where they live within the CCG catchment areas and regardless of gender, age, ethnicity, disability, sexual orientation, religion or beliefs</w:t>
      </w:r>
      <w:r w:rsidR="00F10EC7">
        <w:rPr>
          <w:rFonts w:eastAsia="Times New Roman" w:cs="Arial"/>
          <w:szCs w:val="20"/>
        </w:rPr>
        <w:t>.</w:t>
      </w:r>
    </w:p>
    <w:p w:rsidR="00CA4685" w:rsidRPr="001F4670" w:rsidRDefault="00CA4685" w:rsidP="005A697C">
      <w:pPr>
        <w:pStyle w:val="ListParagraph"/>
        <w:numPr>
          <w:ilvl w:val="0"/>
          <w:numId w:val="4"/>
        </w:numPr>
        <w:spacing w:line="240" w:lineRule="auto"/>
        <w:jc w:val="both"/>
        <w:rPr>
          <w:rFonts w:eastAsia="Times New Roman" w:cs="Arial"/>
          <w:szCs w:val="20"/>
        </w:rPr>
      </w:pPr>
      <w:r w:rsidRPr="001F4670">
        <w:rPr>
          <w:rFonts w:eastAsia="Times New Roman" w:cs="Arial"/>
          <w:szCs w:val="20"/>
        </w:rPr>
        <w:t xml:space="preserve">Support the vision </w:t>
      </w:r>
      <w:r w:rsidRPr="001F4670">
        <w:rPr>
          <w:rFonts w:eastAsia="Times New Roman" w:cs="Arial"/>
          <w:color w:val="000000"/>
          <w:szCs w:val="20"/>
        </w:rPr>
        <w:t>of community based and community led services that are developed through joint working between general practice and specialist clinicians and with in-reach to specialist care in acute settings, not outreach to the community.</w:t>
      </w:r>
      <w:r w:rsidRPr="001F4670">
        <w:rPr>
          <w:rFonts w:eastAsia="Times New Roman" w:cs="Arial"/>
          <w:szCs w:val="20"/>
        </w:rPr>
        <w:t xml:space="preserve"> </w:t>
      </w:r>
    </w:p>
    <w:p w:rsidR="00CA4685" w:rsidRPr="001F4670" w:rsidRDefault="00CA4685" w:rsidP="005A697C">
      <w:pPr>
        <w:pStyle w:val="ListParagraph"/>
        <w:numPr>
          <w:ilvl w:val="0"/>
          <w:numId w:val="4"/>
        </w:numPr>
        <w:spacing w:line="240" w:lineRule="auto"/>
        <w:jc w:val="both"/>
        <w:rPr>
          <w:rFonts w:eastAsia="Times New Roman" w:cs="Arial"/>
          <w:szCs w:val="20"/>
        </w:rPr>
      </w:pPr>
      <w:r w:rsidRPr="001F4670">
        <w:rPr>
          <w:rFonts w:eastAsia="Times New Roman" w:cs="Arial"/>
          <w:szCs w:val="20"/>
        </w:rPr>
        <w:t xml:space="preserve">A service which ensures that the patient moves appropriately and seamlessly between primary, community and specialist secondary care services. </w:t>
      </w:r>
    </w:p>
    <w:p w:rsidR="00CA4685" w:rsidRPr="001F4670" w:rsidRDefault="00CA4685" w:rsidP="005A697C">
      <w:pPr>
        <w:pStyle w:val="ListParagraph"/>
        <w:numPr>
          <w:ilvl w:val="0"/>
          <w:numId w:val="4"/>
        </w:numPr>
        <w:spacing w:line="240" w:lineRule="auto"/>
        <w:jc w:val="both"/>
        <w:rPr>
          <w:rFonts w:eastAsia="Times New Roman" w:cs="Arial"/>
          <w:szCs w:val="20"/>
        </w:rPr>
      </w:pPr>
      <w:r w:rsidRPr="001F4670">
        <w:rPr>
          <w:rFonts w:eastAsia="MS Mincho" w:cs="Arial"/>
          <w:szCs w:val="20"/>
          <w:lang w:val="en-US" w:eastAsia="ja-JP"/>
        </w:rPr>
        <w:t>Service users, including those from all 9 protected characteristic groups within the Equality Act 2010, (i.e. age, disability, gender reassignment, marriage and civil partnership, pregnancy and maternity, race, religion or belief, sex and sexual orientation) feel the service is responsive to their needs.</w:t>
      </w:r>
    </w:p>
    <w:p w:rsidR="00CA4685" w:rsidRPr="008E6E92" w:rsidRDefault="00CA4685" w:rsidP="005A697C">
      <w:pPr>
        <w:pStyle w:val="ListParagraph"/>
        <w:numPr>
          <w:ilvl w:val="0"/>
          <w:numId w:val="4"/>
        </w:numPr>
        <w:spacing w:line="240" w:lineRule="auto"/>
        <w:jc w:val="both"/>
        <w:rPr>
          <w:rFonts w:eastAsia="Times New Roman" w:cs="Arial"/>
          <w:szCs w:val="20"/>
        </w:rPr>
      </w:pPr>
      <w:r w:rsidRPr="008E6E92">
        <w:rPr>
          <w:rFonts w:eastAsia="MS Mincho" w:cs="Arial"/>
          <w:szCs w:val="20"/>
          <w:lang w:val="en-US" w:eastAsia="ja-JP"/>
        </w:rPr>
        <w:t xml:space="preserve">To support the care of the patient being in line with national guidance including NICE guidance and that published </w:t>
      </w:r>
      <w:r w:rsidR="008E6E92" w:rsidRPr="008E6E92">
        <w:rPr>
          <w:rFonts w:eastAsia="MS Mincho" w:cs="Arial"/>
          <w:szCs w:val="20"/>
          <w:lang w:val="en-US" w:eastAsia="ja-JP"/>
        </w:rPr>
        <w:t>o</w:t>
      </w:r>
      <w:r w:rsidRPr="008E6E92">
        <w:rPr>
          <w:rFonts w:eastAsia="MS Mincho" w:cs="Arial"/>
          <w:szCs w:val="20"/>
          <w:lang w:val="en-US" w:eastAsia="ja-JP"/>
        </w:rPr>
        <w:t xml:space="preserve">n the management of </w:t>
      </w:r>
      <w:r w:rsidR="005D626D" w:rsidRPr="008E6E92">
        <w:rPr>
          <w:rFonts w:eastAsia="MS Mincho" w:cs="Arial"/>
          <w:szCs w:val="20"/>
          <w:lang w:val="en-US" w:eastAsia="ja-JP"/>
        </w:rPr>
        <w:t>ENT</w:t>
      </w:r>
      <w:r w:rsidRPr="008E6E92">
        <w:rPr>
          <w:rFonts w:eastAsia="MS Mincho" w:cs="Arial"/>
          <w:szCs w:val="20"/>
          <w:lang w:val="en-US" w:eastAsia="ja-JP"/>
        </w:rPr>
        <w:t xml:space="preserve"> conditions.</w:t>
      </w:r>
    </w:p>
    <w:p w:rsidR="00CA4685" w:rsidRPr="001F4670" w:rsidRDefault="00CA4685" w:rsidP="005A697C">
      <w:pPr>
        <w:pStyle w:val="ListParagraph"/>
        <w:numPr>
          <w:ilvl w:val="0"/>
          <w:numId w:val="4"/>
        </w:numPr>
        <w:autoSpaceDE w:val="0"/>
        <w:autoSpaceDN w:val="0"/>
        <w:adjustRightInd w:val="0"/>
        <w:spacing w:after="0" w:line="240" w:lineRule="auto"/>
        <w:jc w:val="both"/>
        <w:rPr>
          <w:rFonts w:eastAsia="Times New Roman" w:cs="Arial"/>
          <w:color w:val="000000"/>
          <w:szCs w:val="20"/>
        </w:rPr>
      </w:pPr>
      <w:r w:rsidRPr="001F4670">
        <w:rPr>
          <w:rFonts w:eastAsia="Times New Roman" w:cs="Arial"/>
          <w:szCs w:val="20"/>
        </w:rPr>
        <w:t>When patients are referred onwards, that they arrive having had the appropriate work up in the pre hospital phase of their pathway within the agreed and defined time frame.</w:t>
      </w:r>
      <w:r w:rsidRPr="001F4670">
        <w:rPr>
          <w:rFonts w:eastAsia="Times New Roman" w:cs="Arial"/>
          <w:color w:val="000000"/>
          <w:szCs w:val="20"/>
        </w:rPr>
        <w:t xml:space="preserve"> </w:t>
      </w:r>
    </w:p>
    <w:p w:rsidR="00CA4685" w:rsidRPr="001F4670" w:rsidRDefault="00CA4685" w:rsidP="005A697C">
      <w:pPr>
        <w:pStyle w:val="ListParagraph"/>
        <w:numPr>
          <w:ilvl w:val="0"/>
          <w:numId w:val="4"/>
        </w:numPr>
        <w:autoSpaceDE w:val="0"/>
        <w:autoSpaceDN w:val="0"/>
        <w:adjustRightInd w:val="0"/>
        <w:spacing w:after="0" w:line="240" w:lineRule="auto"/>
        <w:jc w:val="both"/>
        <w:rPr>
          <w:rFonts w:eastAsia="Times New Roman" w:cs="Arial"/>
          <w:color w:val="000000"/>
          <w:szCs w:val="20"/>
        </w:rPr>
      </w:pPr>
      <w:r w:rsidRPr="001F4670">
        <w:rPr>
          <w:rFonts w:eastAsia="Times New Roman" w:cs="Arial"/>
          <w:color w:val="000000"/>
          <w:szCs w:val="20"/>
        </w:rPr>
        <w:t>Achieve improved health outcomes for patients.</w:t>
      </w:r>
    </w:p>
    <w:p w:rsidR="00CA4685" w:rsidRPr="001F4670" w:rsidRDefault="00CA4685" w:rsidP="005A697C">
      <w:pPr>
        <w:pStyle w:val="ListParagraph"/>
        <w:numPr>
          <w:ilvl w:val="0"/>
          <w:numId w:val="4"/>
        </w:numPr>
        <w:autoSpaceDE w:val="0"/>
        <w:autoSpaceDN w:val="0"/>
        <w:adjustRightInd w:val="0"/>
        <w:spacing w:after="100" w:afterAutospacing="1" w:line="240" w:lineRule="auto"/>
        <w:jc w:val="both"/>
        <w:rPr>
          <w:rFonts w:eastAsia="Times New Roman" w:cs="Arial"/>
          <w:color w:val="000000"/>
          <w:szCs w:val="20"/>
        </w:rPr>
      </w:pPr>
      <w:r w:rsidRPr="001F4670">
        <w:rPr>
          <w:rFonts w:eastAsia="Times New Roman" w:cs="Arial"/>
          <w:color w:val="000000"/>
          <w:szCs w:val="20"/>
        </w:rPr>
        <w:t>Achieve improved patient experience and high referrer satisfaction.</w:t>
      </w:r>
    </w:p>
    <w:p w:rsidR="00CA4685" w:rsidRPr="00E84152" w:rsidRDefault="00CA4685" w:rsidP="00F35F8C">
      <w:pPr>
        <w:pStyle w:val="ListParagraph"/>
        <w:numPr>
          <w:ilvl w:val="0"/>
          <w:numId w:val="25"/>
        </w:numPr>
        <w:spacing w:after="100" w:afterAutospacing="1" w:line="240" w:lineRule="auto"/>
        <w:jc w:val="both"/>
        <w:rPr>
          <w:sz w:val="24"/>
        </w:rPr>
      </w:pPr>
      <w:r w:rsidRPr="00E84152">
        <w:rPr>
          <w:rFonts w:eastAsia="Times New Roman" w:cs="Arial"/>
          <w:szCs w:val="20"/>
        </w:rPr>
        <w:t xml:space="preserve">Through referrer education GP’s and other healthcare professionals are supported to develop knowledge and skills in primary care </w:t>
      </w:r>
      <w:r w:rsidR="005D626D" w:rsidRPr="00E84152">
        <w:rPr>
          <w:rFonts w:eastAsia="Times New Roman" w:cs="Arial"/>
          <w:szCs w:val="20"/>
        </w:rPr>
        <w:t>ENT</w:t>
      </w:r>
      <w:r w:rsidRPr="00E84152">
        <w:rPr>
          <w:rFonts w:eastAsia="Times New Roman" w:cs="Arial"/>
          <w:szCs w:val="20"/>
        </w:rPr>
        <w:t xml:space="preserve"> care.</w:t>
      </w:r>
    </w:p>
    <w:p w:rsidR="00CA4685" w:rsidRPr="00E84152" w:rsidRDefault="00CA4685" w:rsidP="00F35F8C">
      <w:pPr>
        <w:pStyle w:val="ListParagraph"/>
        <w:numPr>
          <w:ilvl w:val="0"/>
          <w:numId w:val="25"/>
        </w:numPr>
        <w:spacing w:after="100" w:afterAutospacing="1" w:line="240" w:lineRule="auto"/>
        <w:jc w:val="both"/>
        <w:rPr>
          <w:sz w:val="24"/>
        </w:rPr>
      </w:pPr>
      <w:r w:rsidRPr="00E84152">
        <w:rPr>
          <w:rFonts w:eastAsia="Times New Roman"/>
          <w:szCs w:val="20"/>
          <w:lang w:eastAsia="en-GB"/>
        </w:rPr>
        <w:lastRenderedPageBreak/>
        <w:t>Ensure that commissioners have access to high quality performance metrics that support their commissioning intentions.</w:t>
      </w:r>
    </w:p>
    <w:p w:rsidR="00CA4685" w:rsidRPr="00E84152" w:rsidRDefault="00CA4685" w:rsidP="00F35F8C">
      <w:pPr>
        <w:pStyle w:val="ListParagraph"/>
        <w:numPr>
          <w:ilvl w:val="0"/>
          <w:numId w:val="25"/>
        </w:numPr>
        <w:autoSpaceDE w:val="0"/>
        <w:autoSpaceDN w:val="0"/>
        <w:adjustRightInd w:val="0"/>
        <w:spacing w:after="0" w:line="240" w:lineRule="auto"/>
        <w:jc w:val="both"/>
        <w:rPr>
          <w:rFonts w:eastAsia="MS Mincho" w:cs="Arial"/>
          <w:szCs w:val="20"/>
          <w:lang w:val="en-US" w:eastAsia="ja-JP"/>
        </w:rPr>
      </w:pPr>
      <w:r w:rsidRPr="00E84152">
        <w:rPr>
          <w:rFonts w:eastAsia="MS Mincho" w:cs="Arial"/>
          <w:szCs w:val="20"/>
          <w:lang w:val="en-US" w:eastAsia="ja-JP"/>
        </w:rPr>
        <w:t xml:space="preserve">Provide a clinician advice and guidance service by telephone/email within 1 working day for urgent, and 3 workings days for routine. </w:t>
      </w:r>
    </w:p>
    <w:p w:rsidR="00CA4685" w:rsidRDefault="00CA4685" w:rsidP="00F35F8C">
      <w:pPr>
        <w:pStyle w:val="ListParagraph"/>
        <w:numPr>
          <w:ilvl w:val="0"/>
          <w:numId w:val="25"/>
        </w:numPr>
        <w:autoSpaceDE w:val="0"/>
        <w:autoSpaceDN w:val="0"/>
        <w:adjustRightInd w:val="0"/>
        <w:spacing w:after="0" w:line="240" w:lineRule="auto"/>
        <w:jc w:val="both"/>
        <w:rPr>
          <w:rFonts w:eastAsia="MS Mincho" w:cs="Arial"/>
          <w:szCs w:val="20"/>
          <w:lang w:val="en-US" w:eastAsia="ja-JP"/>
        </w:rPr>
      </w:pPr>
      <w:r w:rsidRPr="00E84152">
        <w:rPr>
          <w:rFonts w:eastAsia="MS Mincho" w:cs="Arial"/>
          <w:szCs w:val="20"/>
          <w:lang w:val="en-US" w:eastAsia="ja-JP"/>
        </w:rPr>
        <w:t xml:space="preserve">Ensure </w:t>
      </w:r>
      <w:r>
        <w:rPr>
          <w:rFonts w:eastAsia="MS Mincho" w:cs="Arial"/>
          <w:szCs w:val="20"/>
          <w:lang w:val="en-US" w:eastAsia="ja-JP"/>
        </w:rPr>
        <w:t>patients have choice of provider if they require onward referral to secondary care.</w:t>
      </w:r>
    </w:p>
    <w:p w:rsidR="00CA4685" w:rsidRPr="001F4670" w:rsidRDefault="00CA4685" w:rsidP="00F35F8C">
      <w:pPr>
        <w:pStyle w:val="ListParagraph"/>
        <w:numPr>
          <w:ilvl w:val="0"/>
          <w:numId w:val="4"/>
        </w:numPr>
        <w:autoSpaceDE w:val="0"/>
        <w:autoSpaceDN w:val="0"/>
        <w:adjustRightInd w:val="0"/>
        <w:spacing w:after="0" w:line="240" w:lineRule="auto"/>
        <w:jc w:val="both"/>
        <w:rPr>
          <w:rFonts w:eastAsia="MS Mincho" w:cs="Arial"/>
          <w:szCs w:val="20"/>
          <w:lang w:val="en-US" w:eastAsia="ja-JP"/>
        </w:rPr>
      </w:pPr>
      <w:r>
        <w:rPr>
          <w:rFonts w:eastAsia="MS Mincho" w:cs="Arial"/>
          <w:szCs w:val="20"/>
          <w:lang w:val="en-US" w:eastAsia="ja-JP"/>
        </w:rPr>
        <w:t xml:space="preserve">If a critical finding or suspicion of cancer were to inadvertently present at the </w:t>
      </w:r>
      <w:r w:rsidR="005D626D">
        <w:rPr>
          <w:rFonts w:eastAsia="MS Mincho" w:cs="Arial"/>
          <w:szCs w:val="20"/>
          <w:lang w:val="en-US" w:eastAsia="ja-JP"/>
        </w:rPr>
        <w:t>service</w:t>
      </w:r>
      <w:r>
        <w:rPr>
          <w:rFonts w:eastAsia="MS Mincho" w:cs="Arial"/>
          <w:szCs w:val="20"/>
          <w:lang w:val="en-US" w:eastAsia="ja-JP"/>
        </w:rPr>
        <w:t xml:space="preserve"> there will be a safe and locally agreed referral straight onto secondary care services with both the patient and the GP being immediately informed. </w:t>
      </w:r>
    </w:p>
    <w:p w:rsidR="00CA4685" w:rsidRPr="001F4670" w:rsidRDefault="00CA4685" w:rsidP="00CA4685">
      <w:pPr>
        <w:pStyle w:val="ListParagraph"/>
        <w:rPr>
          <w:rFonts w:eastAsia="Times New Roman" w:cs="Arial"/>
          <w:szCs w:val="20"/>
        </w:rPr>
      </w:pPr>
    </w:p>
    <w:p w:rsidR="00D77151" w:rsidRDefault="00CA4685" w:rsidP="00EC5817">
      <w:pPr>
        <w:autoSpaceDE w:val="0"/>
        <w:autoSpaceDN w:val="0"/>
        <w:adjustRightInd w:val="0"/>
        <w:spacing w:line="240" w:lineRule="auto"/>
        <w:rPr>
          <w:b/>
          <w:color w:val="548DD4" w:themeColor="text2" w:themeTint="99"/>
          <w:sz w:val="24"/>
        </w:rPr>
      </w:pPr>
      <w:r w:rsidRPr="00686187">
        <w:rPr>
          <w:rFonts w:eastAsia="MS Mincho" w:cs="Arial"/>
          <w:szCs w:val="20"/>
          <w:lang w:val="en-US" w:eastAsia="ja-JP"/>
        </w:rPr>
        <w:t xml:space="preserve">This document represents the minimum service specification required for all patients aged </w:t>
      </w:r>
      <w:r w:rsidR="005D626D">
        <w:rPr>
          <w:rFonts w:eastAsia="MS Mincho" w:cs="Arial"/>
          <w:szCs w:val="20"/>
          <w:lang w:val="en-US" w:eastAsia="ja-JP"/>
        </w:rPr>
        <w:t>2 years</w:t>
      </w:r>
      <w:r>
        <w:rPr>
          <w:rFonts w:eastAsia="MS Mincho" w:cs="Arial"/>
          <w:szCs w:val="20"/>
          <w:lang w:val="en-US" w:eastAsia="ja-JP"/>
        </w:rPr>
        <w:t xml:space="preserve"> </w:t>
      </w:r>
      <w:r w:rsidRPr="00686187">
        <w:rPr>
          <w:rFonts w:eastAsia="MS Mincho" w:cs="Arial"/>
          <w:szCs w:val="20"/>
          <w:lang w:val="en-US" w:eastAsia="ja-JP"/>
        </w:rPr>
        <w:t>and over and registered permanently or temporarily with practices within the CCGs catchment area</w:t>
      </w:r>
      <w:r w:rsidR="00C93379">
        <w:rPr>
          <w:rFonts w:eastAsia="MS Mincho" w:cs="Arial"/>
          <w:szCs w:val="20"/>
          <w:lang w:val="en-US" w:eastAsia="ja-JP"/>
        </w:rPr>
        <w:t>.</w:t>
      </w:r>
    </w:p>
    <w:p w:rsidR="00D77151" w:rsidRPr="00313040" w:rsidRDefault="00D77151" w:rsidP="00D77151">
      <w:pPr>
        <w:pStyle w:val="Heading3"/>
      </w:pPr>
      <w:bookmarkStart w:id="8" w:name="_Toc414882535"/>
      <w:r w:rsidRPr="00313040">
        <w:t>2.2 Service Model</w:t>
      </w:r>
      <w:bookmarkEnd w:id="8"/>
    </w:p>
    <w:p w:rsidR="00D77151" w:rsidRPr="00815166" w:rsidRDefault="00D77151" w:rsidP="00D77151">
      <w:pPr>
        <w:rPr>
          <w:color w:val="548DD4" w:themeColor="text2" w:themeTint="99"/>
          <w:sz w:val="24"/>
        </w:rPr>
      </w:pPr>
      <w:r w:rsidRPr="00815166">
        <w:rPr>
          <w:color w:val="548DD4" w:themeColor="text2" w:themeTint="99"/>
          <w:sz w:val="24"/>
        </w:rPr>
        <w:t>2.2.1 The model of care will be underpinned by:</w:t>
      </w:r>
    </w:p>
    <w:p w:rsidR="00EC5817" w:rsidRPr="007D0B85" w:rsidRDefault="00EC5817" w:rsidP="00EC5817">
      <w:pPr>
        <w:spacing w:after="0"/>
        <w:rPr>
          <w:rFonts w:eastAsia="MS Mincho" w:cs="Arial"/>
          <w:szCs w:val="20"/>
          <w:lang w:val="en-US" w:eastAsia="ja-JP"/>
        </w:rPr>
      </w:pPr>
      <w:r w:rsidRPr="007D0B85">
        <w:rPr>
          <w:rFonts w:eastAsia="MS Mincho" w:cs="Arial"/>
          <w:szCs w:val="20"/>
          <w:lang w:val="en-US" w:eastAsia="ja-JP"/>
        </w:rPr>
        <w:t xml:space="preserve">The vision for the service is one where the patient is placed at the centre of care and they receive a professional, sensitive and joined up quality service in a clinical setting appropriate to their need. </w:t>
      </w:r>
    </w:p>
    <w:p w:rsidR="00EC5817" w:rsidRPr="007D0B85" w:rsidRDefault="00EC5817" w:rsidP="00EC5817">
      <w:pPr>
        <w:spacing w:after="0"/>
        <w:rPr>
          <w:rFonts w:eastAsia="MS Mincho" w:cs="Arial"/>
          <w:szCs w:val="20"/>
          <w:lang w:val="en-US" w:eastAsia="ja-JP"/>
        </w:rPr>
      </w:pPr>
      <w:r w:rsidRPr="007D0B85">
        <w:rPr>
          <w:rFonts w:eastAsia="MS Mincho" w:cs="Arial"/>
          <w:szCs w:val="20"/>
          <w:lang w:val="en-US" w:eastAsia="ja-JP"/>
        </w:rPr>
        <w:t>The following key service outcomes are expected to be delivered as part of the service:-</w:t>
      </w:r>
    </w:p>
    <w:p w:rsidR="00EC5817" w:rsidRPr="00EC5817" w:rsidRDefault="00EC5817" w:rsidP="00F35F8C">
      <w:pPr>
        <w:pStyle w:val="Default"/>
        <w:numPr>
          <w:ilvl w:val="0"/>
          <w:numId w:val="5"/>
        </w:numPr>
        <w:tabs>
          <w:tab w:val="clear" w:pos="1077"/>
          <w:tab w:val="num" w:pos="360"/>
        </w:tabs>
        <w:ind w:left="360"/>
        <w:jc w:val="both"/>
        <w:rPr>
          <w:sz w:val="20"/>
          <w:szCs w:val="20"/>
          <w:lang w:val="en-GB"/>
        </w:rPr>
      </w:pPr>
      <w:r w:rsidRPr="00EC5817">
        <w:rPr>
          <w:sz w:val="20"/>
          <w:szCs w:val="20"/>
          <w:lang w:val="en-GB"/>
        </w:rPr>
        <w:t xml:space="preserve">The implementation of an agreed set of referral guidelines for GPs based on the evidence and co-designed with commissioners identifying </w:t>
      </w:r>
      <w:r w:rsidRPr="00EC5817">
        <w:rPr>
          <w:rFonts w:eastAsia="MS Mincho"/>
          <w:sz w:val="20"/>
          <w:szCs w:val="20"/>
          <w:lang w:eastAsia="ja-JP"/>
        </w:rPr>
        <w:t xml:space="preserve">what referring clinicians would normally do prior to referral into the service, to ensure the most effective patient pathway. </w:t>
      </w:r>
      <w:r w:rsidRPr="00F01007">
        <w:rPr>
          <w:rFonts w:eastAsia="MS Mincho"/>
          <w:sz w:val="20"/>
          <w:szCs w:val="20"/>
          <w:lang w:eastAsia="ja-JP"/>
        </w:rPr>
        <w:t>Many of these co-designed pathways are already in place. These will continue to be reviewed and co-designed as the service develops.</w:t>
      </w:r>
      <w:r w:rsidRPr="00EC5817">
        <w:rPr>
          <w:rFonts w:eastAsia="MS Mincho"/>
          <w:szCs w:val="20"/>
          <w:lang w:eastAsia="ja-JP"/>
        </w:rPr>
        <w:t xml:space="preserve"> </w:t>
      </w:r>
      <w:r w:rsidRPr="00EC5817">
        <w:rPr>
          <w:sz w:val="20"/>
          <w:szCs w:val="20"/>
          <w:lang w:val="en-GB"/>
        </w:rPr>
        <w:t xml:space="preserve">Rapid and effective triage of all </w:t>
      </w:r>
      <w:r w:rsidR="00BE7052">
        <w:rPr>
          <w:sz w:val="20"/>
          <w:szCs w:val="20"/>
          <w:lang w:val="en-GB"/>
        </w:rPr>
        <w:t>ENT</w:t>
      </w:r>
      <w:r w:rsidRPr="00EC5817">
        <w:rPr>
          <w:sz w:val="20"/>
          <w:szCs w:val="20"/>
          <w:lang w:val="en-GB"/>
        </w:rPr>
        <w:t xml:space="preserve"> referrals using referral guidelines and the national/local cancer guidelines as a framework to direct the patient to the right person, right place, first time.</w:t>
      </w:r>
    </w:p>
    <w:p w:rsidR="00EC5817" w:rsidRPr="007D0B85" w:rsidRDefault="00EC5817" w:rsidP="00F35F8C">
      <w:pPr>
        <w:pStyle w:val="ListParagraph"/>
        <w:numPr>
          <w:ilvl w:val="0"/>
          <w:numId w:val="5"/>
        </w:numPr>
        <w:tabs>
          <w:tab w:val="clear" w:pos="1077"/>
          <w:tab w:val="num" w:pos="360"/>
        </w:tabs>
        <w:spacing w:after="0" w:line="240" w:lineRule="auto"/>
        <w:ind w:left="360"/>
        <w:jc w:val="both"/>
      </w:pPr>
      <w:r w:rsidRPr="007D0B85">
        <w:rPr>
          <w:rFonts w:eastAsia="Times New Roman" w:cs="Arial"/>
          <w:color w:val="000000"/>
          <w:szCs w:val="20"/>
        </w:rPr>
        <w:t xml:space="preserve">Patients feel better able to manage their </w:t>
      </w:r>
      <w:r w:rsidR="00BE7052">
        <w:rPr>
          <w:rFonts w:eastAsia="Times New Roman" w:cs="Arial"/>
          <w:color w:val="000000"/>
          <w:szCs w:val="20"/>
        </w:rPr>
        <w:t>ENT</w:t>
      </w:r>
      <w:r w:rsidRPr="007D0B85">
        <w:rPr>
          <w:rFonts w:eastAsia="Times New Roman" w:cs="Arial"/>
          <w:color w:val="000000"/>
          <w:szCs w:val="20"/>
        </w:rPr>
        <w:t xml:space="preserve"> condition</w:t>
      </w:r>
      <w:r w:rsidR="00F10EC7">
        <w:rPr>
          <w:rFonts w:eastAsia="Times New Roman" w:cs="Arial"/>
          <w:color w:val="000000"/>
          <w:szCs w:val="20"/>
        </w:rPr>
        <w:t>.</w:t>
      </w:r>
    </w:p>
    <w:p w:rsidR="00EC5817" w:rsidRPr="007D0B85" w:rsidRDefault="00EC5817" w:rsidP="00F35F8C">
      <w:pPr>
        <w:pStyle w:val="ListParagraph"/>
        <w:numPr>
          <w:ilvl w:val="0"/>
          <w:numId w:val="5"/>
        </w:numPr>
        <w:tabs>
          <w:tab w:val="clear" w:pos="1077"/>
          <w:tab w:val="num" w:pos="360"/>
        </w:tabs>
        <w:spacing w:after="0" w:line="240" w:lineRule="auto"/>
        <w:ind w:left="360"/>
        <w:jc w:val="both"/>
      </w:pPr>
      <w:r w:rsidRPr="007D0B85">
        <w:t xml:space="preserve">Delivering holistic care, including the identification and </w:t>
      </w:r>
      <w:r>
        <w:t>onward referral if required to meet the</w:t>
      </w:r>
      <w:r w:rsidRPr="007D0B85">
        <w:t xml:space="preserve"> psychological and emotional needs of patients and their carers, so that the ethos of ‘no health without mental health’ is integral to all pathways; risk assessments, care plans and self-management approaches.  </w:t>
      </w:r>
    </w:p>
    <w:p w:rsidR="00EC5817" w:rsidRPr="002A74CC" w:rsidRDefault="00EC5817" w:rsidP="00F35F8C">
      <w:pPr>
        <w:pStyle w:val="ListParagraph"/>
        <w:numPr>
          <w:ilvl w:val="0"/>
          <w:numId w:val="5"/>
        </w:numPr>
        <w:tabs>
          <w:tab w:val="clear" w:pos="1077"/>
          <w:tab w:val="num" w:pos="360"/>
        </w:tabs>
        <w:spacing w:after="0" w:line="240" w:lineRule="auto"/>
        <w:ind w:left="360"/>
        <w:jc w:val="both"/>
        <w:rPr>
          <w:szCs w:val="20"/>
        </w:rPr>
      </w:pPr>
      <w:r w:rsidRPr="002A74CC">
        <w:rPr>
          <w:szCs w:val="20"/>
        </w:rPr>
        <w:t>Providing clinical leadership and case management where appropriate so that patients care is co-ordinated across the pathway.</w:t>
      </w:r>
    </w:p>
    <w:p w:rsidR="00EC5817" w:rsidRPr="00752EA7" w:rsidRDefault="00EC5817" w:rsidP="00F35F8C">
      <w:pPr>
        <w:pStyle w:val="Default"/>
        <w:numPr>
          <w:ilvl w:val="0"/>
          <w:numId w:val="5"/>
        </w:numPr>
        <w:tabs>
          <w:tab w:val="clear" w:pos="1077"/>
          <w:tab w:val="num" w:pos="360"/>
        </w:tabs>
        <w:ind w:left="360"/>
        <w:jc w:val="both"/>
        <w:rPr>
          <w:sz w:val="20"/>
          <w:szCs w:val="20"/>
          <w:lang w:val="en-GB"/>
        </w:rPr>
      </w:pPr>
      <w:r w:rsidRPr="002A74CC">
        <w:rPr>
          <w:sz w:val="20"/>
          <w:szCs w:val="20"/>
        </w:rPr>
        <w:t xml:space="preserve">Implementing shared decision making so that the ethos of ‘no decision about me, without me’ is integral to all pathways. </w:t>
      </w:r>
      <w:r w:rsidRPr="002A74CC">
        <w:rPr>
          <w:rFonts w:eastAsia="MS Mincho"/>
          <w:sz w:val="20"/>
          <w:szCs w:val="20"/>
          <w:lang w:eastAsia="ja-JP"/>
        </w:rPr>
        <w:t>Ensure that good quality shared decision making takes place between the health professional and patient so that the patient makes an informed decision with their health professional based on good quality information about all the management options (including the use of NHS Right Care Shared Decision Making website)</w:t>
      </w:r>
      <w:r>
        <w:rPr>
          <w:rFonts w:eastAsia="MS Mincho"/>
          <w:sz w:val="20"/>
          <w:szCs w:val="20"/>
          <w:lang w:eastAsia="ja-JP"/>
        </w:rPr>
        <w:t xml:space="preserve">. </w:t>
      </w:r>
    </w:p>
    <w:p w:rsidR="00EC5817" w:rsidRPr="007D0B85" w:rsidRDefault="00F01007" w:rsidP="00F35F8C">
      <w:pPr>
        <w:pStyle w:val="Default"/>
        <w:numPr>
          <w:ilvl w:val="0"/>
          <w:numId w:val="5"/>
        </w:numPr>
        <w:tabs>
          <w:tab w:val="clear" w:pos="1077"/>
          <w:tab w:val="num" w:pos="360"/>
        </w:tabs>
        <w:ind w:left="360"/>
        <w:jc w:val="both"/>
        <w:rPr>
          <w:sz w:val="20"/>
          <w:szCs w:val="20"/>
          <w:lang w:val="en-GB"/>
        </w:rPr>
      </w:pPr>
      <w:r>
        <w:rPr>
          <w:sz w:val="20"/>
          <w:szCs w:val="20"/>
          <w:lang w:val="en-GB"/>
        </w:rPr>
        <w:t xml:space="preserve">The </w:t>
      </w:r>
      <w:r w:rsidR="00E84152">
        <w:rPr>
          <w:sz w:val="20"/>
          <w:szCs w:val="20"/>
          <w:lang w:val="en-GB"/>
        </w:rPr>
        <w:t>S</w:t>
      </w:r>
      <w:r>
        <w:rPr>
          <w:sz w:val="20"/>
          <w:szCs w:val="20"/>
          <w:lang w:val="en-GB"/>
        </w:rPr>
        <w:t>ervice</w:t>
      </w:r>
      <w:r w:rsidR="00BE7052">
        <w:rPr>
          <w:sz w:val="20"/>
          <w:szCs w:val="20"/>
          <w:lang w:val="en-GB"/>
        </w:rPr>
        <w:t xml:space="preserve"> needs to</w:t>
      </w:r>
      <w:r w:rsidR="00EC5817" w:rsidRPr="002A74CC">
        <w:rPr>
          <w:sz w:val="20"/>
          <w:szCs w:val="20"/>
          <w:lang w:val="en-GB"/>
        </w:rPr>
        <w:t xml:space="preserve"> evidenc</w:t>
      </w:r>
      <w:r w:rsidR="00BE7052">
        <w:rPr>
          <w:sz w:val="20"/>
          <w:szCs w:val="20"/>
          <w:lang w:val="en-GB"/>
        </w:rPr>
        <w:t>e</w:t>
      </w:r>
      <w:r w:rsidR="00EC5817" w:rsidRPr="002A74CC">
        <w:rPr>
          <w:sz w:val="20"/>
          <w:szCs w:val="20"/>
          <w:lang w:val="en-GB"/>
        </w:rPr>
        <w:t xml:space="preserve"> that choice has been offered and clear and unencumbered referral pathways for those patients who require intervention from specialists in a hospital setting</w:t>
      </w:r>
      <w:r w:rsidR="00EC5817" w:rsidRPr="007D0B85">
        <w:rPr>
          <w:sz w:val="20"/>
          <w:szCs w:val="20"/>
          <w:lang w:val="en-GB"/>
        </w:rPr>
        <w:t>.</w:t>
      </w:r>
    </w:p>
    <w:p w:rsidR="00EC5817" w:rsidRPr="007D0B85" w:rsidRDefault="00EC5817" w:rsidP="00F35F8C">
      <w:pPr>
        <w:pStyle w:val="Default"/>
        <w:numPr>
          <w:ilvl w:val="0"/>
          <w:numId w:val="5"/>
        </w:numPr>
        <w:tabs>
          <w:tab w:val="clear" w:pos="1077"/>
          <w:tab w:val="num" w:pos="360"/>
        </w:tabs>
        <w:ind w:left="360"/>
        <w:jc w:val="both"/>
        <w:rPr>
          <w:sz w:val="22"/>
          <w:szCs w:val="22"/>
          <w:lang w:val="en-GB"/>
        </w:rPr>
      </w:pPr>
      <w:r w:rsidRPr="007D0B85">
        <w:rPr>
          <w:sz w:val="20"/>
          <w:szCs w:val="20"/>
          <w:lang w:val="en-GB"/>
        </w:rPr>
        <w:t>Providing high quality performance information as defined by the specification to commissioners at prearranged and agreed intervals.</w:t>
      </w:r>
    </w:p>
    <w:p w:rsidR="00EC5817" w:rsidRPr="00F01007" w:rsidRDefault="00EC5817" w:rsidP="00F35F8C">
      <w:pPr>
        <w:numPr>
          <w:ilvl w:val="0"/>
          <w:numId w:val="5"/>
        </w:numPr>
        <w:tabs>
          <w:tab w:val="clear" w:pos="1077"/>
          <w:tab w:val="num" w:pos="360"/>
        </w:tabs>
        <w:spacing w:after="0" w:line="240" w:lineRule="auto"/>
        <w:ind w:left="360"/>
        <w:jc w:val="both"/>
        <w:rPr>
          <w:rFonts w:cs="Arial"/>
          <w:iCs/>
          <w:szCs w:val="20"/>
        </w:rPr>
      </w:pPr>
      <w:r w:rsidRPr="00F01007">
        <w:rPr>
          <w:rFonts w:cs="Arial"/>
          <w:iCs/>
          <w:szCs w:val="20"/>
        </w:rPr>
        <w:t xml:space="preserve">If the referral is unclear or more information is required the provider will have a clinician to clinician conversation with the referrer within one working day, if urgent or within three working days if routine. Patients will have prompt access to specialist opinion, advice and treatment which is inclusive of a </w:t>
      </w:r>
      <w:r w:rsidR="003C34B2">
        <w:rPr>
          <w:rFonts w:cs="Arial"/>
          <w:iCs/>
          <w:szCs w:val="20"/>
        </w:rPr>
        <w:t>GPSI</w:t>
      </w:r>
      <w:r w:rsidRPr="00F01007">
        <w:rPr>
          <w:rFonts w:cs="Arial"/>
          <w:iCs/>
          <w:szCs w:val="20"/>
        </w:rPr>
        <w:t xml:space="preserve"> </w:t>
      </w:r>
      <w:r w:rsidR="00BE7052" w:rsidRPr="00F01007">
        <w:rPr>
          <w:rFonts w:cs="Arial"/>
          <w:iCs/>
          <w:szCs w:val="20"/>
        </w:rPr>
        <w:t>ENT</w:t>
      </w:r>
      <w:r w:rsidRPr="00F01007">
        <w:rPr>
          <w:rFonts w:cs="Arial"/>
          <w:iCs/>
          <w:szCs w:val="20"/>
        </w:rPr>
        <w:t>.</w:t>
      </w:r>
    </w:p>
    <w:p w:rsidR="00EC5817" w:rsidRPr="00F01007" w:rsidRDefault="00EC5817" w:rsidP="00F35F8C">
      <w:pPr>
        <w:numPr>
          <w:ilvl w:val="0"/>
          <w:numId w:val="5"/>
        </w:numPr>
        <w:tabs>
          <w:tab w:val="clear" w:pos="1077"/>
          <w:tab w:val="num" w:pos="360"/>
        </w:tabs>
        <w:spacing w:after="0" w:line="240" w:lineRule="auto"/>
        <w:ind w:left="360"/>
        <w:jc w:val="both"/>
        <w:rPr>
          <w:rFonts w:cs="Arial"/>
          <w:iCs/>
          <w:szCs w:val="20"/>
        </w:rPr>
      </w:pPr>
      <w:r w:rsidRPr="00F01007">
        <w:rPr>
          <w:rFonts w:cs="Arial"/>
          <w:iCs/>
          <w:szCs w:val="20"/>
        </w:rPr>
        <w:t xml:space="preserve">Care will be delivered where possible in a one stop shop, by providing care that minimises the number of appointment visits for patients. This can be achieved by locating staff together and by amalgamating appointments so that patients can be assessed, undergo diagnostic tests, receive the results and the diagnosis and be provided with a treatment plan which includes surgical management if appropriate within a one-stop shop if appropriate. NB the </w:t>
      </w:r>
      <w:r w:rsidR="00BE7052" w:rsidRPr="00F01007">
        <w:rPr>
          <w:rFonts w:cs="Arial"/>
          <w:iCs/>
          <w:szCs w:val="20"/>
        </w:rPr>
        <w:t>ENT</w:t>
      </w:r>
      <w:r w:rsidRPr="00F01007">
        <w:rPr>
          <w:rFonts w:cs="Arial"/>
          <w:iCs/>
          <w:szCs w:val="20"/>
        </w:rPr>
        <w:t xml:space="preserve"> must ensure they have access to hospital pathology lab results and imaging to ensure a seamless service for the patient and avoid duplication of investigations. </w:t>
      </w:r>
    </w:p>
    <w:p w:rsidR="00EC5817" w:rsidRPr="007D0B85" w:rsidRDefault="00EC5817" w:rsidP="00F35F8C">
      <w:pPr>
        <w:numPr>
          <w:ilvl w:val="0"/>
          <w:numId w:val="5"/>
        </w:numPr>
        <w:tabs>
          <w:tab w:val="clear" w:pos="1077"/>
          <w:tab w:val="num" w:pos="360"/>
        </w:tabs>
        <w:spacing w:after="0" w:line="240" w:lineRule="auto"/>
        <w:ind w:left="360"/>
        <w:jc w:val="both"/>
        <w:rPr>
          <w:rFonts w:cs="Arial"/>
          <w:iCs/>
          <w:szCs w:val="20"/>
        </w:rPr>
      </w:pPr>
      <w:r w:rsidRPr="007D0B85">
        <w:rPr>
          <w:rFonts w:cs="Arial"/>
          <w:iCs/>
          <w:szCs w:val="20"/>
        </w:rPr>
        <w:t>Patients and clinicians will have prompt access to routine diagnostic tests and to the results.</w:t>
      </w:r>
    </w:p>
    <w:p w:rsidR="00EC5817" w:rsidRPr="007D0B85" w:rsidRDefault="00EC5817" w:rsidP="00F35F8C">
      <w:pPr>
        <w:numPr>
          <w:ilvl w:val="0"/>
          <w:numId w:val="5"/>
        </w:numPr>
        <w:tabs>
          <w:tab w:val="clear" w:pos="1077"/>
          <w:tab w:val="num" w:pos="360"/>
        </w:tabs>
        <w:spacing w:after="0" w:line="240" w:lineRule="auto"/>
        <w:ind w:left="360"/>
        <w:jc w:val="both"/>
        <w:rPr>
          <w:rFonts w:cs="Arial"/>
          <w:iCs/>
          <w:szCs w:val="20"/>
        </w:rPr>
      </w:pPr>
      <w:r w:rsidRPr="007D0B85">
        <w:rPr>
          <w:rFonts w:cs="Arial"/>
          <w:iCs/>
          <w:szCs w:val="20"/>
        </w:rPr>
        <w:lastRenderedPageBreak/>
        <w:t>Supported self-care will be delivered through much greater access to patient and carer education, advice and support services thro</w:t>
      </w:r>
      <w:r>
        <w:rPr>
          <w:rFonts w:cs="Arial"/>
          <w:iCs/>
          <w:szCs w:val="20"/>
        </w:rPr>
        <w:t>ugh</w:t>
      </w:r>
      <w:r w:rsidR="00716A2E">
        <w:rPr>
          <w:rFonts w:cs="Arial"/>
          <w:iCs/>
          <w:szCs w:val="20"/>
        </w:rPr>
        <w:t xml:space="preserve">out the </w:t>
      </w:r>
      <w:r w:rsidR="0020684D">
        <w:rPr>
          <w:rFonts w:cs="Arial"/>
          <w:iCs/>
          <w:szCs w:val="20"/>
        </w:rPr>
        <w:t>area.</w:t>
      </w:r>
      <w:r w:rsidR="00716A2E">
        <w:rPr>
          <w:rFonts w:cs="Arial"/>
          <w:iCs/>
          <w:szCs w:val="20"/>
        </w:rPr>
        <w:t xml:space="preserve"> </w:t>
      </w:r>
    </w:p>
    <w:p w:rsidR="00EC5817" w:rsidRPr="007D0B85" w:rsidRDefault="00EC5817" w:rsidP="00F35F8C">
      <w:pPr>
        <w:numPr>
          <w:ilvl w:val="0"/>
          <w:numId w:val="5"/>
        </w:numPr>
        <w:tabs>
          <w:tab w:val="clear" w:pos="1077"/>
          <w:tab w:val="num" w:pos="360"/>
        </w:tabs>
        <w:autoSpaceDE w:val="0"/>
        <w:autoSpaceDN w:val="0"/>
        <w:adjustRightInd w:val="0"/>
        <w:spacing w:after="0" w:line="240" w:lineRule="auto"/>
        <w:ind w:left="360"/>
        <w:rPr>
          <w:rFonts w:cs="Arial"/>
        </w:rPr>
      </w:pPr>
      <w:r w:rsidRPr="007D0B85">
        <w:rPr>
          <w:rFonts w:cs="Arial"/>
        </w:rPr>
        <w:t>All patient records are</w:t>
      </w:r>
      <w:r>
        <w:rPr>
          <w:rFonts w:cs="Arial"/>
        </w:rPr>
        <w:t xml:space="preserve"> electronic and</w:t>
      </w:r>
      <w:r w:rsidRPr="007D0B85">
        <w:rPr>
          <w:rFonts w:cs="Arial"/>
        </w:rPr>
        <w:t xml:space="preserve"> maintained and secured in line with national guidance and local policies (e.g. Data Protection, Caldicott, confidentiality etc).</w:t>
      </w:r>
    </w:p>
    <w:p w:rsidR="00EC5817" w:rsidRPr="007D0B85" w:rsidRDefault="00EC5817" w:rsidP="00F35F8C">
      <w:pPr>
        <w:numPr>
          <w:ilvl w:val="0"/>
          <w:numId w:val="5"/>
        </w:numPr>
        <w:tabs>
          <w:tab w:val="clear" w:pos="1077"/>
          <w:tab w:val="num" w:pos="360"/>
        </w:tabs>
        <w:autoSpaceDE w:val="0"/>
        <w:autoSpaceDN w:val="0"/>
        <w:adjustRightInd w:val="0"/>
        <w:spacing w:after="0" w:line="240" w:lineRule="auto"/>
        <w:ind w:left="360"/>
        <w:rPr>
          <w:rFonts w:cs="Arial"/>
        </w:rPr>
      </w:pPr>
      <w:r w:rsidRPr="007D0B85">
        <w:rPr>
          <w:rFonts w:cs="Arial"/>
        </w:rPr>
        <w:t>Ensure the patient’s GP is informed of the outcome of any appointments as outlined within the national contract</w:t>
      </w:r>
      <w:r w:rsidR="00F10EC7">
        <w:rPr>
          <w:rFonts w:cs="Arial"/>
        </w:rPr>
        <w:t>.</w:t>
      </w:r>
    </w:p>
    <w:p w:rsidR="00EC5817" w:rsidRPr="005F0454" w:rsidRDefault="00EC5817" w:rsidP="00F35F8C">
      <w:pPr>
        <w:pStyle w:val="ListParagraph"/>
        <w:numPr>
          <w:ilvl w:val="0"/>
          <w:numId w:val="5"/>
        </w:numPr>
        <w:tabs>
          <w:tab w:val="clear" w:pos="1077"/>
          <w:tab w:val="num" w:pos="360"/>
        </w:tabs>
        <w:spacing w:after="0" w:line="240" w:lineRule="auto"/>
        <w:ind w:left="360"/>
        <w:jc w:val="both"/>
      </w:pPr>
      <w:r w:rsidRPr="007D0B85">
        <w:rPr>
          <w:rFonts w:cs="Arial"/>
        </w:rPr>
        <w:t xml:space="preserve">Clear and accessible patient information will be provided in a variety of formats including guidance on services provided and health promotion for common </w:t>
      </w:r>
      <w:r w:rsidR="008757CD">
        <w:rPr>
          <w:rFonts w:cs="Arial"/>
        </w:rPr>
        <w:t>ENT</w:t>
      </w:r>
      <w:r w:rsidRPr="007D0B85">
        <w:rPr>
          <w:rFonts w:cs="Arial"/>
        </w:rPr>
        <w:t xml:space="preserve"> conditions. </w:t>
      </w:r>
      <w:r w:rsidRPr="000F1CB4">
        <w:rPr>
          <w:rFonts w:eastAsia="MS Mincho" w:cs="Arial"/>
          <w:szCs w:val="20"/>
          <w:lang w:val="en-US" w:eastAsia="ja-JP"/>
        </w:rPr>
        <w:t xml:space="preserve">The patient </w:t>
      </w:r>
      <w:r>
        <w:rPr>
          <w:rFonts w:eastAsia="MS Mincho" w:cs="Arial"/>
          <w:szCs w:val="20"/>
          <w:lang w:val="en-US" w:eastAsia="ja-JP"/>
        </w:rPr>
        <w:t>will be</w:t>
      </w:r>
      <w:r w:rsidRPr="000F1CB4">
        <w:rPr>
          <w:rFonts w:eastAsia="MS Mincho" w:cs="Arial"/>
          <w:szCs w:val="20"/>
          <w:lang w:val="en-US" w:eastAsia="ja-JP"/>
        </w:rPr>
        <w:t xml:space="preserve"> provided with both verbal and written information to improve their understanding of their health condition and management.</w:t>
      </w:r>
    </w:p>
    <w:p w:rsidR="00EC5817" w:rsidRPr="008757CD" w:rsidRDefault="00EC5817" w:rsidP="00F35F8C">
      <w:pPr>
        <w:numPr>
          <w:ilvl w:val="0"/>
          <w:numId w:val="5"/>
        </w:numPr>
        <w:tabs>
          <w:tab w:val="clear" w:pos="1077"/>
          <w:tab w:val="num" w:pos="360"/>
        </w:tabs>
        <w:spacing w:after="0" w:line="240" w:lineRule="auto"/>
        <w:ind w:left="360"/>
        <w:jc w:val="both"/>
        <w:rPr>
          <w:rFonts w:cs="Arial"/>
          <w:iCs/>
          <w:szCs w:val="20"/>
        </w:rPr>
      </w:pPr>
      <w:r w:rsidRPr="00E60CA6">
        <w:rPr>
          <w:rFonts w:cs="Arial"/>
          <w:iCs/>
          <w:szCs w:val="20"/>
        </w:rPr>
        <w:t>Provide routine advi</w:t>
      </w:r>
      <w:r>
        <w:rPr>
          <w:rFonts w:cs="Arial"/>
          <w:iCs/>
          <w:szCs w:val="20"/>
        </w:rPr>
        <w:t xml:space="preserve">ce and guidance </w:t>
      </w:r>
      <w:r w:rsidRPr="008757CD">
        <w:rPr>
          <w:rFonts w:cs="Arial"/>
          <w:iCs/>
          <w:szCs w:val="20"/>
        </w:rPr>
        <w:t>service within 3 working days for non-urgent requests and within 1 working day for urgent requests, by email or telephone, to clinicians and patients currently in the Service;</w:t>
      </w:r>
    </w:p>
    <w:p w:rsidR="00EC5817" w:rsidRDefault="00EC5817" w:rsidP="00F35F8C">
      <w:pPr>
        <w:numPr>
          <w:ilvl w:val="0"/>
          <w:numId w:val="5"/>
        </w:numPr>
        <w:tabs>
          <w:tab w:val="clear" w:pos="1077"/>
          <w:tab w:val="num" w:pos="360"/>
        </w:tabs>
        <w:spacing w:after="0" w:line="240" w:lineRule="auto"/>
        <w:ind w:left="360"/>
        <w:jc w:val="both"/>
        <w:rPr>
          <w:rFonts w:cs="Arial"/>
          <w:iCs/>
          <w:szCs w:val="20"/>
        </w:rPr>
      </w:pPr>
      <w:r w:rsidRPr="008757CD">
        <w:rPr>
          <w:rFonts w:cs="Arial"/>
          <w:iCs/>
          <w:szCs w:val="20"/>
        </w:rPr>
        <w:t>Provides SOS/telephone services for patients self-referring back into the</w:t>
      </w:r>
      <w:r w:rsidRPr="00E60CA6">
        <w:rPr>
          <w:rFonts w:cs="Arial"/>
          <w:iCs/>
          <w:szCs w:val="20"/>
        </w:rPr>
        <w:t xml:space="preserve"> service within 6 months of discharge for the same condition. </w:t>
      </w:r>
    </w:p>
    <w:p w:rsidR="00F57A86" w:rsidRPr="00E60CA6" w:rsidRDefault="00F57A86" w:rsidP="00F35F8C">
      <w:pPr>
        <w:numPr>
          <w:ilvl w:val="0"/>
          <w:numId w:val="5"/>
        </w:numPr>
        <w:tabs>
          <w:tab w:val="clear" w:pos="1077"/>
          <w:tab w:val="num" w:pos="360"/>
        </w:tabs>
        <w:spacing w:after="0" w:line="240" w:lineRule="auto"/>
        <w:ind w:left="360"/>
        <w:jc w:val="both"/>
        <w:rPr>
          <w:rFonts w:cs="Arial"/>
          <w:iCs/>
          <w:szCs w:val="20"/>
        </w:rPr>
      </w:pPr>
      <w:r>
        <w:rPr>
          <w:rFonts w:cs="Arial"/>
          <w:iCs/>
          <w:szCs w:val="20"/>
        </w:rPr>
        <w:t>Provide a Consultant supported community ENT service. The Consultant provides advice and guidance to the Community ENT team as well as clinical supervision and support.</w:t>
      </w:r>
    </w:p>
    <w:p w:rsidR="00EC5817" w:rsidRPr="007D0B85" w:rsidRDefault="00EC5817" w:rsidP="00EC5817">
      <w:pPr>
        <w:autoSpaceDE w:val="0"/>
        <w:autoSpaceDN w:val="0"/>
        <w:adjustRightInd w:val="0"/>
        <w:spacing w:after="0" w:line="240" w:lineRule="auto"/>
        <w:rPr>
          <w:rFonts w:eastAsia="MS Mincho" w:cs="Arial"/>
          <w:szCs w:val="20"/>
          <w:lang w:val="en-US" w:eastAsia="ja-JP"/>
        </w:rPr>
      </w:pPr>
    </w:p>
    <w:p w:rsidR="00EC5817" w:rsidRPr="007D0B85" w:rsidRDefault="00EC5817" w:rsidP="00EC5817">
      <w:p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The service should be provided in line with the patient and public rights and the values set out within the NHS Constitution. This includes:</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access to health services;</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quality of care and environment;</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nationally approved treatments, drugs and programmes;</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respect, consent and confidentiality;</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informed choice;</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involvement in your healthcare and in the NHS; and</w:t>
      </w:r>
    </w:p>
    <w:p w:rsidR="00EC5817" w:rsidRPr="007D0B85" w:rsidRDefault="00EC5817" w:rsidP="00F35F8C">
      <w:pPr>
        <w:numPr>
          <w:ilvl w:val="0"/>
          <w:numId w:val="6"/>
        </w:numPr>
        <w:autoSpaceDE w:val="0"/>
        <w:autoSpaceDN w:val="0"/>
        <w:adjustRightInd w:val="0"/>
        <w:spacing w:after="0" w:line="240" w:lineRule="auto"/>
        <w:rPr>
          <w:rFonts w:eastAsia="MS Mincho" w:cs="Arial"/>
          <w:szCs w:val="20"/>
          <w:lang w:val="en-US" w:eastAsia="ja-JP"/>
        </w:rPr>
      </w:pPr>
      <w:r w:rsidRPr="007D0B85">
        <w:rPr>
          <w:rFonts w:eastAsia="MS Mincho" w:cs="Arial"/>
          <w:szCs w:val="20"/>
          <w:lang w:val="en-US" w:eastAsia="ja-JP"/>
        </w:rPr>
        <w:t>Rights and pledges covering complaints.</w:t>
      </w:r>
    </w:p>
    <w:p w:rsidR="00EC5817" w:rsidRPr="007D0B85" w:rsidRDefault="00EC5817" w:rsidP="00EC5817">
      <w:pPr>
        <w:spacing w:after="0" w:line="240" w:lineRule="auto"/>
        <w:rPr>
          <w:rFonts w:eastAsia="MS Mincho" w:cs="Arial"/>
          <w:szCs w:val="20"/>
          <w:lang w:val="en-US" w:eastAsia="ja-JP"/>
        </w:rPr>
      </w:pPr>
      <w:r w:rsidRPr="007D0B85">
        <w:rPr>
          <w:rFonts w:eastAsia="MS Mincho" w:cs="Arial"/>
          <w:szCs w:val="20"/>
          <w:lang w:val="en-US" w:eastAsia="ja-JP"/>
        </w:rPr>
        <w:t xml:space="preserve">These rights and pledges are set out in the Handbook to the NHS Constitution on NHS England website at </w:t>
      </w:r>
      <w:hyperlink r:id="rId12" w:history="1">
        <w:r w:rsidRPr="007D0B85">
          <w:rPr>
            <w:rFonts w:eastAsia="MS Mincho" w:cs="Arial"/>
            <w:color w:val="0000FF"/>
            <w:szCs w:val="20"/>
            <w:u w:val="single"/>
            <w:lang w:val="en-US" w:eastAsia="ja-JP"/>
          </w:rPr>
          <w:t>www.england.nhs.uk</w:t>
        </w:r>
      </w:hyperlink>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9" w:name="_Toc414882536"/>
            <w:r>
              <w:rPr>
                <w:color w:val="FFFFFF" w:themeColor="background1"/>
              </w:rPr>
              <w:t>3</w:t>
            </w:r>
            <w:r w:rsidRPr="003225F3">
              <w:rPr>
                <w:color w:val="FFFFFF" w:themeColor="background1"/>
              </w:rPr>
              <w:t>.0</w:t>
            </w:r>
            <w:r w:rsidRPr="003225F3">
              <w:rPr>
                <w:color w:val="FFFFFF" w:themeColor="background1"/>
              </w:rPr>
              <w:tab/>
              <w:t>Out of Scope</w:t>
            </w:r>
            <w:bookmarkEnd w:id="9"/>
          </w:p>
        </w:tc>
      </w:tr>
    </w:tbl>
    <w:p w:rsidR="00D77151" w:rsidRDefault="00D77151" w:rsidP="00D77151">
      <w:pPr>
        <w:pStyle w:val="Heading3"/>
      </w:pPr>
      <w:bookmarkStart w:id="10" w:name="_Toc414882537"/>
      <w:r>
        <w:t>3</w:t>
      </w:r>
      <w:r w:rsidRPr="00C562EE">
        <w:t>.1 Services out of Scope</w:t>
      </w:r>
      <w:bookmarkEnd w:id="10"/>
    </w:p>
    <w:p w:rsidR="00095281" w:rsidRDefault="00095281" w:rsidP="00095281">
      <w:r>
        <w:t>N</w:t>
      </w:r>
      <w:r w:rsidRPr="001533C0">
        <w:t>o surgical procedures requiring general anaesthetic wil</w:t>
      </w:r>
      <w:r>
        <w:t>l be carried out in this service.</w:t>
      </w:r>
    </w:p>
    <w:p w:rsidR="00095281" w:rsidRDefault="00095281" w:rsidP="00095281">
      <w:pPr>
        <w:rPr>
          <w:rStyle w:val="Style11pt"/>
          <w:rFonts w:cs="Arial"/>
        </w:rPr>
      </w:pPr>
      <w:r w:rsidRPr="001533C0">
        <w:rPr>
          <w:rStyle w:val="Style11pt"/>
          <w:rFonts w:cs="Arial"/>
        </w:rPr>
        <w:t>The service will not include</w:t>
      </w:r>
      <w:r w:rsidR="00F10EC7">
        <w:rPr>
          <w:rStyle w:val="Style11pt"/>
          <w:rFonts w:cs="Arial"/>
        </w:rPr>
        <w:t>:-</w:t>
      </w:r>
    </w:p>
    <w:p w:rsidR="00095281" w:rsidRPr="001533C0" w:rsidRDefault="00095281" w:rsidP="00F35F8C">
      <w:pPr>
        <w:numPr>
          <w:ilvl w:val="0"/>
          <w:numId w:val="36"/>
        </w:numPr>
        <w:tabs>
          <w:tab w:val="clear" w:pos="720"/>
          <w:tab w:val="num" w:pos="360"/>
        </w:tabs>
        <w:spacing w:after="0" w:line="240" w:lineRule="auto"/>
        <w:ind w:left="360"/>
        <w:rPr>
          <w:rStyle w:val="Style11pt"/>
          <w:rFonts w:cs="Arial"/>
        </w:rPr>
      </w:pPr>
      <w:r w:rsidRPr="001533C0">
        <w:rPr>
          <w:rStyle w:val="Style11pt"/>
          <w:rFonts w:cs="Arial"/>
        </w:rPr>
        <w:t>Suspected cancers (2 week rule)</w:t>
      </w:r>
    </w:p>
    <w:p w:rsidR="00095281" w:rsidRPr="001533C0" w:rsidRDefault="00095281" w:rsidP="00F35F8C">
      <w:pPr>
        <w:numPr>
          <w:ilvl w:val="0"/>
          <w:numId w:val="35"/>
        </w:numPr>
        <w:tabs>
          <w:tab w:val="clear" w:pos="720"/>
          <w:tab w:val="num" w:pos="360"/>
        </w:tabs>
        <w:spacing w:after="0" w:line="240" w:lineRule="auto"/>
        <w:ind w:left="360"/>
        <w:rPr>
          <w:rStyle w:val="Style11pt"/>
          <w:rFonts w:cs="Arial"/>
        </w:rPr>
      </w:pPr>
      <w:r w:rsidRPr="001533C0">
        <w:rPr>
          <w:rStyle w:val="Style11pt"/>
          <w:rFonts w:cs="Arial"/>
        </w:rPr>
        <w:t>Lumps in Neck/Thyroid</w:t>
      </w:r>
    </w:p>
    <w:p w:rsidR="00095281" w:rsidRPr="001533C0" w:rsidRDefault="00095281" w:rsidP="00F35F8C">
      <w:pPr>
        <w:numPr>
          <w:ilvl w:val="0"/>
          <w:numId w:val="35"/>
        </w:numPr>
        <w:tabs>
          <w:tab w:val="clear" w:pos="720"/>
          <w:tab w:val="num" w:pos="360"/>
        </w:tabs>
        <w:spacing w:after="0" w:line="240" w:lineRule="auto"/>
        <w:ind w:left="360"/>
        <w:rPr>
          <w:rStyle w:val="Style11pt"/>
          <w:rFonts w:cs="Arial"/>
        </w:rPr>
      </w:pPr>
      <w:r w:rsidRPr="001533C0">
        <w:rPr>
          <w:rStyle w:val="Style11pt"/>
          <w:rFonts w:cs="Arial"/>
        </w:rPr>
        <w:t xml:space="preserve">Sudden, or unilateral hearing loss, </w:t>
      </w:r>
    </w:p>
    <w:p w:rsidR="00095281" w:rsidRPr="001533C0" w:rsidRDefault="00095281" w:rsidP="00F35F8C">
      <w:pPr>
        <w:numPr>
          <w:ilvl w:val="0"/>
          <w:numId w:val="35"/>
        </w:numPr>
        <w:tabs>
          <w:tab w:val="clear" w:pos="720"/>
          <w:tab w:val="num" w:pos="360"/>
        </w:tabs>
        <w:spacing w:after="0" w:line="240" w:lineRule="auto"/>
        <w:ind w:left="360"/>
        <w:rPr>
          <w:rStyle w:val="Style11pt"/>
          <w:rFonts w:cs="Arial"/>
        </w:rPr>
      </w:pPr>
      <w:r w:rsidRPr="001533C0">
        <w:rPr>
          <w:rStyle w:val="Style11pt"/>
          <w:rFonts w:cs="Arial"/>
        </w:rPr>
        <w:t>Age related hearing loss in those aged over 55 years (refer to Direct Access Audiology)</w:t>
      </w:r>
    </w:p>
    <w:p w:rsidR="00095281" w:rsidRPr="001533C0" w:rsidRDefault="00095281" w:rsidP="00F35F8C">
      <w:pPr>
        <w:numPr>
          <w:ilvl w:val="0"/>
          <w:numId w:val="35"/>
        </w:numPr>
        <w:tabs>
          <w:tab w:val="clear" w:pos="720"/>
          <w:tab w:val="num" w:pos="360"/>
        </w:tabs>
        <w:spacing w:after="0" w:line="240" w:lineRule="auto"/>
        <w:ind w:left="360"/>
        <w:rPr>
          <w:rStyle w:val="Style11pt"/>
          <w:rFonts w:cs="Arial"/>
        </w:rPr>
      </w:pPr>
      <w:r w:rsidRPr="001533C0">
        <w:rPr>
          <w:rStyle w:val="Style11pt"/>
          <w:rFonts w:cs="Arial"/>
        </w:rPr>
        <w:t>Hearing difficulty in children (refer direct to Children’s Hearing Services)</w:t>
      </w:r>
    </w:p>
    <w:p w:rsidR="00095281" w:rsidRPr="0020684D" w:rsidRDefault="00600F37" w:rsidP="00F35F8C">
      <w:pPr>
        <w:numPr>
          <w:ilvl w:val="0"/>
          <w:numId w:val="35"/>
        </w:numPr>
        <w:tabs>
          <w:tab w:val="clear" w:pos="720"/>
          <w:tab w:val="num" w:pos="360"/>
        </w:tabs>
        <w:spacing w:after="0" w:line="240" w:lineRule="auto"/>
        <w:ind w:left="360"/>
        <w:rPr>
          <w:rStyle w:val="Style11pt"/>
          <w:rFonts w:cs="Arial"/>
        </w:rPr>
      </w:pPr>
      <w:r>
        <w:rPr>
          <w:rStyle w:val="Style11pt"/>
          <w:rFonts w:cs="Arial"/>
        </w:rPr>
        <w:t>Dizziness or vertigo</w:t>
      </w:r>
    </w:p>
    <w:p w:rsidR="00095281" w:rsidRPr="0020684D" w:rsidRDefault="00095281" w:rsidP="00F35F8C">
      <w:pPr>
        <w:numPr>
          <w:ilvl w:val="0"/>
          <w:numId w:val="35"/>
        </w:numPr>
        <w:tabs>
          <w:tab w:val="clear" w:pos="720"/>
          <w:tab w:val="num" w:pos="360"/>
        </w:tabs>
        <w:spacing w:after="0" w:line="240" w:lineRule="auto"/>
        <w:ind w:left="360"/>
        <w:rPr>
          <w:rStyle w:val="Style11pt"/>
          <w:rFonts w:cs="Arial"/>
        </w:rPr>
      </w:pPr>
      <w:r w:rsidRPr="0020684D">
        <w:rPr>
          <w:rStyle w:val="Style11pt"/>
          <w:rFonts w:cs="Arial"/>
        </w:rPr>
        <w:t xml:space="preserve">Unilateral Tinnitus </w:t>
      </w:r>
    </w:p>
    <w:p w:rsidR="00095281" w:rsidRPr="0020684D" w:rsidRDefault="00095281" w:rsidP="00F35F8C">
      <w:pPr>
        <w:numPr>
          <w:ilvl w:val="0"/>
          <w:numId w:val="35"/>
        </w:numPr>
        <w:tabs>
          <w:tab w:val="clear" w:pos="720"/>
          <w:tab w:val="num" w:pos="360"/>
        </w:tabs>
        <w:spacing w:after="0" w:line="240" w:lineRule="auto"/>
        <w:ind w:left="360"/>
        <w:rPr>
          <w:rStyle w:val="Style11pt"/>
          <w:rFonts w:cs="Arial"/>
        </w:rPr>
      </w:pPr>
      <w:r w:rsidRPr="0020684D">
        <w:rPr>
          <w:rStyle w:val="Style11pt"/>
          <w:rFonts w:cs="Arial"/>
        </w:rPr>
        <w:t>Sleep Apnoea/Snoring  (unless direct access to sleep studies)</w:t>
      </w:r>
    </w:p>
    <w:p w:rsidR="002111FE" w:rsidRDefault="00095281" w:rsidP="002111FE">
      <w:pPr>
        <w:numPr>
          <w:ilvl w:val="0"/>
          <w:numId w:val="35"/>
        </w:numPr>
        <w:tabs>
          <w:tab w:val="clear" w:pos="720"/>
          <w:tab w:val="num" w:pos="360"/>
        </w:tabs>
        <w:spacing w:after="0" w:line="240" w:lineRule="auto"/>
        <w:ind w:left="360"/>
        <w:rPr>
          <w:rStyle w:val="Style11pt"/>
          <w:rFonts w:cs="Arial"/>
        </w:rPr>
      </w:pPr>
      <w:r w:rsidRPr="0020684D">
        <w:rPr>
          <w:rStyle w:val="Style11pt"/>
          <w:rFonts w:cs="Arial"/>
        </w:rPr>
        <w:t>Foreign body in ear, nose, or throat</w:t>
      </w:r>
    </w:p>
    <w:p w:rsidR="002111FE" w:rsidRPr="002111FE" w:rsidRDefault="002111FE" w:rsidP="002111FE">
      <w:pPr>
        <w:numPr>
          <w:ilvl w:val="0"/>
          <w:numId w:val="35"/>
        </w:numPr>
        <w:tabs>
          <w:tab w:val="clear" w:pos="720"/>
          <w:tab w:val="num" w:pos="360"/>
        </w:tabs>
        <w:spacing w:after="0" w:line="240" w:lineRule="auto"/>
        <w:ind w:left="360"/>
        <w:rPr>
          <w:rStyle w:val="Style11pt"/>
          <w:rFonts w:cs="Arial"/>
        </w:rPr>
      </w:pPr>
      <w:r w:rsidRPr="002111FE">
        <w:rPr>
          <w:rStyle w:val="Style11pt"/>
          <w:rFonts w:cs="Arial"/>
        </w:rPr>
        <w:t xml:space="preserve">Dizziness/Vertigo(refer to Balance Services if available) </w:t>
      </w:r>
    </w:p>
    <w:p w:rsidR="00095281" w:rsidRPr="002D43A2" w:rsidRDefault="00095281" w:rsidP="00F35F8C">
      <w:pPr>
        <w:numPr>
          <w:ilvl w:val="0"/>
          <w:numId w:val="35"/>
        </w:numPr>
        <w:tabs>
          <w:tab w:val="clear" w:pos="720"/>
          <w:tab w:val="num" w:pos="360"/>
        </w:tabs>
        <w:spacing w:after="0" w:line="240" w:lineRule="auto"/>
        <w:ind w:left="360"/>
        <w:rPr>
          <w:rStyle w:val="Style11pt"/>
          <w:rFonts w:cs="Arial"/>
          <w:b/>
        </w:rPr>
      </w:pPr>
      <w:r w:rsidRPr="001533C0">
        <w:rPr>
          <w:rStyle w:val="Style11pt"/>
          <w:rFonts w:cs="Arial"/>
        </w:rPr>
        <w:t xml:space="preserve">The Provider will not undertake any actions or procedures which are identified as low priority by the </w:t>
      </w:r>
      <w:r>
        <w:rPr>
          <w:rStyle w:val="Style11pt"/>
          <w:rFonts w:cs="Arial"/>
        </w:rPr>
        <w:t xml:space="preserve">NHS Sussex </w:t>
      </w:r>
      <w:r w:rsidRPr="001533C0">
        <w:rPr>
          <w:rStyle w:val="Style11pt"/>
          <w:rFonts w:cs="Arial"/>
        </w:rPr>
        <w:t>Priorities Committee</w:t>
      </w:r>
    </w:p>
    <w:p w:rsidR="00095281" w:rsidRPr="00095281" w:rsidRDefault="00095281" w:rsidP="00095281"/>
    <w:p w:rsidR="00D77151" w:rsidRDefault="00D77151" w:rsidP="00D77151">
      <w:pPr>
        <w:pStyle w:val="Heading3"/>
      </w:pPr>
      <w:bookmarkStart w:id="11" w:name="_Toc414882538"/>
      <w:r>
        <w:lastRenderedPageBreak/>
        <w:t>3</w:t>
      </w:r>
      <w:r w:rsidRPr="00C562EE">
        <w:t>.2 Condition and Treatment Exclusions</w:t>
      </w:r>
      <w:bookmarkEnd w:id="11"/>
    </w:p>
    <w:p w:rsidR="00EC5817" w:rsidRPr="00D276BF" w:rsidRDefault="00EC5817" w:rsidP="00EC5817">
      <w:pPr>
        <w:spacing w:after="0" w:line="240" w:lineRule="auto"/>
        <w:rPr>
          <w:rFonts w:eastAsia="MS Mincho" w:cs="Arial"/>
          <w:bCs/>
          <w:szCs w:val="20"/>
          <w:lang w:val="en-US" w:eastAsia="ja-JP"/>
        </w:rPr>
      </w:pPr>
      <w:r w:rsidRPr="00D276BF">
        <w:rPr>
          <w:rFonts w:eastAsia="MS Mincho" w:cs="Arial"/>
          <w:bCs/>
          <w:szCs w:val="20"/>
          <w:lang w:val="en-US" w:eastAsia="ja-JP"/>
        </w:rPr>
        <w:t>In addition, the following exclusion criteria apply:</w:t>
      </w:r>
    </w:p>
    <w:p w:rsidR="00EC5817" w:rsidRDefault="00EC5817" w:rsidP="00EC5817">
      <w:pPr>
        <w:spacing w:after="0" w:line="240" w:lineRule="auto"/>
        <w:rPr>
          <w:rFonts w:eastAsia="MS Mincho" w:cs="Arial"/>
          <w:bCs/>
          <w:szCs w:val="20"/>
          <w:lang w:val="en-US" w:eastAsia="ja-JP"/>
        </w:rPr>
      </w:pPr>
    </w:p>
    <w:p w:rsidR="00095281" w:rsidRDefault="00095281" w:rsidP="00095281">
      <w:pPr>
        <w:rPr>
          <w:rStyle w:val="Style11pt"/>
          <w:rFonts w:cs="Arial"/>
        </w:rPr>
      </w:pPr>
      <w:r>
        <w:rPr>
          <w:rStyle w:val="Style11pt"/>
          <w:rFonts w:cs="Arial"/>
        </w:rPr>
        <w:t>C</w:t>
      </w:r>
      <w:r w:rsidRPr="001533C0">
        <w:rPr>
          <w:rStyle w:val="Style11pt"/>
          <w:rFonts w:cs="Arial"/>
        </w:rPr>
        <w:t>omplex and urgent (red flag) referrals including suspected cancers will be directed to a</w:t>
      </w:r>
      <w:r>
        <w:rPr>
          <w:rStyle w:val="Style11pt"/>
          <w:rFonts w:cs="Arial"/>
        </w:rPr>
        <w:t>n acute</w:t>
      </w:r>
      <w:r w:rsidRPr="001533C0">
        <w:rPr>
          <w:rStyle w:val="Style11pt"/>
          <w:rFonts w:cs="Arial"/>
        </w:rPr>
        <w:t xml:space="preserve"> hospital </w:t>
      </w:r>
      <w:r>
        <w:rPr>
          <w:rStyle w:val="Style11pt"/>
          <w:rFonts w:cs="Arial"/>
        </w:rPr>
        <w:t xml:space="preserve">service </w:t>
      </w:r>
      <w:r w:rsidRPr="001533C0">
        <w:rPr>
          <w:rStyle w:val="Style11pt"/>
          <w:rFonts w:cs="Arial"/>
        </w:rPr>
        <w:t>by the patient’s GP.</w:t>
      </w:r>
    </w:p>
    <w:p w:rsidR="00EC5817" w:rsidRPr="00095281" w:rsidRDefault="00EC5817" w:rsidP="00EC5817">
      <w:pPr>
        <w:pStyle w:val="Heading3"/>
        <w:rPr>
          <w:rFonts w:cs="Arial"/>
          <w:i/>
          <w:szCs w:val="28"/>
        </w:rPr>
      </w:pPr>
      <w:bookmarkStart w:id="12" w:name="_Toc413328428"/>
      <w:bookmarkStart w:id="13" w:name="_Toc414882539"/>
      <w:r w:rsidRPr="00095281">
        <w:rPr>
          <w:rFonts w:cs="Arial"/>
          <w:szCs w:val="28"/>
        </w:rPr>
        <w:t>3.3 Incidental Cancer Pathways</w:t>
      </w:r>
      <w:bookmarkEnd w:id="12"/>
      <w:bookmarkEnd w:id="13"/>
      <w:r w:rsidRPr="00095281">
        <w:rPr>
          <w:rFonts w:cs="Arial"/>
          <w:szCs w:val="28"/>
        </w:rPr>
        <w:t xml:space="preserve"> </w:t>
      </w:r>
    </w:p>
    <w:p w:rsidR="00EC5817" w:rsidRPr="00062252" w:rsidRDefault="00EC5817" w:rsidP="00EC5817">
      <w:pPr>
        <w:autoSpaceDE w:val="0"/>
        <w:autoSpaceDN w:val="0"/>
        <w:adjustRightInd w:val="0"/>
        <w:spacing w:after="0" w:line="240" w:lineRule="auto"/>
        <w:jc w:val="both"/>
      </w:pPr>
      <w:r w:rsidRPr="002A74CC">
        <w:rPr>
          <w:rFonts w:cs="Arial"/>
          <w:color w:val="000000"/>
          <w:szCs w:val="20"/>
          <w:lang w:eastAsia="en-GB"/>
        </w:rPr>
        <w:t xml:space="preserve">The Provider should work with and keep up to date with the national guidance and policy covering service standards, national cancer waiting time targets and referral guidelines.  They should work with both the Cancer Strategic Network and National Cancer Intelligence Network, participating in peer review and audit. </w:t>
      </w:r>
    </w:p>
    <w:p w:rsidR="00EC5817" w:rsidRPr="0068736E" w:rsidRDefault="00EC5817" w:rsidP="00EC5817">
      <w:pPr>
        <w:spacing w:before="240"/>
        <w:jc w:val="both"/>
        <w:rPr>
          <w:rFonts w:eastAsia="MS Mincho" w:cs="Arial"/>
          <w:szCs w:val="20"/>
          <w:lang w:val="en-US" w:eastAsia="ja-JP"/>
        </w:rPr>
      </w:pPr>
      <w:r w:rsidRPr="002A74CC">
        <w:t>Incidental cancers</w:t>
      </w:r>
      <w:r>
        <w:t xml:space="preserve">: </w:t>
      </w:r>
      <w:r w:rsidRPr="0068736E">
        <w:rPr>
          <w:rFonts w:eastAsia="MS Mincho" w:cs="Arial"/>
          <w:szCs w:val="20"/>
          <w:lang w:val="en-US" w:eastAsia="ja-JP"/>
        </w:rPr>
        <w:t xml:space="preserve">Patients with suspected cancer should be referred under the 2 week rule direct to the relevant service and are not </w:t>
      </w:r>
      <w:r>
        <w:rPr>
          <w:rFonts w:eastAsia="MS Mincho" w:cs="Arial"/>
          <w:szCs w:val="20"/>
          <w:lang w:val="en-US" w:eastAsia="ja-JP"/>
        </w:rPr>
        <w:t>referred to</w:t>
      </w:r>
      <w:r w:rsidRPr="0068736E">
        <w:rPr>
          <w:rFonts w:eastAsia="MS Mincho" w:cs="Arial"/>
          <w:szCs w:val="20"/>
          <w:lang w:val="en-US" w:eastAsia="ja-JP"/>
        </w:rPr>
        <w:t xml:space="preserve"> the </w:t>
      </w:r>
      <w:r w:rsidR="00F01007">
        <w:rPr>
          <w:rFonts w:eastAsia="MS Mincho" w:cs="Arial"/>
          <w:szCs w:val="20"/>
          <w:lang w:val="en-US" w:eastAsia="ja-JP"/>
        </w:rPr>
        <w:t>ENT service</w:t>
      </w:r>
      <w:r>
        <w:rPr>
          <w:rFonts w:eastAsia="MS Mincho" w:cs="Arial"/>
          <w:szCs w:val="20"/>
          <w:lang w:val="en-US" w:eastAsia="ja-JP"/>
        </w:rPr>
        <w:t>.</w:t>
      </w:r>
    </w:p>
    <w:p w:rsidR="00EC5817" w:rsidRPr="0068736E" w:rsidRDefault="00EC5817" w:rsidP="00EC5817">
      <w:pPr>
        <w:spacing w:after="0" w:line="240" w:lineRule="auto"/>
        <w:jc w:val="both"/>
        <w:rPr>
          <w:rFonts w:eastAsia="MS Mincho" w:cs="Arial"/>
          <w:szCs w:val="20"/>
          <w:lang w:val="en-US" w:eastAsia="ja-JP"/>
        </w:rPr>
      </w:pPr>
      <w:r w:rsidRPr="002A74CC">
        <w:rPr>
          <w:rFonts w:eastAsia="MS Mincho" w:cs="Arial"/>
          <w:szCs w:val="20"/>
          <w:lang w:val="en-US" w:eastAsia="ja-JP"/>
        </w:rPr>
        <w:t>Unexpected cancers</w:t>
      </w:r>
      <w:r>
        <w:rPr>
          <w:rFonts w:eastAsia="MS Mincho" w:cs="Arial"/>
          <w:szCs w:val="20"/>
          <w:lang w:val="en-US" w:eastAsia="ja-JP"/>
        </w:rPr>
        <w:t>:</w:t>
      </w:r>
      <w:r w:rsidRPr="002A74CC">
        <w:rPr>
          <w:rFonts w:eastAsia="MS Mincho" w:cs="Arial"/>
          <w:szCs w:val="20"/>
          <w:lang w:val="en-US" w:eastAsia="ja-JP"/>
        </w:rPr>
        <w:t xml:space="preserve"> in the event that an unexpected cancer is found when carrying out or reporting a</w:t>
      </w:r>
      <w:r w:rsidRPr="0068736E">
        <w:rPr>
          <w:rFonts w:eastAsia="MS Mincho" w:cs="Arial"/>
          <w:szCs w:val="20"/>
          <w:lang w:val="en-US" w:eastAsia="ja-JP"/>
        </w:rPr>
        <w:t xml:space="preserve"> routine procedure and within 2 hours of discovering the condition, the clinician should ensure that:</w:t>
      </w:r>
    </w:p>
    <w:p w:rsidR="00EC5817" w:rsidRPr="0068736E" w:rsidRDefault="00EC5817" w:rsidP="00F35F8C">
      <w:pPr>
        <w:numPr>
          <w:ilvl w:val="0"/>
          <w:numId w:val="7"/>
        </w:numPr>
        <w:spacing w:after="0" w:line="240" w:lineRule="auto"/>
        <w:jc w:val="both"/>
        <w:rPr>
          <w:rFonts w:eastAsia="MS Mincho" w:cs="Arial"/>
          <w:szCs w:val="20"/>
          <w:lang w:val="en-US" w:eastAsia="ja-JP"/>
        </w:rPr>
      </w:pPr>
      <w:r w:rsidRPr="0068736E">
        <w:rPr>
          <w:rFonts w:eastAsia="MS Mincho" w:cs="Arial"/>
          <w:szCs w:val="20"/>
          <w:lang w:val="en-US" w:eastAsia="ja-JP"/>
        </w:rPr>
        <w:t>the procedure is reported urgently</w:t>
      </w:r>
    </w:p>
    <w:p w:rsidR="00EC5817" w:rsidRPr="0068736E" w:rsidRDefault="00EC5817" w:rsidP="00F35F8C">
      <w:pPr>
        <w:numPr>
          <w:ilvl w:val="0"/>
          <w:numId w:val="7"/>
        </w:numPr>
        <w:spacing w:after="0" w:line="240" w:lineRule="auto"/>
        <w:jc w:val="both"/>
        <w:rPr>
          <w:rFonts w:eastAsia="MS Mincho" w:cs="Arial"/>
          <w:szCs w:val="20"/>
          <w:lang w:val="en-US" w:eastAsia="ja-JP"/>
        </w:rPr>
      </w:pPr>
      <w:r w:rsidRPr="0068736E">
        <w:rPr>
          <w:rFonts w:eastAsia="MS Mincho" w:cs="Arial"/>
          <w:szCs w:val="20"/>
          <w:lang w:val="en-US" w:eastAsia="ja-JP"/>
        </w:rPr>
        <w:t xml:space="preserve">the patient is informed urgently  </w:t>
      </w:r>
    </w:p>
    <w:p w:rsidR="00EC5817" w:rsidRPr="0068736E" w:rsidRDefault="00EC5817" w:rsidP="00F35F8C">
      <w:pPr>
        <w:numPr>
          <w:ilvl w:val="0"/>
          <w:numId w:val="7"/>
        </w:numPr>
        <w:spacing w:after="0" w:line="240" w:lineRule="auto"/>
        <w:jc w:val="both"/>
        <w:rPr>
          <w:rFonts w:eastAsia="MS Mincho" w:cs="Arial"/>
          <w:szCs w:val="20"/>
          <w:lang w:val="en-US" w:eastAsia="ja-JP"/>
        </w:rPr>
      </w:pPr>
      <w:r w:rsidRPr="0068736E">
        <w:rPr>
          <w:rFonts w:eastAsia="MS Mincho" w:cs="Arial"/>
          <w:szCs w:val="20"/>
          <w:lang w:val="en-US" w:eastAsia="ja-JP"/>
        </w:rPr>
        <w:t>The patient must be referred onto an appropriate cancer pathway</w:t>
      </w:r>
    </w:p>
    <w:p w:rsidR="00EC5817" w:rsidRPr="0068736E" w:rsidRDefault="00EC5817" w:rsidP="00F35F8C">
      <w:pPr>
        <w:numPr>
          <w:ilvl w:val="0"/>
          <w:numId w:val="7"/>
        </w:numPr>
        <w:spacing w:after="0" w:line="240" w:lineRule="exact"/>
        <w:jc w:val="both"/>
        <w:rPr>
          <w:rFonts w:eastAsia="MS Mincho" w:cs="Arial"/>
          <w:szCs w:val="20"/>
          <w:lang w:val="en-US" w:eastAsia="ja-JP"/>
        </w:rPr>
      </w:pPr>
      <w:r w:rsidRPr="0068736E">
        <w:rPr>
          <w:rFonts w:eastAsia="MS Mincho" w:cs="Arial"/>
          <w:szCs w:val="20"/>
          <w:lang w:val="en-US" w:eastAsia="ja-JP"/>
        </w:rPr>
        <w:t>An email or fax should sent immediately</w:t>
      </w:r>
      <w:r>
        <w:rPr>
          <w:rFonts w:eastAsia="MS Mincho" w:cs="Arial"/>
          <w:szCs w:val="20"/>
          <w:lang w:val="en-US" w:eastAsia="ja-JP"/>
        </w:rPr>
        <w:t xml:space="preserve"> </w:t>
      </w:r>
      <w:r w:rsidRPr="0068736E">
        <w:rPr>
          <w:rFonts w:eastAsia="MS Mincho" w:cs="Arial"/>
          <w:szCs w:val="20"/>
          <w:lang w:val="en-US" w:eastAsia="ja-JP"/>
        </w:rPr>
        <w:t>to the GP and the referrer (if this was not the GP) outlining the outcome of the report and the referral</w:t>
      </w:r>
    </w:p>
    <w:p w:rsidR="00EC5817" w:rsidRPr="0068736E" w:rsidRDefault="00EC5817" w:rsidP="00F35F8C">
      <w:pPr>
        <w:pStyle w:val="ListParagraph"/>
        <w:numPr>
          <w:ilvl w:val="0"/>
          <w:numId w:val="7"/>
        </w:numPr>
        <w:spacing w:after="0" w:line="240" w:lineRule="exact"/>
        <w:jc w:val="both"/>
        <w:rPr>
          <w:b/>
          <w:color w:val="548DD4" w:themeColor="text2" w:themeTint="99"/>
          <w:sz w:val="24"/>
        </w:rPr>
      </w:pPr>
      <w:r>
        <w:rPr>
          <w:rFonts w:eastAsia="Times New Roman"/>
          <w:szCs w:val="20"/>
        </w:rPr>
        <w:t xml:space="preserve">The commissioner expect the </w:t>
      </w:r>
      <w:r w:rsidR="00E84152">
        <w:rPr>
          <w:rFonts w:eastAsia="Times New Roman"/>
          <w:szCs w:val="20"/>
        </w:rPr>
        <w:t>S</w:t>
      </w:r>
      <w:r w:rsidR="00F01007">
        <w:rPr>
          <w:rFonts w:eastAsia="Times New Roman"/>
          <w:szCs w:val="20"/>
        </w:rPr>
        <w:t>ervice</w:t>
      </w:r>
      <w:r>
        <w:rPr>
          <w:rFonts w:eastAsia="Times New Roman"/>
          <w:szCs w:val="20"/>
        </w:rPr>
        <w:t xml:space="preserve"> to have locally agreed referral pathways with secondary care providers to ensure any onward referrals are made in a timely, effective way without delay and </w:t>
      </w:r>
      <w:r w:rsidRPr="0068736E">
        <w:rPr>
          <w:rFonts w:eastAsia="Times New Roman"/>
          <w:szCs w:val="20"/>
        </w:rPr>
        <w:t>to allow an urgent referral to be made to an acute provider which can be c</w:t>
      </w:r>
      <w:r>
        <w:rPr>
          <w:rFonts w:eastAsia="Times New Roman"/>
          <w:szCs w:val="20"/>
        </w:rPr>
        <w:t xml:space="preserve">onverted once received on to a </w:t>
      </w:r>
      <w:r w:rsidR="00095281">
        <w:rPr>
          <w:rFonts w:eastAsia="Times New Roman"/>
          <w:szCs w:val="20"/>
        </w:rPr>
        <w:t>32</w:t>
      </w:r>
      <w:r w:rsidRPr="0068736E">
        <w:rPr>
          <w:rFonts w:eastAsia="Times New Roman"/>
          <w:szCs w:val="20"/>
        </w:rPr>
        <w:t xml:space="preserve"> day pathway. </w:t>
      </w:r>
    </w:p>
    <w:p w:rsidR="00EC5817" w:rsidRPr="0068736E" w:rsidRDefault="00EC5817" w:rsidP="00EC5817">
      <w:pPr>
        <w:spacing w:after="0" w:line="240" w:lineRule="auto"/>
        <w:jc w:val="both"/>
        <w:rPr>
          <w:rFonts w:eastAsia="Times New Roman"/>
          <w:szCs w:val="20"/>
        </w:rPr>
      </w:pPr>
    </w:p>
    <w:p w:rsidR="00EC5817" w:rsidRPr="009C3ECC" w:rsidRDefault="00EC5817" w:rsidP="00EC5817">
      <w:pPr>
        <w:spacing w:after="0" w:line="240" w:lineRule="auto"/>
        <w:jc w:val="both"/>
        <w:rPr>
          <w:rFonts w:eastAsia="Times New Roman"/>
          <w:szCs w:val="20"/>
        </w:rPr>
      </w:pPr>
      <w:r w:rsidRPr="0068736E">
        <w:rPr>
          <w:rFonts w:eastAsia="Times New Roman"/>
          <w:szCs w:val="20"/>
        </w:rPr>
        <w:t>The</w:t>
      </w:r>
      <w:r w:rsidR="0041093B">
        <w:rPr>
          <w:rFonts w:eastAsia="Times New Roman"/>
          <w:szCs w:val="20"/>
        </w:rPr>
        <w:t xml:space="preserve"> </w:t>
      </w:r>
      <w:r w:rsidR="00E84152">
        <w:rPr>
          <w:rFonts w:eastAsia="Times New Roman"/>
          <w:szCs w:val="20"/>
        </w:rPr>
        <w:t>S</w:t>
      </w:r>
      <w:r w:rsidR="00F01007">
        <w:rPr>
          <w:rFonts w:eastAsia="Times New Roman"/>
          <w:szCs w:val="20"/>
        </w:rPr>
        <w:t>ervice</w:t>
      </w:r>
      <w:r w:rsidRPr="0068736E">
        <w:rPr>
          <w:rFonts w:eastAsia="Times New Roman"/>
          <w:szCs w:val="20"/>
        </w:rPr>
        <w:t xml:space="preserve"> needs to ensure immediate electronic referral, with acknowledgement of receipt from the provider of cancer services (i.e. ensuring fast and safe clinical governance). In addition the Service needs to ensure immediate notification to the GP by email/fax and immediate notification to the patient with explanation</w:t>
      </w:r>
    </w:p>
    <w:p w:rsidR="00EC5817" w:rsidRPr="009C3ECC" w:rsidRDefault="00EC5817" w:rsidP="00EC5817">
      <w:pPr>
        <w:spacing w:after="0" w:line="240" w:lineRule="auto"/>
        <w:ind w:left="360"/>
        <w:jc w:val="both"/>
        <w:rPr>
          <w:b/>
          <w:color w:val="548DD4" w:themeColor="text2" w:themeTint="99"/>
          <w:sz w:val="24"/>
        </w:rPr>
      </w:pPr>
    </w:p>
    <w:p w:rsidR="00D77151" w:rsidRPr="00C562EE" w:rsidRDefault="00D77151" w:rsidP="00D77151">
      <w:pPr>
        <w:pStyle w:val="Heading3"/>
      </w:pPr>
      <w:bookmarkStart w:id="14" w:name="_Toc414882540"/>
      <w:r>
        <w:t>3</w:t>
      </w:r>
      <w:r w:rsidR="00095281">
        <w:t>.4</w:t>
      </w:r>
      <w:r w:rsidRPr="00C562EE">
        <w:t xml:space="preserve"> Semi-Elective Trauma</w:t>
      </w:r>
      <w:bookmarkEnd w:id="14"/>
    </w:p>
    <w:p w:rsidR="00D77151" w:rsidRPr="00F01007" w:rsidRDefault="00A03452" w:rsidP="00D77151">
      <w:pPr>
        <w:rPr>
          <w:szCs w:val="20"/>
        </w:rPr>
      </w:pPr>
      <w:r>
        <w:rPr>
          <w:szCs w:val="20"/>
        </w:rPr>
        <w:t>Foreign bodies in ear or nose wi</w:t>
      </w:r>
      <w:r w:rsidR="00095281">
        <w:rPr>
          <w:szCs w:val="20"/>
        </w:rPr>
        <w:t>ll not be seen by the Service (</w:t>
      </w:r>
      <w:r>
        <w:rPr>
          <w:szCs w:val="20"/>
        </w:rPr>
        <w:t>see exclusion criteria)</w:t>
      </w: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186AEC" w:rsidRDefault="00D77151" w:rsidP="002407EF">
            <w:pPr>
              <w:pStyle w:val="Heading1"/>
              <w:spacing w:before="0"/>
            </w:pPr>
            <w:bookmarkStart w:id="15" w:name="_Toc414882541"/>
            <w:r>
              <w:rPr>
                <w:color w:val="FFFFFF" w:themeColor="background1"/>
              </w:rPr>
              <w:t>4</w:t>
            </w:r>
            <w:r w:rsidRPr="00186AEC">
              <w:rPr>
                <w:color w:val="FFFFFF" w:themeColor="background1"/>
              </w:rPr>
              <w:t>.0</w:t>
            </w:r>
            <w:r w:rsidRPr="00186AEC">
              <w:rPr>
                <w:color w:val="FFFFFF" w:themeColor="background1"/>
              </w:rPr>
              <w:tab/>
              <w:t>Service Description/Pathway</w:t>
            </w:r>
            <w:bookmarkEnd w:id="15"/>
          </w:p>
        </w:tc>
      </w:tr>
    </w:tbl>
    <w:p w:rsidR="00D77151" w:rsidRDefault="00D77151" w:rsidP="00D77151">
      <w:pPr>
        <w:pStyle w:val="TOC1"/>
        <w:rPr>
          <w:rStyle w:val="Hyperlink"/>
          <w:rFonts w:cstheme="minorHAnsi"/>
        </w:rPr>
      </w:pPr>
    </w:p>
    <w:p w:rsidR="00D77151" w:rsidRPr="00C562EE" w:rsidRDefault="00D77151" w:rsidP="00D77151">
      <w:pPr>
        <w:pStyle w:val="Heading3"/>
      </w:pPr>
      <w:bookmarkStart w:id="16" w:name="_Toc414882542"/>
      <w:r>
        <w:t>4</w:t>
      </w:r>
      <w:r w:rsidRPr="00C562EE">
        <w:t>.1 Self</w:t>
      </w:r>
      <w:r w:rsidR="00C93379">
        <w:t>-</w:t>
      </w:r>
      <w:r w:rsidRPr="00C562EE">
        <w:t>Management with Primary Care Support</w:t>
      </w:r>
      <w:bookmarkEnd w:id="16"/>
    </w:p>
    <w:p w:rsidR="00D77151" w:rsidRPr="00716A2E" w:rsidRDefault="00D77151" w:rsidP="00D77151">
      <w:pPr>
        <w:rPr>
          <w:i/>
          <w:color w:val="548DD4" w:themeColor="text2" w:themeTint="99"/>
          <w:sz w:val="24"/>
        </w:rPr>
      </w:pPr>
      <w:r w:rsidRPr="00716A2E">
        <w:rPr>
          <w:i/>
          <w:color w:val="548DD4" w:themeColor="text2" w:themeTint="99"/>
          <w:sz w:val="24"/>
        </w:rPr>
        <w:t>4</w:t>
      </w:r>
      <w:r w:rsidR="00D8154F" w:rsidRPr="00716A2E">
        <w:rPr>
          <w:i/>
          <w:color w:val="548DD4" w:themeColor="text2" w:themeTint="99"/>
          <w:sz w:val="24"/>
        </w:rPr>
        <w:t>.1.1 Promotion patient self-care and self-management functions:</w:t>
      </w:r>
    </w:p>
    <w:p w:rsidR="00D8154F" w:rsidRPr="009C3ECC" w:rsidRDefault="00D8154F" w:rsidP="00D8154F">
      <w:pPr>
        <w:spacing w:after="0" w:line="240" w:lineRule="auto"/>
        <w:jc w:val="both"/>
        <w:rPr>
          <w:rFonts w:eastAsia="Times New Roman"/>
          <w:szCs w:val="20"/>
        </w:rPr>
      </w:pPr>
      <w:r w:rsidRPr="009C3ECC">
        <w:rPr>
          <w:rFonts w:eastAsia="Times New Roman"/>
          <w:szCs w:val="20"/>
        </w:rPr>
        <w:t xml:space="preserve">The use of self-care must be promoted by the </w:t>
      </w:r>
      <w:r w:rsidR="00A03452">
        <w:rPr>
          <w:rFonts w:eastAsia="Times New Roman"/>
          <w:szCs w:val="20"/>
        </w:rPr>
        <w:t>S</w:t>
      </w:r>
      <w:r w:rsidR="00F01007">
        <w:rPr>
          <w:rFonts w:eastAsia="Times New Roman"/>
          <w:szCs w:val="20"/>
        </w:rPr>
        <w:t>ervice</w:t>
      </w:r>
      <w:r w:rsidRPr="009C3ECC">
        <w:rPr>
          <w:rFonts w:eastAsia="Times New Roman"/>
          <w:szCs w:val="20"/>
        </w:rPr>
        <w:t xml:space="preserve"> for patients through education and agreed supported self-management plans.</w:t>
      </w:r>
      <w:r>
        <w:rPr>
          <w:rFonts w:eastAsia="Times New Roman"/>
          <w:szCs w:val="20"/>
        </w:rPr>
        <w:t xml:space="preserve"> The</w:t>
      </w:r>
      <w:r w:rsidR="0041093B">
        <w:rPr>
          <w:rFonts w:eastAsia="Times New Roman"/>
          <w:szCs w:val="20"/>
        </w:rPr>
        <w:t xml:space="preserve"> </w:t>
      </w:r>
      <w:r w:rsidR="00A03452">
        <w:rPr>
          <w:rFonts w:eastAsia="Times New Roman"/>
          <w:szCs w:val="20"/>
        </w:rPr>
        <w:t>S</w:t>
      </w:r>
      <w:r w:rsidR="0041093B">
        <w:rPr>
          <w:rFonts w:eastAsia="Times New Roman"/>
          <w:szCs w:val="20"/>
        </w:rPr>
        <w:t>ervice</w:t>
      </w:r>
      <w:r>
        <w:rPr>
          <w:rFonts w:eastAsia="Times New Roman"/>
          <w:szCs w:val="20"/>
        </w:rPr>
        <w:t xml:space="preserve"> will support GP’s and other health professionals in providing appropriate </w:t>
      </w:r>
      <w:r w:rsidR="00F01007">
        <w:rPr>
          <w:rFonts w:eastAsia="Times New Roman"/>
          <w:szCs w:val="20"/>
        </w:rPr>
        <w:t>ENT</w:t>
      </w:r>
      <w:r>
        <w:rPr>
          <w:rFonts w:eastAsia="Times New Roman"/>
          <w:szCs w:val="20"/>
        </w:rPr>
        <w:t xml:space="preserve"> patient information, and signposting to other services to enable the patient to manage their condition appropriately prior to referral</w:t>
      </w:r>
      <w:r w:rsidRPr="009C3ECC">
        <w:rPr>
          <w:rFonts w:eastAsia="Times New Roman"/>
          <w:szCs w:val="20"/>
        </w:rPr>
        <w:t xml:space="preserve">. </w:t>
      </w:r>
    </w:p>
    <w:p w:rsidR="00D8154F" w:rsidRPr="009C3ECC" w:rsidRDefault="00D8154F" w:rsidP="00D8154F">
      <w:pPr>
        <w:overflowPunct w:val="0"/>
        <w:autoSpaceDE w:val="0"/>
        <w:autoSpaceDN w:val="0"/>
        <w:adjustRightInd w:val="0"/>
        <w:spacing w:after="0" w:line="240" w:lineRule="auto"/>
        <w:ind w:right="-340"/>
        <w:jc w:val="both"/>
        <w:textAlignment w:val="baseline"/>
        <w:rPr>
          <w:rFonts w:cs="Arial"/>
          <w:szCs w:val="20"/>
          <w:lang w:val="en-US"/>
        </w:rPr>
      </w:pPr>
      <w:r w:rsidRPr="009C3ECC">
        <w:rPr>
          <w:rFonts w:cs="Arial"/>
          <w:szCs w:val="20"/>
          <w:lang w:val="en-US"/>
        </w:rPr>
        <w:t>The Service should pro-actively promote patient self-care and self-management. This should include the following:</w:t>
      </w:r>
    </w:p>
    <w:p w:rsidR="00D8154F" w:rsidRPr="009C3ECC" w:rsidRDefault="00D8154F" w:rsidP="00F35F8C">
      <w:pPr>
        <w:pStyle w:val="ListParagraph"/>
        <w:numPr>
          <w:ilvl w:val="0"/>
          <w:numId w:val="8"/>
        </w:numPr>
        <w:overflowPunct w:val="0"/>
        <w:autoSpaceDE w:val="0"/>
        <w:autoSpaceDN w:val="0"/>
        <w:adjustRightInd w:val="0"/>
        <w:spacing w:after="0" w:line="240" w:lineRule="auto"/>
        <w:ind w:right="-340"/>
        <w:jc w:val="both"/>
        <w:textAlignment w:val="baseline"/>
        <w:rPr>
          <w:rFonts w:cs="Arial"/>
          <w:szCs w:val="20"/>
          <w:lang w:val="en-US"/>
        </w:rPr>
      </w:pPr>
      <w:r w:rsidRPr="009C3ECC">
        <w:rPr>
          <w:rFonts w:cs="Arial"/>
          <w:szCs w:val="20"/>
          <w:lang w:val="en-US"/>
        </w:rPr>
        <w:t>Development and or active usage of condition-specific guidance for the management of conditions through self-care, supporting patients and primary care practitioners to follow this guidance</w:t>
      </w:r>
      <w:r w:rsidR="00CE492D">
        <w:rPr>
          <w:rFonts w:cs="Arial"/>
          <w:szCs w:val="20"/>
          <w:lang w:val="en-US"/>
        </w:rPr>
        <w:t>.</w:t>
      </w:r>
    </w:p>
    <w:p w:rsidR="00D8154F" w:rsidRDefault="00F57A86" w:rsidP="00F35F8C">
      <w:pPr>
        <w:pStyle w:val="ListParagraph"/>
        <w:numPr>
          <w:ilvl w:val="0"/>
          <w:numId w:val="8"/>
        </w:numPr>
        <w:overflowPunct w:val="0"/>
        <w:autoSpaceDE w:val="0"/>
        <w:autoSpaceDN w:val="0"/>
        <w:adjustRightInd w:val="0"/>
        <w:spacing w:after="0" w:line="240" w:lineRule="auto"/>
        <w:ind w:right="-340"/>
        <w:jc w:val="both"/>
        <w:textAlignment w:val="baseline"/>
        <w:rPr>
          <w:rFonts w:cs="Arial"/>
          <w:szCs w:val="20"/>
          <w:lang w:val="en-US"/>
        </w:rPr>
      </w:pPr>
      <w:r>
        <w:rPr>
          <w:rFonts w:cs="Arial"/>
          <w:szCs w:val="20"/>
          <w:lang w:val="en-US"/>
        </w:rPr>
        <w:t xml:space="preserve">The use of personalised </w:t>
      </w:r>
      <w:r w:rsidR="00D8154F" w:rsidRPr="009C3ECC">
        <w:rPr>
          <w:rFonts w:cs="Arial"/>
          <w:szCs w:val="20"/>
          <w:lang w:val="en-US"/>
        </w:rPr>
        <w:t>care plans (that can be shared between GP, patient, and other services as appropriate) that clearly outline how the patient should self-manage e.g. advice on condition flare up</w:t>
      </w:r>
      <w:r w:rsidR="00CE492D">
        <w:rPr>
          <w:rFonts w:cs="Arial"/>
          <w:szCs w:val="20"/>
          <w:lang w:val="en-US"/>
        </w:rPr>
        <w:t>.</w:t>
      </w:r>
    </w:p>
    <w:p w:rsidR="00D8154F" w:rsidRPr="009C3ECC" w:rsidRDefault="00D8154F" w:rsidP="00F35F8C">
      <w:pPr>
        <w:pStyle w:val="ListParagraph"/>
        <w:numPr>
          <w:ilvl w:val="0"/>
          <w:numId w:val="8"/>
        </w:numPr>
        <w:overflowPunct w:val="0"/>
        <w:autoSpaceDE w:val="0"/>
        <w:autoSpaceDN w:val="0"/>
        <w:adjustRightInd w:val="0"/>
        <w:spacing w:after="0" w:line="240" w:lineRule="auto"/>
        <w:ind w:right="-340"/>
        <w:jc w:val="both"/>
        <w:textAlignment w:val="baseline"/>
        <w:rPr>
          <w:rFonts w:cs="Arial"/>
          <w:szCs w:val="20"/>
          <w:lang w:val="en-US"/>
        </w:rPr>
      </w:pPr>
      <w:r>
        <w:rPr>
          <w:rFonts w:cs="Arial"/>
          <w:szCs w:val="20"/>
          <w:lang w:val="en-US"/>
        </w:rPr>
        <w:lastRenderedPageBreak/>
        <w:t>Develop patient support groups led by specialist nurses, as appropriate.</w:t>
      </w:r>
    </w:p>
    <w:p w:rsidR="00D8154F" w:rsidRPr="00AC202B" w:rsidRDefault="00D8154F" w:rsidP="00F35F8C">
      <w:pPr>
        <w:pStyle w:val="ListParagraph"/>
        <w:numPr>
          <w:ilvl w:val="0"/>
          <w:numId w:val="8"/>
        </w:numPr>
        <w:overflowPunct w:val="0"/>
        <w:autoSpaceDE w:val="0"/>
        <w:autoSpaceDN w:val="0"/>
        <w:adjustRightInd w:val="0"/>
        <w:spacing w:after="0" w:line="240" w:lineRule="auto"/>
        <w:ind w:right="-340"/>
        <w:jc w:val="both"/>
        <w:textAlignment w:val="baseline"/>
        <w:rPr>
          <w:rFonts w:cs="Arial"/>
          <w:szCs w:val="20"/>
          <w:lang w:val="en-US"/>
        </w:rPr>
      </w:pPr>
      <w:r>
        <w:rPr>
          <w:rFonts w:cs="Arial"/>
          <w:szCs w:val="20"/>
          <w:lang w:val="en-US"/>
        </w:rPr>
        <w:t>Improve patient education by a range of media to include development of education courses, signposting to validated e-learning sites and supply written information.</w:t>
      </w:r>
    </w:p>
    <w:p w:rsidR="00D8154F" w:rsidRPr="009C3ECC" w:rsidRDefault="00D8154F" w:rsidP="00F35F8C">
      <w:pPr>
        <w:pStyle w:val="ListParagraph"/>
        <w:numPr>
          <w:ilvl w:val="0"/>
          <w:numId w:val="8"/>
        </w:numPr>
        <w:overflowPunct w:val="0"/>
        <w:autoSpaceDE w:val="0"/>
        <w:autoSpaceDN w:val="0"/>
        <w:adjustRightInd w:val="0"/>
        <w:spacing w:after="0" w:line="240" w:lineRule="auto"/>
        <w:ind w:right="-340"/>
        <w:jc w:val="both"/>
        <w:textAlignment w:val="baseline"/>
        <w:rPr>
          <w:rFonts w:cs="Arial"/>
          <w:szCs w:val="20"/>
          <w:lang w:val="en-US"/>
        </w:rPr>
      </w:pPr>
      <w:r w:rsidRPr="009C3ECC">
        <w:rPr>
          <w:rFonts w:cs="Arial"/>
          <w:szCs w:val="20"/>
          <w:lang w:val="en-US"/>
        </w:rPr>
        <w:t>Improve patient access to information in different media, e.g. websites, leaflets or help lines.</w:t>
      </w:r>
    </w:p>
    <w:p w:rsidR="00D8154F" w:rsidRPr="009C3ECC" w:rsidRDefault="00D8154F" w:rsidP="00F35F8C">
      <w:pPr>
        <w:pStyle w:val="ListParagraph"/>
        <w:numPr>
          <w:ilvl w:val="0"/>
          <w:numId w:val="8"/>
        </w:numPr>
        <w:overflowPunct w:val="0"/>
        <w:autoSpaceDE w:val="0"/>
        <w:autoSpaceDN w:val="0"/>
        <w:adjustRightInd w:val="0"/>
        <w:spacing w:after="0" w:line="240" w:lineRule="auto"/>
        <w:ind w:right="-340"/>
        <w:jc w:val="both"/>
        <w:textAlignment w:val="baseline"/>
        <w:rPr>
          <w:rFonts w:cs="Arial"/>
          <w:szCs w:val="20"/>
          <w:lang w:val="en-US"/>
        </w:rPr>
      </w:pPr>
      <w:r w:rsidRPr="009C3ECC">
        <w:rPr>
          <w:rFonts w:cs="Arial"/>
          <w:szCs w:val="20"/>
          <w:lang w:val="en-US"/>
        </w:rPr>
        <w:t>Together with the patient</w:t>
      </w:r>
      <w:r>
        <w:rPr>
          <w:rFonts w:cs="Arial"/>
          <w:szCs w:val="20"/>
          <w:lang w:val="en-US"/>
        </w:rPr>
        <w:t>,</w:t>
      </w:r>
      <w:r w:rsidRPr="009C3ECC">
        <w:rPr>
          <w:rFonts w:cs="Arial"/>
          <w:szCs w:val="20"/>
          <w:lang w:val="en-US"/>
        </w:rPr>
        <w:t xml:space="preserve"> review </w:t>
      </w:r>
      <w:r>
        <w:rPr>
          <w:rFonts w:cs="Arial"/>
          <w:szCs w:val="20"/>
          <w:lang w:val="en-US"/>
        </w:rPr>
        <w:t>them holistically</w:t>
      </w:r>
      <w:r w:rsidRPr="009C3ECC">
        <w:rPr>
          <w:rFonts w:cs="Arial"/>
          <w:szCs w:val="20"/>
          <w:lang w:val="en-US"/>
        </w:rPr>
        <w:t xml:space="preserve"> and how this may affect their </w:t>
      </w:r>
      <w:r w:rsidR="00CE492D">
        <w:rPr>
          <w:rFonts w:cs="Arial"/>
          <w:szCs w:val="20"/>
          <w:lang w:val="en-US"/>
        </w:rPr>
        <w:t>ENT</w:t>
      </w:r>
      <w:r w:rsidRPr="009C3ECC">
        <w:rPr>
          <w:rFonts w:cs="Arial"/>
          <w:szCs w:val="20"/>
          <w:lang w:val="en-US"/>
        </w:rPr>
        <w:t xml:space="preserve"> condition</w:t>
      </w:r>
      <w:r>
        <w:rPr>
          <w:rFonts w:cs="Arial"/>
          <w:szCs w:val="20"/>
          <w:lang w:val="en-US"/>
        </w:rPr>
        <w:t>, refer when appropriate to Health and Wellbeing Services for healthy lifestyle support, social support as well as psychological support through referral to Time to Talk Services.</w:t>
      </w:r>
    </w:p>
    <w:p w:rsidR="00D8154F" w:rsidRPr="009C3ECC" w:rsidRDefault="00D8154F" w:rsidP="00D8154F">
      <w:pPr>
        <w:spacing w:after="0" w:line="240" w:lineRule="auto"/>
        <w:jc w:val="both"/>
        <w:rPr>
          <w:rFonts w:eastAsia="Times New Roman"/>
          <w:szCs w:val="20"/>
        </w:rPr>
      </w:pPr>
    </w:p>
    <w:p w:rsidR="00D8154F" w:rsidRPr="009C3ECC" w:rsidRDefault="00D8154F" w:rsidP="00D8154F">
      <w:pPr>
        <w:spacing w:after="0" w:line="240" w:lineRule="auto"/>
        <w:jc w:val="both"/>
        <w:rPr>
          <w:rFonts w:eastAsia="Times New Roman"/>
          <w:szCs w:val="20"/>
        </w:rPr>
      </w:pPr>
      <w:r w:rsidRPr="009C3ECC">
        <w:rPr>
          <w:rFonts w:eastAsia="Times New Roman"/>
          <w:szCs w:val="20"/>
        </w:rPr>
        <w:t xml:space="preserve">The </w:t>
      </w:r>
      <w:r w:rsidR="00A03452">
        <w:rPr>
          <w:rFonts w:eastAsia="Times New Roman"/>
          <w:szCs w:val="20"/>
        </w:rPr>
        <w:t>Service</w:t>
      </w:r>
      <w:r w:rsidRPr="009C3ECC">
        <w:rPr>
          <w:rFonts w:eastAsia="Times New Roman"/>
          <w:szCs w:val="20"/>
        </w:rPr>
        <w:t xml:space="preserve"> will develop a website for patients, carers and healthcare professionals that will provide educational tools, such as information leaflets and videos. These should be patient friendly written in plain language with availability of translation services when required.</w:t>
      </w:r>
    </w:p>
    <w:p w:rsidR="00D8154F" w:rsidRPr="009C3ECC" w:rsidRDefault="00D8154F" w:rsidP="00D8154F">
      <w:pPr>
        <w:spacing w:after="0" w:line="240" w:lineRule="auto"/>
        <w:jc w:val="both"/>
        <w:rPr>
          <w:rFonts w:eastAsia="Times New Roman"/>
          <w:szCs w:val="20"/>
        </w:rPr>
      </w:pPr>
    </w:p>
    <w:p w:rsidR="00D8154F" w:rsidRDefault="00D8154F" w:rsidP="00D8154F">
      <w:pPr>
        <w:spacing w:after="0" w:line="240" w:lineRule="auto"/>
        <w:jc w:val="both"/>
        <w:rPr>
          <w:rFonts w:eastAsia="Times New Roman"/>
          <w:szCs w:val="20"/>
        </w:rPr>
      </w:pPr>
      <w:r w:rsidRPr="009C3ECC">
        <w:rPr>
          <w:rFonts w:eastAsia="Times New Roman"/>
          <w:szCs w:val="20"/>
        </w:rPr>
        <w:t xml:space="preserve">A variety of tools and techniques that can support patient information should be utilised to ensure that patients understand their conditions, what the treatment plan may be and that they are involved along the pathway of care. </w:t>
      </w:r>
    </w:p>
    <w:p w:rsidR="00D8154F" w:rsidRPr="009C3ECC" w:rsidRDefault="00D8154F" w:rsidP="00D8154F">
      <w:pPr>
        <w:spacing w:after="0" w:line="240" w:lineRule="auto"/>
        <w:jc w:val="both"/>
        <w:rPr>
          <w:rFonts w:eastAsia="Times New Roman"/>
          <w:szCs w:val="20"/>
        </w:rPr>
      </w:pPr>
    </w:p>
    <w:p w:rsidR="00D8154F" w:rsidRPr="009C3ECC" w:rsidRDefault="00E84152" w:rsidP="00D8154F">
      <w:pPr>
        <w:spacing w:after="0" w:line="240" w:lineRule="auto"/>
        <w:jc w:val="both"/>
        <w:rPr>
          <w:rFonts w:eastAsia="Times New Roman"/>
          <w:szCs w:val="20"/>
        </w:rPr>
      </w:pPr>
      <w:r>
        <w:rPr>
          <w:rFonts w:eastAsia="Times New Roman"/>
          <w:szCs w:val="20"/>
        </w:rPr>
        <w:t>For children 2 years and older</w:t>
      </w:r>
      <w:r w:rsidR="00D8154F" w:rsidRPr="009C3ECC">
        <w:rPr>
          <w:rFonts w:eastAsia="Times New Roman"/>
          <w:szCs w:val="20"/>
        </w:rPr>
        <w:t xml:space="preserve"> supporting their </w:t>
      </w:r>
      <w:r>
        <w:rPr>
          <w:rFonts w:eastAsia="Times New Roman"/>
          <w:szCs w:val="20"/>
        </w:rPr>
        <w:t xml:space="preserve">and parent/ carer </w:t>
      </w:r>
      <w:r w:rsidR="00D8154F" w:rsidRPr="009C3ECC">
        <w:rPr>
          <w:rFonts w:eastAsia="Times New Roman"/>
          <w:szCs w:val="20"/>
        </w:rPr>
        <w:t xml:space="preserve">understanding of their </w:t>
      </w:r>
      <w:r>
        <w:rPr>
          <w:rFonts w:eastAsia="Times New Roman"/>
          <w:szCs w:val="20"/>
        </w:rPr>
        <w:t>ENT</w:t>
      </w:r>
      <w:r w:rsidR="00D8154F" w:rsidRPr="009C3ECC">
        <w:rPr>
          <w:rFonts w:eastAsia="Times New Roman"/>
          <w:szCs w:val="20"/>
        </w:rPr>
        <w:t xml:space="preserve"> condition and how it can be managed more effectively during changes of age and in lifestyle will enable self-management into adulthood. </w:t>
      </w:r>
    </w:p>
    <w:p w:rsidR="00D8154F" w:rsidRPr="009C3ECC" w:rsidRDefault="00D8154F" w:rsidP="00D8154F">
      <w:pPr>
        <w:spacing w:after="0" w:line="240" w:lineRule="auto"/>
        <w:jc w:val="both"/>
        <w:rPr>
          <w:rFonts w:eastAsia="Times New Roman"/>
          <w:szCs w:val="20"/>
        </w:rPr>
      </w:pPr>
    </w:p>
    <w:p w:rsidR="00D8154F" w:rsidRPr="009C3ECC" w:rsidRDefault="00D8154F" w:rsidP="00D8154F">
      <w:pPr>
        <w:spacing w:after="0" w:line="240" w:lineRule="auto"/>
        <w:jc w:val="both"/>
        <w:rPr>
          <w:rFonts w:eastAsia="Times New Roman"/>
          <w:szCs w:val="20"/>
        </w:rPr>
      </w:pPr>
      <w:r w:rsidRPr="009C3ECC">
        <w:rPr>
          <w:rFonts w:eastAsia="Times New Roman"/>
          <w:szCs w:val="20"/>
        </w:rPr>
        <w:t>Self-management will be promoted and the importance of compliance with treatment regimens will be emphasised. It will be made clear to patients from their first appointment that it is expected that they will be discharged from the Service i.e. they will not stay on the Service’s case load indefinitely but rather from the beginning of their care, the Service is working towards a safe discharge after effective care where clinically appropriate.</w:t>
      </w:r>
    </w:p>
    <w:p w:rsidR="00D8154F" w:rsidRPr="009C3ECC" w:rsidRDefault="00D8154F" w:rsidP="00D8154F">
      <w:pPr>
        <w:spacing w:after="0" w:line="240" w:lineRule="auto"/>
        <w:jc w:val="both"/>
        <w:rPr>
          <w:rFonts w:eastAsia="Times New Roman"/>
          <w:szCs w:val="20"/>
        </w:rPr>
      </w:pPr>
    </w:p>
    <w:p w:rsidR="00D8154F" w:rsidRPr="009C3ECC" w:rsidRDefault="00D8154F" w:rsidP="00D8154F">
      <w:pPr>
        <w:spacing w:after="0" w:line="240" w:lineRule="auto"/>
        <w:jc w:val="both"/>
        <w:rPr>
          <w:rFonts w:eastAsia="Times New Roman"/>
          <w:szCs w:val="20"/>
        </w:rPr>
      </w:pPr>
      <w:r w:rsidRPr="009C3ECC">
        <w:rPr>
          <w:rFonts w:eastAsia="Times New Roman"/>
          <w:szCs w:val="20"/>
        </w:rPr>
        <w:t>On discharge from the Service, a self-management plan is agreed with the patients. This will describe the patient’s self-care action plan and a copy will be held by</w:t>
      </w:r>
      <w:r>
        <w:rPr>
          <w:rFonts w:eastAsia="Times New Roman"/>
          <w:szCs w:val="20"/>
        </w:rPr>
        <w:t xml:space="preserve"> the patient, the GP, </w:t>
      </w:r>
      <w:r w:rsidRPr="009C3ECC">
        <w:rPr>
          <w:rFonts w:eastAsia="Times New Roman"/>
          <w:szCs w:val="20"/>
        </w:rPr>
        <w:t>as well as the Service.  It will be inclusive of maintenance, and flare manage</w:t>
      </w:r>
      <w:r>
        <w:rPr>
          <w:rFonts w:eastAsia="Times New Roman"/>
          <w:szCs w:val="20"/>
        </w:rPr>
        <w:t xml:space="preserve">ment advice and will be stored electronically where possible. </w:t>
      </w:r>
    </w:p>
    <w:p w:rsidR="00D8154F" w:rsidRPr="001F3250" w:rsidRDefault="00D8154F" w:rsidP="00D8154F">
      <w:pPr>
        <w:spacing w:after="0" w:line="240" w:lineRule="auto"/>
        <w:jc w:val="both"/>
        <w:rPr>
          <w:rFonts w:eastAsia="Times New Roman"/>
          <w:szCs w:val="20"/>
          <w:highlight w:val="yellow"/>
        </w:rPr>
      </w:pPr>
    </w:p>
    <w:p w:rsidR="00D8154F" w:rsidRPr="00E60CA6" w:rsidRDefault="00D8154F" w:rsidP="00D8154F">
      <w:pPr>
        <w:spacing w:after="0" w:line="240" w:lineRule="auto"/>
        <w:jc w:val="both"/>
        <w:rPr>
          <w:rFonts w:eastAsia="Times New Roman"/>
          <w:szCs w:val="20"/>
        </w:rPr>
      </w:pPr>
      <w:r w:rsidRPr="00E60CA6">
        <w:rPr>
          <w:rFonts w:eastAsia="Times New Roman"/>
          <w:szCs w:val="20"/>
        </w:rPr>
        <w:t xml:space="preserve">Following a period of </w:t>
      </w:r>
      <w:r w:rsidR="00E84152">
        <w:rPr>
          <w:rFonts w:eastAsia="Times New Roman"/>
          <w:szCs w:val="20"/>
        </w:rPr>
        <w:t>ENT</w:t>
      </w:r>
      <w:r w:rsidRPr="00E60CA6">
        <w:rPr>
          <w:rFonts w:eastAsia="Times New Roman"/>
          <w:szCs w:val="20"/>
        </w:rPr>
        <w:t xml:space="preserve"> treatment, a patient will be able to self-refer back via a telephone consultation initially (or any other appropriate method as agreed with the patient) with the Service if the same condition recurs within a six month period.</w:t>
      </w:r>
    </w:p>
    <w:p w:rsidR="00D8154F" w:rsidRPr="001F3250" w:rsidRDefault="00D8154F" w:rsidP="00D8154F">
      <w:pPr>
        <w:spacing w:after="0" w:line="240" w:lineRule="auto"/>
        <w:jc w:val="both"/>
        <w:rPr>
          <w:rFonts w:eastAsia="Times New Roman"/>
          <w:szCs w:val="20"/>
          <w:highlight w:val="yellow"/>
        </w:rPr>
      </w:pPr>
    </w:p>
    <w:p w:rsidR="00D8154F" w:rsidRPr="002F0B03" w:rsidRDefault="00D8154F" w:rsidP="00D8154F">
      <w:pPr>
        <w:pStyle w:val="Subtitle"/>
        <w:rPr>
          <w:rFonts w:cs="Arial"/>
        </w:rPr>
      </w:pPr>
      <w:r w:rsidRPr="002F0B03">
        <w:rPr>
          <w:rFonts w:cs="Arial"/>
        </w:rPr>
        <w:t>4.1.2 Primary Care Support</w:t>
      </w:r>
    </w:p>
    <w:p w:rsidR="00D8154F" w:rsidRDefault="00D8154F" w:rsidP="00716A2E">
      <w:pPr>
        <w:spacing w:after="0" w:line="240" w:lineRule="auto"/>
        <w:ind w:right="-340"/>
        <w:jc w:val="both"/>
        <w:rPr>
          <w:rFonts w:cs="Arial"/>
          <w:szCs w:val="20"/>
        </w:rPr>
      </w:pPr>
      <w:r w:rsidRPr="009C3ECC">
        <w:rPr>
          <w:rFonts w:cs="Arial"/>
          <w:szCs w:val="20"/>
        </w:rPr>
        <w:t xml:space="preserve">The </w:t>
      </w:r>
      <w:r w:rsidR="00A03452">
        <w:rPr>
          <w:rFonts w:cs="Arial"/>
          <w:szCs w:val="20"/>
        </w:rPr>
        <w:t>S</w:t>
      </w:r>
      <w:r w:rsidRPr="009C3ECC">
        <w:rPr>
          <w:rFonts w:cs="Arial"/>
          <w:szCs w:val="20"/>
        </w:rPr>
        <w:t xml:space="preserve">ervice will work closely with the </w:t>
      </w:r>
      <w:r>
        <w:rPr>
          <w:rFonts w:cs="Arial"/>
          <w:szCs w:val="20"/>
        </w:rPr>
        <w:t>GPs and primary care clinicians to enable over time that</w:t>
      </w:r>
      <w:r w:rsidRPr="009C3ECC">
        <w:rPr>
          <w:rFonts w:cs="Arial"/>
          <w:szCs w:val="20"/>
        </w:rPr>
        <w:t xml:space="preserve"> the quality of referrals into the service should continuously improve.</w:t>
      </w:r>
    </w:p>
    <w:p w:rsidR="00D8154F" w:rsidRPr="009C3ECC" w:rsidRDefault="00D8154F" w:rsidP="00716A2E">
      <w:pPr>
        <w:spacing w:after="0" w:line="240" w:lineRule="auto"/>
        <w:ind w:right="-340"/>
        <w:jc w:val="both"/>
        <w:rPr>
          <w:rFonts w:cs="Arial"/>
          <w:szCs w:val="20"/>
        </w:rPr>
      </w:pPr>
    </w:p>
    <w:p w:rsidR="00D8154F" w:rsidRDefault="00D8154F" w:rsidP="00716A2E">
      <w:pPr>
        <w:spacing w:after="0" w:line="240" w:lineRule="auto"/>
        <w:ind w:right="-340"/>
        <w:jc w:val="both"/>
        <w:rPr>
          <w:rFonts w:cs="Arial"/>
          <w:color w:val="000000"/>
          <w:szCs w:val="20"/>
        </w:rPr>
      </w:pPr>
      <w:r w:rsidRPr="009C3ECC">
        <w:rPr>
          <w:rFonts w:cs="Arial"/>
          <w:color w:val="000000"/>
          <w:szCs w:val="20"/>
        </w:rPr>
        <w:t xml:space="preserve">To </w:t>
      </w:r>
      <w:r>
        <w:rPr>
          <w:rFonts w:cs="Arial"/>
          <w:color w:val="000000"/>
          <w:szCs w:val="20"/>
        </w:rPr>
        <w:t xml:space="preserve">support and </w:t>
      </w:r>
      <w:r w:rsidRPr="009C3ECC">
        <w:rPr>
          <w:rFonts w:cs="Arial"/>
          <w:color w:val="000000"/>
          <w:szCs w:val="20"/>
        </w:rPr>
        <w:t>assist GPs in making effective and approp</w:t>
      </w:r>
      <w:r>
        <w:rPr>
          <w:rFonts w:cs="Arial"/>
          <w:color w:val="000000"/>
          <w:szCs w:val="20"/>
        </w:rPr>
        <w:t xml:space="preserve">riate referrals both in to the </w:t>
      </w:r>
      <w:r w:rsidR="00E84152">
        <w:rPr>
          <w:rFonts w:cs="Arial"/>
          <w:color w:val="000000"/>
          <w:szCs w:val="20"/>
        </w:rPr>
        <w:t>community ENT service</w:t>
      </w:r>
      <w:r w:rsidRPr="009C3ECC">
        <w:rPr>
          <w:rFonts w:cs="Arial"/>
          <w:color w:val="000000"/>
          <w:szCs w:val="20"/>
        </w:rPr>
        <w:t xml:space="preserve"> and via</w:t>
      </w:r>
      <w:r>
        <w:rPr>
          <w:rFonts w:cs="Arial"/>
          <w:color w:val="000000"/>
          <w:szCs w:val="20"/>
        </w:rPr>
        <w:t xml:space="preserve"> the 2 week referral pathway, </w:t>
      </w:r>
      <w:r w:rsidR="00E84152">
        <w:rPr>
          <w:rFonts w:cs="Arial"/>
          <w:color w:val="000000"/>
          <w:szCs w:val="20"/>
        </w:rPr>
        <w:t xml:space="preserve">the </w:t>
      </w:r>
      <w:r w:rsidR="00A03452">
        <w:rPr>
          <w:rFonts w:cs="Arial"/>
          <w:color w:val="000000"/>
          <w:szCs w:val="20"/>
        </w:rPr>
        <w:t>S</w:t>
      </w:r>
      <w:r w:rsidR="00E84152">
        <w:rPr>
          <w:rFonts w:cs="Arial"/>
          <w:color w:val="000000"/>
          <w:szCs w:val="20"/>
        </w:rPr>
        <w:t>ervice</w:t>
      </w:r>
      <w:r w:rsidRPr="009C3ECC">
        <w:rPr>
          <w:rFonts w:cs="Arial"/>
          <w:color w:val="000000"/>
          <w:szCs w:val="20"/>
        </w:rPr>
        <w:t xml:space="preserve"> </w:t>
      </w:r>
      <w:r>
        <w:rPr>
          <w:rFonts w:cs="Arial"/>
          <w:color w:val="000000"/>
          <w:szCs w:val="20"/>
        </w:rPr>
        <w:t>will</w:t>
      </w:r>
      <w:r w:rsidRPr="009C3ECC">
        <w:rPr>
          <w:rFonts w:cs="Arial"/>
          <w:color w:val="000000"/>
          <w:szCs w:val="20"/>
        </w:rPr>
        <w:t xml:space="preserve"> provide support via: development and use of </w:t>
      </w:r>
      <w:r w:rsidRPr="009C3ECC">
        <w:rPr>
          <w:rFonts w:cs="Arial"/>
          <w:szCs w:val="20"/>
        </w:rPr>
        <w:t>condition-specific guidance for the management of conditions in primary care</w:t>
      </w:r>
      <w:r w:rsidRPr="009C3ECC">
        <w:rPr>
          <w:rFonts w:cs="Arial"/>
          <w:color w:val="000000"/>
          <w:szCs w:val="20"/>
        </w:rPr>
        <w:t xml:space="preserve">; training programmes and other forms of support; and specific advice and guidance to General Practitioners. </w:t>
      </w:r>
    </w:p>
    <w:p w:rsidR="00D8154F" w:rsidRDefault="00D8154F" w:rsidP="00716A2E">
      <w:pPr>
        <w:spacing w:line="240" w:lineRule="auto"/>
        <w:rPr>
          <w:color w:val="548DD4" w:themeColor="text2" w:themeTint="99"/>
          <w:sz w:val="24"/>
        </w:rPr>
      </w:pPr>
    </w:p>
    <w:p w:rsidR="00D77151" w:rsidRDefault="00D77151" w:rsidP="00D77151">
      <w:pPr>
        <w:pStyle w:val="Heading3"/>
      </w:pPr>
      <w:bookmarkStart w:id="17" w:name="_Toc414882543"/>
      <w:r>
        <w:t>4</w:t>
      </w:r>
      <w:r w:rsidRPr="00C562EE">
        <w:t xml:space="preserve">.2 </w:t>
      </w:r>
      <w:r w:rsidR="00A03452">
        <w:t>Community ENT</w:t>
      </w:r>
      <w:r w:rsidRPr="00C562EE">
        <w:t xml:space="preserve"> Service</w:t>
      </w:r>
      <w:bookmarkEnd w:id="17"/>
    </w:p>
    <w:p w:rsidR="003C6998" w:rsidRDefault="003C6998" w:rsidP="003C6998"/>
    <w:p w:rsidR="003C6998" w:rsidRPr="0094378B" w:rsidRDefault="003C6998" w:rsidP="003C6998">
      <w:pPr>
        <w:spacing w:after="0" w:line="240" w:lineRule="auto"/>
        <w:ind w:right="-340"/>
        <w:jc w:val="both"/>
        <w:rPr>
          <w:rFonts w:cs="Arial"/>
          <w:bCs/>
          <w:szCs w:val="20"/>
        </w:rPr>
      </w:pPr>
      <w:r w:rsidRPr="0094378B">
        <w:rPr>
          <w:rFonts w:cs="Arial"/>
          <w:bCs/>
          <w:szCs w:val="20"/>
        </w:rPr>
        <w:t>The service provides:</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 xml:space="preserve">One-stop clinical assessment, diagnostics, shared decision making, advice and support. Appointments must be long enough to allow the patient time to ask questions and receive responses. </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Integrated psychological approaches to patient care through screening &amp; assessments and appropriate interventions by suitably qualified staff with referrals to specialist psychology services</w:t>
      </w:r>
      <w:r>
        <w:rPr>
          <w:rFonts w:cs="Arial"/>
          <w:szCs w:val="20"/>
          <w:lang w:val="en-US"/>
        </w:rPr>
        <w:t xml:space="preserve"> such as Time to Talk,</w:t>
      </w:r>
      <w:r w:rsidRPr="0094378B">
        <w:rPr>
          <w:rFonts w:cs="Arial"/>
          <w:szCs w:val="20"/>
          <w:lang w:val="en-US"/>
        </w:rPr>
        <w:t xml:space="preserve"> where appropriate.</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lastRenderedPageBreak/>
        <w:t xml:space="preserve">Minor Operative Procedures completed by a competent clinician and conducted in a way that ensures maximum comfort and minimum risk for the patient.  Informed patient consent for any surgical </w:t>
      </w:r>
      <w:r w:rsidR="00C93379">
        <w:rPr>
          <w:rFonts w:cs="Arial"/>
          <w:szCs w:val="20"/>
          <w:lang w:val="en-US"/>
        </w:rPr>
        <w:t>interventions.</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 xml:space="preserve">Alternative methods of consultation, including telephone consultations, email and a telephone advice line </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Fully manages the sequence of care including onward referral</w:t>
      </w:r>
      <w:r>
        <w:rPr>
          <w:rFonts w:cs="Arial"/>
          <w:szCs w:val="20"/>
          <w:lang w:val="en-US"/>
        </w:rPr>
        <w:t xml:space="preserve"> and choice</w:t>
      </w:r>
      <w:r w:rsidR="00F10EC7">
        <w:rPr>
          <w:rFonts w:cs="Arial"/>
          <w:szCs w:val="20"/>
          <w:lang w:val="en-US"/>
        </w:rPr>
        <w:t>.</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 xml:space="preserve">Full diagnostic service including blood </w:t>
      </w:r>
      <w:r>
        <w:rPr>
          <w:rFonts w:cs="Arial"/>
          <w:szCs w:val="20"/>
          <w:lang w:val="en-US"/>
        </w:rPr>
        <w:t>sampling</w:t>
      </w:r>
      <w:r w:rsidRPr="0094378B">
        <w:rPr>
          <w:rFonts w:cs="Arial"/>
          <w:szCs w:val="20"/>
          <w:lang w:val="en-US"/>
        </w:rPr>
        <w:t>,</w:t>
      </w:r>
      <w:r>
        <w:rPr>
          <w:rFonts w:cs="Arial"/>
          <w:szCs w:val="20"/>
          <w:lang w:val="en-US"/>
        </w:rPr>
        <w:t xml:space="preserve"> microbiology, ultrasound, CT scan, </w:t>
      </w:r>
      <w:r w:rsidRPr="0094378B">
        <w:rPr>
          <w:rFonts w:cs="Arial"/>
          <w:szCs w:val="20"/>
          <w:lang w:val="en-US"/>
        </w:rPr>
        <w:t>and management of the results</w:t>
      </w:r>
      <w:r>
        <w:rPr>
          <w:rFonts w:cs="Arial"/>
          <w:szCs w:val="20"/>
          <w:lang w:val="en-US"/>
        </w:rPr>
        <w:t xml:space="preserve"> (see 4.2.6.2). The Service must have access to hospital pathology lab results and other investigations e</w:t>
      </w:r>
      <w:r w:rsidR="00CE492D">
        <w:rPr>
          <w:rFonts w:cs="Arial"/>
          <w:szCs w:val="20"/>
          <w:lang w:val="en-US"/>
        </w:rPr>
        <w:t>.</w:t>
      </w:r>
      <w:r>
        <w:rPr>
          <w:rFonts w:cs="Arial"/>
          <w:szCs w:val="20"/>
          <w:lang w:val="en-US"/>
        </w:rPr>
        <w:t>g</w:t>
      </w:r>
      <w:r w:rsidR="00CE492D">
        <w:rPr>
          <w:rFonts w:cs="Arial"/>
          <w:szCs w:val="20"/>
          <w:lang w:val="en-US"/>
        </w:rPr>
        <w:t>.</w:t>
      </w:r>
      <w:r>
        <w:rPr>
          <w:rFonts w:cs="Arial"/>
          <w:szCs w:val="20"/>
          <w:lang w:val="en-US"/>
        </w:rPr>
        <w:t xml:space="preserve"> ultrasound by AQPs. </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Patient advice and education including patient friendly materials and personalised treatment plans</w:t>
      </w:r>
      <w:r w:rsidR="00F10EC7">
        <w:rPr>
          <w:rFonts w:cs="Arial"/>
          <w:szCs w:val="20"/>
          <w:lang w:val="en-US"/>
        </w:rPr>
        <w:t>.</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Pr>
          <w:rFonts w:cs="Arial"/>
          <w:szCs w:val="20"/>
          <w:lang w:val="en-US"/>
        </w:rPr>
        <w:t>Limited p</w:t>
      </w:r>
      <w:r w:rsidRPr="0094378B">
        <w:rPr>
          <w:rFonts w:cs="Arial"/>
          <w:szCs w:val="20"/>
          <w:lang w:val="en-US"/>
        </w:rPr>
        <w:t>rescribing in line with commissioner approved formulary.</w:t>
      </w:r>
      <w:r>
        <w:rPr>
          <w:rFonts w:cs="Arial"/>
          <w:szCs w:val="20"/>
          <w:lang w:val="en-US"/>
        </w:rPr>
        <w:t xml:space="preserve"> In the event of a patient requiring medication, patient information must be made available and the patient informed to see the GP for prescription, allowing for the usual time frames. If a patient requires medication</w:t>
      </w:r>
      <w:r w:rsidR="00600F37">
        <w:rPr>
          <w:rFonts w:cs="Arial"/>
          <w:szCs w:val="20"/>
          <w:lang w:val="en-US"/>
        </w:rPr>
        <w:t xml:space="preserve"> urgently</w:t>
      </w:r>
      <w:r w:rsidR="00C93379">
        <w:rPr>
          <w:rFonts w:cs="Arial"/>
          <w:szCs w:val="20"/>
          <w:lang w:val="en-US"/>
        </w:rPr>
        <w:t xml:space="preserve"> then the service </w:t>
      </w:r>
      <w:r>
        <w:rPr>
          <w:rFonts w:cs="Arial"/>
          <w:szCs w:val="20"/>
          <w:lang w:val="en-US"/>
        </w:rPr>
        <w:t>will provide the medication (see section 4.3)</w:t>
      </w:r>
      <w:r w:rsidR="00F10EC7">
        <w:rPr>
          <w:rFonts w:cs="Arial"/>
          <w:szCs w:val="20"/>
          <w:lang w:val="en-US"/>
        </w:rPr>
        <w:t>.</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Discharge summary for the patient’s GP as required within the national contract</w:t>
      </w:r>
      <w:r w:rsidR="00F10EC7">
        <w:rPr>
          <w:rFonts w:cs="Arial"/>
          <w:szCs w:val="20"/>
          <w:lang w:val="en-US"/>
        </w:rPr>
        <w:t>.</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rPr>
      </w:pPr>
      <w:r w:rsidRPr="0094378B">
        <w:rPr>
          <w:rFonts w:cs="Arial"/>
          <w:szCs w:val="20"/>
          <w:lang w:val="en-US"/>
        </w:rPr>
        <w:t xml:space="preserve">Multidisciplinary Team Working- the </w:t>
      </w:r>
      <w:r w:rsidR="003C34B2">
        <w:rPr>
          <w:rFonts w:cs="Arial"/>
          <w:szCs w:val="20"/>
          <w:lang w:val="en-US"/>
        </w:rPr>
        <w:t>GPSIs</w:t>
      </w:r>
      <w:r w:rsidRPr="0094378B">
        <w:rPr>
          <w:rFonts w:cs="Arial"/>
          <w:szCs w:val="20"/>
          <w:lang w:val="en-US"/>
        </w:rPr>
        <w:t xml:space="preserve"> will actively work within the Multidisciplinary Team seeing patients and supporting genuine multidisciplinary working</w:t>
      </w:r>
      <w:r w:rsidRPr="0094378B">
        <w:rPr>
          <w:rFonts w:cs="Arial"/>
          <w:szCs w:val="20"/>
        </w:rPr>
        <w:t xml:space="preserve">. </w:t>
      </w:r>
    </w:p>
    <w:p w:rsidR="003C6998" w:rsidRPr="0094378B" w:rsidRDefault="003C6998" w:rsidP="003C6998">
      <w:pPr>
        <w:spacing w:after="0" w:line="240" w:lineRule="auto"/>
        <w:ind w:left="-680" w:right="-340"/>
        <w:jc w:val="both"/>
        <w:rPr>
          <w:rFonts w:cs="Arial"/>
          <w:color w:val="000000"/>
          <w:szCs w:val="20"/>
        </w:rPr>
      </w:pPr>
    </w:p>
    <w:p w:rsidR="003C6998" w:rsidRPr="0094378B" w:rsidRDefault="003C6998" w:rsidP="003C6998">
      <w:pPr>
        <w:spacing w:after="0" w:line="240" w:lineRule="auto"/>
        <w:ind w:right="-340"/>
        <w:jc w:val="both"/>
        <w:rPr>
          <w:rFonts w:cs="Arial"/>
          <w:color w:val="000000"/>
          <w:szCs w:val="20"/>
        </w:rPr>
      </w:pPr>
      <w:r w:rsidRPr="0094378B">
        <w:rPr>
          <w:rFonts w:cs="Arial"/>
          <w:color w:val="000000"/>
          <w:szCs w:val="20"/>
        </w:rPr>
        <w:t>The assessment for procedures should be conducted with the patient and recorded and include as a minimum:</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Patient demographics</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 xml:space="preserve">Protected characteristics </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Appropriate medical history</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The patient understanding of their condition and any procedure/treatment to be carried out</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Medical condition on arrival</w:t>
      </w:r>
    </w:p>
    <w:p w:rsidR="003C6998" w:rsidRPr="0094378B" w:rsidRDefault="003C6998" w:rsidP="00F35F8C">
      <w:pPr>
        <w:numPr>
          <w:ilvl w:val="0"/>
          <w:numId w:val="13"/>
        </w:numPr>
        <w:tabs>
          <w:tab w:val="clear" w:pos="-320"/>
          <w:tab w:val="num" w:pos="320"/>
        </w:tabs>
        <w:overflowPunct w:val="0"/>
        <w:autoSpaceDE w:val="0"/>
        <w:autoSpaceDN w:val="0"/>
        <w:adjustRightInd w:val="0"/>
        <w:spacing w:after="0" w:line="240" w:lineRule="auto"/>
        <w:ind w:left="320" w:right="-340"/>
        <w:jc w:val="both"/>
        <w:textAlignment w:val="baseline"/>
        <w:rPr>
          <w:rFonts w:cs="Arial"/>
          <w:szCs w:val="20"/>
          <w:lang w:val="en-US"/>
        </w:rPr>
      </w:pPr>
      <w:r w:rsidRPr="0094378B">
        <w:rPr>
          <w:rFonts w:cs="Arial"/>
          <w:szCs w:val="20"/>
          <w:lang w:val="en-US"/>
        </w:rPr>
        <w:t>Mental capacity</w:t>
      </w:r>
    </w:p>
    <w:p w:rsidR="003C6998" w:rsidRPr="0094378B" w:rsidRDefault="003C6998" w:rsidP="003C6998">
      <w:pPr>
        <w:spacing w:after="0" w:line="240" w:lineRule="auto"/>
        <w:ind w:right="-340"/>
        <w:jc w:val="both"/>
        <w:rPr>
          <w:rFonts w:cs="Arial"/>
          <w:color w:val="000000"/>
          <w:szCs w:val="20"/>
        </w:rPr>
      </w:pPr>
    </w:p>
    <w:p w:rsidR="003C6998" w:rsidRPr="0094378B" w:rsidRDefault="003C6998" w:rsidP="003C6998">
      <w:pPr>
        <w:spacing w:after="0" w:line="240" w:lineRule="auto"/>
        <w:ind w:right="-340"/>
        <w:jc w:val="both"/>
        <w:rPr>
          <w:rFonts w:cs="Arial"/>
          <w:color w:val="000000"/>
          <w:szCs w:val="20"/>
        </w:rPr>
      </w:pPr>
      <w:r w:rsidRPr="0094378B">
        <w:rPr>
          <w:rFonts w:cs="Arial"/>
          <w:color w:val="000000"/>
          <w:szCs w:val="20"/>
        </w:rPr>
        <w:t>Patients must be offered the option of a chaperone for any examination. The definition of intimate or invasive may differ between individual patients for ethnic, religious or cultural reasons.</w:t>
      </w:r>
    </w:p>
    <w:p w:rsidR="003C6998" w:rsidRPr="0094378B" w:rsidRDefault="003C6998" w:rsidP="003C6998">
      <w:pPr>
        <w:spacing w:after="0" w:line="240" w:lineRule="auto"/>
        <w:ind w:right="-340"/>
        <w:jc w:val="both"/>
        <w:rPr>
          <w:rFonts w:cs="Arial"/>
          <w:color w:val="000000"/>
          <w:szCs w:val="20"/>
        </w:rPr>
      </w:pPr>
    </w:p>
    <w:p w:rsidR="003C6998" w:rsidRPr="0094378B" w:rsidRDefault="003C6998" w:rsidP="003C6998">
      <w:pPr>
        <w:spacing w:after="0" w:line="240" w:lineRule="auto"/>
        <w:ind w:right="-340"/>
        <w:jc w:val="both"/>
        <w:rPr>
          <w:rFonts w:cs="Arial"/>
          <w:color w:val="000000"/>
          <w:szCs w:val="20"/>
        </w:rPr>
      </w:pPr>
      <w:r w:rsidRPr="0094378B">
        <w:rPr>
          <w:rFonts w:cs="Arial"/>
          <w:color w:val="000000"/>
          <w:szCs w:val="20"/>
        </w:rPr>
        <w:t>The Provider should be aware of the weight limit for examination couches and trolleys and ensure that the appropriate equipment is available or make suitable alternative arrangements when necessary.</w:t>
      </w:r>
    </w:p>
    <w:p w:rsidR="003C6998" w:rsidRPr="003C6998" w:rsidRDefault="003C6998" w:rsidP="003C6998"/>
    <w:p w:rsidR="00D77151" w:rsidRDefault="00D77151" w:rsidP="00D77151">
      <w:pPr>
        <w:pStyle w:val="Subtitle"/>
      </w:pPr>
      <w:r>
        <w:t>4</w:t>
      </w:r>
      <w:r w:rsidRPr="002037DD">
        <w:t>.2.1 Referral process</w:t>
      </w:r>
    </w:p>
    <w:p w:rsidR="00CE492D" w:rsidRDefault="00CE492D" w:rsidP="00716A2E">
      <w:pPr>
        <w:spacing w:after="0" w:line="240" w:lineRule="auto"/>
        <w:jc w:val="both"/>
        <w:rPr>
          <w:rFonts w:eastAsia="Times New Roman"/>
          <w:b/>
          <w:szCs w:val="20"/>
        </w:rPr>
      </w:pPr>
      <w:r w:rsidRPr="00CE492D">
        <w:rPr>
          <w:rFonts w:eastAsia="Times New Roman"/>
          <w:b/>
          <w:szCs w:val="20"/>
        </w:rPr>
        <w:t>NHS Crawley and NHS Horsham and Mid Sussex CCG Referrals</w:t>
      </w:r>
    </w:p>
    <w:p w:rsidR="00CE492D" w:rsidRPr="00CE492D" w:rsidRDefault="00CE492D" w:rsidP="00716A2E">
      <w:pPr>
        <w:spacing w:after="0" w:line="240" w:lineRule="auto"/>
        <w:jc w:val="both"/>
        <w:rPr>
          <w:rFonts w:eastAsia="Times New Roman"/>
          <w:b/>
          <w:szCs w:val="20"/>
        </w:rPr>
      </w:pPr>
    </w:p>
    <w:p w:rsidR="00DF1D50" w:rsidRPr="009C3ECC" w:rsidRDefault="00DF1D50" w:rsidP="00716A2E">
      <w:pPr>
        <w:spacing w:after="0" w:line="240" w:lineRule="auto"/>
        <w:jc w:val="both"/>
        <w:rPr>
          <w:rFonts w:eastAsia="Times New Roman"/>
          <w:szCs w:val="20"/>
        </w:rPr>
      </w:pPr>
      <w:r>
        <w:rPr>
          <w:rFonts w:eastAsia="Times New Roman"/>
          <w:szCs w:val="20"/>
        </w:rPr>
        <w:t>Referrals to the Service will be able to be sent electronically, but this is not mandated as yet.</w:t>
      </w:r>
    </w:p>
    <w:p w:rsidR="00DF1D50" w:rsidRPr="009C3ECC" w:rsidRDefault="00DF1D50" w:rsidP="00716A2E">
      <w:pPr>
        <w:spacing w:after="0" w:line="240" w:lineRule="auto"/>
        <w:jc w:val="both"/>
        <w:rPr>
          <w:rFonts w:eastAsia="Times New Roman"/>
          <w:szCs w:val="20"/>
        </w:rPr>
      </w:pPr>
    </w:p>
    <w:p w:rsidR="00DF1D50" w:rsidRPr="009C3ECC" w:rsidRDefault="00DF1D50" w:rsidP="00716A2E">
      <w:pPr>
        <w:spacing w:line="240" w:lineRule="auto"/>
        <w:jc w:val="both"/>
        <w:rPr>
          <w:rFonts w:eastAsia="Times New Roman"/>
          <w:szCs w:val="20"/>
        </w:rPr>
      </w:pPr>
      <w:r w:rsidRPr="009C3ECC">
        <w:rPr>
          <w:rFonts w:eastAsia="Times New Roman"/>
          <w:szCs w:val="20"/>
        </w:rPr>
        <w:t xml:space="preserve">An electronic referral process will also facilitate Choose and Book or equivalent service and the audit of activity. </w:t>
      </w:r>
      <w:r>
        <w:t>I</w:t>
      </w:r>
      <w:r w:rsidRPr="009C3ECC">
        <w:rPr>
          <w:rFonts w:eastAsia="Times New Roman"/>
          <w:szCs w:val="20"/>
        </w:rPr>
        <w:t>n addition electronic referrals will allow triage</w:t>
      </w:r>
      <w:r>
        <w:rPr>
          <w:rFonts w:eastAsia="Times New Roman"/>
          <w:szCs w:val="20"/>
        </w:rPr>
        <w:t>,</w:t>
      </w:r>
      <w:r w:rsidRPr="009C3ECC">
        <w:rPr>
          <w:rFonts w:eastAsia="Times New Roman"/>
          <w:szCs w:val="20"/>
        </w:rPr>
        <w:t xml:space="preserve"> ensuring patients see the right person at the right time in the right place.</w:t>
      </w:r>
      <w:r>
        <w:rPr>
          <w:rFonts w:eastAsia="Times New Roman"/>
          <w:szCs w:val="20"/>
        </w:rPr>
        <w:t xml:space="preserve"> </w:t>
      </w:r>
      <w:r w:rsidRPr="009C3ECC">
        <w:rPr>
          <w:rFonts w:eastAsia="Times New Roman"/>
          <w:szCs w:val="20"/>
        </w:rPr>
        <w:t>P</w:t>
      </w:r>
      <w:r w:rsidRPr="009C3ECC">
        <w:t xml:space="preserve">roviders must be able to receive referrals from other sources </w:t>
      </w:r>
      <w:r>
        <w:t>–</w:t>
      </w:r>
      <w:r w:rsidRPr="009C3ECC">
        <w:t xml:space="preserve"> as</w:t>
      </w:r>
      <w:r>
        <w:t xml:space="preserve"> a</w:t>
      </w:r>
      <w:r w:rsidRPr="009C3ECC">
        <w:t xml:space="preserve"> minimum</w:t>
      </w:r>
      <w:r>
        <w:t>,</w:t>
      </w:r>
      <w:r w:rsidRPr="009C3ECC">
        <w:t xml:space="preserve"> referrals should be sent</w:t>
      </w:r>
      <w:r>
        <w:t>/received</w:t>
      </w:r>
      <w:r w:rsidRPr="009C3ECC">
        <w:t xml:space="preserve"> by secure email.</w:t>
      </w:r>
    </w:p>
    <w:p w:rsidR="00DF1D50" w:rsidRPr="009C3ECC" w:rsidRDefault="00DF1D50" w:rsidP="00716A2E">
      <w:pPr>
        <w:pStyle w:val="Default"/>
        <w:jc w:val="both"/>
        <w:rPr>
          <w:sz w:val="20"/>
          <w:szCs w:val="20"/>
        </w:rPr>
      </w:pPr>
      <w:r w:rsidRPr="009C3ECC">
        <w:rPr>
          <w:sz w:val="20"/>
          <w:szCs w:val="20"/>
        </w:rPr>
        <w:t xml:space="preserve">All referrals, whether from a GP or other health care professional, will be treated as a GP referral for the purposes of delivering a maximum 18 week wait. </w:t>
      </w:r>
    </w:p>
    <w:p w:rsidR="00DF1D50" w:rsidRPr="001F3250" w:rsidRDefault="00DF1D50" w:rsidP="00716A2E">
      <w:pPr>
        <w:pStyle w:val="Default"/>
        <w:jc w:val="both"/>
        <w:rPr>
          <w:sz w:val="20"/>
          <w:szCs w:val="20"/>
          <w:highlight w:val="yellow"/>
        </w:rPr>
      </w:pPr>
    </w:p>
    <w:p w:rsidR="00DF1D50" w:rsidRPr="005755E1" w:rsidRDefault="00DF1D50" w:rsidP="00716A2E">
      <w:pPr>
        <w:pStyle w:val="Default"/>
        <w:jc w:val="both"/>
        <w:rPr>
          <w:sz w:val="20"/>
          <w:szCs w:val="20"/>
        </w:rPr>
      </w:pPr>
      <w:r w:rsidRPr="005755E1">
        <w:rPr>
          <w:sz w:val="20"/>
          <w:szCs w:val="20"/>
        </w:rPr>
        <w:t xml:space="preserve">The commissioners will require the </w:t>
      </w:r>
      <w:r w:rsidR="004E2F23" w:rsidRPr="008639DF">
        <w:rPr>
          <w:sz w:val="20"/>
          <w:szCs w:val="20"/>
        </w:rPr>
        <w:t>Service</w:t>
      </w:r>
      <w:r w:rsidRPr="005755E1">
        <w:rPr>
          <w:sz w:val="20"/>
          <w:szCs w:val="20"/>
        </w:rPr>
        <w:t xml:space="preserve"> to agree referral guidelines and inclusion/exclusion criteria with the CCG Planned care clinical directors and to communicate these to their referring GPs. Referral guidelines should be consistent with guidelines already in place within the CCGs, where these exist.</w:t>
      </w:r>
    </w:p>
    <w:p w:rsidR="00DF1D50" w:rsidRPr="001F3250" w:rsidRDefault="00DF1D50" w:rsidP="00716A2E">
      <w:pPr>
        <w:pStyle w:val="Default"/>
        <w:jc w:val="both"/>
        <w:rPr>
          <w:sz w:val="20"/>
          <w:szCs w:val="20"/>
          <w:highlight w:val="yellow"/>
        </w:rPr>
      </w:pPr>
    </w:p>
    <w:p w:rsidR="00DF1D50" w:rsidRPr="005755E1" w:rsidRDefault="00DF1D50" w:rsidP="00716A2E">
      <w:pPr>
        <w:spacing w:after="0" w:line="240" w:lineRule="auto"/>
        <w:jc w:val="both"/>
        <w:rPr>
          <w:rFonts w:eastAsia="Times New Roman"/>
          <w:szCs w:val="20"/>
        </w:rPr>
      </w:pPr>
      <w:r w:rsidRPr="005755E1">
        <w:rPr>
          <w:rFonts w:eastAsia="Times New Roman"/>
          <w:szCs w:val="20"/>
        </w:rPr>
        <w:t xml:space="preserve">The </w:t>
      </w:r>
      <w:r w:rsidR="008639DF">
        <w:rPr>
          <w:szCs w:val="20"/>
        </w:rPr>
        <w:t>ENT service</w:t>
      </w:r>
      <w:r w:rsidRPr="005755E1">
        <w:rPr>
          <w:rFonts w:eastAsia="Times New Roman"/>
          <w:szCs w:val="20"/>
        </w:rPr>
        <w:t xml:space="preserve"> is a single point of access for GPs and other Health Professionals into the </w:t>
      </w:r>
      <w:r w:rsidR="008639DF">
        <w:rPr>
          <w:rFonts w:eastAsia="Times New Roman"/>
          <w:szCs w:val="20"/>
        </w:rPr>
        <w:t>Service</w:t>
      </w:r>
      <w:r w:rsidRPr="005755E1">
        <w:rPr>
          <w:rFonts w:eastAsia="Times New Roman"/>
          <w:szCs w:val="20"/>
        </w:rPr>
        <w:t xml:space="preserve"> and choice of secondary care provider will be offered if specialist hospital care is required.</w:t>
      </w:r>
    </w:p>
    <w:p w:rsidR="00DF1D50" w:rsidRDefault="00DF1D50" w:rsidP="00DF1D50"/>
    <w:p w:rsidR="00CE492D" w:rsidRDefault="00CE492D" w:rsidP="00DF1D50">
      <w:pPr>
        <w:rPr>
          <w:b/>
        </w:rPr>
      </w:pPr>
      <w:r w:rsidRPr="00CE492D">
        <w:rPr>
          <w:b/>
        </w:rPr>
        <w:t>NHS Coastal West Sussex CCG Referrals</w:t>
      </w:r>
    </w:p>
    <w:p w:rsidR="00CE492D" w:rsidRDefault="00CE492D" w:rsidP="00C93379">
      <w:pPr>
        <w:spacing w:line="240" w:lineRule="auto"/>
        <w:jc w:val="both"/>
      </w:pPr>
      <w:r>
        <w:lastRenderedPageBreak/>
        <w:t>All referrals to be accepted by e-Referral, this is in line with the roll-out of e-Referral across Coastal West Sussex CCG. Referrals should be triaged within 2 workings days of receipt.</w:t>
      </w:r>
    </w:p>
    <w:p w:rsidR="00CE492D" w:rsidRDefault="00CE492D" w:rsidP="00C93379">
      <w:pPr>
        <w:spacing w:line="240" w:lineRule="auto"/>
        <w:jc w:val="both"/>
      </w:pPr>
      <w:r>
        <w:t>All referrals, whether from a GP or other health care professional, will be treated as a GP referral for the purpose of delivering a maximum 18 week wait.</w:t>
      </w:r>
    </w:p>
    <w:p w:rsidR="00CE492D" w:rsidRDefault="00CE492D" w:rsidP="00C93379">
      <w:pPr>
        <w:spacing w:line="240" w:lineRule="auto"/>
        <w:jc w:val="both"/>
      </w:pPr>
      <w:r>
        <w:t xml:space="preserve">The commissioners will require the Service to agree referral guidelines and inclusion/exclusion criteria with the CCG planned care clinical directors to communicate these to their referring GPs. Referral guidelines should be consistent with guidelines already in place within the CCGs, where these exist. </w:t>
      </w:r>
    </w:p>
    <w:p w:rsidR="00CE492D" w:rsidRDefault="00CE492D" w:rsidP="00C93379">
      <w:pPr>
        <w:spacing w:line="240" w:lineRule="auto"/>
        <w:jc w:val="both"/>
      </w:pPr>
      <w:r>
        <w:t xml:space="preserve">The ENT service is a single point of access for GPs and other Health Professionals into the Service and choice of secondary care provider will be offered if specialist hospital care is required. </w:t>
      </w:r>
    </w:p>
    <w:p w:rsidR="00CE492D" w:rsidRPr="00CE492D" w:rsidRDefault="00CE492D" w:rsidP="00DF1D50"/>
    <w:p w:rsidR="00D77151" w:rsidRDefault="00D77151" w:rsidP="00D77151">
      <w:pPr>
        <w:pStyle w:val="Subtitle"/>
      </w:pPr>
      <w:r>
        <w:t>4</w:t>
      </w:r>
      <w:r w:rsidRPr="002037DD">
        <w:t>.2.2 Patient Access</w:t>
      </w:r>
    </w:p>
    <w:p w:rsidR="00EA57A8" w:rsidRPr="005755E1" w:rsidRDefault="00EA57A8" w:rsidP="00EA57A8">
      <w:pPr>
        <w:autoSpaceDE w:val="0"/>
        <w:autoSpaceDN w:val="0"/>
        <w:adjustRightInd w:val="0"/>
        <w:spacing w:after="0" w:line="240" w:lineRule="auto"/>
        <w:ind w:left="60"/>
        <w:jc w:val="both"/>
        <w:rPr>
          <w:rFonts w:eastAsia="Times New Roman" w:cs="Arial"/>
          <w:color w:val="000000"/>
          <w:szCs w:val="20"/>
        </w:rPr>
      </w:pPr>
      <w:r w:rsidRPr="005755E1">
        <w:rPr>
          <w:rFonts w:eastAsia="Times New Roman" w:cs="Arial"/>
          <w:color w:val="000000"/>
          <w:szCs w:val="20"/>
        </w:rPr>
        <w:t xml:space="preserve">The </w:t>
      </w:r>
      <w:r>
        <w:rPr>
          <w:rFonts w:eastAsia="Times New Roman" w:cs="Arial"/>
          <w:color w:val="000000"/>
          <w:szCs w:val="20"/>
        </w:rPr>
        <w:t>S</w:t>
      </w:r>
      <w:r w:rsidRPr="005755E1">
        <w:rPr>
          <w:rFonts w:eastAsia="Times New Roman" w:cs="Arial"/>
          <w:color w:val="000000"/>
          <w:szCs w:val="20"/>
        </w:rPr>
        <w:t xml:space="preserve">ervice provider must demonstrate that they are able to offer a service for 52 weeks of the year and that clinics provided by the </w:t>
      </w:r>
      <w:r>
        <w:rPr>
          <w:rFonts w:eastAsia="Times New Roman" w:cs="Arial"/>
          <w:color w:val="000000"/>
          <w:szCs w:val="20"/>
        </w:rPr>
        <w:t>Service</w:t>
      </w:r>
      <w:r w:rsidRPr="005755E1">
        <w:rPr>
          <w:rFonts w:eastAsia="Times New Roman" w:cs="Arial"/>
          <w:color w:val="000000"/>
          <w:szCs w:val="20"/>
        </w:rPr>
        <w:t xml:space="preserve"> are offered on different weekdays</w:t>
      </w:r>
      <w:r>
        <w:rPr>
          <w:rFonts w:eastAsia="Times New Roman" w:cs="Arial"/>
          <w:color w:val="000000"/>
          <w:szCs w:val="20"/>
        </w:rPr>
        <w:t xml:space="preserve"> (with a move towards 7 day working)</w:t>
      </w:r>
      <w:r w:rsidRPr="005755E1">
        <w:rPr>
          <w:rFonts w:eastAsia="Times New Roman" w:cs="Arial"/>
          <w:color w:val="000000"/>
          <w:szCs w:val="20"/>
        </w:rPr>
        <w:t xml:space="preserve"> to enable flexible access for patients.</w:t>
      </w:r>
    </w:p>
    <w:p w:rsidR="00EA57A8" w:rsidRPr="005755E1" w:rsidRDefault="00EA57A8" w:rsidP="00EA57A8">
      <w:pPr>
        <w:autoSpaceDE w:val="0"/>
        <w:autoSpaceDN w:val="0"/>
        <w:adjustRightInd w:val="0"/>
        <w:spacing w:after="0" w:line="240" w:lineRule="auto"/>
        <w:ind w:left="60"/>
        <w:jc w:val="both"/>
        <w:rPr>
          <w:rFonts w:eastAsia="Times New Roman" w:cs="Arial"/>
          <w:color w:val="000000"/>
          <w:szCs w:val="20"/>
        </w:rPr>
      </w:pPr>
      <w:r w:rsidRPr="005755E1">
        <w:rPr>
          <w:rFonts w:eastAsia="Times New Roman" w:cs="Arial"/>
          <w:color w:val="000000"/>
          <w:szCs w:val="20"/>
        </w:rPr>
        <w:t>The commissioners wish to commission improved timely access to services, including:</w:t>
      </w:r>
    </w:p>
    <w:p w:rsidR="00EA57A8" w:rsidRPr="005755E1" w:rsidRDefault="00EA57A8" w:rsidP="00F35F8C">
      <w:pPr>
        <w:numPr>
          <w:ilvl w:val="0"/>
          <w:numId w:val="26"/>
        </w:numPr>
        <w:autoSpaceDE w:val="0"/>
        <w:autoSpaceDN w:val="0"/>
        <w:adjustRightInd w:val="0"/>
        <w:spacing w:after="0" w:line="240" w:lineRule="auto"/>
        <w:jc w:val="both"/>
        <w:rPr>
          <w:rFonts w:eastAsia="Times New Roman" w:cs="Arial"/>
          <w:color w:val="000000"/>
          <w:szCs w:val="20"/>
        </w:rPr>
      </w:pPr>
      <w:r w:rsidRPr="005755E1">
        <w:rPr>
          <w:rFonts w:eastAsia="Times New Roman" w:cs="Arial"/>
          <w:color w:val="000000"/>
          <w:szCs w:val="20"/>
        </w:rPr>
        <w:t xml:space="preserve">Decreased waits for appointments, both first and follow up. </w:t>
      </w:r>
    </w:p>
    <w:p w:rsidR="00EA57A8" w:rsidRPr="005755E1" w:rsidRDefault="00EA57A8" w:rsidP="00F35F8C">
      <w:pPr>
        <w:numPr>
          <w:ilvl w:val="0"/>
          <w:numId w:val="26"/>
        </w:numPr>
        <w:autoSpaceDE w:val="0"/>
        <w:autoSpaceDN w:val="0"/>
        <w:adjustRightInd w:val="0"/>
        <w:spacing w:after="0" w:line="240" w:lineRule="auto"/>
        <w:jc w:val="both"/>
        <w:rPr>
          <w:rFonts w:eastAsia="Times New Roman" w:cs="Arial"/>
          <w:color w:val="000000"/>
          <w:szCs w:val="20"/>
        </w:rPr>
      </w:pPr>
      <w:r w:rsidRPr="005755E1">
        <w:rPr>
          <w:rFonts w:eastAsia="Times New Roman" w:cs="Arial"/>
          <w:color w:val="000000"/>
          <w:szCs w:val="20"/>
        </w:rPr>
        <w:t>More appointments offered as one stop appointments.</w:t>
      </w:r>
    </w:p>
    <w:p w:rsidR="00EA57A8" w:rsidRPr="005755E1" w:rsidRDefault="00EA57A8" w:rsidP="00F35F8C">
      <w:pPr>
        <w:numPr>
          <w:ilvl w:val="0"/>
          <w:numId w:val="26"/>
        </w:numPr>
        <w:autoSpaceDE w:val="0"/>
        <w:autoSpaceDN w:val="0"/>
        <w:adjustRightInd w:val="0"/>
        <w:spacing w:after="0" w:line="240" w:lineRule="auto"/>
        <w:jc w:val="both"/>
        <w:rPr>
          <w:rFonts w:eastAsia="Times New Roman" w:cs="Arial"/>
          <w:color w:val="000000"/>
          <w:szCs w:val="20"/>
        </w:rPr>
      </w:pPr>
      <w:r w:rsidRPr="005755E1">
        <w:rPr>
          <w:rFonts w:eastAsia="Times New Roman" w:cs="Arial"/>
          <w:color w:val="000000"/>
          <w:szCs w:val="20"/>
        </w:rPr>
        <w:t>Patient access to telephone follow up.</w:t>
      </w:r>
    </w:p>
    <w:p w:rsidR="00EA57A8" w:rsidRPr="005755E1" w:rsidRDefault="00EA57A8" w:rsidP="00F35F8C">
      <w:pPr>
        <w:numPr>
          <w:ilvl w:val="0"/>
          <w:numId w:val="26"/>
        </w:numPr>
        <w:autoSpaceDE w:val="0"/>
        <w:autoSpaceDN w:val="0"/>
        <w:adjustRightInd w:val="0"/>
        <w:spacing w:after="0" w:line="240" w:lineRule="auto"/>
        <w:jc w:val="both"/>
        <w:rPr>
          <w:rFonts w:eastAsia="Times New Roman" w:cs="Arial"/>
          <w:color w:val="000000"/>
          <w:szCs w:val="20"/>
        </w:rPr>
      </w:pPr>
      <w:r w:rsidRPr="005755E1">
        <w:rPr>
          <w:rFonts w:eastAsia="Times New Roman" w:cs="Arial"/>
          <w:color w:val="000000"/>
          <w:szCs w:val="20"/>
        </w:rPr>
        <w:t xml:space="preserve">Patient access to appointments outside of normal working hours, normal working hours being 9-5pm for the purpose of this document. This could include access to services before or after working hours and/or </w:t>
      </w:r>
      <w:r>
        <w:rPr>
          <w:rFonts w:eastAsia="Times New Roman" w:cs="Arial"/>
          <w:color w:val="000000"/>
          <w:szCs w:val="20"/>
        </w:rPr>
        <w:t>weekends</w:t>
      </w:r>
      <w:r w:rsidRPr="005755E1">
        <w:rPr>
          <w:rFonts w:eastAsia="Times New Roman" w:cs="Arial"/>
          <w:color w:val="000000"/>
          <w:szCs w:val="20"/>
        </w:rPr>
        <w:t>.</w:t>
      </w:r>
    </w:p>
    <w:p w:rsidR="00EA57A8" w:rsidRPr="003D2CB8" w:rsidRDefault="00EA57A8" w:rsidP="00F35F8C">
      <w:pPr>
        <w:numPr>
          <w:ilvl w:val="0"/>
          <w:numId w:val="26"/>
        </w:numPr>
        <w:autoSpaceDE w:val="0"/>
        <w:autoSpaceDN w:val="0"/>
        <w:adjustRightInd w:val="0"/>
        <w:spacing w:after="0" w:line="240" w:lineRule="auto"/>
        <w:jc w:val="both"/>
        <w:rPr>
          <w:rFonts w:eastAsia="Times New Roman" w:cs="Arial"/>
          <w:color w:val="000000"/>
          <w:szCs w:val="20"/>
        </w:rPr>
      </w:pPr>
      <w:r>
        <w:rPr>
          <w:rFonts w:eastAsia="Times New Roman" w:cs="Arial"/>
          <w:color w:val="000000"/>
          <w:szCs w:val="20"/>
        </w:rPr>
        <w:t xml:space="preserve">For those patients who, following face to face assessment, are identified as requiring onward referral to hospital based services then a maximum handling time within </w:t>
      </w:r>
      <w:r w:rsidR="00E848A9">
        <w:rPr>
          <w:rFonts w:eastAsia="Times New Roman" w:cs="Arial"/>
          <w:color w:val="000000"/>
          <w:szCs w:val="20"/>
        </w:rPr>
        <w:t>the Service</w:t>
      </w:r>
      <w:r>
        <w:rPr>
          <w:rFonts w:eastAsia="Times New Roman" w:cs="Arial"/>
          <w:color w:val="000000"/>
          <w:szCs w:val="20"/>
        </w:rPr>
        <w:t xml:space="preserve"> of 4-6 weeks with 6 weeks as the maximum. </w:t>
      </w:r>
      <w:r w:rsidRPr="003D2CB8">
        <w:rPr>
          <w:rFonts w:eastAsia="Times New Roman" w:cs="Arial"/>
          <w:color w:val="000000"/>
          <w:szCs w:val="20"/>
        </w:rPr>
        <w:t xml:space="preserve"> </w:t>
      </w:r>
    </w:p>
    <w:p w:rsidR="00EA57A8" w:rsidRPr="005755E1" w:rsidRDefault="00EA57A8" w:rsidP="00F35F8C">
      <w:pPr>
        <w:numPr>
          <w:ilvl w:val="0"/>
          <w:numId w:val="26"/>
        </w:numPr>
        <w:autoSpaceDE w:val="0"/>
        <w:autoSpaceDN w:val="0"/>
        <w:adjustRightInd w:val="0"/>
        <w:spacing w:after="0" w:line="240" w:lineRule="auto"/>
        <w:jc w:val="both"/>
        <w:rPr>
          <w:rFonts w:eastAsia="Times New Roman" w:cs="Arial"/>
          <w:color w:val="000000"/>
          <w:szCs w:val="20"/>
        </w:rPr>
      </w:pPr>
      <w:r w:rsidRPr="005755E1">
        <w:rPr>
          <w:rFonts w:eastAsia="Times New Roman" w:cs="Arial"/>
          <w:color w:val="000000"/>
          <w:szCs w:val="20"/>
        </w:rPr>
        <w:t>Much improved signposting to relevant education and support services early in the patient pathway, including the v</w:t>
      </w:r>
      <w:r>
        <w:rPr>
          <w:rFonts w:eastAsia="Times New Roman" w:cs="Arial"/>
          <w:color w:val="000000"/>
          <w:szCs w:val="20"/>
        </w:rPr>
        <w:t>oluntary sector support groups</w:t>
      </w:r>
      <w:r w:rsidR="007C1C44">
        <w:rPr>
          <w:rFonts w:eastAsia="Times New Roman" w:cs="Arial"/>
          <w:color w:val="000000"/>
          <w:szCs w:val="20"/>
        </w:rPr>
        <w:t>.</w:t>
      </w:r>
      <w:r w:rsidRPr="005755E1">
        <w:rPr>
          <w:rFonts w:eastAsia="Times New Roman" w:cs="Arial"/>
          <w:color w:val="000000"/>
          <w:szCs w:val="20"/>
          <w:highlight w:val="yellow"/>
        </w:rPr>
        <w:t xml:space="preserve"> </w:t>
      </w:r>
    </w:p>
    <w:p w:rsidR="00EA57A8" w:rsidRPr="001F3250" w:rsidRDefault="00EA57A8" w:rsidP="00EA57A8">
      <w:pPr>
        <w:autoSpaceDE w:val="0"/>
        <w:autoSpaceDN w:val="0"/>
        <w:adjustRightInd w:val="0"/>
        <w:spacing w:after="0" w:line="240" w:lineRule="auto"/>
        <w:jc w:val="both"/>
        <w:rPr>
          <w:rFonts w:eastAsia="Times New Roman" w:cs="Arial"/>
          <w:b/>
          <w:bCs/>
          <w:color w:val="000000"/>
          <w:szCs w:val="20"/>
          <w:highlight w:val="yellow"/>
        </w:rPr>
      </w:pPr>
    </w:p>
    <w:p w:rsidR="00EA57A8" w:rsidRPr="00ED3C35" w:rsidRDefault="00EA57A8" w:rsidP="00EA57A8">
      <w:pPr>
        <w:autoSpaceDE w:val="0"/>
        <w:autoSpaceDN w:val="0"/>
        <w:adjustRightInd w:val="0"/>
        <w:spacing w:after="0" w:line="240" w:lineRule="auto"/>
        <w:jc w:val="both"/>
        <w:rPr>
          <w:rFonts w:eastAsia="MS Mincho" w:cs="Arial"/>
          <w:szCs w:val="20"/>
          <w:lang w:val="en-US" w:eastAsia="ja-JP"/>
        </w:rPr>
      </w:pPr>
      <w:r w:rsidRPr="00ED3C35">
        <w:rPr>
          <w:rFonts w:eastAsia="MS Mincho" w:cs="Arial"/>
          <w:szCs w:val="20"/>
          <w:lang w:val="en-US" w:eastAsia="ja-JP"/>
        </w:rPr>
        <w:t>The Provider will provide appropriate assistance and make reasonable adjustments for patients and carers who do not speak, read or write English or who have communication difficulties, in order to:</w:t>
      </w:r>
    </w:p>
    <w:p w:rsidR="00EA57A8" w:rsidRPr="00ED3C35" w:rsidRDefault="00EA57A8" w:rsidP="00F35F8C">
      <w:pPr>
        <w:numPr>
          <w:ilvl w:val="0"/>
          <w:numId w:val="27"/>
        </w:numPr>
        <w:tabs>
          <w:tab w:val="clear" w:pos="1374"/>
          <w:tab w:val="num" w:pos="360"/>
        </w:tabs>
        <w:autoSpaceDE w:val="0"/>
        <w:autoSpaceDN w:val="0"/>
        <w:adjustRightInd w:val="0"/>
        <w:spacing w:after="0" w:line="240" w:lineRule="auto"/>
        <w:ind w:left="360"/>
        <w:jc w:val="both"/>
        <w:rPr>
          <w:rFonts w:eastAsia="MS Mincho" w:cs="Arial"/>
          <w:szCs w:val="20"/>
          <w:lang w:val="en-US" w:eastAsia="ja-JP"/>
        </w:rPr>
      </w:pPr>
      <w:r w:rsidRPr="00ED3C35">
        <w:rPr>
          <w:rFonts w:eastAsia="MS Mincho" w:cs="Arial"/>
          <w:szCs w:val="20"/>
          <w:lang w:val="en-US" w:eastAsia="ja-JP"/>
        </w:rPr>
        <w:t>minimise clinical risk arising from inaccurate communication;</w:t>
      </w:r>
    </w:p>
    <w:p w:rsidR="00EA57A8" w:rsidRPr="00ED3C35" w:rsidRDefault="00EA57A8" w:rsidP="00F35F8C">
      <w:pPr>
        <w:numPr>
          <w:ilvl w:val="0"/>
          <w:numId w:val="27"/>
        </w:numPr>
        <w:tabs>
          <w:tab w:val="clear" w:pos="1374"/>
          <w:tab w:val="num" w:pos="360"/>
        </w:tabs>
        <w:autoSpaceDE w:val="0"/>
        <w:autoSpaceDN w:val="0"/>
        <w:adjustRightInd w:val="0"/>
        <w:spacing w:after="0" w:line="240" w:lineRule="auto"/>
        <w:ind w:left="360"/>
        <w:jc w:val="both"/>
        <w:rPr>
          <w:rFonts w:eastAsia="MS Mincho" w:cs="Arial"/>
          <w:szCs w:val="20"/>
          <w:lang w:val="en-US" w:eastAsia="ja-JP"/>
        </w:rPr>
      </w:pPr>
      <w:r w:rsidRPr="00ED3C35">
        <w:rPr>
          <w:rFonts w:eastAsia="MS Mincho" w:cs="Arial"/>
          <w:szCs w:val="20"/>
          <w:lang w:val="en-US" w:eastAsia="ja-JP"/>
        </w:rPr>
        <w:t>support equitable access to healthcare for people for whom English is not a first language; and</w:t>
      </w:r>
    </w:p>
    <w:p w:rsidR="00EA57A8" w:rsidRPr="00ED3C35" w:rsidRDefault="00EA57A8" w:rsidP="00F35F8C">
      <w:pPr>
        <w:numPr>
          <w:ilvl w:val="0"/>
          <w:numId w:val="27"/>
        </w:numPr>
        <w:tabs>
          <w:tab w:val="clear" w:pos="1374"/>
          <w:tab w:val="num" w:pos="360"/>
        </w:tabs>
        <w:spacing w:after="0" w:line="240" w:lineRule="auto"/>
        <w:ind w:left="360"/>
        <w:jc w:val="both"/>
        <w:rPr>
          <w:rFonts w:eastAsia="MS Mincho" w:cs="Arial"/>
          <w:b/>
          <w:bCs/>
          <w:szCs w:val="20"/>
          <w:lang w:val="en-US" w:eastAsia="ja-JP"/>
        </w:rPr>
      </w:pPr>
      <w:r w:rsidRPr="00ED3C35">
        <w:rPr>
          <w:rFonts w:eastAsia="MS Mincho" w:cs="Arial"/>
          <w:szCs w:val="20"/>
          <w:lang w:val="en-US" w:eastAsia="ja-JP"/>
        </w:rPr>
        <w:t>support effectiveness of service in reducing health inequalities.</w:t>
      </w:r>
    </w:p>
    <w:p w:rsidR="00EA57A8" w:rsidRPr="00ED3C35" w:rsidRDefault="00EA57A8" w:rsidP="00EA57A8">
      <w:pPr>
        <w:spacing w:after="0"/>
        <w:jc w:val="both"/>
        <w:rPr>
          <w:sz w:val="22"/>
        </w:rPr>
      </w:pPr>
    </w:p>
    <w:p w:rsidR="00EA57A8" w:rsidRPr="00ED3C35" w:rsidRDefault="00EA57A8" w:rsidP="00EA57A8">
      <w:pPr>
        <w:spacing w:line="240" w:lineRule="auto"/>
        <w:jc w:val="both"/>
        <w:rPr>
          <w:szCs w:val="20"/>
        </w:rPr>
      </w:pPr>
      <w:r w:rsidRPr="00ED3C35">
        <w:rPr>
          <w:szCs w:val="20"/>
        </w:rPr>
        <w:t xml:space="preserve">The service will also need to make appropriate provision for local patients who are travellers or have no fixed address. The service is available to all patients of </w:t>
      </w:r>
      <w:r w:rsidR="00E848A9">
        <w:rPr>
          <w:szCs w:val="20"/>
        </w:rPr>
        <w:t>2</w:t>
      </w:r>
      <w:r w:rsidRPr="00ED3C35">
        <w:rPr>
          <w:szCs w:val="20"/>
        </w:rPr>
        <w:t xml:space="preserve"> years or over irrespective of race, religious beliefs, disability, ethnicity or sexual orientation. The availability of the Service should be flexible to reflect the needs of the working and elderly populations including all hard to reach and vulnerable groups.</w:t>
      </w:r>
    </w:p>
    <w:p w:rsidR="00EA57A8" w:rsidRPr="00EA57A8" w:rsidRDefault="00EA57A8" w:rsidP="00EA57A8"/>
    <w:p w:rsidR="00D77151" w:rsidRDefault="00D77151" w:rsidP="00D77151">
      <w:pPr>
        <w:pStyle w:val="Subtitle"/>
      </w:pPr>
      <w:r>
        <w:t>4</w:t>
      </w:r>
      <w:r w:rsidRPr="002037DD">
        <w:t>.2.3 Clinical Care Pathways</w:t>
      </w:r>
    </w:p>
    <w:p w:rsidR="00E848A9" w:rsidRPr="00176B4B" w:rsidRDefault="00E848A9" w:rsidP="00E848A9">
      <w:pPr>
        <w:spacing w:after="0" w:line="240" w:lineRule="auto"/>
        <w:jc w:val="both"/>
        <w:rPr>
          <w:rFonts w:eastAsia="Times New Roman"/>
          <w:szCs w:val="20"/>
        </w:rPr>
      </w:pPr>
      <w:r w:rsidRPr="00176B4B">
        <w:rPr>
          <w:rFonts w:eastAsia="Times New Roman"/>
          <w:szCs w:val="20"/>
        </w:rPr>
        <w:t>All referrals, whether from a GP or other health care professional, will be treated as a GP referral for the purposes of delivering a maximum 18 week wait.</w:t>
      </w:r>
    </w:p>
    <w:p w:rsidR="00E848A9" w:rsidRPr="00176B4B" w:rsidRDefault="00E848A9" w:rsidP="00E848A9">
      <w:pPr>
        <w:spacing w:after="0" w:line="240" w:lineRule="auto"/>
        <w:jc w:val="both"/>
        <w:rPr>
          <w:rFonts w:eastAsia="Times New Roman"/>
          <w:szCs w:val="20"/>
        </w:rPr>
      </w:pPr>
    </w:p>
    <w:p w:rsidR="00C93379" w:rsidRDefault="00E848A9" w:rsidP="00E848A9">
      <w:pPr>
        <w:spacing w:after="0" w:line="240" w:lineRule="auto"/>
        <w:jc w:val="both"/>
        <w:rPr>
          <w:rFonts w:eastAsia="MS Mincho" w:cs="Arial"/>
          <w:szCs w:val="20"/>
          <w:lang w:val="en-US" w:eastAsia="ja-JP"/>
        </w:rPr>
      </w:pPr>
      <w:r w:rsidRPr="00176B4B">
        <w:rPr>
          <w:rFonts w:eastAsia="Times New Roman"/>
          <w:szCs w:val="20"/>
        </w:rPr>
        <w:t xml:space="preserve">The Commissioner has a range of GP/clinician </w:t>
      </w:r>
      <w:r>
        <w:rPr>
          <w:rFonts w:eastAsia="Times New Roman"/>
          <w:szCs w:val="20"/>
        </w:rPr>
        <w:t xml:space="preserve">co-designed </w:t>
      </w:r>
      <w:r w:rsidRPr="00176B4B">
        <w:rPr>
          <w:rFonts w:eastAsia="Times New Roman"/>
          <w:szCs w:val="20"/>
        </w:rPr>
        <w:t xml:space="preserve">referral clinical pathways in place and other professional clinical pathways.  These describe </w:t>
      </w:r>
      <w:r>
        <w:rPr>
          <w:rFonts w:eastAsia="Times New Roman"/>
          <w:szCs w:val="20"/>
        </w:rPr>
        <w:t>an</w:t>
      </w:r>
      <w:r w:rsidRPr="00176B4B">
        <w:rPr>
          <w:rFonts w:eastAsia="Times New Roman"/>
          <w:szCs w:val="20"/>
        </w:rPr>
        <w:t xml:space="preserve"> expected assessment; work up and management of the patient;</w:t>
      </w:r>
      <w:r>
        <w:rPr>
          <w:rFonts w:eastAsia="Times New Roman"/>
          <w:szCs w:val="20"/>
        </w:rPr>
        <w:t xml:space="preserve"> prior to referral</w:t>
      </w:r>
      <w:r w:rsidRPr="00176B4B">
        <w:rPr>
          <w:rFonts w:eastAsia="Times New Roman"/>
          <w:szCs w:val="20"/>
        </w:rPr>
        <w:t>; and the referral destination.  It is</w:t>
      </w:r>
      <w:r w:rsidRPr="00176B4B">
        <w:rPr>
          <w:rFonts w:eastAsia="Times New Roman"/>
        </w:rPr>
        <w:t xml:space="preserve"> </w:t>
      </w:r>
      <w:r w:rsidRPr="00176B4B">
        <w:rPr>
          <w:rFonts w:eastAsia="Times New Roman"/>
          <w:szCs w:val="20"/>
        </w:rPr>
        <w:t xml:space="preserve">recognised that these pathways will need to be adapted in the light of the Service </w:t>
      </w:r>
      <w:r w:rsidRPr="00E848A9">
        <w:rPr>
          <w:rFonts w:eastAsia="Times New Roman"/>
          <w:szCs w:val="20"/>
        </w:rPr>
        <w:t xml:space="preserve">and pathways where not in existence now will need to be developed in conjunction with the Commissioner.  These GP/clinician co-designed clinical referral pathways should be </w:t>
      </w:r>
      <w:r w:rsidRPr="00E848A9">
        <w:rPr>
          <w:rFonts w:eastAsia="Times New Roman"/>
          <w:szCs w:val="20"/>
        </w:rPr>
        <w:lastRenderedPageBreak/>
        <w:t>evidence based and</w:t>
      </w:r>
      <w:r w:rsidRPr="00E848A9">
        <w:rPr>
          <w:rFonts w:eastAsia="MS Mincho" w:cs="Arial"/>
          <w:szCs w:val="20"/>
          <w:lang w:val="en-US" w:eastAsia="ja-JP"/>
        </w:rPr>
        <w:t xml:space="preserve"> describe what referring clinicians would normally do prior to referral into the </w:t>
      </w:r>
      <w:r w:rsidR="00683290">
        <w:rPr>
          <w:rFonts w:eastAsia="MS Mincho" w:cs="Arial"/>
          <w:szCs w:val="20"/>
          <w:lang w:val="en-US" w:eastAsia="ja-JP"/>
        </w:rPr>
        <w:t>S</w:t>
      </w:r>
      <w:r w:rsidRPr="00E848A9">
        <w:rPr>
          <w:rFonts w:eastAsia="MS Mincho" w:cs="Arial"/>
          <w:szCs w:val="20"/>
          <w:lang w:val="en-US" w:eastAsia="ja-JP"/>
        </w:rPr>
        <w:t xml:space="preserve">ervice, to ensure the most effective patient pathway. </w:t>
      </w:r>
    </w:p>
    <w:p w:rsidR="00C93379" w:rsidRDefault="00C93379" w:rsidP="00E848A9">
      <w:pPr>
        <w:spacing w:after="0" w:line="240" w:lineRule="auto"/>
        <w:jc w:val="both"/>
        <w:rPr>
          <w:rFonts w:eastAsia="MS Mincho" w:cs="Arial"/>
          <w:szCs w:val="20"/>
          <w:lang w:val="en-US" w:eastAsia="ja-JP"/>
        </w:rPr>
      </w:pPr>
    </w:p>
    <w:p w:rsidR="00E848A9" w:rsidRPr="00176B4B" w:rsidRDefault="00E848A9" w:rsidP="00E848A9">
      <w:pPr>
        <w:spacing w:after="0" w:line="240" w:lineRule="auto"/>
        <w:jc w:val="both"/>
        <w:rPr>
          <w:rFonts w:eastAsia="Times New Roman"/>
          <w:szCs w:val="20"/>
        </w:rPr>
      </w:pPr>
      <w:r w:rsidRPr="00E848A9">
        <w:rPr>
          <w:rFonts w:eastAsia="MS Mincho" w:cs="Arial"/>
          <w:szCs w:val="20"/>
          <w:lang w:val="en-US" w:eastAsia="ja-JP"/>
        </w:rPr>
        <w:t>Many of these co-designed pathways are already in place. These will continue to be reviewed and co-designed</w:t>
      </w:r>
      <w:r>
        <w:rPr>
          <w:rFonts w:eastAsia="MS Mincho" w:cs="Arial"/>
          <w:szCs w:val="20"/>
          <w:lang w:val="en-US" w:eastAsia="ja-JP"/>
        </w:rPr>
        <w:t xml:space="preserve"> as the service develops.</w:t>
      </w:r>
      <w:r>
        <w:rPr>
          <w:rFonts w:eastAsia="Times New Roman"/>
          <w:szCs w:val="20"/>
        </w:rPr>
        <w:t xml:space="preserve"> </w:t>
      </w:r>
      <w:r w:rsidRPr="00176B4B">
        <w:rPr>
          <w:rFonts w:eastAsia="Times New Roman"/>
          <w:szCs w:val="20"/>
        </w:rPr>
        <w:t>Once agreed, the Service will be expected to triage all referrals against the</w:t>
      </w:r>
      <w:r>
        <w:rPr>
          <w:rFonts w:eastAsia="Times New Roman"/>
          <w:szCs w:val="20"/>
        </w:rPr>
        <w:t xml:space="preserve">se pathways and to triage back </w:t>
      </w:r>
      <w:r w:rsidRPr="00176B4B">
        <w:rPr>
          <w:rFonts w:eastAsia="Times New Roman"/>
          <w:szCs w:val="20"/>
        </w:rPr>
        <w:t>where there is insufficient information on which to complete the triage process. This will be done by peer to peer contact i.e. if a clinical issue is found with a referral the discussion with the referring clinician will be carried out by a clinician within the service. This must be carried out as soon as any deficiency in referral is found to ensure that the patient pathway is not delayed and also as learning is best achieved when the referral is current.  This discussion must be carried out in a supportive way to enable the personal and clinical development of the referring clinician.  If an administrative deficiency is found in a referral there need not be a clinical discussion.</w:t>
      </w:r>
    </w:p>
    <w:p w:rsidR="00E848A9" w:rsidRPr="00176B4B" w:rsidRDefault="00E848A9" w:rsidP="00E848A9">
      <w:pPr>
        <w:spacing w:after="0" w:line="240" w:lineRule="auto"/>
        <w:jc w:val="both"/>
        <w:rPr>
          <w:rFonts w:eastAsia="Times New Roman"/>
          <w:szCs w:val="20"/>
        </w:rPr>
      </w:pPr>
    </w:p>
    <w:p w:rsidR="00E848A9" w:rsidRPr="00176B4B" w:rsidRDefault="00E848A9" w:rsidP="00E848A9">
      <w:pPr>
        <w:spacing w:after="0" w:line="240" w:lineRule="auto"/>
        <w:jc w:val="both"/>
        <w:rPr>
          <w:rFonts w:eastAsia="Times New Roman"/>
          <w:szCs w:val="20"/>
        </w:rPr>
      </w:pPr>
      <w:r w:rsidRPr="00176B4B">
        <w:rPr>
          <w:rFonts w:eastAsia="Times New Roman"/>
          <w:szCs w:val="20"/>
        </w:rPr>
        <w:t xml:space="preserve">There is recognition that not every individual patient fits into a pathway so they should be used as guidance and not as absolute protocols. </w:t>
      </w:r>
    </w:p>
    <w:p w:rsidR="00E848A9" w:rsidRPr="00176B4B" w:rsidRDefault="00E848A9" w:rsidP="00E848A9">
      <w:pPr>
        <w:spacing w:after="0" w:line="240" w:lineRule="auto"/>
        <w:jc w:val="both"/>
        <w:rPr>
          <w:rFonts w:eastAsia="Times New Roman"/>
          <w:szCs w:val="20"/>
        </w:rPr>
      </w:pPr>
    </w:p>
    <w:p w:rsidR="00E848A9" w:rsidRPr="00176B4B" w:rsidRDefault="00E848A9" w:rsidP="00E848A9">
      <w:pPr>
        <w:spacing w:after="0" w:line="240" w:lineRule="auto"/>
        <w:jc w:val="both"/>
        <w:rPr>
          <w:rFonts w:eastAsia="Times New Roman"/>
          <w:szCs w:val="20"/>
        </w:rPr>
      </w:pPr>
      <w:r w:rsidRPr="00176B4B">
        <w:rPr>
          <w:rFonts w:eastAsia="Times New Roman"/>
          <w:szCs w:val="20"/>
        </w:rPr>
        <w:t>The Service will work with the Commissioner</w:t>
      </w:r>
      <w:r>
        <w:rPr>
          <w:rFonts w:eastAsia="Times New Roman"/>
          <w:szCs w:val="20"/>
        </w:rPr>
        <w:t>s</w:t>
      </w:r>
      <w:r w:rsidRPr="00176B4B">
        <w:rPr>
          <w:rFonts w:eastAsia="Times New Roman"/>
          <w:szCs w:val="20"/>
        </w:rPr>
        <w:t xml:space="preserve"> to develop standardised referral formats where the Commissioner thinks appropriate. </w:t>
      </w:r>
    </w:p>
    <w:p w:rsidR="00E848A9" w:rsidRPr="00E848A9" w:rsidRDefault="00E848A9" w:rsidP="00E848A9"/>
    <w:p w:rsidR="00D77151" w:rsidRDefault="00D77151" w:rsidP="00D77151">
      <w:pPr>
        <w:pStyle w:val="Subtitle"/>
      </w:pPr>
      <w:r>
        <w:t>4</w:t>
      </w:r>
      <w:r w:rsidRPr="002037DD">
        <w:t>.2.4 Shared Decision Making</w:t>
      </w:r>
    </w:p>
    <w:p w:rsidR="00E848A9" w:rsidRPr="0094378B" w:rsidRDefault="00E848A9" w:rsidP="005A697C">
      <w:pPr>
        <w:spacing w:after="0" w:line="240" w:lineRule="auto"/>
        <w:jc w:val="both"/>
        <w:rPr>
          <w:rFonts w:cs="Arial"/>
          <w:szCs w:val="20"/>
        </w:rPr>
      </w:pPr>
      <w:r w:rsidRPr="0094378B">
        <w:rPr>
          <w:rFonts w:cs="Arial"/>
          <w:szCs w:val="20"/>
        </w:rPr>
        <w:t xml:space="preserve">The Service should use innovative ways of providing information and resources for patients and their carers, for example use of information websites and links to patient organisations and support groups as well as Carer Liaison Services. </w:t>
      </w:r>
    </w:p>
    <w:p w:rsidR="00E848A9" w:rsidRPr="0094378B" w:rsidRDefault="00E848A9" w:rsidP="005A697C">
      <w:pPr>
        <w:spacing w:after="0" w:line="240" w:lineRule="auto"/>
        <w:jc w:val="both"/>
        <w:rPr>
          <w:rFonts w:cs="Arial"/>
          <w:szCs w:val="20"/>
        </w:rPr>
      </w:pPr>
    </w:p>
    <w:p w:rsidR="00E848A9" w:rsidRPr="0094378B" w:rsidRDefault="00E848A9" w:rsidP="005A697C">
      <w:pPr>
        <w:spacing w:after="0" w:line="240" w:lineRule="auto"/>
        <w:jc w:val="both"/>
        <w:rPr>
          <w:rFonts w:cs="Arial"/>
          <w:szCs w:val="20"/>
        </w:rPr>
      </w:pPr>
      <w:r w:rsidRPr="0094378B">
        <w:rPr>
          <w:rFonts w:cs="Arial"/>
          <w:szCs w:val="20"/>
        </w:rPr>
        <w:t xml:space="preserve">At all stages of the pathway, patients will be given/sent copies of letters and reports with covering explanation if needed. </w:t>
      </w:r>
    </w:p>
    <w:p w:rsidR="00E848A9" w:rsidRPr="0094378B" w:rsidRDefault="00E848A9" w:rsidP="005A697C">
      <w:pPr>
        <w:spacing w:after="0" w:line="240" w:lineRule="auto"/>
        <w:jc w:val="both"/>
        <w:rPr>
          <w:rFonts w:cs="Arial"/>
          <w:szCs w:val="20"/>
        </w:rPr>
      </w:pPr>
    </w:p>
    <w:p w:rsidR="00E848A9" w:rsidRPr="0094378B" w:rsidRDefault="00E848A9" w:rsidP="005A697C">
      <w:pPr>
        <w:spacing w:after="0" w:line="240" w:lineRule="auto"/>
        <w:jc w:val="both"/>
        <w:rPr>
          <w:rFonts w:cs="Arial"/>
          <w:szCs w:val="20"/>
        </w:rPr>
      </w:pPr>
      <w:r w:rsidRPr="0094378B">
        <w:rPr>
          <w:rFonts w:cs="Arial"/>
          <w:szCs w:val="20"/>
        </w:rPr>
        <w:t>Shared Decision Making is an essential requirement of the Service. National Patients Decision Aids,</w:t>
      </w:r>
      <w:r>
        <w:rPr>
          <w:rFonts w:cs="Arial"/>
          <w:szCs w:val="20"/>
        </w:rPr>
        <w:t xml:space="preserve"> (from the Right Choice NHS Website, where available)</w:t>
      </w:r>
      <w:r w:rsidRPr="0094378B">
        <w:rPr>
          <w:rFonts w:cs="Arial"/>
          <w:szCs w:val="20"/>
        </w:rPr>
        <w:t xml:space="preserve">, should be used to assist with this process so that all patients are aware of the management options available to them and the advantages and disadvantages of each option. </w:t>
      </w:r>
    </w:p>
    <w:p w:rsidR="00E848A9" w:rsidRPr="00E848A9" w:rsidRDefault="00E848A9" w:rsidP="00E848A9"/>
    <w:p w:rsidR="00D77151" w:rsidRDefault="00D77151" w:rsidP="00D77151">
      <w:pPr>
        <w:pStyle w:val="Subtitle"/>
      </w:pPr>
      <w:r>
        <w:t>4</w:t>
      </w:r>
      <w:r w:rsidRPr="002037DD">
        <w:t>.2.5 Activities to be performed</w:t>
      </w:r>
    </w:p>
    <w:p w:rsidR="00E848A9" w:rsidRPr="0094378B" w:rsidRDefault="00E848A9" w:rsidP="00F35F8C">
      <w:pPr>
        <w:numPr>
          <w:ilvl w:val="0"/>
          <w:numId w:val="29"/>
        </w:numPr>
        <w:tabs>
          <w:tab w:val="clear" w:pos="720"/>
          <w:tab w:val="num" w:pos="1344"/>
        </w:tabs>
        <w:spacing w:after="0" w:line="240" w:lineRule="auto"/>
        <w:ind w:left="360" w:right="567"/>
        <w:jc w:val="both"/>
        <w:rPr>
          <w:rFonts w:cs="Arial"/>
          <w:szCs w:val="20"/>
          <w:lang w:val="en-US" w:eastAsia="en-GB"/>
        </w:rPr>
      </w:pPr>
      <w:r>
        <w:rPr>
          <w:rFonts w:cs="Arial"/>
          <w:szCs w:val="20"/>
          <w:lang w:val="en-US" w:eastAsia="en-GB"/>
        </w:rPr>
        <w:t>To support GP’s with education and advice to enable patient care to be able to be provided in primary care where clinically appropriate.</w:t>
      </w:r>
    </w:p>
    <w:p w:rsidR="00E848A9" w:rsidRPr="0094378B" w:rsidRDefault="00E848A9" w:rsidP="00F35F8C">
      <w:pPr>
        <w:numPr>
          <w:ilvl w:val="0"/>
          <w:numId w:val="28"/>
        </w:numPr>
        <w:tabs>
          <w:tab w:val="clear" w:pos="720"/>
          <w:tab w:val="num" w:pos="1344"/>
        </w:tabs>
        <w:spacing w:after="0" w:line="240" w:lineRule="auto"/>
        <w:ind w:left="360" w:right="567"/>
        <w:jc w:val="both"/>
        <w:rPr>
          <w:rFonts w:cs="Arial"/>
          <w:szCs w:val="20"/>
          <w:lang w:val="en-US" w:eastAsia="en-GB"/>
        </w:rPr>
      </w:pPr>
      <w:r w:rsidRPr="0094378B">
        <w:rPr>
          <w:rFonts w:cs="Arial"/>
          <w:szCs w:val="20"/>
          <w:lang w:val="en-US" w:eastAsia="en-GB"/>
        </w:rPr>
        <w:t xml:space="preserve">Continue to develop agreed pathways and shared care arrangements with local GPs for the management of </w:t>
      </w:r>
      <w:r w:rsidR="00637D32">
        <w:rPr>
          <w:rFonts w:cs="Arial"/>
          <w:szCs w:val="20"/>
          <w:lang w:val="en-US" w:eastAsia="en-GB"/>
        </w:rPr>
        <w:t xml:space="preserve">ENT </w:t>
      </w:r>
      <w:r w:rsidRPr="0094378B">
        <w:rPr>
          <w:rFonts w:cs="Arial"/>
          <w:szCs w:val="20"/>
          <w:lang w:val="en-US" w:eastAsia="en-GB"/>
        </w:rPr>
        <w:t>issues</w:t>
      </w:r>
      <w:r w:rsidR="00F10EC7">
        <w:rPr>
          <w:rFonts w:cs="Arial"/>
          <w:szCs w:val="20"/>
          <w:lang w:val="en-US" w:eastAsia="en-GB"/>
        </w:rPr>
        <w:t>.</w:t>
      </w:r>
    </w:p>
    <w:p w:rsidR="00E848A9" w:rsidRPr="0094378B" w:rsidRDefault="00E848A9" w:rsidP="00F35F8C">
      <w:pPr>
        <w:numPr>
          <w:ilvl w:val="0"/>
          <w:numId w:val="29"/>
        </w:numPr>
        <w:tabs>
          <w:tab w:val="clear" w:pos="720"/>
          <w:tab w:val="num" w:pos="1344"/>
        </w:tabs>
        <w:spacing w:after="0" w:line="240" w:lineRule="auto"/>
        <w:ind w:left="360" w:right="567"/>
        <w:jc w:val="both"/>
        <w:rPr>
          <w:rFonts w:cs="Arial"/>
          <w:szCs w:val="20"/>
          <w:lang w:val="en-US" w:eastAsia="en-GB"/>
        </w:rPr>
      </w:pPr>
      <w:r w:rsidRPr="0094378B">
        <w:rPr>
          <w:rFonts w:cs="Arial"/>
          <w:szCs w:val="20"/>
          <w:lang w:val="en-US" w:eastAsia="en-GB"/>
        </w:rPr>
        <w:t>Provide advice and guidance service to clinicians and telephone service for patients where appropriate in the form of email and telephone.</w:t>
      </w:r>
    </w:p>
    <w:p w:rsidR="00E848A9" w:rsidRPr="0094378B" w:rsidRDefault="00E848A9" w:rsidP="00F35F8C">
      <w:pPr>
        <w:numPr>
          <w:ilvl w:val="0"/>
          <w:numId w:val="29"/>
        </w:numPr>
        <w:tabs>
          <w:tab w:val="clear" w:pos="720"/>
          <w:tab w:val="num" w:pos="1344"/>
        </w:tabs>
        <w:spacing w:after="0" w:line="240" w:lineRule="auto"/>
        <w:ind w:left="360" w:right="567"/>
        <w:jc w:val="both"/>
        <w:rPr>
          <w:rFonts w:cs="Arial"/>
          <w:szCs w:val="20"/>
          <w:lang w:eastAsia="en-GB"/>
        </w:rPr>
      </w:pPr>
      <w:r>
        <w:rPr>
          <w:rFonts w:cs="Arial"/>
          <w:szCs w:val="20"/>
          <w:lang w:eastAsia="en-GB"/>
        </w:rPr>
        <w:t xml:space="preserve">Through education and support to primary care to ensure that referrals to </w:t>
      </w:r>
      <w:r w:rsidR="00637D32">
        <w:rPr>
          <w:rFonts w:cs="Arial"/>
          <w:szCs w:val="20"/>
          <w:lang w:eastAsia="en-GB"/>
        </w:rPr>
        <w:t>the Service</w:t>
      </w:r>
      <w:r>
        <w:rPr>
          <w:rFonts w:cs="Arial"/>
          <w:szCs w:val="20"/>
          <w:lang w:eastAsia="en-GB"/>
        </w:rPr>
        <w:t xml:space="preserve"> are apt.</w:t>
      </w:r>
    </w:p>
    <w:p w:rsidR="00E848A9" w:rsidRPr="000B7750" w:rsidRDefault="00E848A9" w:rsidP="00F35F8C">
      <w:pPr>
        <w:numPr>
          <w:ilvl w:val="0"/>
          <w:numId w:val="29"/>
        </w:numPr>
        <w:tabs>
          <w:tab w:val="clear" w:pos="720"/>
          <w:tab w:val="num" w:pos="1344"/>
        </w:tabs>
        <w:spacing w:after="0" w:line="240" w:lineRule="auto"/>
        <w:ind w:left="360" w:right="567"/>
        <w:jc w:val="both"/>
        <w:rPr>
          <w:rFonts w:cs="Arial"/>
          <w:szCs w:val="20"/>
          <w:lang w:val="en-US" w:eastAsia="en-GB"/>
        </w:rPr>
      </w:pPr>
      <w:r w:rsidRPr="000B7750">
        <w:rPr>
          <w:rFonts w:cs="Arial"/>
          <w:szCs w:val="20"/>
          <w:lang w:val="en-US" w:eastAsia="en-GB"/>
        </w:rPr>
        <w:t xml:space="preserve">Keep the GP and the practice fully informed of all decisions relating to the patient’s care in a timely manner within </w:t>
      </w:r>
      <w:r>
        <w:rPr>
          <w:rFonts w:cs="Arial"/>
          <w:szCs w:val="20"/>
          <w:lang w:val="en-US" w:eastAsia="en-GB"/>
        </w:rPr>
        <w:t>7 working days</w:t>
      </w:r>
      <w:r w:rsidRPr="000B7750">
        <w:rPr>
          <w:rFonts w:cs="Arial"/>
          <w:szCs w:val="20"/>
          <w:lang w:val="en-US" w:eastAsia="en-GB"/>
        </w:rPr>
        <w:t>,</w:t>
      </w:r>
      <w:r>
        <w:rPr>
          <w:rFonts w:cs="Arial"/>
          <w:szCs w:val="20"/>
          <w:lang w:val="en-US" w:eastAsia="en-GB"/>
        </w:rPr>
        <w:t xml:space="preserve"> this includes clinic letters</w:t>
      </w:r>
      <w:r w:rsidRPr="000B7750">
        <w:rPr>
          <w:rFonts w:cs="Arial"/>
          <w:szCs w:val="20"/>
          <w:lang w:val="en-US" w:eastAsia="en-GB"/>
        </w:rPr>
        <w:t xml:space="preserve">.  </w:t>
      </w:r>
    </w:p>
    <w:p w:rsidR="00E848A9" w:rsidRPr="0094378B" w:rsidRDefault="00E848A9" w:rsidP="00E848A9">
      <w:pPr>
        <w:spacing w:after="0" w:line="240" w:lineRule="auto"/>
        <w:jc w:val="both"/>
        <w:rPr>
          <w:rFonts w:eastAsia="Times New Roman"/>
          <w:szCs w:val="20"/>
        </w:rPr>
      </w:pPr>
    </w:p>
    <w:p w:rsidR="00E848A9" w:rsidRPr="00E848A9" w:rsidRDefault="00E848A9" w:rsidP="00E848A9"/>
    <w:p w:rsidR="00685288" w:rsidRPr="00685288" w:rsidRDefault="00685288" w:rsidP="00685288">
      <w:pPr>
        <w:pStyle w:val="Default"/>
        <w:jc w:val="both"/>
        <w:rPr>
          <w:rFonts w:cs="Times New Roman"/>
          <w:b/>
          <w:color w:val="0070C0"/>
          <w:sz w:val="20"/>
          <w:szCs w:val="20"/>
        </w:rPr>
      </w:pPr>
      <w:r w:rsidRPr="00685288">
        <w:rPr>
          <w:rFonts w:cs="Times New Roman"/>
          <w:b/>
          <w:color w:val="0070C0"/>
          <w:sz w:val="20"/>
          <w:szCs w:val="20"/>
        </w:rPr>
        <w:t xml:space="preserve">4.2.5.3 Triage Gateway:  </w:t>
      </w:r>
    </w:p>
    <w:p w:rsidR="00685288" w:rsidRPr="0094378B" w:rsidRDefault="00685288" w:rsidP="00685288">
      <w:pPr>
        <w:pStyle w:val="Default"/>
        <w:jc w:val="both"/>
        <w:rPr>
          <w:rFonts w:cs="Times New Roman"/>
          <w:color w:val="0070C0"/>
          <w:sz w:val="20"/>
          <w:szCs w:val="20"/>
        </w:rPr>
      </w:pPr>
    </w:p>
    <w:p w:rsidR="00685288" w:rsidRPr="0094378B" w:rsidRDefault="00685288" w:rsidP="00685288">
      <w:pPr>
        <w:pStyle w:val="Default"/>
        <w:jc w:val="both"/>
        <w:rPr>
          <w:sz w:val="20"/>
          <w:szCs w:val="20"/>
          <w:lang w:val="en-GB"/>
        </w:rPr>
      </w:pPr>
      <w:r>
        <w:rPr>
          <w:rFonts w:cs="Times New Roman"/>
          <w:sz w:val="20"/>
          <w:szCs w:val="20"/>
        </w:rPr>
        <w:t>T</w:t>
      </w:r>
      <w:r w:rsidRPr="0094378B">
        <w:rPr>
          <w:rFonts w:cs="Times New Roman"/>
          <w:sz w:val="20"/>
          <w:szCs w:val="20"/>
        </w:rPr>
        <w:t xml:space="preserve">riage will be carried out by appropriately trained and qualified </w:t>
      </w:r>
      <w:r>
        <w:rPr>
          <w:rFonts w:cs="Times New Roman"/>
          <w:sz w:val="20"/>
          <w:szCs w:val="20"/>
        </w:rPr>
        <w:t xml:space="preserve">specialist </w:t>
      </w:r>
      <w:r w:rsidRPr="0094378B">
        <w:rPr>
          <w:rFonts w:cs="Times New Roman"/>
          <w:sz w:val="20"/>
          <w:szCs w:val="20"/>
        </w:rPr>
        <w:t>clinicians</w:t>
      </w:r>
      <w:r>
        <w:rPr>
          <w:rFonts w:cs="Times New Roman"/>
          <w:sz w:val="20"/>
          <w:szCs w:val="20"/>
        </w:rPr>
        <w:t>.</w:t>
      </w:r>
      <w:r w:rsidRPr="0094378B">
        <w:rPr>
          <w:sz w:val="20"/>
          <w:szCs w:val="20"/>
          <w:lang w:val="en-GB"/>
        </w:rPr>
        <w:t xml:space="preserve"> Specialist is defined as a </w:t>
      </w:r>
      <w:r w:rsidR="00600F37">
        <w:rPr>
          <w:sz w:val="20"/>
          <w:szCs w:val="20"/>
          <w:lang w:val="en-GB"/>
        </w:rPr>
        <w:t>GP</w:t>
      </w:r>
      <w:r w:rsidR="00F23703">
        <w:rPr>
          <w:sz w:val="20"/>
          <w:szCs w:val="20"/>
          <w:lang w:val="en-GB"/>
        </w:rPr>
        <w:t>SI</w:t>
      </w:r>
      <w:r w:rsidR="00600F37">
        <w:rPr>
          <w:sz w:val="20"/>
          <w:szCs w:val="20"/>
          <w:lang w:val="en-GB"/>
        </w:rPr>
        <w:t xml:space="preserve"> ENT</w:t>
      </w:r>
      <w:r w:rsidRPr="0094378B">
        <w:rPr>
          <w:sz w:val="20"/>
          <w:szCs w:val="20"/>
          <w:lang w:val="en-GB"/>
        </w:rPr>
        <w:t xml:space="preserve"> or experienced clinician(s) working within the community </w:t>
      </w:r>
      <w:r>
        <w:rPr>
          <w:sz w:val="20"/>
          <w:szCs w:val="20"/>
          <w:lang w:val="en-GB"/>
        </w:rPr>
        <w:t>ENT</w:t>
      </w:r>
      <w:r w:rsidRPr="0094378B">
        <w:rPr>
          <w:sz w:val="20"/>
          <w:szCs w:val="20"/>
          <w:lang w:val="en-GB"/>
        </w:rPr>
        <w:t xml:space="preserve"> team. Typically these clinicians will have the sign off </w:t>
      </w:r>
      <w:r w:rsidR="00F23703">
        <w:rPr>
          <w:sz w:val="20"/>
          <w:szCs w:val="20"/>
          <w:lang w:val="en-GB"/>
        </w:rPr>
        <w:t xml:space="preserve">of </w:t>
      </w:r>
      <w:r w:rsidRPr="0094378B">
        <w:rPr>
          <w:sz w:val="20"/>
          <w:szCs w:val="20"/>
          <w:lang w:val="en-GB"/>
        </w:rPr>
        <w:t xml:space="preserve">the </w:t>
      </w:r>
      <w:r w:rsidR="003C34B2">
        <w:rPr>
          <w:sz w:val="20"/>
          <w:szCs w:val="20"/>
          <w:lang w:val="en-GB"/>
        </w:rPr>
        <w:t>GPSI</w:t>
      </w:r>
      <w:r w:rsidRPr="0094378B">
        <w:rPr>
          <w:sz w:val="20"/>
          <w:szCs w:val="20"/>
          <w:lang w:val="en-GB"/>
        </w:rPr>
        <w:t xml:space="preserve"> to fulfil the role and/or can</w:t>
      </w:r>
      <w:r w:rsidR="003746B1">
        <w:rPr>
          <w:sz w:val="20"/>
          <w:szCs w:val="20"/>
          <w:lang w:val="en-GB"/>
        </w:rPr>
        <w:t xml:space="preserve"> provide evidence of competence, and is supported by an ENT Consultant as part of the Service. </w:t>
      </w:r>
    </w:p>
    <w:p w:rsidR="00685288" w:rsidRPr="0094378B" w:rsidRDefault="00685288" w:rsidP="00685288">
      <w:pPr>
        <w:pStyle w:val="Default"/>
        <w:jc w:val="both"/>
        <w:rPr>
          <w:sz w:val="20"/>
          <w:szCs w:val="20"/>
          <w:lang w:val="en-GB"/>
        </w:rPr>
      </w:pPr>
    </w:p>
    <w:p w:rsidR="00685288" w:rsidRPr="0094378B" w:rsidRDefault="00685288" w:rsidP="00685288">
      <w:pPr>
        <w:tabs>
          <w:tab w:val="num" w:pos="567"/>
        </w:tabs>
        <w:spacing w:after="0" w:line="240" w:lineRule="auto"/>
        <w:jc w:val="both"/>
        <w:rPr>
          <w:rFonts w:eastAsia="Times New Roman"/>
          <w:szCs w:val="20"/>
        </w:rPr>
      </w:pPr>
      <w:r w:rsidRPr="00A85252">
        <w:rPr>
          <w:rFonts w:eastAsia="Times New Roman"/>
          <w:szCs w:val="20"/>
        </w:rPr>
        <w:lastRenderedPageBreak/>
        <w:t xml:space="preserve">This will be achieved within 1 working day depending on potential condition and </w:t>
      </w:r>
      <w:r>
        <w:rPr>
          <w:rFonts w:eastAsia="Times New Roman"/>
          <w:szCs w:val="20"/>
        </w:rPr>
        <w:t>patient needs</w:t>
      </w:r>
      <w:r w:rsidRPr="00A85252">
        <w:rPr>
          <w:rFonts w:eastAsia="Times New Roman"/>
          <w:szCs w:val="20"/>
        </w:rPr>
        <w:t>.</w:t>
      </w:r>
      <w:r w:rsidRPr="0094378B">
        <w:rPr>
          <w:rFonts w:eastAsia="Times New Roman"/>
          <w:szCs w:val="20"/>
        </w:rPr>
        <w:t xml:space="preserve"> Triage must result in the patient being directed to the right person, right place, first time.  Triage will prioritise the referral with outcomes to include:</w:t>
      </w:r>
    </w:p>
    <w:p w:rsidR="00685288" w:rsidRPr="0094378B" w:rsidRDefault="00685288" w:rsidP="00685288">
      <w:pPr>
        <w:tabs>
          <w:tab w:val="num" w:pos="567"/>
        </w:tabs>
        <w:spacing w:after="0" w:line="240" w:lineRule="auto"/>
        <w:jc w:val="both"/>
        <w:rPr>
          <w:rFonts w:eastAsia="Times New Roman"/>
          <w:szCs w:val="20"/>
        </w:rPr>
      </w:pPr>
    </w:p>
    <w:p w:rsidR="00685288" w:rsidRPr="0094378B" w:rsidRDefault="00685288" w:rsidP="00F35F8C">
      <w:pPr>
        <w:pStyle w:val="ListParagraph"/>
        <w:numPr>
          <w:ilvl w:val="0"/>
          <w:numId w:val="42"/>
        </w:numPr>
        <w:spacing w:after="0" w:line="240" w:lineRule="auto"/>
        <w:jc w:val="both"/>
        <w:rPr>
          <w:rFonts w:eastAsia="Times New Roman"/>
          <w:szCs w:val="20"/>
        </w:rPr>
      </w:pPr>
      <w:r w:rsidRPr="0094378B">
        <w:rPr>
          <w:rFonts w:eastAsia="Times New Roman"/>
          <w:szCs w:val="20"/>
        </w:rPr>
        <w:t>Directing patient back to their GP</w:t>
      </w:r>
      <w:r w:rsidR="003746B1">
        <w:rPr>
          <w:rFonts w:eastAsia="Times New Roman"/>
          <w:szCs w:val="20"/>
        </w:rPr>
        <w:t xml:space="preserve"> with advice for</w:t>
      </w:r>
      <w:r>
        <w:rPr>
          <w:rFonts w:eastAsia="Times New Roman"/>
          <w:szCs w:val="20"/>
        </w:rPr>
        <w:t xml:space="preserve"> primary care</w:t>
      </w:r>
      <w:r w:rsidR="003746B1">
        <w:rPr>
          <w:rFonts w:eastAsia="Times New Roman"/>
          <w:szCs w:val="20"/>
        </w:rPr>
        <w:t xml:space="preserve"> </w:t>
      </w:r>
      <w:r w:rsidRPr="0094378B">
        <w:rPr>
          <w:rFonts w:eastAsia="Times New Roman"/>
          <w:szCs w:val="20"/>
        </w:rPr>
        <w:t>management</w:t>
      </w:r>
      <w:r w:rsidR="00F10EC7">
        <w:rPr>
          <w:rFonts w:eastAsia="Times New Roman"/>
          <w:szCs w:val="20"/>
        </w:rPr>
        <w:t>.</w:t>
      </w:r>
      <w:r w:rsidRPr="0094378B">
        <w:rPr>
          <w:rFonts w:eastAsia="Times New Roman"/>
          <w:szCs w:val="20"/>
        </w:rPr>
        <w:t xml:space="preserve"> </w:t>
      </w:r>
    </w:p>
    <w:p w:rsidR="00685288" w:rsidRPr="0094378B" w:rsidRDefault="00685288" w:rsidP="00F35F8C">
      <w:pPr>
        <w:pStyle w:val="Default"/>
        <w:numPr>
          <w:ilvl w:val="0"/>
          <w:numId w:val="42"/>
        </w:numPr>
        <w:jc w:val="both"/>
        <w:rPr>
          <w:rFonts w:cs="Times New Roman"/>
          <w:sz w:val="20"/>
          <w:szCs w:val="20"/>
        </w:rPr>
      </w:pPr>
      <w:r w:rsidRPr="0094378B">
        <w:rPr>
          <w:sz w:val="20"/>
          <w:szCs w:val="20"/>
          <w:lang w:val="en-GB"/>
        </w:rPr>
        <w:t>Rapid GP access to expert opinion/advice and guidance from a range of clinicians within the multidisciplinary team.</w:t>
      </w:r>
    </w:p>
    <w:p w:rsidR="00685288" w:rsidRPr="0094378B" w:rsidRDefault="00685288" w:rsidP="00F35F8C">
      <w:pPr>
        <w:pStyle w:val="ListParagraph"/>
        <w:numPr>
          <w:ilvl w:val="0"/>
          <w:numId w:val="42"/>
        </w:numPr>
        <w:spacing w:after="0" w:line="240" w:lineRule="auto"/>
        <w:jc w:val="both"/>
        <w:rPr>
          <w:rFonts w:eastAsia="Times New Roman"/>
          <w:szCs w:val="20"/>
        </w:rPr>
      </w:pPr>
      <w:r w:rsidRPr="0094378B">
        <w:rPr>
          <w:rFonts w:eastAsia="Times New Roman"/>
          <w:szCs w:val="20"/>
        </w:rPr>
        <w:t xml:space="preserve">Directing patients for assessment and/or diagnostics within the multidisciplinary team, </w:t>
      </w:r>
      <w:r w:rsidRPr="0094378B">
        <w:rPr>
          <w:szCs w:val="20"/>
        </w:rPr>
        <w:t>following the referral guidelines and in compliance with NICE guidelines.</w:t>
      </w:r>
    </w:p>
    <w:p w:rsidR="00685288" w:rsidRPr="0094378B" w:rsidRDefault="00685288" w:rsidP="00F35F8C">
      <w:pPr>
        <w:pStyle w:val="ListParagraph"/>
        <w:numPr>
          <w:ilvl w:val="0"/>
          <w:numId w:val="42"/>
        </w:numPr>
        <w:spacing w:after="0" w:line="240" w:lineRule="auto"/>
        <w:jc w:val="both"/>
        <w:rPr>
          <w:rFonts w:eastAsia="Times New Roman"/>
          <w:szCs w:val="20"/>
        </w:rPr>
      </w:pPr>
      <w:r w:rsidRPr="0094378B">
        <w:rPr>
          <w:rFonts w:eastAsia="Times New Roman"/>
          <w:szCs w:val="20"/>
        </w:rPr>
        <w:t xml:space="preserve">Directing patients that are clinically appropriate straight to secondary care following the use </w:t>
      </w:r>
      <w:r w:rsidRPr="009F254F">
        <w:rPr>
          <w:rFonts w:eastAsia="Times New Roman"/>
          <w:szCs w:val="20"/>
        </w:rPr>
        <w:t>of SDM and</w:t>
      </w:r>
      <w:r w:rsidRPr="0094378B">
        <w:rPr>
          <w:rFonts w:eastAsia="Times New Roman"/>
          <w:szCs w:val="20"/>
        </w:rPr>
        <w:t xml:space="preserve"> patient choice</w:t>
      </w:r>
      <w:r w:rsidR="00F10EC7">
        <w:rPr>
          <w:rFonts w:eastAsia="Times New Roman"/>
          <w:szCs w:val="20"/>
        </w:rPr>
        <w:t>.</w:t>
      </w:r>
    </w:p>
    <w:p w:rsidR="00685288" w:rsidRPr="0094378B" w:rsidRDefault="00685288" w:rsidP="00F35F8C">
      <w:pPr>
        <w:pStyle w:val="ListParagraph"/>
        <w:numPr>
          <w:ilvl w:val="0"/>
          <w:numId w:val="42"/>
        </w:numPr>
        <w:spacing w:after="0" w:line="240" w:lineRule="auto"/>
        <w:jc w:val="both"/>
        <w:rPr>
          <w:rFonts w:eastAsia="Times New Roman"/>
          <w:szCs w:val="20"/>
        </w:rPr>
      </w:pPr>
      <w:r w:rsidRPr="0094378B">
        <w:rPr>
          <w:rFonts w:eastAsia="Times New Roman"/>
          <w:szCs w:val="20"/>
        </w:rPr>
        <w:t>Real time feedback to or to gain further information from referring clinician.</w:t>
      </w:r>
    </w:p>
    <w:p w:rsidR="00685288" w:rsidRPr="0094378B" w:rsidRDefault="00685288" w:rsidP="00F35F8C">
      <w:pPr>
        <w:pStyle w:val="ListParagraph"/>
        <w:numPr>
          <w:ilvl w:val="0"/>
          <w:numId w:val="42"/>
        </w:numPr>
        <w:spacing w:after="0" w:line="240" w:lineRule="auto"/>
        <w:jc w:val="both"/>
        <w:rPr>
          <w:rFonts w:eastAsia="Times New Roman"/>
          <w:szCs w:val="20"/>
        </w:rPr>
      </w:pPr>
      <w:r w:rsidRPr="0094378B">
        <w:rPr>
          <w:rFonts w:eastAsia="Times New Roman"/>
          <w:szCs w:val="20"/>
        </w:rPr>
        <w:t>Capturing referrals</w:t>
      </w:r>
      <w:r>
        <w:rPr>
          <w:rFonts w:eastAsia="Times New Roman"/>
          <w:szCs w:val="20"/>
        </w:rPr>
        <w:t xml:space="preserve"> that are re</w:t>
      </w:r>
      <w:r w:rsidR="003746B1">
        <w:rPr>
          <w:rFonts w:eastAsia="Times New Roman"/>
          <w:szCs w:val="20"/>
        </w:rPr>
        <w:t xml:space="preserve">-directed back to the referrer </w:t>
      </w:r>
      <w:r>
        <w:rPr>
          <w:rFonts w:eastAsia="Times New Roman"/>
          <w:szCs w:val="20"/>
        </w:rPr>
        <w:t>should be reported</w:t>
      </w:r>
      <w:r w:rsidRPr="0094378B">
        <w:rPr>
          <w:rFonts w:eastAsia="Times New Roman"/>
          <w:szCs w:val="20"/>
        </w:rPr>
        <w:t xml:space="preserve"> to the Commissioner (on a monthly basis) so that</w:t>
      </w:r>
      <w:r>
        <w:rPr>
          <w:rFonts w:eastAsia="Times New Roman"/>
          <w:szCs w:val="20"/>
        </w:rPr>
        <w:t xml:space="preserve"> any potential issues may be reviewed and</w:t>
      </w:r>
      <w:r w:rsidRPr="0094378B">
        <w:rPr>
          <w:rFonts w:eastAsia="Times New Roman"/>
          <w:szCs w:val="20"/>
        </w:rPr>
        <w:t xml:space="preserve"> issues</w:t>
      </w:r>
      <w:r>
        <w:rPr>
          <w:rFonts w:eastAsia="Times New Roman"/>
          <w:szCs w:val="20"/>
        </w:rPr>
        <w:t xml:space="preserve"> can be addressed</w:t>
      </w:r>
      <w:r w:rsidRPr="0094378B">
        <w:rPr>
          <w:rFonts w:eastAsia="Times New Roman"/>
          <w:szCs w:val="20"/>
        </w:rPr>
        <w:t xml:space="preserve"> through education and support</w:t>
      </w:r>
      <w:r w:rsidR="00F10EC7">
        <w:rPr>
          <w:rFonts w:eastAsia="Times New Roman"/>
          <w:szCs w:val="20"/>
        </w:rPr>
        <w:t>.</w:t>
      </w:r>
    </w:p>
    <w:p w:rsidR="00685288" w:rsidRPr="0094378B" w:rsidRDefault="00685288" w:rsidP="00685288">
      <w:pPr>
        <w:pStyle w:val="ListParagraph"/>
        <w:spacing w:after="0" w:line="240" w:lineRule="auto"/>
        <w:jc w:val="both"/>
        <w:rPr>
          <w:rFonts w:eastAsia="Times New Roman"/>
          <w:szCs w:val="20"/>
        </w:rPr>
      </w:pPr>
    </w:p>
    <w:p w:rsidR="00685288" w:rsidRPr="0094378B" w:rsidRDefault="00685288" w:rsidP="00685288">
      <w:pPr>
        <w:tabs>
          <w:tab w:val="num" w:pos="567"/>
        </w:tabs>
        <w:spacing w:after="0" w:line="240" w:lineRule="auto"/>
        <w:jc w:val="both"/>
        <w:rPr>
          <w:rFonts w:eastAsia="Times New Roman"/>
          <w:b/>
          <w:color w:val="0070C0"/>
          <w:szCs w:val="20"/>
        </w:rPr>
      </w:pPr>
      <w:r w:rsidRPr="0094378B">
        <w:rPr>
          <w:rFonts w:eastAsia="Times New Roman"/>
          <w:b/>
          <w:color w:val="0070C0"/>
          <w:szCs w:val="20"/>
        </w:rPr>
        <w:t xml:space="preserve">4.2.5.4 Booking Appointments:  </w:t>
      </w:r>
    </w:p>
    <w:p w:rsidR="00685288" w:rsidRPr="0094378B" w:rsidRDefault="00685288" w:rsidP="00685288">
      <w:pPr>
        <w:tabs>
          <w:tab w:val="num" w:pos="567"/>
        </w:tabs>
        <w:spacing w:after="0" w:line="240" w:lineRule="auto"/>
        <w:jc w:val="both"/>
        <w:rPr>
          <w:rFonts w:eastAsia="Times New Roman"/>
          <w:b/>
          <w:color w:val="0070C0"/>
          <w:szCs w:val="20"/>
        </w:rPr>
      </w:pPr>
    </w:p>
    <w:p w:rsidR="00685288" w:rsidRPr="0094378B" w:rsidRDefault="00685288" w:rsidP="00685288">
      <w:pPr>
        <w:tabs>
          <w:tab w:val="num" w:pos="567"/>
        </w:tabs>
        <w:spacing w:after="0" w:line="240" w:lineRule="auto"/>
        <w:jc w:val="both"/>
        <w:rPr>
          <w:rFonts w:eastAsia="Times New Roman"/>
          <w:b/>
          <w:color w:val="800000"/>
          <w:szCs w:val="20"/>
        </w:rPr>
      </w:pPr>
      <w:r w:rsidRPr="0094378B">
        <w:rPr>
          <w:rFonts w:eastAsia="Times New Roman"/>
          <w:szCs w:val="20"/>
        </w:rPr>
        <w:t>The service will contact the patient to offer and agree with the patient a time, date and place for their appointment and discuss any special needs that they have.</w:t>
      </w:r>
    </w:p>
    <w:p w:rsidR="00685288" w:rsidRPr="0094378B" w:rsidRDefault="00685288" w:rsidP="00685288">
      <w:pPr>
        <w:spacing w:after="0" w:line="240" w:lineRule="auto"/>
        <w:jc w:val="both"/>
        <w:rPr>
          <w:rFonts w:eastAsia="Times New Roman"/>
          <w:b/>
          <w:color w:val="0070C0"/>
          <w:szCs w:val="20"/>
        </w:rPr>
      </w:pPr>
    </w:p>
    <w:p w:rsidR="00685288" w:rsidRPr="0094378B" w:rsidRDefault="00685288" w:rsidP="00685288">
      <w:pPr>
        <w:spacing w:after="0" w:line="240" w:lineRule="auto"/>
        <w:jc w:val="both"/>
        <w:rPr>
          <w:rFonts w:eastAsia="Times New Roman"/>
          <w:szCs w:val="20"/>
        </w:rPr>
      </w:pPr>
      <w:r w:rsidRPr="0094378B">
        <w:rPr>
          <w:rFonts w:eastAsia="Times New Roman"/>
          <w:b/>
          <w:color w:val="0070C0"/>
          <w:szCs w:val="20"/>
        </w:rPr>
        <w:t>4.2.5.5 Multidisciplinary Team Working</w:t>
      </w:r>
      <w:r w:rsidRPr="0094378B">
        <w:rPr>
          <w:rFonts w:eastAsia="Times New Roman"/>
          <w:b/>
          <w:color w:val="800000"/>
          <w:szCs w:val="20"/>
        </w:rPr>
        <w:t>:</w:t>
      </w:r>
      <w:r w:rsidRPr="0094378B">
        <w:rPr>
          <w:rFonts w:eastAsia="Times New Roman"/>
          <w:szCs w:val="20"/>
        </w:rPr>
        <w:t xml:space="preserve"> </w:t>
      </w:r>
    </w:p>
    <w:p w:rsidR="00685288" w:rsidRPr="0094378B" w:rsidRDefault="00685288" w:rsidP="00685288">
      <w:pPr>
        <w:spacing w:after="0" w:line="240" w:lineRule="auto"/>
        <w:jc w:val="both"/>
        <w:rPr>
          <w:rFonts w:eastAsia="Times New Roman"/>
          <w:szCs w:val="20"/>
        </w:rPr>
      </w:pPr>
    </w:p>
    <w:p w:rsidR="00685288" w:rsidRPr="0094378B" w:rsidRDefault="00685288" w:rsidP="00685288">
      <w:pPr>
        <w:spacing w:after="0" w:line="240" w:lineRule="auto"/>
        <w:jc w:val="both"/>
        <w:rPr>
          <w:rFonts w:eastAsia="Times New Roman"/>
          <w:szCs w:val="20"/>
        </w:rPr>
      </w:pPr>
      <w:r w:rsidRPr="0094378B">
        <w:rPr>
          <w:rFonts w:eastAsia="Times New Roman"/>
          <w:szCs w:val="20"/>
        </w:rPr>
        <w:t xml:space="preserve">The </w:t>
      </w:r>
      <w:r w:rsidR="00F23703">
        <w:rPr>
          <w:rFonts w:eastAsia="Times New Roman"/>
          <w:szCs w:val="20"/>
        </w:rPr>
        <w:t>GPSI</w:t>
      </w:r>
      <w:r w:rsidRPr="0094378B">
        <w:rPr>
          <w:rFonts w:eastAsia="Times New Roman"/>
          <w:szCs w:val="20"/>
        </w:rPr>
        <w:t xml:space="preserve"> will actively work within the Multidisciplinary Team seeing patients and supporting genuine multidisciplinary working. </w:t>
      </w:r>
      <w:r w:rsidR="00F23703">
        <w:rPr>
          <w:rFonts w:eastAsia="Times New Roman"/>
          <w:szCs w:val="20"/>
        </w:rPr>
        <w:t xml:space="preserve">GPSI </w:t>
      </w:r>
      <w:r w:rsidRPr="0094378B">
        <w:rPr>
          <w:rFonts w:eastAsia="Times New Roman"/>
          <w:szCs w:val="20"/>
        </w:rPr>
        <w:t xml:space="preserve">will be co-located with other MDT members within the </w:t>
      </w:r>
      <w:r w:rsidR="003746B1">
        <w:rPr>
          <w:rFonts w:eastAsia="Times New Roman"/>
          <w:szCs w:val="20"/>
        </w:rPr>
        <w:t>c</w:t>
      </w:r>
      <w:r w:rsidRPr="0094378B">
        <w:rPr>
          <w:rFonts w:eastAsia="Times New Roman"/>
          <w:szCs w:val="20"/>
        </w:rPr>
        <w:t>linics to avoid misdiagnosis, support the members of the team and facilitate listing for procedures. The Service needs to ensure that face to face regular meetings as an MDT occur to agree treatment and ensure best practice pathways of care. It needs to ensure collaborative working, agreeing a management</w:t>
      </w:r>
      <w:r w:rsidR="007C1C44">
        <w:rPr>
          <w:rFonts w:eastAsia="Times New Roman"/>
          <w:szCs w:val="20"/>
        </w:rPr>
        <w:t xml:space="preserve"> plan</w:t>
      </w:r>
      <w:r w:rsidRPr="0094378B">
        <w:rPr>
          <w:rFonts w:eastAsia="Times New Roman"/>
          <w:szCs w:val="20"/>
        </w:rPr>
        <w:t xml:space="preserve"> in conjunction with the patient and the need for all</w:t>
      </w:r>
      <w:r w:rsidR="007C1C44">
        <w:rPr>
          <w:rFonts w:eastAsia="Times New Roman"/>
          <w:szCs w:val="20"/>
        </w:rPr>
        <w:t xml:space="preserve"> patients</w:t>
      </w:r>
      <w:r w:rsidRPr="0094378B">
        <w:rPr>
          <w:rFonts w:eastAsia="Times New Roman"/>
          <w:szCs w:val="20"/>
        </w:rPr>
        <w:t xml:space="preserve"> to have information about their condition in</w:t>
      </w:r>
      <w:r w:rsidR="007C1C44">
        <w:rPr>
          <w:rFonts w:eastAsia="Times New Roman"/>
          <w:szCs w:val="20"/>
        </w:rPr>
        <w:t xml:space="preserve"> a</w:t>
      </w:r>
      <w:r w:rsidRPr="0094378B">
        <w:rPr>
          <w:rFonts w:eastAsia="Times New Roman"/>
          <w:szCs w:val="20"/>
        </w:rPr>
        <w:t xml:space="preserve"> form relevant to their learning style</w:t>
      </w:r>
      <w:r w:rsidR="007C1C44">
        <w:rPr>
          <w:rFonts w:eastAsia="Times New Roman"/>
          <w:szCs w:val="20"/>
        </w:rPr>
        <w:t>.</w:t>
      </w:r>
    </w:p>
    <w:p w:rsidR="00685288" w:rsidRDefault="00685288" w:rsidP="00685288">
      <w:pPr>
        <w:spacing w:after="0" w:line="240" w:lineRule="auto"/>
        <w:jc w:val="both"/>
        <w:rPr>
          <w:rFonts w:eastAsia="Times New Roman"/>
          <w:szCs w:val="20"/>
        </w:rPr>
      </w:pPr>
    </w:p>
    <w:p w:rsidR="00685288" w:rsidRPr="0094378B" w:rsidRDefault="00685288" w:rsidP="00685288">
      <w:pPr>
        <w:spacing w:after="0" w:line="240" w:lineRule="auto"/>
        <w:jc w:val="both"/>
        <w:rPr>
          <w:rFonts w:eastAsia="Times New Roman"/>
          <w:szCs w:val="20"/>
        </w:rPr>
      </w:pPr>
    </w:p>
    <w:p w:rsidR="00685288" w:rsidRPr="002F0B03" w:rsidRDefault="00685288" w:rsidP="00685288">
      <w:pPr>
        <w:pStyle w:val="Subtitle"/>
        <w:spacing w:after="0" w:line="240" w:lineRule="auto"/>
        <w:jc w:val="both"/>
        <w:rPr>
          <w:rFonts w:cs="Arial"/>
          <w:b/>
        </w:rPr>
      </w:pPr>
      <w:r w:rsidRPr="002F0B03">
        <w:rPr>
          <w:rFonts w:cs="Arial"/>
          <w:b/>
        </w:rPr>
        <w:t>4.2.6 Treatment function</w:t>
      </w:r>
    </w:p>
    <w:p w:rsidR="00685288" w:rsidRPr="0094378B" w:rsidRDefault="00685288" w:rsidP="00685288">
      <w:pPr>
        <w:spacing w:after="0" w:line="240" w:lineRule="auto"/>
        <w:ind w:left="-624"/>
        <w:jc w:val="both"/>
        <w:rPr>
          <w:rFonts w:eastAsia="Times New Roman"/>
          <w:szCs w:val="20"/>
        </w:rPr>
      </w:pPr>
    </w:p>
    <w:p w:rsidR="00685288" w:rsidRPr="0094378B" w:rsidRDefault="00685288" w:rsidP="00685288">
      <w:pPr>
        <w:pStyle w:val="Default"/>
        <w:ind w:left="45"/>
        <w:jc w:val="both"/>
        <w:rPr>
          <w:b/>
          <w:bCs/>
          <w:color w:val="0070C0"/>
          <w:sz w:val="20"/>
          <w:szCs w:val="20"/>
          <w:lang w:val="en-GB"/>
        </w:rPr>
      </w:pPr>
      <w:r w:rsidRPr="0094378B">
        <w:rPr>
          <w:b/>
          <w:bCs/>
          <w:color w:val="0070C0"/>
          <w:sz w:val="20"/>
          <w:szCs w:val="20"/>
          <w:lang w:val="en-GB"/>
        </w:rPr>
        <w:t>4.2.6.1 Clinical Assessment and Treatment function:</w:t>
      </w:r>
    </w:p>
    <w:p w:rsidR="00685288" w:rsidRPr="0094378B" w:rsidRDefault="00685288" w:rsidP="00685288">
      <w:pPr>
        <w:pStyle w:val="Default"/>
        <w:ind w:left="408"/>
        <w:jc w:val="both"/>
        <w:rPr>
          <w:sz w:val="20"/>
          <w:szCs w:val="20"/>
          <w:lang w:val="en-GB"/>
        </w:rPr>
      </w:pPr>
    </w:p>
    <w:p w:rsidR="00685288" w:rsidRPr="0094378B" w:rsidRDefault="00685288" w:rsidP="00F35F8C">
      <w:pPr>
        <w:pStyle w:val="Default"/>
        <w:numPr>
          <w:ilvl w:val="0"/>
          <w:numId w:val="44"/>
        </w:numPr>
        <w:jc w:val="both"/>
        <w:rPr>
          <w:sz w:val="20"/>
          <w:szCs w:val="20"/>
          <w:lang w:val="en-GB"/>
        </w:rPr>
      </w:pPr>
      <w:r w:rsidRPr="0094378B">
        <w:rPr>
          <w:sz w:val="20"/>
          <w:szCs w:val="20"/>
          <w:lang w:val="en-GB"/>
        </w:rPr>
        <w:t>Rapid access to clinical assessment, treatment and advice</w:t>
      </w:r>
      <w:r>
        <w:rPr>
          <w:sz w:val="20"/>
          <w:szCs w:val="20"/>
          <w:lang w:val="en-GB"/>
        </w:rPr>
        <w:t>; this is inclusive of rapid diagnostics to support a one stop clinic and nurse-led microsuction clinics</w:t>
      </w:r>
      <w:r w:rsidR="005928D7">
        <w:rPr>
          <w:sz w:val="20"/>
          <w:szCs w:val="20"/>
          <w:lang w:val="en-GB"/>
        </w:rPr>
        <w:t>, both with supervi</w:t>
      </w:r>
      <w:r w:rsidR="003C34B2">
        <w:rPr>
          <w:sz w:val="20"/>
          <w:szCs w:val="20"/>
          <w:lang w:val="en-GB"/>
        </w:rPr>
        <w:t xml:space="preserve">sion from </w:t>
      </w:r>
      <w:r w:rsidR="00F60520">
        <w:rPr>
          <w:sz w:val="20"/>
          <w:szCs w:val="20"/>
          <w:lang w:val="en-GB"/>
        </w:rPr>
        <w:t xml:space="preserve">the </w:t>
      </w:r>
      <w:r w:rsidR="003C34B2">
        <w:rPr>
          <w:sz w:val="20"/>
          <w:szCs w:val="20"/>
          <w:lang w:val="en-GB"/>
        </w:rPr>
        <w:t xml:space="preserve">GPSI </w:t>
      </w:r>
      <w:r w:rsidR="005928D7">
        <w:rPr>
          <w:sz w:val="20"/>
          <w:szCs w:val="20"/>
          <w:lang w:val="en-GB"/>
        </w:rPr>
        <w:t>in ENT</w:t>
      </w:r>
      <w:r w:rsidR="007C1C44">
        <w:rPr>
          <w:sz w:val="20"/>
          <w:szCs w:val="20"/>
          <w:lang w:val="en-GB"/>
        </w:rPr>
        <w:t>.</w:t>
      </w:r>
    </w:p>
    <w:p w:rsidR="00685288" w:rsidRPr="004C1906" w:rsidRDefault="00685288" w:rsidP="00F35F8C">
      <w:pPr>
        <w:pStyle w:val="Default"/>
        <w:numPr>
          <w:ilvl w:val="0"/>
          <w:numId w:val="44"/>
        </w:numPr>
        <w:jc w:val="both"/>
        <w:rPr>
          <w:sz w:val="20"/>
          <w:szCs w:val="20"/>
          <w:lang w:val="en-GB"/>
        </w:rPr>
      </w:pPr>
      <w:r w:rsidRPr="0094378B">
        <w:rPr>
          <w:sz w:val="20"/>
          <w:szCs w:val="20"/>
          <w:lang w:val="en-GB"/>
        </w:rPr>
        <w:t xml:space="preserve">Clear protocols for the management of urgent referrals that require onward referral to hospital based </w:t>
      </w:r>
      <w:r>
        <w:rPr>
          <w:sz w:val="20"/>
          <w:szCs w:val="20"/>
          <w:lang w:val="en-GB"/>
        </w:rPr>
        <w:t>ENT services</w:t>
      </w:r>
      <w:r w:rsidRPr="0094378B">
        <w:rPr>
          <w:sz w:val="20"/>
          <w:szCs w:val="20"/>
          <w:lang w:val="en-GB"/>
        </w:rPr>
        <w:t>.</w:t>
      </w:r>
    </w:p>
    <w:p w:rsidR="00685288" w:rsidRPr="0094378B" w:rsidRDefault="00685288" w:rsidP="00F35F8C">
      <w:pPr>
        <w:pStyle w:val="Default"/>
        <w:numPr>
          <w:ilvl w:val="0"/>
          <w:numId w:val="44"/>
        </w:numPr>
        <w:jc w:val="both"/>
        <w:rPr>
          <w:sz w:val="20"/>
          <w:szCs w:val="20"/>
          <w:lang w:val="en-GB"/>
        </w:rPr>
      </w:pPr>
      <w:r w:rsidRPr="0094378B">
        <w:rPr>
          <w:sz w:val="20"/>
          <w:szCs w:val="20"/>
          <w:lang w:val="en-GB"/>
        </w:rPr>
        <w:t>Fully manages the sequence of care, from initial referral through to discharge from the service. This could include referral to diagnostics and directing the patient to other specialties in primary or secondary care.</w:t>
      </w:r>
      <w:r>
        <w:rPr>
          <w:sz w:val="20"/>
          <w:szCs w:val="20"/>
          <w:lang w:val="en-GB"/>
        </w:rPr>
        <w:t xml:space="preserve"> The service should provide pre-operative assessment and required work up of the patient as per NICE guidance for all community surgical procedures including MRSA, swabs, relevant bloods etc.</w:t>
      </w:r>
    </w:p>
    <w:p w:rsidR="00685288" w:rsidRPr="0094378B" w:rsidRDefault="00685288" w:rsidP="00F35F8C">
      <w:pPr>
        <w:pStyle w:val="Default"/>
        <w:numPr>
          <w:ilvl w:val="0"/>
          <w:numId w:val="44"/>
        </w:numPr>
        <w:jc w:val="both"/>
        <w:rPr>
          <w:sz w:val="20"/>
          <w:szCs w:val="20"/>
          <w:lang w:val="en-GB"/>
        </w:rPr>
      </w:pPr>
      <w:r w:rsidRPr="0094378B">
        <w:rPr>
          <w:sz w:val="20"/>
          <w:szCs w:val="20"/>
          <w:lang w:val="en-GB"/>
        </w:rPr>
        <w:t xml:space="preserve">Provides access to a clinical laboratory support service for the diagnosis of </w:t>
      </w:r>
      <w:r>
        <w:rPr>
          <w:sz w:val="20"/>
          <w:szCs w:val="20"/>
          <w:lang w:val="en-GB"/>
        </w:rPr>
        <w:t xml:space="preserve">ENT conditions </w:t>
      </w:r>
      <w:r w:rsidRPr="0094378B">
        <w:rPr>
          <w:sz w:val="20"/>
          <w:szCs w:val="20"/>
          <w:lang w:val="en-GB"/>
        </w:rPr>
        <w:t>and</w:t>
      </w:r>
      <w:r>
        <w:rPr>
          <w:sz w:val="20"/>
          <w:szCs w:val="20"/>
          <w:lang w:val="en-GB"/>
        </w:rPr>
        <w:t xml:space="preserve"> access</w:t>
      </w:r>
      <w:r w:rsidRPr="0094378B">
        <w:rPr>
          <w:sz w:val="20"/>
          <w:szCs w:val="20"/>
          <w:lang w:val="en-GB"/>
        </w:rPr>
        <w:t xml:space="preserve"> to a phlebotomy service.</w:t>
      </w:r>
    </w:p>
    <w:p w:rsidR="00685288" w:rsidRPr="009F254F" w:rsidRDefault="00685288" w:rsidP="00F35F8C">
      <w:pPr>
        <w:pStyle w:val="Default"/>
        <w:numPr>
          <w:ilvl w:val="0"/>
          <w:numId w:val="44"/>
        </w:numPr>
        <w:jc w:val="both"/>
        <w:rPr>
          <w:sz w:val="20"/>
          <w:szCs w:val="20"/>
          <w:lang w:val="en-GB"/>
        </w:rPr>
      </w:pPr>
      <w:r w:rsidRPr="009F254F">
        <w:rPr>
          <w:sz w:val="20"/>
          <w:szCs w:val="20"/>
          <w:lang w:val="en-GB"/>
        </w:rPr>
        <w:t>Provides treatment e.g. medication</w:t>
      </w:r>
      <w:r>
        <w:rPr>
          <w:sz w:val="20"/>
          <w:szCs w:val="20"/>
          <w:lang w:val="en-GB"/>
        </w:rPr>
        <w:t xml:space="preserve"> according to an agreed formulary</w:t>
      </w:r>
      <w:r w:rsidR="007C1C44">
        <w:rPr>
          <w:sz w:val="20"/>
          <w:szCs w:val="20"/>
          <w:lang w:val="en-GB"/>
        </w:rPr>
        <w:t>.</w:t>
      </w:r>
    </w:p>
    <w:p w:rsidR="00685288" w:rsidRPr="0094378B" w:rsidRDefault="00685288" w:rsidP="00F35F8C">
      <w:pPr>
        <w:pStyle w:val="Default"/>
        <w:numPr>
          <w:ilvl w:val="0"/>
          <w:numId w:val="44"/>
        </w:numPr>
        <w:jc w:val="both"/>
        <w:rPr>
          <w:sz w:val="20"/>
          <w:szCs w:val="20"/>
          <w:lang w:val="en-GB"/>
        </w:rPr>
      </w:pPr>
      <w:r w:rsidRPr="0094378B">
        <w:rPr>
          <w:sz w:val="20"/>
          <w:szCs w:val="20"/>
          <w:lang w:val="en-GB"/>
        </w:rPr>
        <w:t>Provides follow up appointments, either face to face</w:t>
      </w:r>
      <w:r>
        <w:rPr>
          <w:sz w:val="20"/>
          <w:szCs w:val="20"/>
          <w:lang w:val="en-GB"/>
        </w:rPr>
        <w:t>,</w:t>
      </w:r>
      <w:r w:rsidRPr="0094378B">
        <w:rPr>
          <w:sz w:val="20"/>
          <w:szCs w:val="20"/>
          <w:lang w:val="en-GB"/>
        </w:rPr>
        <w:t xml:space="preserve"> by telephone</w:t>
      </w:r>
      <w:r>
        <w:rPr>
          <w:sz w:val="20"/>
          <w:szCs w:val="20"/>
          <w:lang w:val="en-GB"/>
        </w:rPr>
        <w:t xml:space="preserve"> or other media sources, as agreed with the patients</w:t>
      </w:r>
      <w:r w:rsidRPr="0094378B">
        <w:rPr>
          <w:sz w:val="20"/>
          <w:szCs w:val="20"/>
          <w:lang w:val="en-GB"/>
        </w:rPr>
        <w:t>.</w:t>
      </w:r>
    </w:p>
    <w:p w:rsidR="00685288" w:rsidRPr="0094378B" w:rsidRDefault="00685288" w:rsidP="00F35F8C">
      <w:pPr>
        <w:pStyle w:val="Default"/>
        <w:numPr>
          <w:ilvl w:val="0"/>
          <w:numId w:val="44"/>
        </w:numPr>
        <w:jc w:val="both"/>
        <w:rPr>
          <w:sz w:val="20"/>
          <w:szCs w:val="20"/>
          <w:lang w:val="en-GB"/>
        </w:rPr>
      </w:pPr>
      <w:r w:rsidRPr="0094378B">
        <w:rPr>
          <w:sz w:val="20"/>
          <w:szCs w:val="20"/>
          <w:lang w:val="en-GB"/>
        </w:rPr>
        <w:t>Provides signposting to patient support services early in the patient pathway</w:t>
      </w:r>
      <w:r>
        <w:rPr>
          <w:sz w:val="20"/>
          <w:szCs w:val="20"/>
          <w:lang w:val="en-GB"/>
        </w:rPr>
        <w:t xml:space="preserve"> for example Health and Wellbeing, Time to Talk services.</w:t>
      </w:r>
    </w:p>
    <w:p w:rsidR="00685288" w:rsidRDefault="00685288" w:rsidP="00F35F8C">
      <w:pPr>
        <w:pStyle w:val="Default"/>
        <w:numPr>
          <w:ilvl w:val="0"/>
          <w:numId w:val="44"/>
        </w:numPr>
        <w:jc w:val="both"/>
        <w:rPr>
          <w:sz w:val="20"/>
          <w:szCs w:val="20"/>
          <w:lang w:val="en-GB"/>
        </w:rPr>
      </w:pPr>
      <w:r w:rsidRPr="0094378B">
        <w:rPr>
          <w:sz w:val="20"/>
          <w:szCs w:val="20"/>
          <w:lang w:val="en-GB"/>
        </w:rPr>
        <w:t>Offers choice of Provider</w:t>
      </w:r>
      <w:r w:rsidR="00EE5516">
        <w:rPr>
          <w:sz w:val="20"/>
          <w:szCs w:val="20"/>
          <w:lang w:val="en-GB"/>
        </w:rPr>
        <w:t>.</w:t>
      </w:r>
      <w:r w:rsidRPr="0094378B">
        <w:rPr>
          <w:sz w:val="20"/>
          <w:szCs w:val="20"/>
          <w:lang w:val="en-GB"/>
        </w:rPr>
        <w:t xml:space="preserve"> </w:t>
      </w:r>
    </w:p>
    <w:p w:rsidR="00B23E2B" w:rsidRPr="000F49A2" w:rsidRDefault="00B23E2B" w:rsidP="00F35F8C">
      <w:pPr>
        <w:pStyle w:val="BodyText2"/>
        <w:numPr>
          <w:ilvl w:val="0"/>
          <w:numId w:val="44"/>
        </w:numPr>
        <w:jc w:val="left"/>
        <w:rPr>
          <w:rStyle w:val="Style11pt"/>
          <w:rFonts w:ascii="Arial" w:eastAsiaTheme="majorEastAsia" w:hAnsi="Arial" w:cs="Arial"/>
          <w:noProof/>
          <w:sz w:val="20"/>
          <w:szCs w:val="20"/>
        </w:rPr>
      </w:pPr>
      <w:r w:rsidRPr="000F49A2">
        <w:rPr>
          <w:rStyle w:val="Style11pt"/>
          <w:rFonts w:ascii="Arial" w:eastAsiaTheme="majorEastAsia" w:hAnsi="Arial" w:cs="Arial"/>
          <w:noProof/>
          <w:sz w:val="20"/>
          <w:szCs w:val="20"/>
        </w:rPr>
        <w:t>The service will provide treatment in line with accepted clinical protocols and best practice and clinical standards (e</w:t>
      </w:r>
      <w:r w:rsidRPr="00BE16C2">
        <w:rPr>
          <w:rStyle w:val="Style11pt"/>
          <w:rFonts w:ascii="Arial" w:eastAsiaTheme="majorEastAsia" w:hAnsi="Arial" w:cs="Arial"/>
          <w:noProof/>
          <w:sz w:val="20"/>
          <w:szCs w:val="20"/>
          <w:lang w:val="en-GB"/>
        </w:rPr>
        <w:t>.</w:t>
      </w:r>
      <w:r w:rsidRPr="000F49A2">
        <w:rPr>
          <w:rStyle w:val="Style11pt"/>
          <w:rFonts w:ascii="Arial" w:eastAsiaTheme="majorEastAsia" w:hAnsi="Arial" w:cs="Arial"/>
          <w:noProof/>
          <w:sz w:val="20"/>
          <w:szCs w:val="20"/>
        </w:rPr>
        <w:t>g</w:t>
      </w:r>
      <w:r w:rsidRPr="00BE16C2">
        <w:rPr>
          <w:rStyle w:val="Style11pt"/>
          <w:rFonts w:ascii="Arial" w:eastAsiaTheme="majorEastAsia" w:hAnsi="Arial" w:cs="Arial"/>
          <w:noProof/>
          <w:sz w:val="20"/>
          <w:szCs w:val="20"/>
          <w:lang w:val="en-GB"/>
        </w:rPr>
        <w:t>.</w:t>
      </w:r>
      <w:r w:rsidRPr="000F49A2">
        <w:rPr>
          <w:rStyle w:val="Style11pt"/>
          <w:rFonts w:ascii="Arial" w:eastAsiaTheme="majorEastAsia" w:hAnsi="Arial" w:cs="Arial"/>
          <w:noProof/>
          <w:sz w:val="20"/>
          <w:szCs w:val="20"/>
        </w:rPr>
        <w:t xml:space="preserve"> See NICE Guidance;</w:t>
      </w:r>
      <w:r>
        <w:rPr>
          <w:rStyle w:val="Style11pt"/>
          <w:rFonts w:ascii="Arial" w:eastAsiaTheme="majorEastAsia" w:hAnsi="Arial" w:cs="Arial"/>
          <w:noProof/>
          <w:sz w:val="20"/>
          <w:szCs w:val="20"/>
        </w:rPr>
        <w:t xml:space="preserve"> SIGN guidance;</w:t>
      </w:r>
      <w:r w:rsidRPr="000F49A2">
        <w:rPr>
          <w:rStyle w:val="Style11pt"/>
          <w:rFonts w:ascii="Arial" w:eastAsiaTheme="majorEastAsia" w:hAnsi="Arial" w:cs="Arial"/>
          <w:noProof/>
          <w:sz w:val="20"/>
          <w:szCs w:val="20"/>
        </w:rPr>
        <w:t xml:space="preserve"> The British Association of </w:t>
      </w:r>
      <w:r w:rsidRPr="000F49A2">
        <w:rPr>
          <w:rStyle w:val="Style11pt"/>
          <w:rFonts w:ascii="Arial" w:eastAsiaTheme="majorEastAsia" w:hAnsi="Arial" w:cs="Arial"/>
          <w:noProof/>
          <w:sz w:val="20"/>
          <w:szCs w:val="20"/>
        </w:rPr>
        <w:lastRenderedPageBreak/>
        <w:t>Otorhinolaryngolgoists - Head and Neck Surgeons (ENT UK) at the Royal College of Surgeons’ Guidance; DH Commissioning Pathways)</w:t>
      </w:r>
      <w:r w:rsidR="00EE5516">
        <w:rPr>
          <w:rStyle w:val="Style11pt"/>
          <w:rFonts w:ascii="Arial" w:eastAsiaTheme="majorEastAsia" w:hAnsi="Arial" w:cs="Arial"/>
          <w:noProof/>
          <w:sz w:val="20"/>
          <w:szCs w:val="20"/>
        </w:rPr>
        <w:t>.</w:t>
      </w:r>
    </w:p>
    <w:p w:rsidR="00B23E2B" w:rsidRPr="002949C7" w:rsidRDefault="00B23E2B" w:rsidP="00F35F8C">
      <w:pPr>
        <w:numPr>
          <w:ilvl w:val="0"/>
          <w:numId w:val="44"/>
        </w:numPr>
        <w:spacing w:after="0" w:line="240" w:lineRule="auto"/>
        <w:rPr>
          <w:rStyle w:val="Style11pt"/>
          <w:rFonts w:cs="Arial"/>
        </w:rPr>
      </w:pPr>
      <w:r w:rsidRPr="001533C0">
        <w:rPr>
          <w:rStyle w:val="Style11pt"/>
          <w:rFonts w:cs="Arial"/>
        </w:rPr>
        <w:t xml:space="preserve">The </w:t>
      </w:r>
      <w:r>
        <w:rPr>
          <w:rStyle w:val="Style11pt"/>
          <w:rFonts w:cs="Arial"/>
        </w:rPr>
        <w:t>service</w:t>
      </w:r>
      <w:r w:rsidRPr="001533C0">
        <w:rPr>
          <w:rStyle w:val="Style11pt"/>
          <w:rFonts w:cs="Arial"/>
        </w:rPr>
        <w:t xml:space="preserve"> will offer support and care plans for self-care including for example, better aural care; dealing with ear-wax; sources of support (e.g. for smoking cessation), and care plans</w:t>
      </w:r>
      <w:r>
        <w:rPr>
          <w:rStyle w:val="Style11pt"/>
          <w:rFonts w:cs="Arial"/>
        </w:rPr>
        <w:t>.</w:t>
      </w:r>
    </w:p>
    <w:p w:rsidR="00B23E2B" w:rsidRPr="002949C7" w:rsidRDefault="00B23E2B" w:rsidP="00F35F8C">
      <w:pPr>
        <w:numPr>
          <w:ilvl w:val="0"/>
          <w:numId w:val="44"/>
        </w:numPr>
        <w:spacing w:after="0" w:line="240" w:lineRule="auto"/>
        <w:rPr>
          <w:rStyle w:val="Style11pt"/>
          <w:rFonts w:cs="Arial"/>
        </w:rPr>
      </w:pPr>
      <w:r w:rsidRPr="001533C0">
        <w:rPr>
          <w:rStyle w:val="Style11pt"/>
          <w:rFonts w:cs="Arial"/>
        </w:rPr>
        <w:t xml:space="preserve">The </w:t>
      </w:r>
      <w:r>
        <w:rPr>
          <w:rStyle w:val="Style11pt"/>
          <w:rFonts w:cs="Arial"/>
        </w:rPr>
        <w:t>service</w:t>
      </w:r>
      <w:r w:rsidRPr="001533C0">
        <w:rPr>
          <w:rStyle w:val="Style11pt"/>
          <w:rFonts w:cs="Arial"/>
        </w:rPr>
        <w:t xml:space="preserve"> will signpost voluntary and charitable (third sector) organizations who may offer </w:t>
      </w:r>
      <w:r w:rsidR="00EE5516">
        <w:rPr>
          <w:rStyle w:val="Style11pt"/>
          <w:rFonts w:cs="Arial"/>
        </w:rPr>
        <w:t>further information and support.</w:t>
      </w:r>
    </w:p>
    <w:p w:rsidR="00B23E2B" w:rsidRPr="004779C4" w:rsidRDefault="00B23E2B" w:rsidP="00F35F8C">
      <w:pPr>
        <w:numPr>
          <w:ilvl w:val="0"/>
          <w:numId w:val="44"/>
        </w:numPr>
        <w:spacing w:after="0" w:line="240" w:lineRule="auto"/>
        <w:rPr>
          <w:rStyle w:val="Style11pt"/>
          <w:rFonts w:cs="Arial"/>
        </w:rPr>
      </w:pPr>
      <w:r w:rsidRPr="001533C0">
        <w:rPr>
          <w:rFonts w:cs="Arial"/>
        </w:rPr>
        <w:t>The service will provide</w:t>
      </w:r>
      <w:r w:rsidRPr="001533C0">
        <w:rPr>
          <w:rStyle w:val="Style11pt"/>
          <w:rFonts w:cs="Arial"/>
        </w:rPr>
        <w:t xml:space="preserve"> Direct Listing to surgical treatment waiting lists when required (e.g. tonsillectomy) or, triage directly to secondary care if Direct Listing is not available (to avo</w:t>
      </w:r>
      <w:r>
        <w:rPr>
          <w:rStyle w:val="Style11pt"/>
          <w:rFonts w:cs="Arial"/>
        </w:rPr>
        <w:t xml:space="preserve">id unnecessary extra steps and </w:t>
      </w:r>
      <w:r w:rsidRPr="001533C0">
        <w:rPr>
          <w:rStyle w:val="Style11pt"/>
          <w:rFonts w:cs="Arial"/>
        </w:rPr>
        <w:t>costs in the patient pathway)</w:t>
      </w:r>
      <w:r>
        <w:rPr>
          <w:rStyle w:val="Style11pt"/>
          <w:rFonts w:cs="Arial"/>
        </w:rPr>
        <w:t xml:space="preserve"> offering patients choice of secondary care provider</w:t>
      </w:r>
      <w:r w:rsidR="00EE5516">
        <w:rPr>
          <w:rStyle w:val="Style11pt"/>
          <w:rFonts w:cs="Arial"/>
        </w:rPr>
        <w:t>.</w:t>
      </w:r>
    </w:p>
    <w:p w:rsidR="00B23E2B" w:rsidRDefault="00B23E2B" w:rsidP="00F35F8C">
      <w:pPr>
        <w:numPr>
          <w:ilvl w:val="0"/>
          <w:numId w:val="44"/>
        </w:numPr>
        <w:spacing w:after="0" w:line="240" w:lineRule="auto"/>
        <w:rPr>
          <w:rStyle w:val="Style11pt"/>
          <w:rFonts w:cs="Arial"/>
        </w:rPr>
      </w:pPr>
      <w:r w:rsidRPr="00913C19">
        <w:rPr>
          <w:rStyle w:val="Style11pt"/>
          <w:rFonts w:cs="Arial"/>
        </w:rPr>
        <w:t xml:space="preserve">Where Direct Listing for surgery is available, the service </w:t>
      </w:r>
      <w:r>
        <w:rPr>
          <w:rStyle w:val="Style11pt"/>
          <w:rFonts w:cs="Arial"/>
        </w:rPr>
        <w:t>may</w:t>
      </w:r>
      <w:r w:rsidRPr="00913C19">
        <w:rPr>
          <w:rStyle w:val="Style11pt"/>
          <w:rFonts w:cs="Arial"/>
        </w:rPr>
        <w:t xml:space="preserve"> provide appropriate preoperative assessment at the time of decision to admit, using agreed protocols; and an appropriate written process including initiation of consent should be agreed between the surgical team and the interface ENT service</w:t>
      </w:r>
      <w:r w:rsidR="00EE5516">
        <w:rPr>
          <w:rStyle w:val="Style11pt"/>
          <w:rFonts w:cs="Arial"/>
        </w:rPr>
        <w:t>.</w:t>
      </w:r>
    </w:p>
    <w:p w:rsidR="003746B1" w:rsidRPr="00913C19" w:rsidRDefault="003746B1" w:rsidP="00F35F8C">
      <w:pPr>
        <w:numPr>
          <w:ilvl w:val="0"/>
          <w:numId w:val="44"/>
        </w:numPr>
        <w:spacing w:after="0" w:line="240" w:lineRule="auto"/>
        <w:rPr>
          <w:rStyle w:val="Style11pt"/>
          <w:rFonts w:cs="Arial"/>
        </w:rPr>
      </w:pPr>
      <w:r>
        <w:rPr>
          <w:rStyle w:val="Style11pt"/>
          <w:rFonts w:cs="Arial"/>
        </w:rPr>
        <w:t xml:space="preserve">A Consultant in ENT supports the clinical assessment and treatment functions. </w:t>
      </w:r>
    </w:p>
    <w:p w:rsidR="00B23E2B" w:rsidRPr="003C6998" w:rsidRDefault="00B23E2B" w:rsidP="003C6998">
      <w:pPr>
        <w:pStyle w:val="Default"/>
        <w:jc w:val="both"/>
        <w:rPr>
          <w:sz w:val="20"/>
          <w:szCs w:val="20"/>
          <w:lang w:val="en-GB"/>
        </w:rPr>
      </w:pPr>
    </w:p>
    <w:p w:rsidR="00B23E2B" w:rsidRPr="0094378B" w:rsidRDefault="00B23E2B" w:rsidP="00B23E2B">
      <w:pPr>
        <w:pStyle w:val="Default"/>
        <w:jc w:val="both"/>
        <w:rPr>
          <w:sz w:val="20"/>
          <w:szCs w:val="20"/>
          <w:lang w:val="en-GB"/>
        </w:rPr>
      </w:pPr>
    </w:p>
    <w:p w:rsidR="00685288" w:rsidRPr="001F3250" w:rsidRDefault="00685288" w:rsidP="00685288">
      <w:pPr>
        <w:autoSpaceDE w:val="0"/>
        <w:autoSpaceDN w:val="0"/>
        <w:adjustRightInd w:val="0"/>
        <w:spacing w:after="0" w:line="240" w:lineRule="auto"/>
        <w:ind w:left="45"/>
        <w:jc w:val="both"/>
        <w:rPr>
          <w:rFonts w:eastAsia="MS Mincho" w:cs="Arial"/>
          <w:szCs w:val="20"/>
          <w:highlight w:val="yellow"/>
          <w:lang w:val="en-US" w:eastAsia="ja-JP"/>
        </w:rPr>
      </w:pPr>
    </w:p>
    <w:p w:rsidR="00685288" w:rsidRPr="00253B2E" w:rsidRDefault="00685288" w:rsidP="003746B1">
      <w:pPr>
        <w:autoSpaceDE w:val="0"/>
        <w:autoSpaceDN w:val="0"/>
        <w:adjustRightInd w:val="0"/>
        <w:spacing w:line="240" w:lineRule="auto"/>
        <w:ind w:left="45"/>
        <w:jc w:val="both"/>
        <w:rPr>
          <w:rFonts w:eastAsia="MS Mincho" w:cs="Arial"/>
          <w:szCs w:val="20"/>
          <w:lang w:val="en-US" w:eastAsia="ja-JP"/>
        </w:rPr>
      </w:pPr>
      <w:r w:rsidRPr="00253B2E">
        <w:rPr>
          <w:rFonts w:eastAsia="MS Mincho" w:cs="Arial"/>
          <w:b/>
          <w:color w:val="0070C0"/>
          <w:szCs w:val="20"/>
          <w:lang w:val="en-US" w:eastAsia="ja-JP"/>
        </w:rPr>
        <w:t>4.2.6.2 Diagnostics</w:t>
      </w:r>
      <w:r w:rsidRPr="00253B2E">
        <w:rPr>
          <w:rFonts w:eastAsia="MS Mincho" w:cs="Arial"/>
          <w:color w:val="0070C0"/>
          <w:szCs w:val="20"/>
          <w:lang w:val="en-US" w:eastAsia="ja-JP"/>
        </w:rPr>
        <w:t xml:space="preserve"> </w:t>
      </w:r>
      <w:r w:rsidRPr="00253B2E">
        <w:rPr>
          <w:rFonts w:eastAsia="MS Mincho" w:cs="Arial"/>
          <w:szCs w:val="20"/>
          <w:lang w:val="en-US" w:eastAsia="ja-JP"/>
        </w:rPr>
        <w:t xml:space="preserve">The service will provide the following diagnostic services and interventions in a one-stop setting wherever clinically appropriate: </w:t>
      </w:r>
    </w:p>
    <w:p w:rsidR="00685288" w:rsidRDefault="00F23703" w:rsidP="00F35F8C">
      <w:pPr>
        <w:numPr>
          <w:ilvl w:val="0"/>
          <w:numId w:val="38"/>
        </w:numPr>
        <w:autoSpaceDE w:val="0"/>
        <w:autoSpaceDN w:val="0"/>
        <w:adjustRightInd w:val="0"/>
        <w:spacing w:after="0" w:line="240" w:lineRule="auto"/>
        <w:ind w:left="386"/>
        <w:jc w:val="both"/>
        <w:rPr>
          <w:rFonts w:eastAsia="MS Mincho" w:cs="Arial"/>
          <w:szCs w:val="20"/>
          <w:lang w:val="en-US" w:eastAsia="ja-JP"/>
        </w:rPr>
      </w:pPr>
      <w:r>
        <w:rPr>
          <w:rFonts w:eastAsia="MS Mincho" w:cs="Arial"/>
          <w:szCs w:val="20"/>
          <w:lang w:val="en-US" w:eastAsia="ja-JP"/>
        </w:rPr>
        <w:t>Microbiology</w:t>
      </w:r>
    </w:p>
    <w:p w:rsidR="00F23703" w:rsidRDefault="00F23703" w:rsidP="00F35F8C">
      <w:pPr>
        <w:numPr>
          <w:ilvl w:val="0"/>
          <w:numId w:val="38"/>
        </w:numPr>
        <w:autoSpaceDE w:val="0"/>
        <w:autoSpaceDN w:val="0"/>
        <w:adjustRightInd w:val="0"/>
        <w:spacing w:after="0" w:line="240" w:lineRule="auto"/>
        <w:ind w:left="386"/>
        <w:jc w:val="both"/>
        <w:rPr>
          <w:rFonts w:eastAsia="MS Mincho" w:cs="Arial"/>
          <w:szCs w:val="20"/>
          <w:lang w:val="en-US" w:eastAsia="ja-JP"/>
        </w:rPr>
      </w:pPr>
      <w:r>
        <w:rPr>
          <w:rFonts w:eastAsia="MS Mincho" w:cs="Arial"/>
          <w:szCs w:val="20"/>
          <w:lang w:val="en-US" w:eastAsia="ja-JP"/>
        </w:rPr>
        <w:t>Blood sampling</w:t>
      </w:r>
    </w:p>
    <w:p w:rsidR="003C34B2" w:rsidRDefault="003C34B2" w:rsidP="003C34B2">
      <w:pPr>
        <w:autoSpaceDE w:val="0"/>
        <w:autoSpaceDN w:val="0"/>
        <w:adjustRightInd w:val="0"/>
        <w:spacing w:after="0" w:line="240" w:lineRule="auto"/>
        <w:ind w:left="26"/>
        <w:jc w:val="both"/>
        <w:rPr>
          <w:rFonts w:eastAsia="MS Mincho" w:cs="Arial"/>
          <w:szCs w:val="20"/>
          <w:lang w:val="en-US" w:eastAsia="ja-JP"/>
        </w:rPr>
      </w:pPr>
    </w:p>
    <w:p w:rsidR="00685288" w:rsidRPr="00253B2E" w:rsidRDefault="00685288" w:rsidP="003746B1">
      <w:pPr>
        <w:autoSpaceDE w:val="0"/>
        <w:autoSpaceDN w:val="0"/>
        <w:adjustRightInd w:val="0"/>
        <w:spacing w:line="240" w:lineRule="auto"/>
        <w:ind w:left="45"/>
        <w:jc w:val="both"/>
        <w:rPr>
          <w:rFonts w:eastAsia="MS Mincho" w:cs="Arial"/>
          <w:szCs w:val="20"/>
          <w:lang w:val="en-US" w:eastAsia="ja-JP"/>
        </w:rPr>
      </w:pPr>
      <w:r w:rsidRPr="00253B2E">
        <w:rPr>
          <w:rFonts w:eastAsia="MS Mincho" w:cs="Arial"/>
          <w:szCs w:val="20"/>
          <w:lang w:val="en-US" w:eastAsia="ja-JP"/>
        </w:rPr>
        <w:t xml:space="preserve">The service should have access to the following; </w:t>
      </w:r>
    </w:p>
    <w:p w:rsidR="00685288" w:rsidRDefault="00F23703" w:rsidP="00F35F8C">
      <w:pPr>
        <w:numPr>
          <w:ilvl w:val="0"/>
          <w:numId w:val="39"/>
        </w:numPr>
        <w:autoSpaceDE w:val="0"/>
        <w:autoSpaceDN w:val="0"/>
        <w:adjustRightInd w:val="0"/>
        <w:spacing w:after="0" w:line="240" w:lineRule="auto"/>
        <w:ind w:left="405"/>
        <w:jc w:val="both"/>
        <w:rPr>
          <w:rFonts w:eastAsia="MS Mincho" w:cs="Arial"/>
          <w:szCs w:val="20"/>
          <w:lang w:val="en-US" w:eastAsia="ja-JP"/>
        </w:rPr>
      </w:pPr>
      <w:r>
        <w:rPr>
          <w:rFonts w:eastAsia="MS Mincho" w:cs="Arial"/>
          <w:szCs w:val="20"/>
          <w:lang w:val="en-US" w:eastAsia="ja-JP"/>
        </w:rPr>
        <w:t>Ultrasound</w:t>
      </w:r>
    </w:p>
    <w:p w:rsidR="00F23703" w:rsidRPr="00253B2E" w:rsidRDefault="00F23703" w:rsidP="00F35F8C">
      <w:pPr>
        <w:numPr>
          <w:ilvl w:val="0"/>
          <w:numId w:val="39"/>
        </w:numPr>
        <w:autoSpaceDE w:val="0"/>
        <w:autoSpaceDN w:val="0"/>
        <w:adjustRightInd w:val="0"/>
        <w:spacing w:after="0" w:line="240" w:lineRule="auto"/>
        <w:ind w:left="405"/>
        <w:jc w:val="both"/>
        <w:rPr>
          <w:rFonts w:eastAsia="MS Mincho" w:cs="Arial"/>
          <w:szCs w:val="20"/>
          <w:lang w:val="en-US" w:eastAsia="ja-JP"/>
        </w:rPr>
      </w:pPr>
      <w:r>
        <w:rPr>
          <w:rFonts w:eastAsia="MS Mincho" w:cs="Arial"/>
          <w:szCs w:val="20"/>
          <w:lang w:val="en-US" w:eastAsia="ja-JP"/>
        </w:rPr>
        <w:t>CT scan</w:t>
      </w:r>
    </w:p>
    <w:p w:rsidR="00685288" w:rsidRDefault="00685288" w:rsidP="00685288">
      <w:pPr>
        <w:tabs>
          <w:tab w:val="num" w:pos="3060"/>
        </w:tabs>
        <w:spacing w:after="0" w:line="240" w:lineRule="auto"/>
        <w:ind w:left="45"/>
        <w:jc w:val="both"/>
        <w:rPr>
          <w:rFonts w:eastAsia="MS Mincho" w:cs="Arial"/>
          <w:szCs w:val="20"/>
          <w:lang w:val="en-US" w:eastAsia="ja-JP"/>
        </w:rPr>
      </w:pPr>
    </w:p>
    <w:p w:rsidR="00685288" w:rsidRDefault="003C34B2" w:rsidP="003C34B2">
      <w:pPr>
        <w:autoSpaceDE w:val="0"/>
        <w:autoSpaceDN w:val="0"/>
        <w:adjustRightInd w:val="0"/>
        <w:spacing w:after="0" w:line="240" w:lineRule="auto"/>
        <w:jc w:val="both"/>
        <w:rPr>
          <w:rFonts w:eastAsia="MS Mincho" w:cs="Arial"/>
          <w:szCs w:val="20"/>
          <w:lang w:val="en-US" w:eastAsia="ja-JP"/>
        </w:rPr>
      </w:pPr>
      <w:r w:rsidRPr="003C34B2">
        <w:rPr>
          <w:rFonts w:eastAsia="MS Mincho" w:cs="Arial"/>
          <w:szCs w:val="20"/>
          <w:lang w:val="en-US" w:eastAsia="ja-JP"/>
        </w:rPr>
        <w:t>Expected turnaround of diagnostic tests such as bloods is 5 working days</w:t>
      </w:r>
      <w:r>
        <w:rPr>
          <w:rFonts w:eastAsia="MS Mincho" w:cs="Arial"/>
          <w:szCs w:val="20"/>
          <w:lang w:val="en-US" w:eastAsia="ja-JP"/>
        </w:rPr>
        <w:t xml:space="preserve">. </w:t>
      </w:r>
      <w:r w:rsidR="00685288">
        <w:rPr>
          <w:rFonts w:eastAsia="MS Mincho" w:cs="Arial"/>
          <w:szCs w:val="20"/>
          <w:lang w:val="en-US" w:eastAsia="ja-JP"/>
        </w:rPr>
        <w:t>The service must be able to review previous diagnostics and blood test results completed in primary care prior to referral.</w:t>
      </w:r>
    </w:p>
    <w:p w:rsidR="00685288" w:rsidRPr="00253B2E" w:rsidRDefault="00685288" w:rsidP="00685288">
      <w:pPr>
        <w:tabs>
          <w:tab w:val="num" w:pos="3060"/>
        </w:tabs>
        <w:spacing w:after="0" w:line="240" w:lineRule="auto"/>
        <w:ind w:left="45"/>
        <w:jc w:val="both"/>
        <w:rPr>
          <w:rFonts w:eastAsia="MS Mincho" w:cs="Arial"/>
          <w:szCs w:val="20"/>
          <w:lang w:val="en-US" w:eastAsia="ja-JP"/>
        </w:rPr>
      </w:pPr>
    </w:p>
    <w:p w:rsidR="00685288" w:rsidRPr="00E60CA6" w:rsidRDefault="00685288" w:rsidP="00685288">
      <w:pPr>
        <w:tabs>
          <w:tab w:val="num" w:pos="3060"/>
        </w:tabs>
        <w:spacing w:after="0" w:line="240" w:lineRule="auto"/>
        <w:ind w:left="45"/>
        <w:jc w:val="both"/>
        <w:rPr>
          <w:rFonts w:eastAsia="MS Mincho" w:cs="Arial"/>
          <w:szCs w:val="20"/>
          <w:lang w:val="en-US" w:eastAsia="ja-JP"/>
        </w:rPr>
      </w:pPr>
      <w:r w:rsidRPr="00E60CA6">
        <w:rPr>
          <w:rFonts w:eastAsia="MS Mincho" w:cs="Arial"/>
          <w:szCs w:val="20"/>
          <w:lang w:val="en-US" w:eastAsia="ja-JP"/>
        </w:rPr>
        <w:t xml:space="preserve">The </w:t>
      </w:r>
      <w:r>
        <w:rPr>
          <w:rFonts w:eastAsia="MS Mincho" w:cs="Arial"/>
          <w:szCs w:val="20"/>
          <w:lang w:val="en-US" w:eastAsia="ja-JP"/>
        </w:rPr>
        <w:t>Service</w:t>
      </w:r>
      <w:r w:rsidRPr="00E60CA6">
        <w:rPr>
          <w:rFonts w:eastAsia="MS Mincho" w:cs="Arial"/>
          <w:szCs w:val="20"/>
          <w:lang w:val="en-US" w:eastAsia="ja-JP"/>
        </w:rPr>
        <w:t xml:space="preserve"> will ensure that (and provide evidence to the commissioner if asked):</w:t>
      </w:r>
    </w:p>
    <w:p w:rsidR="00685288" w:rsidRPr="003C34B2" w:rsidRDefault="00685288" w:rsidP="003C34B2">
      <w:pPr>
        <w:numPr>
          <w:ilvl w:val="0"/>
          <w:numId w:val="40"/>
        </w:numPr>
        <w:tabs>
          <w:tab w:val="clear" w:pos="1260"/>
          <w:tab w:val="num" w:pos="1702"/>
        </w:tabs>
        <w:autoSpaceDE w:val="0"/>
        <w:autoSpaceDN w:val="0"/>
        <w:adjustRightInd w:val="0"/>
        <w:spacing w:after="0" w:line="240" w:lineRule="auto"/>
        <w:ind w:left="405"/>
        <w:jc w:val="both"/>
        <w:rPr>
          <w:rFonts w:eastAsia="MS Mincho" w:cs="Arial"/>
          <w:szCs w:val="20"/>
          <w:lang w:val="en-US" w:eastAsia="ja-JP"/>
        </w:rPr>
      </w:pPr>
      <w:r w:rsidRPr="00E60CA6">
        <w:rPr>
          <w:rFonts w:eastAsia="MS Mincho" w:cs="Arial"/>
          <w:szCs w:val="20"/>
          <w:lang w:val="en-US" w:eastAsia="ja-JP"/>
        </w:rPr>
        <w:t xml:space="preserve">Written consent must be obtained for all patients having surgical </w:t>
      </w:r>
      <w:r w:rsidR="003C34B2">
        <w:rPr>
          <w:rFonts w:eastAsia="MS Mincho" w:cs="Arial"/>
          <w:szCs w:val="20"/>
          <w:lang w:val="en-US" w:eastAsia="ja-JP"/>
        </w:rPr>
        <w:t>interventions</w:t>
      </w:r>
      <w:r w:rsidRPr="00E60CA6">
        <w:rPr>
          <w:rFonts w:eastAsia="MS Mincho" w:cs="Arial"/>
          <w:szCs w:val="20"/>
          <w:lang w:val="en-US" w:eastAsia="ja-JP"/>
        </w:rPr>
        <w:t xml:space="preserve"> in compliance with Gen</w:t>
      </w:r>
      <w:r w:rsidR="003C34B2">
        <w:rPr>
          <w:rFonts w:eastAsia="MS Mincho" w:cs="Arial"/>
          <w:szCs w:val="20"/>
          <w:lang w:val="en-US" w:eastAsia="ja-JP"/>
        </w:rPr>
        <w:t xml:space="preserve">eral Medical Council standards. </w:t>
      </w:r>
    </w:p>
    <w:p w:rsidR="00685288" w:rsidRPr="00E210C3" w:rsidRDefault="00685288" w:rsidP="00F35F8C">
      <w:pPr>
        <w:numPr>
          <w:ilvl w:val="0"/>
          <w:numId w:val="40"/>
        </w:numPr>
        <w:tabs>
          <w:tab w:val="clear" w:pos="1260"/>
          <w:tab w:val="num" w:pos="1702"/>
        </w:tabs>
        <w:spacing w:after="0" w:line="240" w:lineRule="auto"/>
        <w:ind w:left="405"/>
        <w:jc w:val="both"/>
        <w:rPr>
          <w:rFonts w:eastAsia="MS Mincho" w:cs="Arial"/>
          <w:szCs w:val="20"/>
          <w:lang w:val="en-US" w:eastAsia="ja-JP"/>
        </w:rPr>
      </w:pPr>
      <w:r w:rsidRPr="00E60CA6">
        <w:rPr>
          <w:rFonts w:eastAsia="MS Mincho" w:cs="Arial"/>
          <w:szCs w:val="20"/>
          <w:lang w:val="en-US" w:eastAsia="ja-JP"/>
        </w:rPr>
        <w:t xml:space="preserve">Treatment of minor complications following surgical </w:t>
      </w:r>
      <w:r w:rsidR="00F23703">
        <w:rPr>
          <w:rFonts w:eastAsia="MS Mincho" w:cs="Arial"/>
          <w:szCs w:val="20"/>
          <w:lang w:val="en-US" w:eastAsia="ja-JP"/>
        </w:rPr>
        <w:t>interventions</w:t>
      </w:r>
      <w:r w:rsidRPr="00E60CA6">
        <w:rPr>
          <w:rFonts w:eastAsia="MS Mincho" w:cs="Arial"/>
          <w:szCs w:val="20"/>
          <w:lang w:val="en-US" w:eastAsia="ja-JP"/>
        </w:rPr>
        <w:t xml:space="preserve"> undertaken by the </w:t>
      </w:r>
      <w:r>
        <w:rPr>
          <w:rFonts w:eastAsia="MS Mincho" w:cs="Arial"/>
          <w:szCs w:val="20"/>
          <w:lang w:val="en-US" w:eastAsia="ja-JP"/>
        </w:rPr>
        <w:t>Service</w:t>
      </w:r>
      <w:r w:rsidRPr="00E60CA6">
        <w:rPr>
          <w:rFonts w:eastAsia="MS Mincho" w:cs="Arial"/>
          <w:szCs w:val="20"/>
          <w:lang w:val="en-US" w:eastAsia="ja-JP"/>
        </w:rPr>
        <w:t xml:space="preserve"> will be the responsibility of the </w:t>
      </w:r>
      <w:r>
        <w:rPr>
          <w:rFonts w:eastAsia="MS Mincho" w:cs="Arial"/>
          <w:szCs w:val="20"/>
          <w:lang w:val="en-US" w:eastAsia="ja-JP"/>
        </w:rPr>
        <w:t>Service</w:t>
      </w:r>
      <w:r w:rsidR="003C34B2">
        <w:rPr>
          <w:rFonts w:eastAsia="MS Mincho" w:cs="Arial"/>
          <w:szCs w:val="20"/>
          <w:lang w:val="en-US" w:eastAsia="ja-JP"/>
        </w:rPr>
        <w:t xml:space="preserve">. </w:t>
      </w:r>
      <w:r w:rsidRPr="00E60CA6">
        <w:rPr>
          <w:rFonts w:eastAsia="MS Mincho" w:cs="Arial"/>
          <w:szCs w:val="20"/>
          <w:lang w:val="en-US" w:eastAsia="ja-JP"/>
        </w:rPr>
        <w:t xml:space="preserve">For any other complications or problems the GP </w:t>
      </w:r>
      <w:r>
        <w:rPr>
          <w:rFonts w:eastAsia="MS Mincho" w:cs="Arial"/>
          <w:szCs w:val="20"/>
          <w:lang w:val="en-US" w:eastAsia="ja-JP"/>
        </w:rPr>
        <w:t>may</w:t>
      </w:r>
      <w:r w:rsidRPr="00E60CA6">
        <w:rPr>
          <w:rFonts w:eastAsia="MS Mincho" w:cs="Arial"/>
          <w:szCs w:val="20"/>
          <w:lang w:val="en-US" w:eastAsia="ja-JP"/>
        </w:rPr>
        <w:t xml:space="preserve"> refer back to the service for either telephone advice or for the patient to be seen as an urgent at the next clinic. </w:t>
      </w:r>
      <w:r w:rsidRPr="00E60CA6">
        <w:rPr>
          <w:rFonts w:eastAsia="MS Mincho" w:cs="Arial"/>
          <w:szCs w:val="20"/>
          <w:u w:val="single"/>
          <w:lang w:val="en-US" w:eastAsia="ja-JP"/>
        </w:rPr>
        <w:t>Re-referrals following discharge for complications post treatment will NOT be charged.</w:t>
      </w:r>
    </w:p>
    <w:p w:rsidR="00685288" w:rsidRPr="00E210C3" w:rsidRDefault="00685288" w:rsidP="00F35F8C">
      <w:pPr>
        <w:numPr>
          <w:ilvl w:val="0"/>
          <w:numId w:val="40"/>
        </w:numPr>
        <w:tabs>
          <w:tab w:val="clear" w:pos="1260"/>
          <w:tab w:val="num" w:pos="1702"/>
        </w:tabs>
        <w:spacing w:after="0" w:line="240" w:lineRule="auto"/>
        <w:ind w:left="405"/>
        <w:jc w:val="both"/>
        <w:rPr>
          <w:rFonts w:eastAsia="MS Mincho" w:cs="Arial"/>
          <w:szCs w:val="20"/>
          <w:lang w:val="en-US" w:eastAsia="ja-JP"/>
        </w:rPr>
      </w:pPr>
      <w:r>
        <w:rPr>
          <w:rFonts w:eastAsia="MS Mincho" w:cs="Arial"/>
          <w:szCs w:val="20"/>
          <w:lang w:val="en-US" w:eastAsia="ja-JP"/>
        </w:rPr>
        <w:t>There will be a set cost for a nurse led microsuction clinic, irrespective of the number of the times a patient requires microsuction.</w:t>
      </w:r>
      <w:r w:rsidR="00311476">
        <w:rPr>
          <w:rFonts w:eastAsia="MS Mincho" w:cs="Arial"/>
          <w:szCs w:val="20"/>
          <w:lang w:val="en-US" w:eastAsia="ja-JP"/>
        </w:rPr>
        <w:t xml:space="preserve"> This </w:t>
      </w:r>
      <w:r w:rsidR="00F23703">
        <w:rPr>
          <w:rFonts w:eastAsia="MS Mincho" w:cs="Arial"/>
          <w:szCs w:val="20"/>
          <w:lang w:val="en-US" w:eastAsia="ja-JP"/>
        </w:rPr>
        <w:t xml:space="preserve">nurse led clinic </w:t>
      </w:r>
      <w:r w:rsidR="00311476">
        <w:rPr>
          <w:rFonts w:eastAsia="MS Mincho" w:cs="Arial"/>
          <w:szCs w:val="20"/>
          <w:lang w:val="en-US" w:eastAsia="ja-JP"/>
        </w:rPr>
        <w:t xml:space="preserve">will be supported </w:t>
      </w:r>
      <w:r w:rsidR="00F23703">
        <w:rPr>
          <w:rFonts w:eastAsia="MS Mincho" w:cs="Arial"/>
          <w:szCs w:val="20"/>
          <w:lang w:val="en-US" w:eastAsia="ja-JP"/>
        </w:rPr>
        <w:t>and run alongside</w:t>
      </w:r>
      <w:r w:rsidR="00311476">
        <w:rPr>
          <w:rFonts w:eastAsia="MS Mincho" w:cs="Arial"/>
          <w:szCs w:val="20"/>
          <w:lang w:val="en-US" w:eastAsia="ja-JP"/>
        </w:rPr>
        <w:t xml:space="preserve"> </w:t>
      </w:r>
      <w:r w:rsidR="00F23703">
        <w:rPr>
          <w:rFonts w:eastAsia="MS Mincho" w:cs="Arial"/>
          <w:szCs w:val="20"/>
          <w:lang w:val="en-US" w:eastAsia="ja-JP"/>
        </w:rPr>
        <w:t>GPSI clinics</w:t>
      </w:r>
      <w:r w:rsidR="00311476">
        <w:rPr>
          <w:rFonts w:eastAsia="MS Mincho" w:cs="Arial"/>
          <w:szCs w:val="20"/>
          <w:lang w:val="en-US" w:eastAsia="ja-JP"/>
        </w:rPr>
        <w:t>.</w:t>
      </w:r>
    </w:p>
    <w:p w:rsidR="00685288" w:rsidRPr="00E60CA6" w:rsidRDefault="00685288" w:rsidP="00F35F8C">
      <w:pPr>
        <w:numPr>
          <w:ilvl w:val="0"/>
          <w:numId w:val="40"/>
        </w:numPr>
        <w:tabs>
          <w:tab w:val="clear" w:pos="1260"/>
          <w:tab w:val="num" w:pos="1702"/>
        </w:tabs>
        <w:spacing w:after="0" w:line="240" w:lineRule="auto"/>
        <w:ind w:left="405"/>
        <w:jc w:val="both"/>
        <w:rPr>
          <w:rFonts w:eastAsia="MS Mincho" w:cs="Arial"/>
          <w:szCs w:val="20"/>
          <w:lang w:val="en-US" w:eastAsia="ja-JP"/>
        </w:rPr>
      </w:pPr>
      <w:r w:rsidRPr="00E60CA6">
        <w:rPr>
          <w:rFonts w:eastAsia="MS Mincho" w:cs="Arial"/>
          <w:bCs/>
          <w:szCs w:val="20"/>
          <w:lang w:val="en-US" w:eastAsia="ja-JP"/>
        </w:rPr>
        <w:t xml:space="preserve">The case notes of patients who DNA will be reviewed to determine whether referral should be returned to the referring GP or a further appointment is offered. </w:t>
      </w:r>
      <w:r>
        <w:rPr>
          <w:rFonts w:eastAsia="MS Mincho" w:cs="Arial"/>
          <w:bCs/>
          <w:szCs w:val="20"/>
          <w:lang w:val="en-US" w:eastAsia="ja-JP"/>
        </w:rPr>
        <w:t>The Provider needs a system in place to reduce DNA rates, such as text reminders.</w:t>
      </w:r>
      <w:r w:rsidRPr="00E60CA6">
        <w:rPr>
          <w:rFonts w:eastAsia="MS Mincho" w:cs="Arial"/>
          <w:bCs/>
          <w:szCs w:val="20"/>
          <w:lang w:val="en-US" w:eastAsia="ja-JP"/>
        </w:rPr>
        <w:t xml:space="preserve"> </w:t>
      </w:r>
      <w:r w:rsidRPr="00E60CA6">
        <w:rPr>
          <w:rFonts w:eastAsia="MS Mincho" w:cs="Arial"/>
          <w:b/>
          <w:bCs/>
          <w:szCs w:val="20"/>
          <w:lang w:val="en-US" w:eastAsia="ja-JP"/>
        </w:rPr>
        <w:t>DNAs will not be charged in the contract</w:t>
      </w:r>
      <w:r w:rsidRPr="00E60CA6">
        <w:rPr>
          <w:rFonts w:eastAsia="MS Mincho" w:cs="Arial"/>
          <w:bCs/>
          <w:szCs w:val="20"/>
          <w:lang w:val="en-US" w:eastAsia="ja-JP"/>
        </w:rPr>
        <w:t>.</w:t>
      </w:r>
    </w:p>
    <w:p w:rsidR="00685288" w:rsidRPr="00E60CA6" w:rsidRDefault="00685288" w:rsidP="00F35F8C">
      <w:pPr>
        <w:numPr>
          <w:ilvl w:val="0"/>
          <w:numId w:val="40"/>
        </w:numPr>
        <w:tabs>
          <w:tab w:val="clear" w:pos="1260"/>
          <w:tab w:val="num" w:pos="1702"/>
        </w:tabs>
        <w:autoSpaceDE w:val="0"/>
        <w:autoSpaceDN w:val="0"/>
        <w:adjustRightInd w:val="0"/>
        <w:spacing w:after="0" w:line="240" w:lineRule="auto"/>
        <w:ind w:left="405"/>
        <w:jc w:val="both"/>
        <w:rPr>
          <w:rFonts w:eastAsia="MS Mincho" w:cs="Arial"/>
          <w:szCs w:val="20"/>
          <w:lang w:val="en-US" w:eastAsia="ja-JP"/>
        </w:rPr>
      </w:pPr>
      <w:r w:rsidRPr="00E60CA6">
        <w:rPr>
          <w:rFonts w:eastAsia="MS Mincho" w:cs="Arial"/>
          <w:bCs/>
          <w:szCs w:val="20"/>
          <w:lang w:val="en-US" w:eastAsia="ja-JP"/>
        </w:rPr>
        <w:t>The unit and all staff are trained and competent to manage patients appropriately in the event of cardiac arrest, respiratory arrest, or anaphylaxis.</w:t>
      </w:r>
    </w:p>
    <w:p w:rsidR="00685288" w:rsidRPr="00E60CA6" w:rsidRDefault="00685288" w:rsidP="00F35F8C">
      <w:pPr>
        <w:numPr>
          <w:ilvl w:val="0"/>
          <w:numId w:val="40"/>
        </w:numPr>
        <w:tabs>
          <w:tab w:val="clear" w:pos="1260"/>
          <w:tab w:val="num" w:pos="426"/>
        </w:tabs>
        <w:autoSpaceDE w:val="0"/>
        <w:autoSpaceDN w:val="0"/>
        <w:adjustRightInd w:val="0"/>
        <w:spacing w:after="0" w:line="240" w:lineRule="auto"/>
        <w:ind w:left="426" w:hanging="426"/>
        <w:jc w:val="both"/>
        <w:rPr>
          <w:rFonts w:eastAsia="MS Mincho" w:cs="Arial"/>
          <w:color w:val="000000"/>
          <w:szCs w:val="20"/>
          <w:lang w:val="en-US" w:eastAsia="ja-JP"/>
        </w:rPr>
      </w:pPr>
      <w:r w:rsidRPr="00E60CA6">
        <w:rPr>
          <w:rFonts w:eastAsia="MS Mincho" w:cs="Arial"/>
          <w:color w:val="000000"/>
          <w:szCs w:val="20"/>
          <w:lang w:val="en-US" w:eastAsia="ja-JP"/>
        </w:rPr>
        <w:t>The competency and availability of staff to meet the needs of patients which fall within the clinical conditions included in this specification, including working with vulnerable persons. Local and national guidelines will be followed with staffing changed to reflect any new guidance released.</w:t>
      </w:r>
    </w:p>
    <w:p w:rsidR="00685288" w:rsidRPr="00E60CA6" w:rsidRDefault="00685288" w:rsidP="00F35F8C">
      <w:pPr>
        <w:numPr>
          <w:ilvl w:val="0"/>
          <w:numId w:val="40"/>
        </w:numPr>
        <w:tabs>
          <w:tab w:val="clear" w:pos="1260"/>
          <w:tab w:val="num" w:pos="426"/>
        </w:tabs>
        <w:autoSpaceDE w:val="0"/>
        <w:autoSpaceDN w:val="0"/>
        <w:adjustRightInd w:val="0"/>
        <w:spacing w:after="0" w:line="240" w:lineRule="auto"/>
        <w:ind w:left="426" w:hanging="426"/>
        <w:jc w:val="both"/>
        <w:rPr>
          <w:rFonts w:eastAsia="MS Mincho" w:cs="Arial"/>
          <w:color w:val="000000"/>
          <w:szCs w:val="20"/>
          <w:lang w:val="en-US" w:eastAsia="ja-JP"/>
        </w:rPr>
      </w:pPr>
      <w:r w:rsidRPr="00E60CA6">
        <w:rPr>
          <w:rFonts w:eastAsia="MS Mincho" w:cs="Arial"/>
          <w:szCs w:val="20"/>
          <w:lang w:val="en-US" w:eastAsia="ja-JP"/>
        </w:rPr>
        <w:t>Robust risk management, complaints, infection control and untoward incidents reporting mechanisms are in place and being followed by all staff</w:t>
      </w:r>
      <w:r w:rsidR="00EE5516">
        <w:rPr>
          <w:rFonts w:eastAsia="MS Mincho" w:cs="Arial"/>
          <w:szCs w:val="20"/>
          <w:lang w:val="en-US" w:eastAsia="ja-JP"/>
        </w:rPr>
        <w:t>.</w:t>
      </w:r>
    </w:p>
    <w:p w:rsidR="00685288" w:rsidRPr="00E60CA6" w:rsidRDefault="00685288" w:rsidP="00F35F8C">
      <w:pPr>
        <w:numPr>
          <w:ilvl w:val="0"/>
          <w:numId w:val="40"/>
        </w:numPr>
        <w:tabs>
          <w:tab w:val="clear" w:pos="1260"/>
          <w:tab w:val="num" w:pos="426"/>
        </w:tabs>
        <w:autoSpaceDE w:val="0"/>
        <w:autoSpaceDN w:val="0"/>
        <w:adjustRightInd w:val="0"/>
        <w:spacing w:after="0" w:line="240" w:lineRule="auto"/>
        <w:ind w:left="426" w:hanging="426"/>
        <w:jc w:val="both"/>
        <w:rPr>
          <w:rFonts w:eastAsia="MS Mincho" w:cs="Arial"/>
          <w:color w:val="000000"/>
          <w:szCs w:val="20"/>
          <w:lang w:val="en-US" w:eastAsia="ja-JP"/>
        </w:rPr>
      </w:pPr>
      <w:r w:rsidRPr="00E60CA6">
        <w:rPr>
          <w:rFonts w:eastAsia="MS Mincho" w:cs="Arial"/>
          <w:bCs/>
          <w:szCs w:val="20"/>
          <w:lang w:val="en-US" w:eastAsia="ja-JP"/>
        </w:rPr>
        <w:t>Information is available for patients, in a range of formats and languages appropriate to the local population. The information should include the outline of the services, together with patient information leaflets giving details about their clinical conditions and any treatment advice.</w:t>
      </w:r>
    </w:p>
    <w:p w:rsidR="00685288" w:rsidRPr="00E60CA6" w:rsidRDefault="00685288" w:rsidP="00F35F8C">
      <w:pPr>
        <w:numPr>
          <w:ilvl w:val="0"/>
          <w:numId w:val="40"/>
        </w:numPr>
        <w:tabs>
          <w:tab w:val="clear" w:pos="1260"/>
          <w:tab w:val="num" w:pos="426"/>
        </w:tabs>
        <w:autoSpaceDE w:val="0"/>
        <w:autoSpaceDN w:val="0"/>
        <w:adjustRightInd w:val="0"/>
        <w:spacing w:after="0" w:line="240" w:lineRule="auto"/>
        <w:ind w:left="426" w:hanging="426"/>
        <w:jc w:val="both"/>
        <w:rPr>
          <w:rFonts w:eastAsia="MS Mincho" w:cs="Arial"/>
          <w:color w:val="000000"/>
          <w:szCs w:val="20"/>
          <w:lang w:val="en-US" w:eastAsia="ja-JP"/>
        </w:rPr>
      </w:pPr>
      <w:r w:rsidRPr="00E60CA6">
        <w:rPr>
          <w:rFonts w:eastAsia="MS Mincho" w:cs="Arial"/>
          <w:bCs/>
          <w:szCs w:val="20"/>
          <w:lang w:val="en-US" w:eastAsia="ja-JP"/>
        </w:rPr>
        <w:t xml:space="preserve">Post invasive treatment the patient and carer will be given an information leaflet that includes signs and symptoms of infection and the appropriate action and outlining the post discharge surveillance scheme. </w:t>
      </w:r>
    </w:p>
    <w:p w:rsidR="00685288" w:rsidRDefault="00685288" w:rsidP="00685288">
      <w:pPr>
        <w:pStyle w:val="Default"/>
        <w:ind w:left="669"/>
        <w:jc w:val="both"/>
        <w:rPr>
          <w:sz w:val="20"/>
          <w:szCs w:val="20"/>
          <w:highlight w:val="yellow"/>
          <w:lang w:val="en-GB"/>
        </w:rPr>
      </w:pPr>
    </w:p>
    <w:p w:rsidR="00685288" w:rsidRPr="001F3250" w:rsidRDefault="00685288" w:rsidP="00685288">
      <w:pPr>
        <w:pStyle w:val="Default"/>
        <w:ind w:left="669"/>
        <w:jc w:val="both"/>
        <w:rPr>
          <w:sz w:val="20"/>
          <w:szCs w:val="20"/>
          <w:highlight w:val="yellow"/>
          <w:lang w:val="en-GB"/>
        </w:rPr>
      </w:pPr>
    </w:p>
    <w:p w:rsidR="00685288" w:rsidRPr="00253B2E" w:rsidRDefault="00685288" w:rsidP="00F10EC7">
      <w:pPr>
        <w:pStyle w:val="PlainText"/>
        <w:ind w:right="-340"/>
        <w:jc w:val="both"/>
        <w:rPr>
          <w:b/>
          <w:color w:val="0070C0"/>
        </w:rPr>
      </w:pPr>
      <w:r w:rsidRPr="00253B2E">
        <w:rPr>
          <w:b/>
          <w:color w:val="0070C0"/>
        </w:rPr>
        <w:t>4.2.6.3 Integrating Psychological Approaches to Assessment and Treatment</w:t>
      </w:r>
    </w:p>
    <w:p w:rsidR="00685288" w:rsidRDefault="00685288" w:rsidP="00685288">
      <w:pPr>
        <w:pStyle w:val="PlainText"/>
        <w:ind w:left="261" w:right="-340"/>
        <w:jc w:val="both"/>
        <w:rPr>
          <w:highlight w:val="yellow"/>
        </w:rPr>
      </w:pPr>
    </w:p>
    <w:p w:rsidR="00685288" w:rsidRDefault="00685288" w:rsidP="00685288">
      <w:pPr>
        <w:pStyle w:val="CommentText"/>
        <w:jc w:val="both"/>
        <w:rPr>
          <w:rFonts w:ascii="Arial" w:hAnsi="Arial" w:cs="Arial"/>
        </w:rPr>
      </w:pPr>
      <w:r w:rsidRPr="006F1DF1">
        <w:rPr>
          <w:rFonts w:ascii="Arial" w:hAnsi="Arial" w:cs="Arial"/>
        </w:rPr>
        <w:t xml:space="preserve">The Service’s Clinician’s will complete a holistic assessment of patient’s needs and address psychological aspects relevant to their </w:t>
      </w:r>
      <w:r>
        <w:rPr>
          <w:rFonts w:ascii="Arial" w:hAnsi="Arial" w:cs="Arial"/>
        </w:rPr>
        <w:t>ENT</w:t>
      </w:r>
      <w:r w:rsidRPr="006F1DF1">
        <w:rPr>
          <w:rFonts w:ascii="Arial" w:hAnsi="Arial" w:cs="Arial"/>
        </w:rPr>
        <w:t xml:space="preserve"> condition by referral to local IAP</w:t>
      </w:r>
      <w:r>
        <w:rPr>
          <w:rFonts w:ascii="Arial" w:hAnsi="Arial" w:cs="Arial"/>
        </w:rPr>
        <w:t>T Services such as Time to Talk, ensuring the patient’s GP is informed.</w:t>
      </w:r>
    </w:p>
    <w:p w:rsidR="00774B38" w:rsidRPr="00774B38" w:rsidRDefault="00774B38" w:rsidP="00774B38"/>
    <w:p w:rsidR="00D77151" w:rsidRDefault="00D77151" w:rsidP="00D77151">
      <w:pPr>
        <w:pStyle w:val="Subtitle"/>
      </w:pPr>
      <w:r>
        <w:t>4</w:t>
      </w:r>
      <w:r w:rsidRPr="002037DD">
        <w:t>.2.7 Pathways</w:t>
      </w:r>
    </w:p>
    <w:p w:rsidR="00FF4EFA" w:rsidRPr="00FF4EFA" w:rsidRDefault="00FF4EFA" w:rsidP="00FF4EFA">
      <w:pPr>
        <w:pStyle w:val="Heading2"/>
        <w:rPr>
          <w:rFonts w:ascii="Arial" w:hAnsi="Arial" w:cs="Arial"/>
          <w:i/>
          <w:color w:val="auto"/>
          <w:sz w:val="20"/>
          <w:szCs w:val="20"/>
        </w:rPr>
      </w:pPr>
      <w:bookmarkStart w:id="18" w:name="_Toc414882544"/>
      <w:r w:rsidRPr="00FF4EFA">
        <w:rPr>
          <w:rFonts w:ascii="Arial" w:hAnsi="Arial" w:cs="Arial"/>
          <w:color w:val="auto"/>
          <w:sz w:val="20"/>
          <w:szCs w:val="20"/>
        </w:rPr>
        <w:t>Conditions to be included</w:t>
      </w:r>
      <w:bookmarkEnd w:id="18"/>
    </w:p>
    <w:p w:rsidR="00FF4EFA" w:rsidRPr="001533C0" w:rsidRDefault="00FF4EFA" w:rsidP="00FF4EFA">
      <w:pPr>
        <w:rPr>
          <w:rStyle w:val="Style11pt"/>
          <w:rFonts w:cs="Arial"/>
        </w:rPr>
      </w:pPr>
      <w:r w:rsidRPr="001533C0">
        <w:rPr>
          <w:rStyle w:val="Style11pt"/>
          <w:rFonts w:cs="Arial"/>
        </w:rPr>
        <w:t xml:space="preserve">The service provider will be expected to provide a service which could see all routine, non-urgent (non red flag) referrals </w:t>
      </w:r>
      <w:r>
        <w:rPr>
          <w:rStyle w:val="Style11pt"/>
          <w:rFonts w:cs="Arial"/>
        </w:rPr>
        <w:t xml:space="preserve">of patients aged two years and over </w:t>
      </w:r>
      <w:r w:rsidRPr="001533C0">
        <w:rPr>
          <w:rStyle w:val="Style11pt"/>
          <w:rFonts w:cs="Arial"/>
        </w:rPr>
        <w:t>from the list of conditions below:</w:t>
      </w:r>
    </w:p>
    <w:p w:rsidR="00FF4EFA" w:rsidRPr="001533C0" w:rsidRDefault="00FF4EFA" w:rsidP="00FF4EFA">
      <w:pPr>
        <w:rPr>
          <w:rStyle w:val="Style11pt"/>
          <w:rFonts w:cs="Arial"/>
        </w:rPr>
      </w:pPr>
      <w:r w:rsidRPr="001533C0">
        <w:rPr>
          <w:rStyle w:val="Style11pt"/>
          <w:rFonts w:cs="Arial"/>
        </w:rPr>
        <w:t xml:space="preserve">Depending on history at triage, specific conditions to include but not be limited to: </w:t>
      </w:r>
    </w:p>
    <w:p w:rsidR="00FF4EFA" w:rsidRPr="001533C0" w:rsidRDefault="00FF4EFA" w:rsidP="00F35F8C">
      <w:pPr>
        <w:numPr>
          <w:ilvl w:val="0"/>
          <w:numId w:val="31"/>
        </w:numPr>
        <w:tabs>
          <w:tab w:val="clear" w:pos="720"/>
          <w:tab w:val="num" w:pos="360"/>
        </w:tabs>
        <w:spacing w:after="0" w:line="240" w:lineRule="auto"/>
        <w:ind w:left="360"/>
        <w:rPr>
          <w:rStyle w:val="Style11pt"/>
          <w:rFonts w:cs="Arial"/>
        </w:rPr>
      </w:pPr>
      <w:r w:rsidRPr="001533C0">
        <w:rPr>
          <w:rStyle w:val="Style11pt"/>
          <w:rFonts w:cs="Arial"/>
        </w:rPr>
        <w:t xml:space="preserve">Unresolved otalgia, </w:t>
      </w:r>
    </w:p>
    <w:p w:rsidR="00FF4EFA" w:rsidRPr="001533C0" w:rsidRDefault="00FF4EFA" w:rsidP="00F35F8C">
      <w:pPr>
        <w:numPr>
          <w:ilvl w:val="0"/>
          <w:numId w:val="30"/>
        </w:numPr>
        <w:tabs>
          <w:tab w:val="clear" w:pos="720"/>
          <w:tab w:val="num" w:pos="360"/>
        </w:tabs>
        <w:spacing w:after="0" w:line="240" w:lineRule="auto"/>
        <w:ind w:left="360"/>
        <w:rPr>
          <w:rStyle w:val="Style11pt"/>
          <w:rFonts w:cs="Arial"/>
        </w:rPr>
      </w:pPr>
      <w:r w:rsidRPr="001533C0">
        <w:rPr>
          <w:rStyle w:val="Style11pt"/>
          <w:rFonts w:cs="Arial"/>
        </w:rPr>
        <w:t xml:space="preserve">Otorrhoea - acute or chronic otitis externa </w:t>
      </w:r>
    </w:p>
    <w:p w:rsidR="00FF4EFA" w:rsidRPr="001533C0" w:rsidRDefault="00FF4EFA" w:rsidP="00F35F8C">
      <w:pPr>
        <w:numPr>
          <w:ilvl w:val="0"/>
          <w:numId w:val="30"/>
        </w:numPr>
        <w:tabs>
          <w:tab w:val="clear" w:pos="720"/>
          <w:tab w:val="num" w:pos="360"/>
        </w:tabs>
        <w:spacing w:after="0" w:line="240" w:lineRule="auto"/>
        <w:ind w:left="360"/>
        <w:rPr>
          <w:rStyle w:val="Style11pt"/>
          <w:rFonts w:cs="Arial"/>
        </w:rPr>
      </w:pPr>
      <w:r w:rsidRPr="001533C0">
        <w:rPr>
          <w:rStyle w:val="Style11pt"/>
          <w:rFonts w:cs="Arial"/>
        </w:rPr>
        <w:t>Chronic suppurative otitis media (</w:t>
      </w:r>
      <w:r w:rsidRPr="001533C0">
        <w:rPr>
          <w:rStyle w:val="Style11pt"/>
          <w:rFonts w:cs="Arial"/>
          <w:b/>
        </w:rPr>
        <w:t>but</w:t>
      </w:r>
      <w:r w:rsidRPr="001533C0">
        <w:rPr>
          <w:rStyle w:val="Style11pt"/>
          <w:rFonts w:cs="Arial"/>
        </w:rPr>
        <w:t xml:space="preserve"> red flag urgent referral to secondary care ENT dept if associated with vertigo, headache or facial palsy)</w:t>
      </w:r>
    </w:p>
    <w:p w:rsidR="00FF4EFA" w:rsidRPr="001533C0" w:rsidRDefault="00FF4EFA" w:rsidP="00F35F8C">
      <w:pPr>
        <w:numPr>
          <w:ilvl w:val="0"/>
          <w:numId w:val="30"/>
        </w:numPr>
        <w:tabs>
          <w:tab w:val="clear" w:pos="720"/>
          <w:tab w:val="num" w:pos="360"/>
        </w:tabs>
        <w:spacing w:after="0" w:line="240" w:lineRule="auto"/>
        <w:ind w:left="360"/>
        <w:rPr>
          <w:rStyle w:val="Style11pt"/>
          <w:rFonts w:cs="Arial"/>
        </w:rPr>
      </w:pPr>
      <w:r w:rsidRPr="001533C0">
        <w:rPr>
          <w:rStyle w:val="Style11pt"/>
          <w:rFonts w:cs="Arial"/>
        </w:rPr>
        <w:t xml:space="preserve">Otitis media with effusion </w:t>
      </w:r>
    </w:p>
    <w:p w:rsidR="00FF4EFA" w:rsidRPr="001533C0" w:rsidRDefault="00FF4EFA" w:rsidP="00F35F8C">
      <w:pPr>
        <w:numPr>
          <w:ilvl w:val="0"/>
          <w:numId w:val="30"/>
        </w:numPr>
        <w:tabs>
          <w:tab w:val="clear" w:pos="720"/>
          <w:tab w:val="num" w:pos="360"/>
        </w:tabs>
        <w:spacing w:after="0" w:line="240" w:lineRule="auto"/>
        <w:ind w:left="360"/>
        <w:rPr>
          <w:rStyle w:val="Style11pt"/>
          <w:rFonts w:cs="Arial"/>
        </w:rPr>
      </w:pPr>
      <w:r w:rsidRPr="001533C0">
        <w:rPr>
          <w:rStyle w:val="Style11pt"/>
          <w:rFonts w:cs="Arial"/>
        </w:rPr>
        <w:t>Recurrent otitis media</w:t>
      </w:r>
    </w:p>
    <w:p w:rsidR="00FF4EFA" w:rsidRPr="001533C0" w:rsidRDefault="00FF4EFA" w:rsidP="00F35F8C">
      <w:pPr>
        <w:numPr>
          <w:ilvl w:val="0"/>
          <w:numId w:val="30"/>
        </w:numPr>
        <w:tabs>
          <w:tab w:val="clear" w:pos="720"/>
          <w:tab w:val="num" w:pos="360"/>
        </w:tabs>
        <w:spacing w:after="0" w:line="240" w:lineRule="auto"/>
        <w:ind w:left="360"/>
        <w:rPr>
          <w:rStyle w:val="Style11pt"/>
          <w:rFonts w:cs="Arial"/>
        </w:rPr>
      </w:pPr>
      <w:r w:rsidRPr="001533C0">
        <w:rPr>
          <w:rStyle w:val="Style11pt"/>
          <w:rFonts w:cs="Arial"/>
        </w:rPr>
        <w:t xml:space="preserve">Routine cleaning of mastoid cavities (for those who have had mastoidectomies)  </w:t>
      </w:r>
    </w:p>
    <w:p w:rsidR="00FF4EFA" w:rsidRPr="001533C0" w:rsidRDefault="00FF4EFA" w:rsidP="00F35F8C">
      <w:pPr>
        <w:numPr>
          <w:ilvl w:val="0"/>
          <w:numId w:val="30"/>
        </w:numPr>
        <w:tabs>
          <w:tab w:val="clear" w:pos="720"/>
          <w:tab w:val="num" w:pos="360"/>
        </w:tabs>
        <w:spacing w:after="0" w:line="240" w:lineRule="auto"/>
        <w:ind w:left="360"/>
        <w:rPr>
          <w:rStyle w:val="Style11pt"/>
          <w:rFonts w:cs="Arial"/>
        </w:rPr>
      </w:pPr>
      <w:r w:rsidRPr="001533C0">
        <w:rPr>
          <w:rStyle w:val="Style11pt"/>
          <w:rFonts w:cs="Arial"/>
        </w:rPr>
        <w:t>Conditions requiring aural toilet after failure of primary care conservative treatment, or for whom ‘ear syringing’ is contra-indicated</w:t>
      </w:r>
    </w:p>
    <w:p w:rsidR="00FF4EFA" w:rsidRPr="001533C0" w:rsidRDefault="00FF4EFA" w:rsidP="00F35F8C">
      <w:pPr>
        <w:numPr>
          <w:ilvl w:val="0"/>
          <w:numId w:val="32"/>
        </w:numPr>
        <w:tabs>
          <w:tab w:val="clear" w:pos="720"/>
          <w:tab w:val="num" w:pos="360"/>
        </w:tabs>
        <w:spacing w:after="0" w:line="240" w:lineRule="auto"/>
        <w:ind w:left="360"/>
        <w:rPr>
          <w:rStyle w:val="Style11pt"/>
          <w:rFonts w:cs="Arial"/>
        </w:rPr>
      </w:pPr>
      <w:r w:rsidRPr="001533C0">
        <w:rPr>
          <w:rStyle w:val="Style11pt"/>
          <w:rFonts w:cs="Arial"/>
        </w:rPr>
        <w:t>Nasal obstruction</w:t>
      </w:r>
    </w:p>
    <w:p w:rsidR="00FF4EFA" w:rsidRPr="001533C0" w:rsidRDefault="00FF4EFA" w:rsidP="00F35F8C">
      <w:pPr>
        <w:numPr>
          <w:ilvl w:val="0"/>
          <w:numId w:val="32"/>
        </w:numPr>
        <w:tabs>
          <w:tab w:val="clear" w:pos="720"/>
          <w:tab w:val="num" w:pos="360"/>
        </w:tabs>
        <w:spacing w:after="0" w:line="240" w:lineRule="auto"/>
        <w:ind w:left="360"/>
        <w:rPr>
          <w:rStyle w:val="Style11pt"/>
          <w:rFonts w:cs="Arial"/>
        </w:rPr>
      </w:pPr>
      <w:r w:rsidRPr="001533C0">
        <w:rPr>
          <w:rStyle w:val="Style11pt"/>
          <w:rFonts w:cs="Arial"/>
        </w:rPr>
        <w:t>Recurrent epistaxis, and cautery</w:t>
      </w:r>
    </w:p>
    <w:p w:rsidR="00FF4EFA" w:rsidRPr="001533C0" w:rsidRDefault="00FF4EFA" w:rsidP="00F35F8C">
      <w:pPr>
        <w:numPr>
          <w:ilvl w:val="0"/>
          <w:numId w:val="32"/>
        </w:numPr>
        <w:tabs>
          <w:tab w:val="clear" w:pos="720"/>
          <w:tab w:val="num" w:pos="360"/>
        </w:tabs>
        <w:spacing w:after="0" w:line="240" w:lineRule="auto"/>
        <w:ind w:left="360"/>
        <w:rPr>
          <w:rStyle w:val="Style11pt"/>
          <w:rFonts w:cs="Arial"/>
        </w:rPr>
      </w:pPr>
      <w:r w:rsidRPr="001533C0">
        <w:rPr>
          <w:rStyle w:val="Style11pt"/>
          <w:rFonts w:cs="Arial"/>
        </w:rPr>
        <w:t>Acute and/or chronic Rhinitis/Rhinorrhoea</w:t>
      </w:r>
    </w:p>
    <w:p w:rsidR="00FF4EFA" w:rsidRPr="001533C0" w:rsidRDefault="00FF4EFA" w:rsidP="00F35F8C">
      <w:pPr>
        <w:numPr>
          <w:ilvl w:val="0"/>
          <w:numId w:val="32"/>
        </w:numPr>
        <w:tabs>
          <w:tab w:val="clear" w:pos="720"/>
          <w:tab w:val="num" w:pos="360"/>
        </w:tabs>
        <w:spacing w:after="0" w:line="240" w:lineRule="auto"/>
        <w:ind w:left="360"/>
        <w:rPr>
          <w:rStyle w:val="Style11pt"/>
          <w:rFonts w:cs="Arial"/>
        </w:rPr>
      </w:pPr>
      <w:r w:rsidRPr="001533C0">
        <w:rPr>
          <w:rStyle w:val="Style11pt"/>
          <w:rFonts w:cs="Arial"/>
        </w:rPr>
        <w:t xml:space="preserve">Check for nasal polypi, </w:t>
      </w:r>
    </w:p>
    <w:p w:rsidR="00FF4EFA" w:rsidRPr="001533C0" w:rsidRDefault="00FF4EFA" w:rsidP="00F35F8C">
      <w:pPr>
        <w:numPr>
          <w:ilvl w:val="0"/>
          <w:numId w:val="34"/>
        </w:numPr>
        <w:tabs>
          <w:tab w:val="clear" w:pos="720"/>
          <w:tab w:val="num" w:pos="360"/>
        </w:tabs>
        <w:spacing w:after="0" w:line="240" w:lineRule="auto"/>
        <w:ind w:left="360"/>
        <w:rPr>
          <w:rStyle w:val="Style11pt"/>
          <w:rFonts w:cs="Arial"/>
        </w:rPr>
      </w:pPr>
      <w:r w:rsidRPr="001533C0">
        <w:rPr>
          <w:rStyle w:val="Style11pt"/>
          <w:rFonts w:cs="Arial"/>
        </w:rPr>
        <w:t xml:space="preserve">Recurrent sore throat </w:t>
      </w:r>
    </w:p>
    <w:p w:rsidR="00FF4EFA" w:rsidRPr="001533C0" w:rsidRDefault="00FF4EFA" w:rsidP="00F35F8C">
      <w:pPr>
        <w:numPr>
          <w:ilvl w:val="0"/>
          <w:numId w:val="33"/>
        </w:numPr>
        <w:tabs>
          <w:tab w:val="clear" w:pos="720"/>
          <w:tab w:val="num" w:pos="360"/>
        </w:tabs>
        <w:spacing w:after="0" w:line="240" w:lineRule="auto"/>
        <w:ind w:left="360"/>
        <w:rPr>
          <w:rStyle w:val="Style11pt"/>
          <w:rFonts w:cs="Arial"/>
        </w:rPr>
      </w:pPr>
      <w:r w:rsidRPr="001533C0">
        <w:rPr>
          <w:rStyle w:val="Style11pt"/>
          <w:rFonts w:cs="Arial"/>
        </w:rPr>
        <w:t>Globus, throat discomfort, or ‘feeling of something in the throat’</w:t>
      </w:r>
    </w:p>
    <w:p w:rsidR="00FF4EFA" w:rsidRPr="001533C0" w:rsidRDefault="00FF4EFA" w:rsidP="00F35F8C">
      <w:pPr>
        <w:numPr>
          <w:ilvl w:val="0"/>
          <w:numId w:val="33"/>
        </w:numPr>
        <w:tabs>
          <w:tab w:val="clear" w:pos="720"/>
          <w:tab w:val="num" w:pos="360"/>
        </w:tabs>
        <w:spacing w:after="0" w:line="240" w:lineRule="auto"/>
        <w:ind w:left="360"/>
        <w:rPr>
          <w:rStyle w:val="Style11pt"/>
          <w:rFonts w:cs="Arial"/>
        </w:rPr>
      </w:pPr>
      <w:r w:rsidRPr="001533C0">
        <w:rPr>
          <w:rStyle w:val="Style11pt"/>
          <w:rFonts w:cs="Arial"/>
        </w:rPr>
        <w:t>Chronic sinusitis</w:t>
      </w:r>
    </w:p>
    <w:p w:rsidR="00FF4EFA" w:rsidRPr="001533C0" w:rsidRDefault="00FF4EFA" w:rsidP="00F35F8C">
      <w:pPr>
        <w:numPr>
          <w:ilvl w:val="0"/>
          <w:numId w:val="33"/>
        </w:numPr>
        <w:tabs>
          <w:tab w:val="clear" w:pos="720"/>
          <w:tab w:val="num" w:pos="360"/>
        </w:tabs>
        <w:spacing w:after="0" w:line="240" w:lineRule="auto"/>
        <w:ind w:left="360"/>
        <w:rPr>
          <w:rStyle w:val="Style11pt"/>
          <w:rFonts w:cs="Arial"/>
        </w:rPr>
      </w:pPr>
      <w:r w:rsidRPr="001533C0">
        <w:rPr>
          <w:rStyle w:val="Style11pt"/>
          <w:rFonts w:cs="Arial"/>
        </w:rPr>
        <w:t>Query Cholesteatoma</w:t>
      </w:r>
    </w:p>
    <w:p w:rsidR="00FF4EFA" w:rsidRPr="001533C0" w:rsidRDefault="00FF4EFA" w:rsidP="00F35F8C">
      <w:pPr>
        <w:numPr>
          <w:ilvl w:val="0"/>
          <w:numId w:val="33"/>
        </w:numPr>
        <w:tabs>
          <w:tab w:val="clear" w:pos="720"/>
          <w:tab w:val="num" w:pos="360"/>
        </w:tabs>
        <w:spacing w:after="0" w:line="240" w:lineRule="auto"/>
        <w:ind w:left="360"/>
        <w:rPr>
          <w:rStyle w:val="Style11pt"/>
          <w:rFonts w:cs="Arial"/>
        </w:rPr>
      </w:pPr>
      <w:r w:rsidRPr="001533C0">
        <w:rPr>
          <w:rStyle w:val="Style11pt"/>
          <w:rFonts w:cs="Arial"/>
        </w:rPr>
        <w:t>Tinnitus (but see exclusion below)</w:t>
      </w:r>
    </w:p>
    <w:p w:rsidR="00FF4EFA" w:rsidRDefault="00FF4EFA" w:rsidP="00FF4EFA">
      <w:pPr>
        <w:spacing w:after="0" w:line="240" w:lineRule="auto"/>
        <w:rPr>
          <w:rStyle w:val="Style11pt"/>
          <w:rFonts w:cs="Arial"/>
        </w:rPr>
      </w:pPr>
    </w:p>
    <w:p w:rsidR="00FF4EFA" w:rsidRPr="00FF4EFA" w:rsidRDefault="00FF4EFA" w:rsidP="00FF4EFA">
      <w:pPr>
        <w:spacing w:after="0" w:line="240" w:lineRule="auto"/>
        <w:rPr>
          <w:rStyle w:val="Style11pt"/>
          <w:rFonts w:cs="Arial"/>
          <w:i/>
        </w:rPr>
      </w:pPr>
    </w:p>
    <w:p w:rsidR="00FF4EFA" w:rsidRDefault="00FF4EFA" w:rsidP="00FF4EFA">
      <w:pPr>
        <w:rPr>
          <w:rStyle w:val="Style11pt"/>
          <w:rFonts w:cs="Arial"/>
        </w:rPr>
      </w:pPr>
      <w:r w:rsidRPr="001533C0">
        <w:rPr>
          <w:rStyle w:val="Style11pt"/>
          <w:rFonts w:cs="Arial"/>
        </w:rPr>
        <w:t>Procedures to be performed include but are not limited to:</w:t>
      </w:r>
    </w:p>
    <w:p w:rsidR="00FF4EFA" w:rsidRPr="001533C0" w:rsidRDefault="00FF4EFA" w:rsidP="00F35F8C">
      <w:pPr>
        <w:numPr>
          <w:ilvl w:val="0"/>
          <w:numId w:val="37"/>
        </w:numPr>
        <w:spacing w:after="0" w:line="240" w:lineRule="auto"/>
        <w:rPr>
          <w:rStyle w:val="Style11pt"/>
          <w:rFonts w:cs="Arial"/>
        </w:rPr>
      </w:pPr>
      <w:r w:rsidRPr="001533C0">
        <w:rPr>
          <w:rStyle w:val="Style11pt"/>
          <w:rFonts w:cs="Arial"/>
        </w:rPr>
        <w:t>Microsuction</w:t>
      </w:r>
    </w:p>
    <w:p w:rsidR="00FF4EFA" w:rsidRPr="001533C0" w:rsidRDefault="00FF4EFA" w:rsidP="00F35F8C">
      <w:pPr>
        <w:numPr>
          <w:ilvl w:val="0"/>
          <w:numId w:val="37"/>
        </w:numPr>
        <w:spacing w:after="0" w:line="240" w:lineRule="auto"/>
        <w:rPr>
          <w:rStyle w:val="Style11pt"/>
          <w:rFonts w:cs="Arial"/>
        </w:rPr>
      </w:pPr>
      <w:r w:rsidRPr="001533C0">
        <w:rPr>
          <w:rStyle w:val="Style11pt"/>
          <w:rFonts w:cs="Arial"/>
        </w:rPr>
        <w:t>Nasal Cautery</w:t>
      </w:r>
    </w:p>
    <w:p w:rsidR="00FF4EFA" w:rsidRPr="001533C0" w:rsidRDefault="00FF4EFA" w:rsidP="00F35F8C">
      <w:pPr>
        <w:numPr>
          <w:ilvl w:val="0"/>
          <w:numId w:val="37"/>
        </w:numPr>
        <w:spacing w:after="0" w:line="240" w:lineRule="auto"/>
        <w:rPr>
          <w:rStyle w:val="Style11pt"/>
          <w:rFonts w:cs="Arial"/>
        </w:rPr>
      </w:pPr>
      <w:r>
        <w:rPr>
          <w:rStyle w:val="Style11pt"/>
          <w:rFonts w:cs="Arial"/>
        </w:rPr>
        <w:t>Nasoe</w:t>
      </w:r>
      <w:r w:rsidRPr="001533C0">
        <w:rPr>
          <w:rStyle w:val="Style11pt"/>
          <w:rFonts w:cs="Arial"/>
        </w:rPr>
        <w:t>ndoscopy</w:t>
      </w:r>
    </w:p>
    <w:p w:rsidR="00FF4EFA" w:rsidRDefault="00FF4EFA" w:rsidP="00F35F8C">
      <w:pPr>
        <w:numPr>
          <w:ilvl w:val="0"/>
          <w:numId w:val="37"/>
        </w:numPr>
        <w:spacing w:after="0" w:line="240" w:lineRule="auto"/>
        <w:rPr>
          <w:rStyle w:val="Style11pt"/>
          <w:rFonts w:cs="Arial"/>
        </w:rPr>
      </w:pPr>
      <w:r w:rsidRPr="00913C19">
        <w:rPr>
          <w:rStyle w:val="Style11pt"/>
          <w:rFonts w:cs="Arial"/>
        </w:rPr>
        <w:t>Hearing screening</w:t>
      </w:r>
    </w:p>
    <w:p w:rsidR="00FF4EFA" w:rsidRPr="00913C19" w:rsidRDefault="00FF4EFA" w:rsidP="00FF4EFA">
      <w:pPr>
        <w:spacing w:after="0" w:line="240" w:lineRule="auto"/>
        <w:ind w:left="720"/>
        <w:rPr>
          <w:rStyle w:val="Style11pt"/>
          <w:rFonts w:cs="Arial"/>
        </w:rPr>
      </w:pPr>
    </w:p>
    <w:p w:rsidR="00D77151" w:rsidRPr="003C34B2" w:rsidRDefault="00D77151" w:rsidP="00D77151">
      <w:pPr>
        <w:pStyle w:val="Heading3"/>
      </w:pPr>
      <w:bookmarkStart w:id="19" w:name="_Toc414882545"/>
      <w:r w:rsidRPr="003C34B2">
        <w:t>4.3 Medicines Management</w:t>
      </w:r>
      <w:r w:rsidR="00097A7A" w:rsidRPr="003C34B2">
        <w:t xml:space="preserve"> </w:t>
      </w:r>
      <w:bookmarkEnd w:id="19"/>
      <w:r w:rsidR="003C34B2">
        <w:t>– under review</w:t>
      </w:r>
    </w:p>
    <w:p w:rsidR="00097A7A" w:rsidRPr="00097A7A" w:rsidRDefault="00097A7A" w:rsidP="00097A7A"/>
    <w:p w:rsidR="00D77151" w:rsidRPr="00C562EE" w:rsidRDefault="00D77151" w:rsidP="00D77151">
      <w:pPr>
        <w:pStyle w:val="Heading3"/>
      </w:pPr>
      <w:bookmarkStart w:id="20" w:name="_Toc414882546"/>
      <w:r>
        <w:t>4</w:t>
      </w:r>
      <w:r w:rsidRPr="00C562EE">
        <w:t>.4 Referrals to Secondary Care</w:t>
      </w:r>
      <w:bookmarkEnd w:id="20"/>
    </w:p>
    <w:p w:rsidR="00D77151" w:rsidRDefault="00D77151" w:rsidP="00D77151">
      <w:pPr>
        <w:pStyle w:val="Subtitle"/>
      </w:pPr>
      <w:r>
        <w:t>4</w:t>
      </w:r>
      <w:r w:rsidRPr="002037DD">
        <w:t>.4.1 Onward Referral for Non-Surgical Care</w:t>
      </w:r>
    </w:p>
    <w:p w:rsidR="00127678" w:rsidRPr="003E6FF6" w:rsidRDefault="00127678" w:rsidP="003746B1">
      <w:pPr>
        <w:spacing w:line="240" w:lineRule="auto"/>
        <w:ind w:right="-340"/>
        <w:jc w:val="both"/>
        <w:rPr>
          <w:rFonts w:cs="Arial"/>
          <w:szCs w:val="20"/>
          <w:lang w:eastAsia="en-GB"/>
        </w:rPr>
      </w:pPr>
      <w:r w:rsidRPr="003E6FF6">
        <w:rPr>
          <w:rFonts w:cs="Arial"/>
          <w:szCs w:val="20"/>
          <w:lang w:eastAsia="en-GB"/>
        </w:rPr>
        <w:t xml:space="preserve">The initial point at which choice is offered is at onward referral from the </w:t>
      </w:r>
      <w:r w:rsidR="00B23E2B">
        <w:rPr>
          <w:rFonts w:cs="Arial"/>
          <w:szCs w:val="20"/>
          <w:lang w:eastAsia="en-GB"/>
        </w:rPr>
        <w:t>Service</w:t>
      </w:r>
      <w:r w:rsidRPr="003E6FF6">
        <w:rPr>
          <w:rFonts w:cs="Arial"/>
          <w:szCs w:val="20"/>
          <w:lang w:eastAsia="en-GB"/>
        </w:rPr>
        <w:t xml:space="preserve">.  The </w:t>
      </w:r>
      <w:r w:rsidR="00B23E2B">
        <w:rPr>
          <w:rFonts w:cs="Arial"/>
          <w:szCs w:val="20"/>
          <w:lang w:eastAsia="en-GB"/>
        </w:rPr>
        <w:t>Service</w:t>
      </w:r>
      <w:r w:rsidRPr="003E6FF6">
        <w:rPr>
          <w:rFonts w:cs="Arial"/>
          <w:szCs w:val="20"/>
          <w:lang w:eastAsia="en-GB"/>
        </w:rPr>
        <w:t xml:space="preserve"> is a multi-disciplinary team approach in which the </w:t>
      </w:r>
      <w:r w:rsidR="00873796">
        <w:rPr>
          <w:rFonts w:cs="Arial"/>
          <w:szCs w:val="20"/>
          <w:lang w:eastAsia="en-GB"/>
        </w:rPr>
        <w:t>GPSI</w:t>
      </w:r>
      <w:r w:rsidR="003C34B2">
        <w:rPr>
          <w:rFonts w:cs="Arial"/>
          <w:szCs w:val="20"/>
          <w:lang w:eastAsia="en-GB"/>
        </w:rPr>
        <w:t xml:space="preserve"> ENT</w:t>
      </w:r>
      <w:r w:rsidR="003746B1">
        <w:rPr>
          <w:rFonts w:cs="Arial"/>
          <w:szCs w:val="20"/>
          <w:lang w:eastAsia="en-GB"/>
        </w:rPr>
        <w:t xml:space="preserve"> is</w:t>
      </w:r>
      <w:r w:rsidRPr="003E6FF6">
        <w:rPr>
          <w:rFonts w:cs="Arial"/>
          <w:szCs w:val="20"/>
          <w:lang w:eastAsia="en-GB"/>
        </w:rPr>
        <w:t xml:space="preserve"> a member of and hold their own clinics. Staff are </w:t>
      </w:r>
      <w:r w:rsidRPr="003E6FF6">
        <w:rPr>
          <w:rFonts w:cs="Arial"/>
          <w:szCs w:val="20"/>
          <w:lang w:eastAsia="en-GB"/>
        </w:rPr>
        <w:lastRenderedPageBreak/>
        <w:t>supervised</w:t>
      </w:r>
      <w:r w:rsidR="003746B1">
        <w:rPr>
          <w:rFonts w:cs="Arial"/>
          <w:szCs w:val="20"/>
          <w:lang w:eastAsia="en-GB"/>
        </w:rPr>
        <w:t xml:space="preserve"> and supported</w:t>
      </w:r>
      <w:r w:rsidRPr="003E6FF6">
        <w:rPr>
          <w:rFonts w:cs="Arial"/>
          <w:szCs w:val="20"/>
          <w:lang w:eastAsia="en-GB"/>
        </w:rPr>
        <w:t xml:space="preserve"> by </w:t>
      </w:r>
      <w:r w:rsidR="003746B1">
        <w:rPr>
          <w:rFonts w:cs="Arial"/>
          <w:szCs w:val="20"/>
          <w:lang w:eastAsia="en-GB"/>
        </w:rPr>
        <w:t xml:space="preserve">a </w:t>
      </w:r>
      <w:r w:rsidRPr="003E6FF6">
        <w:rPr>
          <w:rFonts w:cs="Arial"/>
          <w:szCs w:val="20"/>
          <w:lang w:eastAsia="en-GB"/>
        </w:rPr>
        <w:t xml:space="preserve">Consultant </w:t>
      </w:r>
      <w:r w:rsidR="00B23E2B">
        <w:rPr>
          <w:rFonts w:cs="Arial"/>
          <w:szCs w:val="20"/>
          <w:lang w:eastAsia="en-GB"/>
        </w:rPr>
        <w:t>ENT</w:t>
      </w:r>
      <w:r w:rsidR="003C34B2">
        <w:rPr>
          <w:rFonts w:cs="Arial"/>
          <w:szCs w:val="20"/>
          <w:lang w:eastAsia="en-GB"/>
        </w:rPr>
        <w:t xml:space="preserve"> surgeon</w:t>
      </w:r>
      <w:r w:rsidR="00B23E2B">
        <w:rPr>
          <w:rFonts w:cs="Arial"/>
          <w:szCs w:val="20"/>
          <w:lang w:eastAsia="en-GB"/>
        </w:rPr>
        <w:t xml:space="preserve"> a</w:t>
      </w:r>
      <w:r w:rsidRPr="003E6FF6">
        <w:rPr>
          <w:rFonts w:cs="Arial"/>
          <w:szCs w:val="20"/>
          <w:lang w:eastAsia="en-GB"/>
        </w:rPr>
        <w:t>s per</w:t>
      </w:r>
      <w:r w:rsidR="00F60520">
        <w:rPr>
          <w:rFonts w:cs="Arial"/>
          <w:szCs w:val="20"/>
          <w:lang w:eastAsia="en-GB"/>
        </w:rPr>
        <w:t xml:space="preserve"> the NHS Constitution</w:t>
      </w:r>
      <w:r w:rsidR="003746B1">
        <w:rPr>
          <w:rFonts w:cs="Arial"/>
          <w:szCs w:val="20"/>
          <w:lang w:eastAsia="en-GB"/>
        </w:rPr>
        <w:t>. W</w:t>
      </w:r>
      <w:r w:rsidR="00F60520">
        <w:rPr>
          <w:rFonts w:cs="Arial"/>
          <w:szCs w:val="20"/>
          <w:lang w:eastAsia="en-GB"/>
        </w:rPr>
        <w:t>here a C</w:t>
      </w:r>
      <w:r w:rsidRPr="003E6FF6">
        <w:rPr>
          <w:rFonts w:cs="Arial"/>
          <w:szCs w:val="20"/>
          <w:lang w:eastAsia="en-GB"/>
        </w:rPr>
        <w:t xml:space="preserve">onsultant led outpatient appointment is required, patients should be offered choice at the point of referral and given the necessary information and support to help them make a decision as to where they choose to have their care. </w:t>
      </w:r>
    </w:p>
    <w:p w:rsidR="00127678" w:rsidRPr="00127678" w:rsidRDefault="00127678" w:rsidP="00127678"/>
    <w:p w:rsidR="00D77151" w:rsidRDefault="00D77151" w:rsidP="00D77151">
      <w:pPr>
        <w:pStyle w:val="Heading3"/>
      </w:pPr>
      <w:bookmarkStart w:id="21" w:name="_Toc414882547"/>
      <w:r>
        <w:t>4</w:t>
      </w:r>
      <w:r w:rsidRPr="00C562EE">
        <w:t>.</w:t>
      </w:r>
      <w:r w:rsidR="00B23E2B">
        <w:t>5</w:t>
      </w:r>
      <w:r w:rsidRPr="00C562EE">
        <w:t xml:space="preserve"> Discharge from the Service</w:t>
      </w:r>
      <w:bookmarkEnd w:id="21"/>
    </w:p>
    <w:p w:rsidR="00127678" w:rsidRPr="003E6FF6" w:rsidRDefault="00127678" w:rsidP="00127678">
      <w:pPr>
        <w:spacing w:after="0" w:line="240" w:lineRule="auto"/>
        <w:ind w:left="-624"/>
        <w:jc w:val="both"/>
        <w:rPr>
          <w:rFonts w:eastAsia="Times New Roman"/>
          <w:szCs w:val="20"/>
        </w:rPr>
      </w:pPr>
    </w:p>
    <w:p w:rsidR="00127678" w:rsidRPr="003E6FF6" w:rsidRDefault="00127678" w:rsidP="00873796">
      <w:pPr>
        <w:spacing w:after="0" w:line="240" w:lineRule="auto"/>
        <w:jc w:val="both"/>
        <w:rPr>
          <w:rFonts w:eastAsia="Times New Roman"/>
          <w:szCs w:val="20"/>
        </w:rPr>
      </w:pPr>
      <w:r w:rsidRPr="003E6FF6">
        <w:rPr>
          <w:rFonts w:eastAsia="Times New Roman"/>
          <w:szCs w:val="20"/>
        </w:rPr>
        <w:t xml:space="preserve">Discharge occurs when the community clinician reaches a stage where no further action will take place with the patient’s referral.  The patient is directed back to the referring GP or healthcare professional. </w:t>
      </w:r>
    </w:p>
    <w:p w:rsidR="00127678" w:rsidRPr="003E6FF6" w:rsidRDefault="00127678" w:rsidP="00873796">
      <w:pPr>
        <w:spacing w:after="0" w:line="240" w:lineRule="auto"/>
        <w:jc w:val="both"/>
        <w:rPr>
          <w:rFonts w:eastAsia="Times New Roman"/>
          <w:szCs w:val="20"/>
        </w:rPr>
      </w:pPr>
    </w:p>
    <w:p w:rsidR="00127678" w:rsidRPr="003E6FF6" w:rsidRDefault="00127678" w:rsidP="00873796">
      <w:pPr>
        <w:spacing w:after="0" w:line="240" w:lineRule="auto"/>
        <w:jc w:val="both"/>
        <w:rPr>
          <w:rFonts w:eastAsia="Times New Roman"/>
          <w:szCs w:val="20"/>
        </w:rPr>
      </w:pPr>
      <w:r w:rsidRPr="003E6FF6">
        <w:rPr>
          <w:rFonts w:eastAsia="Times New Roman"/>
          <w:szCs w:val="20"/>
        </w:rPr>
        <w:t xml:space="preserve">At the point of discharge from the Service, the Service will be required to produce an electronic discharge document that will contain an account of the assessment, diagnostic tests, treatment plan, treatments carried out and outcomes from the service.  It must also include any medications started, stopped or adjusted with the reason on the discharge summary. </w:t>
      </w:r>
    </w:p>
    <w:p w:rsidR="00127678" w:rsidRPr="003E6FF6" w:rsidRDefault="00127678" w:rsidP="00873796">
      <w:pPr>
        <w:spacing w:after="0" w:line="240" w:lineRule="auto"/>
        <w:jc w:val="both"/>
        <w:rPr>
          <w:rFonts w:eastAsia="Times New Roman"/>
          <w:szCs w:val="20"/>
        </w:rPr>
      </w:pPr>
    </w:p>
    <w:p w:rsidR="00127678" w:rsidRPr="003E6FF6" w:rsidRDefault="00127678" w:rsidP="00873796">
      <w:pPr>
        <w:spacing w:after="0" w:line="240" w:lineRule="auto"/>
        <w:jc w:val="both"/>
        <w:rPr>
          <w:rFonts w:eastAsia="Times New Roman"/>
          <w:szCs w:val="20"/>
        </w:rPr>
      </w:pPr>
      <w:r w:rsidRPr="003E6FF6">
        <w:rPr>
          <w:rFonts w:cs="Arial"/>
          <w:szCs w:val="20"/>
        </w:rPr>
        <w:t>The aim is that the referring clinician should receive this information</w:t>
      </w:r>
      <w:r w:rsidR="003746B1">
        <w:rPr>
          <w:rFonts w:cs="Arial"/>
          <w:szCs w:val="20"/>
        </w:rPr>
        <w:t xml:space="preserve"> electronically</w:t>
      </w:r>
      <w:r w:rsidRPr="003E6FF6">
        <w:rPr>
          <w:rFonts w:cs="Arial"/>
          <w:szCs w:val="20"/>
        </w:rPr>
        <w:t xml:space="preserve"> not later than 24 hours (National Standard), </w:t>
      </w:r>
      <w:r w:rsidR="003746B1">
        <w:rPr>
          <w:rFonts w:cs="Arial"/>
          <w:szCs w:val="20"/>
        </w:rPr>
        <w:t>after</w:t>
      </w:r>
      <w:r w:rsidRPr="003E6FF6">
        <w:rPr>
          <w:rFonts w:cs="Arial"/>
          <w:szCs w:val="20"/>
        </w:rPr>
        <w:t xml:space="preserve"> the patient being discharged from the </w:t>
      </w:r>
      <w:r w:rsidR="00024E29">
        <w:rPr>
          <w:rFonts w:cs="Arial"/>
          <w:szCs w:val="20"/>
        </w:rPr>
        <w:t>S</w:t>
      </w:r>
      <w:r w:rsidRPr="003E6FF6">
        <w:rPr>
          <w:rFonts w:cs="Arial"/>
          <w:szCs w:val="20"/>
        </w:rPr>
        <w:t>ervice. It would include an on-going supported self-management plan (personalised care plan) that has been agreed with the patient</w:t>
      </w:r>
      <w:r w:rsidRPr="003E6FF6">
        <w:rPr>
          <w:rFonts w:eastAsia="Times New Roman"/>
          <w:szCs w:val="20"/>
        </w:rPr>
        <w:t>. This will describe the patient’s on going self-management plan and a copy will be held by both the patient and the GP. An SOS system to enable a patient access back by telephone initially into the service within a six month period will also be provided for the same condition. This will support patients, including managing flares of their condition, thus reducing attendance in Emergency departments. The Service will develop a liaison with return to work support schemes locally such as work choice and work programme to support patients to return to work or develop new job skills as appropriate</w:t>
      </w:r>
      <w:r>
        <w:rPr>
          <w:rFonts w:eastAsia="Times New Roman"/>
          <w:szCs w:val="20"/>
        </w:rPr>
        <w:t>, accessed via Health and Wellbeing Services</w:t>
      </w:r>
      <w:r w:rsidRPr="003E6FF6">
        <w:rPr>
          <w:rFonts w:eastAsia="Times New Roman"/>
          <w:szCs w:val="20"/>
        </w:rPr>
        <w:t>.</w:t>
      </w:r>
    </w:p>
    <w:p w:rsidR="00127678" w:rsidRPr="003E6FF6" w:rsidRDefault="00127678" w:rsidP="00873796">
      <w:pPr>
        <w:spacing w:after="0" w:line="240" w:lineRule="auto"/>
        <w:jc w:val="both"/>
        <w:rPr>
          <w:rFonts w:eastAsia="Times New Roman"/>
          <w:szCs w:val="20"/>
        </w:rPr>
      </w:pPr>
    </w:p>
    <w:p w:rsidR="00127678" w:rsidRPr="003E6FF6" w:rsidRDefault="00127678" w:rsidP="00873796">
      <w:pPr>
        <w:spacing w:after="0" w:line="240" w:lineRule="auto"/>
        <w:ind w:right="-340"/>
        <w:jc w:val="both"/>
        <w:rPr>
          <w:rFonts w:cs="Arial"/>
          <w:color w:val="000000"/>
          <w:szCs w:val="20"/>
        </w:rPr>
      </w:pPr>
      <w:r w:rsidRPr="003E6FF6">
        <w:rPr>
          <w:rFonts w:cs="Arial"/>
          <w:color w:val="000000"/>
          <w:szCs w:val="20"/>
        </w:rPr>
        <w:t>The report must be documented in the patients records, communicated to the patient in a legible and clear format, the GP and to relatives/carers as appropriate, and should form part of any onward referral.</w:t>
      </w:r>
    </w:p>
    <w:p w:rsidR="00D82705" w:rsidRDefault="00D82705" w:rsidP="00873796">
      <w:pPr>
        <w:spacing w:after="0" w:line="240" w:lineRule="auto"/>
        <w:ind w:right="-340"/>
        <w:jc w:val="both"/>
        <w:rPr>
          <w:rFonts w:eastAsia="MS Mincho" w:cs="Arial"/>
          <w:szCs w:val="20"/>
          <w:lang w:val="en-US" w:eastAsia="ja-JP"/>
        </w:rPr>
      </w:pPr>
    </w:p>
    <w:p w:rsidR="00127678" w:rsidRPr="003E6FF6" w:rsidRDefault="00127678" w:rsidP="00873796">
      <w:pPr>
        <w:spacing w:after="0" w:line="240" w:lineRule="auto"/>
        <w:ind w:right="-340"/>
        <w:jc w:val="both"/>
        <w:rPr>
          <w:rFonts w:eastAsia="MS Mincho" w:cs="Arial"/>
          <w:szCs w:val="20"/>
          <w:lang w:val="en-US" w:eastAsia="ja-JP"/>
        </w:rPr>
      </w:pPr>
      <w:r w:rsidRPr="003E6FF6">
        <w:rPr>
          <w:rFonts w:eastAsia="MS Mincho" w:cs="Arial"/>
          <w:szCs w:val="20"/>
          <w:lang w:val="en-US" w:eastAsia="ja-JP"/>
        </w:rPr>
        <w:t>For patients who are suitable for primary care management the service will refer back to GPs with a management plan. The service will also be available for other support i.e. telephone advice, to support the GP.</w:t>
      </w:r>
      <w:r>
        <w:rPr>
          <w:rFonts w:eastAsia="MS Mincho" w:cs="Arial"/>
          <w:szCs w:val="20"/>
          <w:lang w:val="en-US" w:eastAsia="ja-JP"/>
        </w:rPr>
        <w:t xml:space="preserve"> The discharge summary will provide GPs and other healthcare professionals advice on referring back in to the service if required. </w:t>
      </w:r>
    </w:p>
    <w:p w:rsidR="00127678" w:rsidRPr="00127678" w:rsidRDefault="00127678" w:rsidP="00127678"/>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427"/>
        </w:trPr>
        <w:tc>
          <w:tcPr>
            <w:tcW w:w="9242" w:type="dxa"/>
            <w:shd w:val="clear" w:color="auto" w:fill="548DD4" w:themeFill="text2" w:themeFillTint="99"/>
          </w:tcPr>
          <w:p w:rsidR="00D77151" w:rsidRPr="00186AEC" w:rsidRDefault="00D77151" w:rsidP="002407EF">
            <w:pPr>
              <w:pStyle w:val="Heading1"/>
              <w:spacing w:before="0"/>
            </w:pPr>
            <w:bookmarkStart w:id="22" w:name="_Toc414882548"/>
            <w:r>
              <w:rPr>
                <w:color w:val="FFFFFF" w:themeColor="background1"/>
              </w:rPr>
              <w:t>5</w:t>
            </w:r>
            <w:r w:rsidRPr="00186AEC">
              <w:rPr>
                <w:color w:val="FFFFFF" w:themeColor="background1"/>
              </w:rPr>
              <w:t>.0</w:t>
            </w:r>
            <w:r w:rsidRPr="00186AEC">
              <w:rPr>
                <w:color w:val="FFFFFF" w:themeColor="background1"/>
              </w:rPr>
              <w:tab/>
              <w:t>Interdependence with other services/providers</w:t>
            </w:r>
            <w:bookmarkEnd w:id="22"/>
            <w:r w:rsidRPr="00186AEC">
              <w:rPr>
                <w:color w:val="FFFFFF" w:themeColor="background1"/>
              </w:rPr>
              <w:t xml:space="preserve"> </w:t>
            </w:r>
          </w:p>
        </w:tc>
      </w:tr>
    </w:tbl>
    <w:p w:rsidR="00D77151" w:rsidRDefault="00D77151" w:rsidP="00D77151">
      <w:pPr>
        <w:pStyle w:val="Heading3"/>
      </w:pPr>
      <w:bookmarkStart w:id="23" w:name="_Toc414882549"/>
      <w:r>
        <w:t>5</w:t>
      </w:r>
      <w:r w:rsidRPr="00C562EE">
        <w:t xml:space="preserve">.1 </w:t>
      </w:r>
      <w:r w:rsidR="00B23E2B">
        <w:t>Community</w:t>
      </w:r>
      <w:bookmarkEnd w:id="23"/>
      <w:r w:rsidR="00B23E2B">
        <w:t xml:space="preserve"> </w:t>
      </w:r>
    </w:p>
    <w:p w:rsidR="00D8154F" w:rsidRPr="003E6FF6" w:rsidRDefault="00D8154F" w:rsidP="00D8154F">
      <w:pPr>
        <w:spacing w:after="0"/>
        <w:rPr>
          <w:rFonts w:cs="Arial"/>
          <w:color w:val="000000"/>
          <w:szCs w:val="20"/>
        </w:rPr>
      </w:pPr>
      <w:r w:rsidRPr="003E6FF6">
        <w:rPr>
          <w:rFonts w:cs="Arial"/>
          <w:b/>
          <w:color w:val="0070C0"/>
          <w:szCs w:val="20"/>
        </w:rPr>
        <w:t>5.1.1.Interdependence</w:t>
      </w:r>
      <w:r w:rsidRPr="003E6FF6">
        <w:rPr>
          <w:rFonts w:cs="Arial"/>
          <w:color w:val="0070C0"/>
          <w:szCs w:val="20"/>
        </w:rPr>
        <w:t xml:space="preserve"> </w:t>
      </w:r>
    </w:p>
    <w:p w:rsidR="00D8154F" w:rsidRPr="003E6FF6" w:rsidRDefault="00D8154F" w:rsidP="00D8154F">
      <w:pPr>
        <w:spacing w:after="0"/>
        <w:rPr>
          <w:rFonts w:cs="Arial"/>
          <w:color w:val="000000"/>
          <w:szCs w:val="20"/>
        </w:rPr>
      </w:pPr>
    </w:p>
    <w:p w:rsidR="00D8154F" w:rsidRPr="003E6FF6" w:rsidRDefault="00D8154F" w:rsidP="00D8154F">
      <w:pPr>
        <w:spacing w:after="0"/>
        <w:rPr>
          <w:rFonts w:cs="Arial"/>
          <w:color w:val="000000"/>
          <w:szCs w:val="20"/>
        </w:rPr>
      </w:pPr>
      <w:r w:rsidRPr="003E6FF6">
        <w:rPr>
          <w:rFonts w:cs="Arial"/>
          <w:color w:val="000000"/>
          <w:szCs w:val="20"/>
        </w:rPr>
        <w:t>The majority of patients will be referred by and then returned to the care of their usual GP. A small number of patients may have serious pathology identified and they will require onward referral to secondary care.</w:t>
      </w:r>
    </w:p>
    <w:p w:rsidR="00D8154F" w:rsidRPr="003E6FF6" w:rsidRDefault="00D8154F" w:rsidP="00D8154F">
      <w:pPr>
        <w:spacing w:after="0"/>
        <w:rPr>
          <w:rFonts w:cs="Arial"/>
          <w:color w:val="000000"/>
          <w:szCs w:val="20"/>
        </w:rPr>
      </w:pPr>
      <w:r w:rsidRPr="003E6FF6">
        <w:rPr>
          <w:rFonts w:cs="Arial"/>
          <w:color w:val="000000"/>
          <w:szCs w:val="20"/>
        </w:rPr>
        <w:t>Key interdependencies include:</w:t>
      </w:r>
    </w:p>
    <w:p w:rsidR="00D8154F" w:rsidRPr="003E6FF6" w:rsidRDefault="00D8154F" w:rsidP="00F35F8C">
      <w:pPr>
        <w:pStyle w:val="ListParagraph"/>
        <w:numPr>
          <w:ilvl w:val="0"/>
          <w:numId w:val="9"/>
        </w:numPr>
        <w:spacing w:after="0"/>
        <w:rPr>
          <w:rFonts w:cs="Arial"/>
          <w:color w:val="000000"/>
          <w:szCs w:val="20"/>
        </w:rPr>
      </w:pPr>
      <w:r w:rsidRPr="003E6FF6">
        <w:rPr>
          <w:rFonts w:cs="Arial"/>
          <w:color w:val="000000"/>
          <w:szCs w:val="20"/>
        </w:rPr>
        <w:t>GPs</w:t>
      </w:r>
    </w:p>
    <w:p w:rsidR="00D8154F" w:rsidRPr="00EE1EB4" w:rsidRDefault="00D8154F" w:rsidP="00F35F8C">
      <w:pPr>
        <w:pStyle w:val="ListParagraph"/>
        <w:numPr>
          <w:ilvl w:val="0"/>
          <w:numId w:val="9"/>
        </w:numPr>
        <w:spacing w:after="0"/>
        <w:rPr>
          <w:rFonts w:cs="Arial"/>
          <w:color w:val="000000"/>
          <w:szCs w:val="20"/>
        </w:rPr>
      </w:pPr>
      <w:r w:rsidRPr="003E6FF6">
        <w:rPr>
          <w:rFonts w:cs="Arial"/>
          <w:color w:val="000000"/>
          <w:szCs w:val="20"/>
        </w:rPr>
        <w:t>Secondary Care</w:t>
      </w:r>
    </w:p>
    <w:p w:rsidR="00B23E2B" w:rsidRDefault="00B23E2B" w:rsidP="00F35F8C">
      <w:pPr>
        <w:pStyle w:val="ListParagraph"/>
        <w:numPr>
          <w:ilvl w:val="0"/>
          <w:numId w:val="9"/>
        </w:numPr>
        <w:spacing w:after="0"/>
        <w:rPr>
          <w:rFonts w:cs="Arial"/>
          <w:color w:val="000000"/>
          <w:szCs w:val="20"/>
        </w:rPr>
      </w:pPr>
      <w:r>
        <w:rPr>
          <w:rFonts w:cs="Arial"/>
          <w:color w:val="000000"/>
          <w:szCs w:val="20"/>
        </w:rPr>
        <w:t>Children’s Hearing Services</w:t>
      </w:r>
    </w:p>
    <w:p w:rsidR="00B23E2B" w:rsidRDefault="00B23E2B" w:rsidP="00F35F8C">
      <w:pPr>
        <w:pStyle w:val="ListParagraph"/>
        <w:numPr>
          <w:ilvl w:val="0"/>
          <w:numId w:val="9"/>
        </w:numPr>
        <w:spacing w:after="0"/>
        <w:rPr>
          <w:rFonts w:cs="Arial"/>
          <w:color w:val="000000"/>
          <w:szCs w:val="20"/>
        </w:rPr>
      </w:pPr>
      <w:r>
        <w:rPr>
          <w:rFonts w:cs="Arial"/>
          <w:color w:val="000000"/>
          <w:szCs w:val="20"/>
        </w:rPr>
        <w:t>Paediatrics</w:t>
      </w:r>
    </w:p>
    <w:p w:rsidR="00B23E2B" w:rsidRDefault="00B23E2B" w:rsidP="00F35F8C">
      <w:pPr>
        <w:pStyle w:val="ListParagraph"/>
        <w:numPr>
          <w:ilvl w:val="0"/>
          <w:numId w:val="9"/>
        </w:numPr>
        <w:spacing w:after="0"/>
        <w:rPr>
          <w:rFonts w:cs="Arial"/>
          <w:color w:val="000000"/>
          <w:szCs w:val="20"/>
        </w:rPr>
      </w:pPr>
      <w:r>
        <w:rPr>
          <w:rFonts w:cs="Arial"/>
          <w:color w:val="000000"/>
          <w:szCs w:val="20"/>
        </w:rPr>
        <w:t>Care of the elderly</w:t>
      </w:r>
    </w:p>
    <w:p w:rsidR="00B23E2B" w:rsidRDefault="00B23E2B" w:rsidP="00F35F8C">
      <w:pPr>
        <w:pStyle w:val="ListParagraph"/>
        <w:numPr>
          <w:ilvl w:val="0"/>
          <w:numId w:val="9"/>
        </w:numPr>
        <w:spacing w:after="0"/>
        <w:rPr>
          <w:rFonts w:cs="Arial"/>
          <w:color w:val="000000"/>
          <w:szCs w:val="20"/>
        </w:rPr>
      </w:pPr>
      <w:r>
        <w:rPr>
          <w:rFonts w:cs="Arial"/>
          <w:color w:val="000000"/>
          <w:szCs w:val="20"/>
        </w:rPr>
        <w:t>Falls Service</w:t>
      </w:r>
    </w:p>
    <w:p w:rsidR="00B23E2B" w:rsidRPr="003E6FF6" w:rsidRDefault="00B23E2B" w:rsidP="00F35F8C">
      <w:pPr>
        <w:pStyle w:val="ListParagraph"/>
        <w:numPr>
          <w:ilvl w:val="0"/>
          <w:numId w:val="9"/>
        </w:numPr>
        <w:spacing w:after="0"/>
        <w:rPr>
          <w:rFonts w:cs="Arial"/>
          <w:color w:val="000000"/>
          <w:szCs w:val="20"/>
        </w:rPr>
      </w:pPr>
      <w:r>
        <w:rPr>
          <w:rFonts w:cs="Arial"/>
          <w:color w:val="000000"/>
          <w:szCs w:val="20"/>
        </w:rPr>
        <w:t>Audiology and Audiological medicine</w:t>
      </w:r>
    </w:p>
    <w:p w:rsidR="00D8154F" w:rsidRPr="00D37192" w:rsidRDefault="00D8154F" w:rsidP="00F35F8C">
      <w:pPr>
        <w:pStyle w:val="ListParagraph"/>
        <w:numPr>
          <w:ilvl w:val="0"/>
          <w:numId w:val="9"/>
        </w:numPr>
        <w:spacing w:after="0"/>
        <w:rPr>
          <w:rFonts w:cs="Arial"/>
          <w:color w:val="000000"/>
          <w:szCs w:val="20"/>
        </w:rPr>
      </w:pPr>
      <w:r>
        <w:rPr>
          <w:rFonts w:cs="Arial"/>
          <w:color w:val="000000"/>
          <w:szCs w:val="20"/>
        </w:rPr>
        <w:t>South East Coast Cancer Strategic Clinical Network</w:t>
      </w:r>
    </w:p>
    <w:p w:rsidR="00D8154F" w:rsidRPr="00D37192" w:rsidRDefault="00D8154F" w:rsidP="00D8154F">
      <w:pPr>
        <w:spacing w:after="0"/>
        <w:rPr>
          <w:rFonts w:cs="Arial"/>
          <w:color w:val="000000"/>
          <w:szCs w:val="20"/>
        </w:rPr>
      </w:pPr>
    </w:p>
    <w:p w:rsidR="00D8154F" w:rsidRPr="003C6998" w:rsidRDefault="00D8154F" w:rsidP="003C6998">
      <w:pPr>
        <w:pStyle w:val="BodyText2"/>
        <w:jc w:val="left"/>
        <w:rPr>
          <w:rFonts w:ascii="Arial" w:hAnsi="Arial" w:cs="Arial"/>
          <w:color w:val="000000"/>
          <w:sz w:val="20"/>
          <w:szCs w:val="20"/>
        </w:rPr>
      </w:pPr>
      <w:r w:rsidRPr="003C6998">
        <w:rPr>
          <w:rFonts w:ascii="Arial" w:hAnsi="Arial" w:cs="Arial"/>
          <w:sz w:val="20"/>
          <w:szCs w:val="20"/>
        </w:rPr>
        <w:t>It is expected that there will be robust relationships with the acute consultants to support integration and streamline the pathway.</w:t>
      </w:r>
      <w:r w:rsidR="00B23E2B" w:rsidRPr="003C6998">
        <w:rPr>
          <w:rFonts w:ascii="Arial" w:hAnsi="Arial" w:cs="Arial"/>
          <w:sz w:val="20"/>
          <w:szCs w:val="20"/>
        </w:rPr>
        <w:t xml:space="preserve"> </w:t>
      </w:r>
    </w:p>
    <w:p w:rsidR="00D8154F" w:rsidRPr="003C6998" w:rsidRDefault="00D8154F" w:rsidP="00D8154F">
      <w:pPr>
        <w:spacing w:after="0"/>
        <w:ind w:left="-624"/>
        <w:rPr>
          <w:rFonts w:cs="Arial"/>
          <w:b/>
          <w:bCs/>
          <w:color w:val="00B150"/>
          <w:szCs w:val="20"/>
          <w:highlight w:val="yellow"/>
        </w:rPr>
      </w:pPr>
    </w:p>
    <w:p w:rsidR="00D8154F" w:rsidRPr="007171CF" w:rsidRDefault="00D8154F" w:rsidP="00D77151"/>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24" w:name="_Toc414882550"/>
            <w:r>
              <w:rPr>
                <w:color w:val="FFFFFF" w:themeColor="background1"/>
              </w:rPr>
              <w:t>6</w:t>
            </w:r>
            <w:r w:rsidRPr="003225F3">
              <w:rPr>
                <w:color w:val="FFFFFF" w:themeColor="background1"/>
              </w:rPr>
              <w:t>.0</w:t>
            </w:r>
            <w:r w:rsidRPr="003225F3">
              <w:rPr>
                <w:color w:val="FFFFFF" w:themeColor="background1"/>
              </w:rPr>
              <w:tab/>
              <w:t>Quality</w:t>
            </w:r>
            <w:bookmarkEnd w:id="24"/>
            <w:r w:rsidRPr="003225F3">
              <w:rPr>
                <w:color w:val="FFFFFF" w:themeColor="background1"/>
              </w:rPr>
              <w:t xml:space="preserve"> </w:t>
            </w:r>
          </w:p>
        </w:tc>
      </w:tr>
    </w:tbl>
    <w:p w:rsidR="00511BC5" w:rsidRPr="00C562EE" w:rsidRDefault="00511BC5" w:rsidP="00511BC5">
      <w:pPr>
        <w:pStyle w:val="Heading3"/>
      </w:pPr>
      <w:bookmarkStart w:id="25" w:name="_Toc414882551"/>
      <w:r>
        <w:t>6</w:t>
      </w:r>
      <w:r w:rsidRPr="00C562EE">
        <w:t>.1 Patient and Carer Information</w:t>
      </w:r>
      <w:bookmarkEnd w:id="25"/>
    </w:p>
    <w:p w:rsidR="00511BC5" w:rsidRPr="003E6FF6" w:rsidRDefault="00511BC5" w:rsidP="00511BC5">
      <w:pPr>
        <w:spacing w:after="0" w:line="240" w:lineRule="auto"/>
        <w:jc w:val="both"/>
        <w:rPr>
          <w:rFonts w:eastAsia="Times New Roman"/>
          <w:szCs w:val="20"/>
        </w:rPr>
      </w:pPr>
      <w:r w:rsidRPr="003E6FF6">
        <w:rPr>
          <w:rFonts w:eastAsia="Times New Roman"/>
          <w:szCs w:val="20"/>
        </w:rPr>
        <w:t xml:space="preserve">The </w:t>
      </w:r>
      <w:r w:rsidR="00B23E2B">
        <w:rPr>
          <w:rFonts w:eastAsia="Times New Roman"/>
          <w:szCs w:val="20"/>
        </w:rPr>
        <w:t>Service</w:t>
      </w:r>
      <w:r>
        <w:rPr>
          <w:rFonts w:eastAsia="Times New Roman"/>
          <w:szCs w:val="20"/>
        </w:rPr>
        <w:t xml:space="preserve"> </w:t>
      </w:r>
      <w:r w:rsidRPr="003E6FF6">
        <w:rPr>
          <w:rFonts w:eastAsia="Times New Roman"/>
          <w:szCs w:val="20"/>
        </w:rPr>
        <w:t xml:space="preserve">will provide clear and detailed information to patients to support an informed patient pathway. A variety of current and innovative methods of conveying patient information will be developed that GPs and health professions within the </w:t>
      </w:r>
      <w:r w:rsidR="00B23E2B">
        <w:rPr>
          <w:rFonts w:eastAsia="Times New Roman"/>
          <w:szCs w:val="20"/>
        </w:rPr>
        <w:t>Service</w:t>
      </w:r>
      <w:r w:rsidRPr="003E6FF6">
        <w:rPr>
          <w:rFonts w:eastAsia="Times New Roman"/>
          <w:szCs w:val="20"/>
        </w:rPr>
        <w:t xml:space="preserve"> can share with patients in primary care, e.g. patient leaflets and websites.  Methods will be available in a format that takes into account patient needs, e.g. in different languages.</w:t>
      </w:r>
    </w:p>
    <w:p w:rsidR="00511BC5" w:rsidRPr="003E6FF6" w:rsidRDefault="00511BC5" w:rsidP="00511BC5">
      <w:pPr>
        <w:spacing w:after="0" w:line="240" w:lineRule="auto"/>
        <w:jc w:val="both"/>
        <w:rPr>
          <w:rFonts w:eastAsia="Times New Roman"/>
          <w:szCs w:val="20"/>
        </w:rPr>
      </w:pPr>
    </w:p>
    <w:p w:rsidR="00511BC5" w:rsidRPr="003E6FF6" w:rsidRDefault="00511BC5" w:rsidP="00511BC5">
      <w:pPr>
        <w:spacing w:after="0" w:line="240" w:lineRule="auto"/>
        <w:jc w:val="both"/>
        <w:rPr>
          <w:rFonts w:eastAsia="Times New Roman"/>
          <w:szCs w:val="20"/>
        </w:rPr>
      </w:pPr>
      <w:r w:rsidRPr="003E6FF6">
        <w:rPr>
          <w:rFonts w:eastAsia="Times New Roman"/>
          <w:szCs w:val="20"/>
        </w:rPr>
        <w:t xml:space="preserve">Patients will be sent full personalised information prior to any appointment to maximise the health gain obtained at any appointment. This would include a time, date, place and directions or the ability to arrange this at the patient’s convenience. </w:t>
      </w:r>
    </w:p>
    <w:p w:rsidR="00511BC5" w:rsidRPr="003E6FF6" w:rsidRDefault="00511BC5" w:rsidP="00511BC5">
      <w:pPr>
        <w:spacing w:after="0" w:line="240" w:lineRule="auto"/>
        <w:jc w:val="both"/>
        <w:rPr>
          <w:rFonts w:eastAsia="Times New Roman"/>
          <w:szCs w:val="20"/>
        </w:rPr>
      </w:pPr>
    </w:p>
    <w:p w:rsidR="00511BC5" w:rsidRPr="003E6FF6" w:rsidRDefault="00511BC5" w:rsidP="00511BC5">
      <w:pPr>
        <w:spacing w:after="0" w:line="240" w:lineRule="auto"/>
        <w:jc w:val="both"/>
        <w:rPr>
          <w:rFonts w:eastAsia="Times New Roman"/>
          <w:szCs w:val="20"/>
        </w:rPr>
      </w:pPr>
      <w:r w:rsidRPr="003E6FF6">
        <w:rPr>
          <w:rFonts w:eastAsia="Times New Roman"/>
          <w:szCs w:val="20"/>
        </w:rPr>
        <w:t xml:space="preserve">The information should also include the role of the person or persons that the patient will meet, any questions that they might be asked, what might happen at the appointment and so on. The </w:t>
      </w:r>
      <w:r w:rsidR="00B23E2B">
        <w:rPr>
          <w:rFonts w:eastAsia="Times New Roman"/>
          <w:szCs w:val="20"/>
        </w:rPr>
        <w:t>Service</w:t>
      </w:r>
      <w:r w:rsidRPr="003E6FF6">
        <w:rPr>
          <w:rFonts w:eastAsia="Times New Roman"/>
          <w:szCs w:val="20"/>
        </w:rPr>
        <w:t xml:space="preserve"> should also provide information about the service and send reminders of appointment via email or SMS to reduce incidence of DNAs.</w:t>
      </w:r>
    </w:p>
    <w:p w:rsidR="00511BC5" w:rsidRPr="001F3250" w:rsidRDefault="00511BC5" w:rsidP="00511BC5">
      <w:pPr>
        <w:spacing w:after="0" w:line="240" w:lineRule="auto"/>
        <w:jc w:val="both"/>
        <w:rPr>
          <w:rFonts w:eastAsia="Times New Roman"/>
          <w:szCs w:val="20"/>
          <w:highlight w:val="yellow"/>
        </w:rPr>
      </w:pPr>
    </w:p>
    <w:p w:rsidR="00511BC5" w:rsidRPr="003E6FF6" w:rsidRDefault="00511BC5" w:rsidP="00511BC5">
      <w:pPr>
        <w:spacing w:after="0" w:line="240" w:lineRule="auto"/>
        <w:jc w:val="both"/>
        <w:rPr>
          <w:rFonts w:eastAsia="Times New Roman"/>
          <w:szCs w:val="20"/>
        </w:rPr>
      </w:pPr>
      <w:r w:rsidRPr="003E6FF6">
        <w:rPr>
          <w:rFonts w:eastAsia="Times New Roman"/>
          <w:szCs w:val="20"/>
        </w:rPr>
        <w:t>Where patients express a positive preference, communications should be by e-mail.</w:t>
      </w:r>
      <w:r w:rsidR="006F2272">
        <w:rPr>
          <w:rFonts w:eastAsia="Times New Roman"/>
          <w:szCs w:val="20"/>
        </w:rPr>
        <w:t xml:space="preserve"> </w:t>
      </w:r>
      <w:r w:rsidRPr="003E6FF6">
        <w:rPr>
          <w:rFonts w:eastAsia="Times New Roman"/>
          <w:szCs w:val="20"/>
        </w:rPr>
        <w:t xml:space="preserve">The </w:t>
      </w:r>
      <w:r w:rsidR="00B23E2B">
        <w:rPr>
          <w:rFonts w:eastAsia="Times New Roman"/>
          <w:szCs w:val="20"/>
        </w:rPr>
        <w:t>Service</w:t>
      </w:r>
      <w:r w:rsidRPr="003E6FF6">
        <w:rPr>
          <w:rFonts w:eastAsia="Times New Roman"/>
          <w:szCs w:val="20"/>
        </w:rPr>
        <w:t xml:space="preserve"> should use innovative ways of providing information and resources for patients and their carers, for example use of information websites and links to patient organisations and support groups as well as Carer Liaison Services.</w:t>
      </w:r>
      <w:r w:rsidR="00B23E2B">
        <w:rPr>
          <w:rFonts w:eastAsia="Times New Roman"/>
          <w:szCs w:val="20"/>
        </w:rPr>
        <w:t xml:space="preserve"> </w:t>
      </w:r>
      <w:r w:rsidRPr="003E6FF6">
        <w:rPr>
          <w:rFonts w:eastAsia="Times New Roman"/>
          <w:szCs w:val="20"/>
        </w:rPr>
        <w:t>At all stages of the pathway, patients will be given/sent copies of letters and reports with covering explanation if needed.</w:t>
      </w:r>
    </w:p>
    <w:p w:rsidR="00511BC5" w:rsidRPr="003E6FF6" w:rsidRDefault="00511BC5" w:rsidP="00511BC5">
      <w:pPr>
        <w:spacing w:after="0" w:line="240" w:lineRule="auto"/>
        <w:jc w:val="both"/>
        <w:rPr>
          <w:rFonts w:eastAsia="Times New Roman"/>
          <w:szCs w:val="20"/>
        </w:rPr>
      </w:pPr>
    </w:p>
    <w:p w:rsidR="00511BC5" w:rsidRDefault="00511BC5" w:rsidP="00511BC5">
      <w:pPr>
        <w:spacing w:after="0" w:line="240" w:lineRule="auto"/>
        <w:jc w:val="both"/>
        <w:rPr>
          <w:rFonts w:eastAsia="Times New Roman"/>
          <w:szCs w:val="20"/>
        </w:rPr>
      </w:pPr>
      <w:r w:rsidRPr="003E6FF6">
        <w:rPr>
          <w:rFonts w:eastAsia="Times New Roman"/>
          <w:szCs w:val="20"/>
        </w:rPr>
        <w:t xml:space="preserve">Shared Decision Making is an essential requirement of the </w:t>
      </w:r>
      <w:r w:rsidR="00B23E2B">
        <w:rPr>
          <w:rFonts w:eastAsia="Times New Roman"/>
          <w:szCs w:val="20"/>
        </w:rPr>
        <w:t>Service</w:t>
      </w:r>
      <w:r w:rsidRPr="003E6FF6">
        <w:rPr>
          <w:rFonts w:eastAsia="Times New Roman"/>
          <w:szCs w:val="20"/>
        </w:rPr>
        <w:t xml:space="preserve">. The National Patients Decision Aids should be used to assist, if available, with this process so that all patients are aware of the management options available to them and the advantages and disadvantages of each option. </w:t>
      </w:r>
    </w:p>
    <w:p w:rsidR="006F2272" w:rsidRPr="001F3250" w:rsidRDefault="006F2272" w:rsidP="00511BC5">
      <w:pPr>
        <w:spacing w:after="0" w:line="240" w:lineRule="auto"/>
        <w:jc w:val="both"/>
        <w:rPr>
          <w:rFonts w:eastAsia="Times New Roman"/>
          <w:szCs w:val="20"/>
          <w:highlight w:val="yellow"/>
        </w:rPr>
      </w:pPr>
    </w:p>
    <w:p w:rsidR="00511BC5" w:rsidRPr="00C562EE" w:rsidRDefault="00511BC5" w:rsidP="00511BC5">
      <w:pPr>
        <w:pStyle w:val="Heading3"/>
      </w:pPr>
      <w:bookmarkStart w:id="26" w:name="_Toc414882552"/>
      <w:r>
        <w:t>6</w:t>
      </w:r>
      <w:r w:rsidRPr="00C562EE">
        <w:t>.2 Patient Experience</w:t>
      </w:r>
      <w:bookmarkEnd w:id="26"/>
    </w:p>
    <w:p w:rsidR="00511BC5" w:rsidRPr="003E6FF6" w:rsidRDefault="00511BC5" w:rsidP="00511BC5">
      <w:pPr>
        <w:ind w:right="-340"/>
        <w:jc w:val="both"/>
        <w:rPr>
          <w:rFonts w:eastAsia="MS Mincho" w:cs="Arial"/>
          <w:szCs w:val="20"/>
          <w:lang w:eastAsia="ja-JP"/>
        </w:rPr>
      </w:pPr>
      <w:r w:rsidRPr="003E6FF6">
        <w:rPr>
          <w:rFonts w:eastAsia="MS Mincho" w:cs="Arial"/>
          <w:szCs w:val="20"/>
          <w:lang w:eastAsia="ja-JP"/>
        </w:rPr>
        <w:t xml:space="preserve">The Commissioner expects the </w:t>
      </w:r>
      <w:r w:rsidR="00B23E2B">
        <w:rPr>
          <w:rFonts w:eastAsia="MS Mincho" w:cs="Arial"/>
          <w:szCs w:val="20"/>
          <w:lang w:eastAsia="ja-JP"/>
        </w:rPr>
        <w:t>Service</w:t>
      </w:r>
      <w:r w:rsidRPr="003E6FF6">
        <w:rPr>
          <w:rFonts w:eastAsia="MS Mincho" w:cs="Arial"/>
          <w:szCs w:val="20"/>
          <w:lang w:eastAsia="ja-JP"/>
        </w:rPr>
        <w:t xml:space="preserve"> to develop and implement patients’ experience surveys including ‘Real time Patient Surveys’. These surveys will include:</w:t>
      </w:r>
    </w:p>
    <w:p w:rsidR="00511BC5" w:rsidRPr="003E6FF6" w:rsidRDefault="00511BC5" w:rsidP="006F2272">
      <w:pPr>
        <w:numPr>
          <w:ilvl w:val="0"/>
          <w:numId w:val="15"/>
        </w:numPr>
        <w:tabs>
          <w:tab w:val="num" w:pos="1080"/>
        </w:tabs>
        <w:autoSpaceDE w:val="0"/>
        <w:autoSpaceDN w:val="0"/>
        <w:adjustRightInd w:val="0"/>
        <w:spacing w:after="0" w:line="240" w:lineRule="auto"/>
        <w:ind w:right="-340"/>
        <w:jc w:val="both"/>
        <w:rPr>
          <w:rFonts w:cs="Arial"/>
          <w:color w:val="000000"/>
          <w:szCs w:val="20"/>
        </w:rPr>
      </w:pPr>
      <w:r w:rsidRPr="003E6FF6">
        <w:rPr>
          <w:rFonts w:cs="Arial"/>
          <w:color w:val="000000"/>
          <w:szCs w:val="20"/>
        </w:rPr>
        <w:t xml:space="preserve">Regular evaluation reports detailing the results of the surveys including the key themes that are emerging and the delivery of action plans to address concerns and issues raised by patients, service users and carers; </w:t>
      </w:r>
    </w:p>
    <w:p w:rsidR="00511BC5" w:rsidRPr="003E6FF6" w:rsidRDefault="00511BC5" w:rsidP="006F2272">
      <w:pPr>
        <w:numPr>
          <w:ilvl w:val="0"/>
          <w:numId w:val="15"/>
        </w:numPr>
        <w:tabs>
          <w:tab w:val="num" w:pos="1080"/>
        </w:tabs>
        <w:autoSpaceDE w:val="0"/>
        <w:autoSpaceDN w:val="0"/>
        <w:adjustRightInd w:val="0"/>
        <w:spacing w:after="0" w:line="240" w:lineRule="auto"/>
        <w:ind w:right="-340"/>
        <w:jc w:val="both"/>
        <w:rPr>
          <w:rFonts w:cs="Arial"/>
          <w:color w:val="000000"/>
          <w:szCs w:val="20"/>
        </w:rPr>
      </w:pPr>
      <w:r w:rsidRPr="003E6FF6">
        <w:rPr>
          <w:rFonts w:cs="Arial"/>
          <w:color w:val="000000"/>
          <w:szCs w:val="20"/>
        </w:rPr>
        <w:t>This will also include the Patient Reported Outcomes Measures (PROMS)</w:t>
      </w:r>
      <w:r>
        <w:rPr>
          <w:rFonts w:cs="Arial"/>
          <w:color w:val="000000"/>
          <w:szCs w:val="20"/>
        </w:rPr>
        <w:t xml:space="preserve"> </w:t>
      </w:r>
      <w:r w:rsidRPr="003E6FF6">
        <w:rPr>
          <w:rFonts w:cs="Arial"/>
          <w:color w:val="000000"/>
          <w:szCs w:val="20"/>
        </w:rPr>
        <w:t xml:space="preserve">and any other similar tools for other conditions as defined by Commissioner. The usage and evaluation and further design will be developed </w:t>
      </w:r>
      <w:r>
        <w:rPr>
          <w:rFonts w:cs="Arial"/>
          <w:color w:val="000000"/>
          <w:szCs w:val="20"/>
        </w:rPr>
        <w:t>through continued clinical stakeholder engagement</w:t>
      </w:r>
      <w:r w:rsidRPr="003E6FF6">
        <w:rPr>
          <w:rFonts w:cs="Arial"/>
          <w:color w:val="000000"/>
          <w:szCs w:val="20"/>
        </w:rPr>
        <w:t>;</w:t>
      </w:r>
    </w:p>
    <w:p w:rsidR="00511BC5" w:rsidRPr="003E6FF6" w:rsidRDefault="00511BC5" w:rsidP="006F2272">
      <w:pPr>
        <w:numPr>
          <w:ilvl w:val="0"/>
          <w:numId w:val="15"/>
        </w:numPr>
        <w:tabs>
          <w:tab w:val="num" w:pos="1080"/>
        </w:tabs>
        <w:autoSpaceDE w:val="0"/>
        <w:autoSpaceDN w:val="0"/>
        <w:adjustRightInd w:val="0"/>
        <w:spacing w:after="0" w:line="240" w:lineRule="auto"/>
        <w:ind w:right="-340"/>
        <w:jc w:val="both"/>
        <w:rPr>
          <w:rFonts w:cs="Arial"/>
          <w:color w:val="000000"/>
          <w:szCs w:val="20"/>
        </w:rPr>
      </w:pPr>
      <w:r w:rsidRPr="003E6FF6">
        <w:rPr>
          <w:rFonts w:cs="Arial"/>
          <w:color w:val="000000"/>
          <w:szCs w:val="20"/>
        </w:rPr>
        <w:t xml:space="preserve">Distribution of the report to Commissioner and patients; </w:t>
      </w:r>
    </w:p>
    <w:p w:rsidR="00511BC5" w:rsidRPr="003E6FF6" w:rsidRDefault="00511BC5" w:rsidP="006F2272">
      <w:pPr>
        <w:numPr>
          <w:ilvl w:val="0"/>
          <w:numId w:val="15"/>
        </w:numPr>
        <w:tabs>
          <w:tab w:val="num" w:pos="1080"/>
        </w:tabs>
        <w:autoSpaceDE w:val="0"/>
        <w:autoSpaceDN w:val="0"/>
        <w:adjustRightInd w:val="0"/>
        <w:spacing w:after="0" w:line="240" w:lineRule="auto"/>
        <w:ind w:right="-340"/>
        <w:jc w:val="both"/>
        <w:rPr>
          <w:rFonts w:cs="Arial"/>
          <w:color w:val="000000"/>
          <w:szCs w:val="20"/>
        </w:rPr>
      </w:pPr>
      <w:r w:rsidRPr="003E6FF6">
        <w:rPr>
          <w:rFonts w:cs="Arial"/>
          <w:color w:val="000000"/>
          <w:szCs w:val="20"/>
        </w:rPr>
        <w:t>Evidence of active and continual patient and carer involvement in the review and redesign of service provision;</w:t>
      </w:r>
    </w:p>
    <w:p w:rsidR="00511BC5" w:rsidRPr="003E6FF6" w:rsidRDefault="00511BC5" w:rsidP="006F2272">
      <w:pPr>
        <w:numPr>
          <w:ilvl w:val="0"/>
          <w:numId w:val="15"/>
        </w:numPr>
        <w:tabs>
          <w:tab w:val="num" w:pos="1080"/>
        </w:tabs>
        <w:autoSpaceDE w:val="0"/>
        <w:autoSpaceDN w:val="0"/>
        <w:adjustRightInd w:val="0"/>
        <w:spacing w:after="0" w:line="240" w:lineRule="auto"/>
        <w:ind w:right="-340"/>
        <w:jc w:val="both"/>
        <w:rPr>
          <w:rFonts w:cs="Arial"/>
          <w:color w:val="000000"/>
          <w:szCs w:val="20"/>
        </w:rPr>
      </w:pPr>
      <w:r w:rsidRPr="003E6FF6">
        <w:rPr>
          <w:rFonts w:cs="Arial"/>
          <w:color w:val="000000"/>
          <w:szCs w:val="20"/>
        </w:rPr>
        <w:t>Evidence of real time patient experience;</w:t>
      </w:r>
    </w:p>
    <w:p w:rsidR="00511BC5" w:rsidRPr="003E6FF6" w:rsidRDefault="00511BC5" w:rsidP="006F2272">
      <w:pPr>
        <w:numPr>
          <w:ilvl w:val="0"/>
          <w:numId w:val="15"/>
        </w:numPr>
        <w:tabs>
          <w:tab w:val="num" w:pos="1080"/>
        </w:tabs>
        <w:autoSpaceDE w:val="0"/>
        <w:autoSpaceDN w:val="0"/>
        <w:adjustRightInd w:val="0"/>
        <w:spacing w:after="0" w:line="240" w:lineRule="auto"/>
        <w:ind w:right="-340"/>
        <w:jc w:val="both"/>
        <w:rPr>
          <w:rFonts w:cs="Arial"/>
          <w:color w:val="000000"/>
          <w:szCs w:val="20"/>
        </w:rPr>
      </w:pPr>
      <w:r w:rsidRPr="003E6FF6">
        <w:rPr>
          <w:rFonts w:cs="Arial"/>
          <w:color w:val="000000"/>
          <w:szCs w:val="20"/>
        </w:rPr>
        <w:t>Evaluation of Shared Decision Making;</w:t>
      </w:r>
      <w:r>
        <w:rPr>
          <w:rFonts w:cs="Arial"/>
          <w:color w:val="000000"/>
          <w:szCs w:val="20"/>
        </w:rPr>
        <w:t xml:space="preserve"> using SURE scores</w:t>
      </w:r>
      <w:r w:rsidR="00F10EC7">
        <w:rPr>
          <w:rFonts w:cs="Arial"/>
          <w:color w:val="000000"/>
          <w:szCs w:val="20"/>
        </w:rPr>
        <w:t>;</w:t>
      </w:r>
    </w:p>
    <w:p w:rsidR="006F2272" w:rsidRPr="006F2272" w:rsidRDefault="00511BC5" w:rsidP="006F2272">
      <w:pPr>
        <w:pStyle w:val="ListParagraph"/>
        <w:numPr>
          <w:ilvl w:val="0"/>
          <w:numId w:val="15"/>
        </w:numPr>
        <w:tabs>
          <w:tab w:val="num" w:pos="1080"/>
        </w:tabs>
        <w:ind w:right="-340"/>
        <w:jc w:val="both"/>
        <w:rPr>
          <w:rFonts w:cs="Arial"/>
          <w:color w:val="000000"/>
          <w:szCs w:val="20"/>
        </w:rPr>
      </w:pPr>
      <w:r w:rsidRPr="003E6FF6">
        <w:rPr>
          <w:rFonts w:cs="Arial"/>
          <w:color w:val="000000"/>
          <w:szCs w:val="20"/>
        </w:rPr>
        <w:t>Compliance with requirements of the Friends and Family Test initiative</w:t>
      </w:r>
      <w:r w:rsidR="00F10EC7">
        <w:rPr>
          <w:rFonts w:cs="Arial"/>
          <w:color w:val="000000"/>
          <w:szCs w:val="20"/>
        </w:rPr>
        <w:t>;</w:t>
      </w:r>
    </w:p>
    <w:p w:rsidR="006F2272" w:rsidRDefault="006F2272" w:rsidP="00511BC5">
      <w:pPr>
        <w:pStyle w:val="Heading3"/>
      </w:pPr>
      <w:bookmarkStart w:id="27" w:name="_Toc414882553"/>
    </w:p>
    <w:p w:rsidR="00511BC5" w:rsidRPr="00C562EE" w:rsidRDefault="00511BC5" w:rsidP="00511BC5">
      <w:pPr>
        <w:pStyle w:val="Heading3"/>
      </w:pPr>
      <w:r>
        <w:t>6</w:t>
      </w:r>
      <w:r w:rsidRPr="00C562EE">
        <w:t>.3 Complaints and Plaudits</w:t>
      </w:r>
      <w:bookmarkEnd w:id="27"/>
    </w:p>
    <w:p w:rsidR="00511BC5" w:rsidRPr="00FF66C7" w:rsidRDefault="00511BC5" w:rsidP="00511BC5">
      <w:pPr>
        <w:spacing w:after="0"/>
        <w:ind w:right="-340"/>
        <w:jc w:val="both"/>
        <w:rPr>
          <w:rFonts w:eastAsia="MS Mincho" w:cs="Arial"/>
          <w:szCs w:val="20"/>
          <w:lang w:eastAsia="ja-JP"/>
        </w:rPr>
      </w:pPr>
      <w:r w:rsidRPr="00FF66C7">
        <w:rPr>
          <w:rFonts w:eastAsia="MS Mincho" w:cs="Arial"/>
          <w:szCs w:val="20"/>
          <w:lang w:eastAsia="ja-JP"/>
        </w:rPr>
        <w:t>There must be clear routes for patient complaints and plaudits and for sta</w:t>
      </w:r>
      <w:r>
        <w:rPr>
          <w:rFonts w:eastAsia="MS Mincho" w:cs="Arial"/>
          <w:szCs w:val="20"/>
          <w:lang w:eastAsia="ja-JP"/>
        </w:rPr>
        <w:t>ff to raise patient safety and s</w:t>
      </w:r>
      <w:r w:rsidRPr="00FF66C7">
        <w:rPr>
          <w:rFonts w:eastAsia="MS Mincho" w:cs="Arial"/>
          <w:szCs w:val="20"/>
          <w:lang w:eastAsia="ja-JP"/>
        </w:rPr>
        <w:t>ervice concerns:</w:t>
      </w:r>
    </w:p>
    <w:p w:rsidR="00511BC5" w:rsidRPr="00FF66C7" w:rsidRDefault="00511BC5" w:rsidP="00F35F8C">
      <w:pPr>
        <w:numPr>
          <w:ilvl w:val="0"/>
          <w:numId w:val="13"/>
        </w:numPr>
        <w:tabs>
          <w:tab w:val="clear" w:pos="-320"/>
          <w:tab w:val="num" w:pos="304"/>
        </w:tabs>
        <w:autoSpaceDE w:val="0"/>
        <w:autoSpaceDN w:val="0"/>
        <w:adjustRightInd w:val="0"/>
        <w:spacing w:after="0" w:line="240" w:lineRule="auto"/>
        <w:ind w:left="304" w:right="-340"/>
        <w:rPr>
          <w:rFonts w:cs="Arial"/>
          <w:color w:val="000000"/>
          <w:szCs w:val="20"/>
        </w:rPr>
      </w:pPr>
      <w:r w:rsidRPr="00FF66C7">
        <w:rPr>
          <w:rFonts w:cs="Arial"/>
          <w:color w:val="000000"/>
          <w:szCs w:val="20"/>
        </w:rPr>
        <w:t xml:space="preserve">The </w:t>
      </w:r>
      <w:r w:rsidR="00B23E2B">
        <w:rPr>
          <w:rFonts w:cs="Arial"/>
          <w:color w:val="000000"/>
          <w:szCs w:val="20"/>
        </w:rPr>
        <w:t>Service</w:t>
      </w:r>
      <w:r w:rsidRPr="00FF66C7">
        <w:rPr>
          <w:rFonts w:cs="Arial"/>
          <w:color w:val="000000"/>
          <w:szCs w:val="20"/>
        </w:rPr>
        <w:t xml:space="preserve"> will be able to demonstrate that the complaint handling process is clear and accessible.  The Complaints Procedure will clearly lay out timeframes for action.  All complainants will receive an acknowledgement within 3 working days and a formal response within 25 working days.  The Complaints Procedure should be clearly signposted so all patients and staff are aware how to access it.  It will also outline the process of implementing any learning that may arise;</w:t>
      </w:r>
    </w:p>
    <w:p w:rsidR="00511BC5" w:rsidRPr="00FF66C7" w:rsidRDefault="00511BC5" w:rsidP="00F35F8C">
      <w:pPr>
        <w:numPr>
          <w:ilvl w:val="0"/>
          <w:numId w:val="13"/>
        </w:numPr>
        <w:tabs>
          <w:tab w:val="clear" w:pos="-320"/>
          <w:tab w:val="num" w:pos="304"/>
        </w:tabs>
        <w:autoSpaceDE w:val="0"/>
        <w:autoSpaceDN w:val="0"/>
        <w:adjustRightInd w:val="0"/>
        <w:spacing w:after="0" w:line="240" w:lineRule="auto"/>
        <w:ind w:left="304" w:right="-340"/>
        <w:rPr>
          <w:rFonts w:cs="Arial"/>
          <w:color w:val="000000"/>
          <w:szCs w:val="20"/>
        </w:rPr>
      </w:pPr>
      <w:r w:rsidRPr="00FF66C7">
        <w:rPr>
          <w:rFonts w:cs="Arial"/>
          <w:color w:val="000000"/>
          <w:szCs w:val="20"/>
        </w:rPr>
        <w:t xml:space="preserve">The </w:t>
      </w:r>
      <w:r w:rsidR="00B23E2B">
        <w:rPr>
          <w:rFonts w:cs="Arial"/>
          <w:color w:val="000000"/>
          <w:szCs w:val="20"/>
        </w:rPr>
        <w:t>Service</w:t>
      </w:r>
      <w:r w:rsidRPr="00FF66C7">
        <w:rPr>
          <w:rFonts w:cs="Arial"/>
          <w:color w:val="000000"/>
          <w:szCs w:val="20"/>
        </w:rPr>
        <w:t xml:space="preserve"> will utilise a soft intelligence tool for patient/carer/worker within the Service to use to report any plaudits or concerns; </w:t>
      </w:r>
    </w:p>
    <w:p w:rsidR="00511BC5" w:rsidRPr="00FF66C7" w:rsidRDefault="00511BC5" w:rsidP="00F35F8C">
      <w:pPr>
        <w:numPr>
          <w:ilvl w:val="0"/>
          <w:numId w:val="13"/>
        </w:numPr>
        <w:tabs>
          <w:tab w:val="clear" w:pos="-320"/>
          <w:tab w:val="num" w:pos="304"/>
        </w:tabs>
        <w:autoSpaceDE w:val="0"/>
        <w:autoSpaceDN w:val="0"/>
        <w:adjustRightInd w:val="0"/>
        <w:spacing w:after="0" w:line="240" w:lineRule="auto"/>
        <w:ind w:left="304" w:right="-340"/>
        <w:rPr>
          <w:rFonts w:cs="Arial"/>
          <w:color w:val="000000"/>
          <w:szCs w:val="20"/>
        </w:rPr>
      </w:pPr>
      <w:r w:rsidRPr="00FF66C7">
        <w:rPr>
          <w:rFonts w:cs="Arial"/>
          <w:color w:val="000000"/>
          <w:szCs w:val="20"/>
        </w:rPr>
        <w:t>The outcomes of Service user involvement will demonstrate improved health and quality of life for patients and improve experience of the whole pathway.</w:t>
      </w:r>
    </w:p>
    <w:p w:rsidR="006F2272" w:rsidRDefault="006F2272" w:rsidP="00511BC5">
      <w:pPr>
        <w:pStyle w:val="Heading3"/>
      </w:pPr>
      <w:bookmarkStart w:id="28" w:name="_Toc414882554"/>
    </w:p>
    <w:p w:rsidR="00511BC5" w:rsidRPr="00C562EE" w:rsidRDefault="00511BC5" w:rsidP="00511BC5">
      <w:pPr>
        <w:pStyle w:val="Heading3"/>
      </w:pPr>
      <w:r>
        <w:t>6</w:t>
      </w:r>
      <w:r w:rsidRPr="00C562EE">
        <w:t>.4 Incident Reporting and Management</w:t>
      </w:r>
      <w:bookmarkEnd w:id="28"/>
    </w:p>
    <w:p w:rsidR="00511BC5" w:rsidRPr="003E6FF6" w:rsidRDefault="00511BC5" w:rsidP="00511BC5">
      <w:pPr>
        <w:spacing w:after="0" w:line="240" w:lineRule="auto"/>
        <w:ind w:right="-340"/>
        <w:jc w:val="both"/>
        <w:rPr>
          <w:rFonts w:cs="Arial"/>
          <w:szCs w:val="20"/>
        </w:rPr>
      </w:pPr>
    </w:p>
    <w:p w:rsidR="00511BC5" w:rsidRPr="003E6FF6" w:rsidRDefault="00511BC5" w:rsidP="00511BC5">
      <w:pPr>
        <w:spacing w:after="0" w:line="240" w:lineRule="auto"/>
        <w:ind w:right="-340"/>
        <w:jc w:val="both"/>
        <w:rPr>
          <w:rFonts w:cs="Arial"/>
          <w:szCs w:val="20"/>
        </w:rPr>
      </w:pPr>
      <w:r w:rsidRPr="003E6FF6">
        <w:rPr>
          <w:rFonts w:cs="Arial"/>
          <w:szCs w:val="20"/>
        </w:rPr>
        <w:t xml:space="preserve">The Service will have a system in place for raising, recording and managing patient safety Incidents (PSIs) and Serious Incidents (SI), in line with national and regional policies and frameworks laid out by the National Patient Safety Agency.  Each SI will be followed up by a formal investigation and action plan with the Commissioner being updated on progress. There will be evidence of Board to floor capacity and capability, measuring quality and safety management practices. </w:t>
      </w:r>
    </w:p>
    <w:p w:rsidR="00511BC5" w:rsidRPr="003E6FF6" w:rsidRDefault="00511BC5" w:rsidP="00511BC5">
      <w:pPr>
        <w:spacing w:after="0" w:line="240" w:lineRule="auto"/>
        <w:ind w:right="-340"/>
        <w:jc w:val="both"/>
        <w:rPr>
          <w:rFonts w:cs="Arial"/>
          <w:szCs w:val="20"/>
        </w:rPr>
      </w:pPr>
    </w:p>
    <w:p w:rsidR="00511BC5" w:rsidRPr="003E6FF6" w:rsidRDefault="00511BC5" w:rsidP="00511BC5">
      <w:pPr>
        <w:spacing w:after="0" w:line="240" w:lineRule="auto"/>
        <w:ind w:right="-340"/>
        <w:jc w:val="both"/>
        <w:rPr>
          <w:rFonts w:cs="Arial"/>
          <w:szCs w:val="20"/>
        </w:rPr>
      </w:pPr>
      <w:r>
        <w:rPr>
          <w:rFonts w:cs="Arial"/>
          <w:szCs w:val="20"/>
        </w:rPr>
        <w:t xml:space="preserve">The </w:t>
      </w:r>
      <w:r w:rsidR="00B23E2B">
        <w:rPr>
          <w:rFonts w:cs="Arial"/>
          <w:szCs w:val="20"/>
        </w:rPr>
        <w:t>Service</w:t>
      </w:r>
      <w:r w:rsidRPr="003E6FF6">
        <w:rPr>
          <w:rFonts w:cs="Arial"/>
          <w:szCs w:val="20"/>
        </w:rPr>
        <w:t xml:space="preserve"> will ensure that there is a process for all SIs either directly or sub-contracted are logged on t</w:t>
      </w:r>
      <w:r w:rsidR="00D82705">
        <w:rPr>
          <w:rFonts w:cs="Arial"/>
          <w:szCs w:val="20"/>
        </w:rPr>
        <w:t xml:space="preserve">he national STEIS database and </w:t>
      </w:r>
      <w:r w:rsidRPr="003E6FF6">
        <w:rPr>
          <w:rFonts w:cs="Arial"/>
          <w:szCs w:val="20"/>
        </w:rPr>
        <w:t>Root cause analysis (RCA) submitted to the Commissioner for review of recommendations and action plans to inform and improve practice.</w:t>
      </w:r>
    </w:p>
    <w:p w:rsidR="00511BC5" w:rsidRPr="003E6FF6" w:rsidRDefault="00511BC5" w:rsidP="00511BC5">
      <w:pPr>
        <w:spacing w:after="0" w:line="240" w:lineRule="auto"/>
        <w:ind w:right="-340"/>
        <w:jc w:val="both"/>
        <w:rPr>
          <w:rFonts w:cs="Arial"/>
          <w:szCs w:val="20"/>
        </w:rPr>
      </w:pPr>
    </w:p>
    <w:p w:rsidR="00511BC5" w:rsidRPr="003E6FF6" w:rsidRDefault="00511BC5" w:rsidP="00511BC5">
      <w:pPr>
        <w:spacing w:after="0" w:line="240" w:lineRule="auto"/>
        <w:ind w:right="-340"/>
        <w:jc w:val="both"/>
        <w:rPr>
          <w:rFonts w:cs="Arial"/>
          <w:szCs w:val="20"/>
        </w:rPr>
      </w:pPr>
      <w:r>
        <w:rPr>
          <w:rFonts w:cs="Arial"/>
          <w:szCs w:val="20"/>
        </w:rPr>
        <w:t xml:space="preserve">The </w:t>
      </w:r>
      <w:r w:rsidR="00B23E2B">
        <w:rPr>
          <w:rFonts w:cs="Arial"/>
          <w:szCs w:val="20"/>
        </w:rPr>
        <w:t>Service</w:t>
      </w:r>
      <w:r w:rsidRPr="003E6FF6">
        <w:rPr>
          <w:rFonts w:cs="Arial"/>
          <w:szCs w:val="20"/>
        </w:rPr>
        <w:t xml:space="preserve"> will have an Incident Policy in place. An annual report of all incidents will be submitted to the Commissioner. This annual report should include evidence of undertaking learning from the incident and how learning from incidents has led to change in practice.</w:t>
      </w:r>
    </w:p>
    <w:p w:rsidR="006F2272" w:rsidRDefault="006F2272" w:rsidP="00511BC5">
      <w:pPr>
        <w:pStyle w:val="Heading3"/>
      </w:pPr>
      <w:bookmarkStart w:id="29" w:name="_Toc414882555"/>
    </w:p>
    <w:p w:rsidR="00511BC5" w:rsidRPr="00C562EE" w:rsidRDefault="00511BC5" w:rsidP="00511BC5">
      <w:pPr>
        <w:pStyle w:val="Heading3"/>
      </w:pPr>
      <w:r>
        <w:t>6</w:t>
      </w:r>
      <w:r w:rsidRPr="00C562EE">
        <w:t>.5 Safeguarding the needs of Children and Vulnerable Adults</w:t>
      </w:r>
      <w:bookmarkEnd w:id="29"/>
    </w:p>
    <w:p w:rsidR="00511BC5" w:rsidRPr="007B19EB" w:rsidRDefault="00511BC5" w:rsidP="00511BC5">
      <w:pPr>
        <w:ind w:right="-340"/>
        <w:jc w:val="both"/>
      </w:pPr>
      <w:r w:rsidRPr="007B19EB">
        <w:rPr>
          <w:rFonts w:eastAsia="MS Mincho" w:cs="Arial"/>
          <w:szCs w:val="20"/>
          <w:lang w:eastAsia="ja-JP"/>
        </w:rPr>
        <w:t>The service will ensure it meets the statutory requirements and national policy drivers for safeguarding children and adults, including specific roles for named and designated leads. Safeguarding Children requirements are mandated by law for people aged 17 years and under, so the service will be required to meet required national standards. The service will have processes in place to ensure staff are trained to the required levels and there is a process in place to ensure staff know how to raise Safeguarding alerts, and (for adults) complies with the pan-Sussex Multi-Agency Policy and Procedure for Safeguarding Adults at Risk, and equivalent processes for Child Safeguarding</w:t>
      </w:r>
      <w:r w:rsidRPr="007B19EB">
        <w:rPr>
          <w:rFonts w:eastAsia="MS Mincho" w:cs="Arial"/>
          <w:lang w:eastAsia="ja-JP"/>
        </w:rPr>
        <w:t>.</w:t>
      </w:r>
    </w:p>
    <w:p w:rsidR="00511BC5" w:rsidRPr="00C562EE" w:rsidRDefault="00511BC5" w:rsidP="00511BC5">
      <w:pPr>
        <w:pStyle w:val="Heading3"/>
      </w:pPr>
      <w:bookmarkStart w:id="30" w:name="_Toc414882556"/>
      <w:r>
        <w:t>6</w:t>
      </w:r>
      <w:r w:rsidRPr="00C562EE">
        <w:t>.6 Safety Alerts</w:t>
      </w:r>
      <w:bookmarkEnd w:id="30"/>
    </w:p>
    <w:p w:rsidR="00511BC5" w:rsidRDefault="00511BC5" w:rsidP="00511BC5">
      <w:pPr>
        <w:ind w:right="-340"/>
        <w:jc w:val="both"/>
        <w:rPr>
          <w:rFonts w:eastAsia="MS Mincho" w:cs="Arial"/>
          <w:szCs w:val="20"/>
          <w:lang w:eastAsia="ja-JP"/>
        </w:rPr>
      </w:pPr>
      <w:r>
        <w:rPr>
          <w:rFonts w:eastAsia="MS Mincho" w:cs="Arial"/>
          <w:szCs w:val="20"/>
          <w:lang w:eastAsia="ja-JP"/>
        </w:rPr>
        <w:t xml:space="preserve">The </w:t>
      </w:r>
      <w:r w:rsidR="00B23E2B">
        <w:rPr>
          <w:rFonts w:eastAsia="MS Mincho" w:cs="Arial"/>
          <w:szCs w:val="20"/>
          <w:lang w:eastAsia="ja-JP"/>
        </w:rPr>
        <w:t>Service</w:t>
      </w:r>
      <w:r w:rsidRPr="007B19EB">
        <w:rPr>
          <w:rFonts w:eastAsia="MS Mincho" w:cs="Arial"/>
          <w:szCs w:val="20"/>
          <w:lang w:eastAsia="ja-JP"/>
        </w:rPr>
        <w:t xml:space="preserve"> will have a system in place to ensure national safety alerts (including medicine alerts, medical devices, estates and facilities) are received, disseminated and implemented in line with the required actions.</w:t>
      </w:r>
    </w:p>
    <w:p w:rsidR="006F2272" w:rsidRPr="007B19EB" w:rsidRDefault="006F2272" w:rsidP="00511BC5">
      <w:pPr>
        <w:ind w:right="-340"/>
        <w:jc w:val="both"/>
        <w:rPr>
          <w:rFonts w:eastAsia="MS Mincho" w:cs="Arial"/>
          <w:szCs w:val="20"/>
          <w:lang w:eastAsia="ja-JP"/>
        </w:rPr>
      </w:pPr>
    </w:p>
    <w:p w:rsidR="00511BC5" w:rsidRPr="00C562EE" w:rsidRDefault="00511BC5" w:rsidP="00511BC5">
      <w:pPr>
        <w:pStyle w:val="Heading3"/>
      </w:pPr>
      <w:bookmarkStart w:id="31" w:name="_Toc414882557"/>
      <w:r>
        <w:lastRenderedPageBreak/>
        <w:t>6</w:t>
      </w:r>
      <w:r w:rsidRPr="00C562EE">
        <w:t>.7 NICE Guidance</w:t>
      </w:r>
      <w:bookmarkEnd w:id="31"/>
    </w:p>
    <w:p w:rsidR="00511BC5" w:rsidRDefault="00511BC5" w:rsidP="00511BC5">
      <w:pPr>
        <w:ind w:right="-340"/>
        <w:jc w:val="both"/>
        <w:rPr>
          <w:rFonts w:eastAsia="MS Mincho" w:cs="Arial"/>
          <w:szCs w:val="20"/>
          <w:lang w:eastAsia="ja-JP"/>
        </w:rPr>
      </w:pPr>
      <w:r>
        <w:rPr>
          <w:rFonts w:eastAsia="MS Mincho" w:cs="Arial"/>
          <w:szCs w:val="20"/>
          <w:lang w:eastAsia="ja-JP"/>
        </w:rPr>
        <w:t xml:space="preserve">The </w:t>
      </w:r>
      <w:r w:rsidR="00B23E2B">
        <w:rPr>
          <w:rFonts w:eastAsia="MS Mincho" w:cs="Arial"/>
          <w:szCs w:val="20"/>
          <w:lang w:eastAsia="ja-JP"/>
        </w:rPr>
        <w:t>Service</w:t>
      </w:r>
      <w:r w:rsidRPr="007B19EB">
        <w:rPr>
          <w:rFonts w:eastAsia="MS Mincho" w:cs="Arial"/>
          <w:szCs w:val="20"/>
          <w:lang w:eastAsia="ja-JP"/>
        </w:rPr>
        <w:t xml:space="preserve"> will have in place a system, agreed with commissioners, to ensure compliance with NICE guidance and updated technical appraisals relevant to the service are reviewed and applied as appropriate to the service.</w:t>
      </w:r>
    </w:p>
    <w:p w:rsidR="006F2272" w:rsidRPr="007B19EB" w:rsidRDefault="006F2272" w:rsidP="00511BC5">
      <w:pPr>
        <w:ind w:right="-340"/>
        <w:jc w:val="both"/>
        <w:rPr>
          <w:rFonts w:eastAsia="MS Mincho" w:cs="Arial"/>
          <w:szCs w:val="20"/>
          <w:lang w:eastAsia="ja-JP"/>
        </w:rPr>
      </w:pPr>
    </w:p>
    <w:p w:rsidR="00511BC5" w:rsidRDefault="00511BC5" w:rsidP="00511BC5">
      <w:pPr>
        <w:pStyle w:val="Heading3"/>
      </w:pPr>
      <w:bookmarkStart w:id="32" w:name="_Toc414882558"/>
      <w:r>
        <w:t>6</w:t>
      </w:r>
      <w:r w:rsidRPr="00C562EE">
        <w:t>.8 Infection Prevention and Control</w:t>
      </w:r>
      <w:bookmarkEnd w:id="32"/>
    </w:p>
    <w:p w:rsidR="00511BC5" w:rsidRDefault="00511BC5" w:rsidP="00511BC5">
      <w:pPr>
        <w:ind w:right="-340"/>
        <w:jc w:val="both"/>
        <w:rPr>
          <w:rFonts w:eastAsia="MS Mincho" w:cs="Arial"/>
          <w:szCs w:val="20"/>
          <w:lang w:eastAsia="ja-JP"/>
        </w:rPr>
      </w:pPr>
      <w:r w:rsidRPr="007B19EB">
        <w:rPr>
          <w:rFonts w:eastAsia="MS Mincho" w:cs="Arial"/>
          <w:szCs w:val="20"/>
          <w:lang w:eastAsia="ja-JP"/>
        </w:rPr>
        <w:t xml:space="preserve">The </w:t>
      </w:r>
      <w:r w:rsidR="00B23E2B">
        <w:rPr>
          <w:rFonts w:eastAsia="MS Mincho" w:cs="Arial"/>
          <w:szCs w:val="20"/>
          <w:lang w:eastAsia="ja-JP"/>
        </w:rPr>
        <w:t>Service</w:t>
      </w:r>
      <w:r w:rsidRPr="007B19EB">
        <w:rPr>
          <w:rFonts w:eastAsia="MS Mincho" w:cs="Arial"/>
          <w:szCs w:val="20"/>
          <w:lang w:eastAsia="ja-JP"/>
        </w:rPr>
        <w:t xml:space="preserve">, together with any other sub-contracted services will ensure risks in relation </w:t>
      </w:r>
      <w:r w:rsidR="00D82705">
        <w:rPr>
          <w:rFonts w:eastAsia="MS Mincho" w:cs="Arial"/>
          <w:szCs w:val="20"/>
          <w:lang w:eastAsia="ja-JP"/>
        </w:rPr>
        <w:t xml:space="preserve">to the prevention of Health Care </w:t>
      </w:r>
      <w:r w:rsidRPr="007B19EB">
        <w:rPr>
          <w:rFonts w:eastAsia="MS Mincho" w:cs="Arial"/>
          <w:szCs w:val="20"/>
          <w:lang w:eastAsia="ja-JP"/>
        </w:rPr>
        <w:t>Associated Infections and communicable diseases are minimised. There will be effective clinical leadership to ensure required standards are met to control and prevent infections acquired in care.</w:t>
      </w:r>
    </w:p>
    <w:p w:rsidR="004737CF" w:rsidRPr="00185C07" w:rsidRDefault="004737CF" w:rsidP="004737CF">
      <w:pPr>
        <w:ind w:right="-340"/>
        <w:jc w:val="both"/>
        <w:rPr>
          <w:rFonts w:eastAsia="MS Mincho" w:cs="Arial"/>
          <w:szCs w:val="20"/>
          <w:lang w:eastAsia="ja-JP"/>
        </w:rPr>
      </w:pPr>
      <w:r w:rsidRPr="00185C07">
        <w:rPr>
          <w:rFonts w:eastAsia="MS Mincho" w:cs="Arial"/>
          <w:szCs w:val="20"/>
          <w:lang w:eastAsia="ja-JP"/>
        </w:rPr>
        <w:t>Providers must comply with all national legislation or regulations referenced in the specification or attachments.</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 xml:space="preserve">Irrespective of the physical location of the clinics the service should have the same outpatient equipment available to examine the patient as recommended by ENT UK (British Association of Otolaryngologists-Head and Neck Surgeons) 2008.  </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 xml:space="preserve">The service must comply with the specific ENT – UK requirements for room space, decontamination of instruments and audiological support. </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 xml:space="preserve">It is the responsibility of the service to purchase, calibrate, maintain to a high standard and replace all relevant equipment required to provide the service.   </w:t>
      </w:r>
    </w:p>
    <w:p w:rsidR="004737CF" w:rsidRPr="008170CC" w:rsidRDefault="004737CF" w:rsidP="004737CF">
      <w:pPr>
        <w:ind w:right="-340"/>
        <w:rPr>
          <w:rFonts w:eastAsia="MS Mincho" w:cs="Arial"/>
          <w:szCs w:val="20"/>
          <w:lang w:eastAsia="ja-JP"/>
        </w:rPr>
      </w:pPr>
    </w:p>
    <w:p w:rsidR="004737CF" w:rsidRPr="008170CC" w:rsidRDefault="004737CF" w:rsidP="004737CF">
      <w:pPr>
        <w:pStyle w:val="ListParagraph"/>
        <w:ind w:left="0" w:right="-340"/>
        <w:rPr>
          <w:rFonts w:eastAsia="MS Mincho" w:cs="Arial"/>
          <w:szCs w:val="20"/>
          <w:lang w:eastAsia="ja-JP"/>
        </w:rPr>
      </w:pPr>
      <w:r w:rsidRPr="008170CC">
        <w:rPr>
          <w:rFonts w:eastAsia="MS Mincho" w:cs="Arial"/>
          <w:szCs w:val="20"/>
          <w:lang w:eastAsia="ja-JP"/>
        </w:rPr>
        <w:t>Equipment required includes sufficient provision (but is not an exhaustive list) for the activity level for:</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Aural examination and toilet with microscopy and suction</w:t>
      </w:r>
      <w:r w:rsidR="00F10EC7">
        <w:rPr>
          <w:rFonts w:eastAsia="MS Mincho" w:cs="Arial"/>
          <w:szCs w:val="20"/>
          <w:lang w:eastAsia="ja-JP"/>
        </w:rPr>
        <w:t>.</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Nasal and pharyngeal endoscopy</w:t>
      </w:r>
      <w:r w:rsidR="00F10EC7">
        <w:rPr>
          <w:rFonts w:eastAsia="MS Mincho" w:cs="Arial"/>
          <w:szCs w:val="20"/>
          <w:lang w:eastAsia="ja-JP"/>
        </w:rPr>
        <w:t>.</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Facilities for decontamination and reprocessing of nasendoscopes and other instrumentation</w:t>
      </w:r>
      <w:r w:rsidR="00F10EC7">
        <w:rPr>
          <w:rFonts w:eastAsia="MS Mincho" w:cs="Arial"/>
          <w:szCs w:val="20"/>
          <w:lang w:eastAsia="ja-JP"/>
        </w:rPr>
        <w:t>.</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 xml:space="preserve">Tracking and traceability of all equipment detailed within patient records. </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Photo-documentation for medical records and information transfer</w:t>
      </w:r>
      <w:r w:rsidR="00F10EC7">
        <w:rPr>
          <w:rFonts w:eastAsia="MS Mincho" w:cs="Arial"/>
          <w:szCs w:val="20"/>
          <w:lang w:eastAsia="ja-JP"/>
        </w:rPr>
        <w:t>.</w:t>
      </w:r>
    </w:p>
    <w:p w:rsidR="004737CF" w:rsidRPr="008170CC" w:rsidRDefault="004737CF" w:rsidP="004737CF">
      <w:pPr>
        <w:pStyle w:val="ListParagraph"/>
        <w:numPr>
          <w:ilvl w:val="3"/>
          <w:numId w:val="45"/>
        </w:numPr>
        <w:spacing w:after="0"/>
        <w:ind w:left="360" w:right="-340"/>
        <w:contextualSpacing w:val="0"/>
        <w:rPr>
          <w:rFonts w:eastAsia="MS Mincho" w:cs="Arial"/>
          <w:szCs w:val="20"/>
          <w:lang w:eastAsia="ja-JP"/>
        </w:rPr>
      </w:pPr>
      <w:r w:rsidRPr="008170CC">
        <w:rPr>
          <w:rFonts w:eastAsia="MS Mincho" w:cs="Arial"/>
          <w:szCs w:val="20"/>
          <w:lang w:eastAsia="ja-JP"/>
        </w:rPr>
        <w:t>Disposable instruments preferred</w:t>
      </w:r>
      <w:r w:rsidR="00F10EC7">
        <w:rPr>
          <w:rFonts w:eastAsia="MS Mincho" w:cs="Arial"/>
          <w:szCs w:val="20"/>
          <w:lang w:eastAsia="ja-JP"/>
        </w:rPr>
        <w:t>.</w:t>
      </w:r>
    </w:p>
    <w:p w:rsidR="004737CF" w:rsidRPr="00185C07" w:rsidRDefault="004737CF" w:rsidP="004737CF">
      <w:pPr>
        <w:ind w:right="-340"/>
        <w:jc w:val="both"/>
        <w:rPr>
          <w:rFonts w:eastAsia="MS Mincho" w:cs="Arial"/>
          <w:szCs w:val="20"/>
          <w:lang w:eastAsia="ja-JP"/>
        </w:rPr>
      </w:pPr>
    </w:p>
    <w:p w:rsidR="004737CF" w:rsidRPr="00185C07" w:rsidRDefault="004737CF" w:rsidP="004737CF">
      <w:pPr>
        <w:ind w:right="-340"/>
        <w:jc w:val="both"/>
        <w:rPr>
          <w:rFonts w:eastAsia="MS Mincho" w:cs="Arial"/>
          <w:szCs w:val="20"/>
          <w:lang w:eastAsia="ja-JP"/>
        </w:rPr>
      </w:pPr>
      <w:r w:rsidRPr="00185C07">
        <w:rPr>
          <w:rFonts w:eastAsia="MS Mincho" w:cs="Arial"/>
          <w:szCs w:val="20"/>
          <w:lang w:eastAsia="ja-JP"/>
        </w:rPr>
        <w:t>Decontamination of Nasendoscopes (HTM01-06) has been reviewed and re</w:t>
      </w:r>
      <w:r w:rsidR="006F2272">
        <w:rPr>
          <w:rFonts w:eastAsia="MS Mincho" w:cs="Arial"/>
          <w:szCs w:val="20"/>
          <w:lang w:eastAsia="ja-JP"/>
        </w:rPr>
        <w:t>-</w:t>
      </w:r>
      <w:r w:rsidRPr="00185C07">
        <w:rPr>
          <w:rFonts w:eastAsia="MS Mincho" w:cs="Arial"/>
          <w:szCs w:val="20"/>
          <w:lang w:eastAsia="ja-JP"/>
        </w:rPr>
        <w:t xml:space="preserve">launched by the DH. </w:t>
      </w:r>
      <w:r>
        <w:rPr>
          <w:rFonts w:eastAsia="MS Mincho" w:cs="Arial"/>
          <w:szCs w:val="20"/>
          <w:lang w:eastAsia="ja-JP"/>
        </w:rPr>
        <w:t xml:space="preserve">The Commissioners expect the community </w:t>
      </w:r>
      <w:r w:rsidRPr="00185C07">
        <w:rPr>
          <w:rFonts w:eastAsia="MS Mincho" w:cs="Arial"/>
          <w:szCs w:val="20"/>
          <w:lang w:eastAsia="ja-JP"/>
        </w:rPr>
        <w:t>providers</w:t>
      </w:r>
      <w:r>
        <w:rPr>
          <w:rFonts w:eastAsia="MS Mincho" w:cs="Arial"/>
          <w:szCs w:val="20"/>
          <w:lang w:eastAsia="ja-JP"/>
        </w:rPr>
        <w:t xml:space="preserve"> to adhere to best practice</w:t>
      </w:r>
      <w:r w:rsidRPr="00185C07">
        <w:rPr>
          <w:rFonts w:eastAsia="MS Mincho" w:cs="Arial"/>
          <w:szCs w:val="20"/>
          <w:lang w:eastAsia="ja-JP"/>
        </w:rPr>
        <w:t xml:space="preserve"> with the single use of nasendoscopes per patient.  </w:t>
      </w:r>
    </w:p>
    <w:p w:rsidR="004737CF" w:rsidRPr="00185C07" w:rsidRDefault="004737CF" w:rsidP="004737CF">
      <w:pPr>
        <w:ind w:right="-340"/>
        <w:jc w:val="both"/>
        <w:rPr>
          <w:rFonts w:eastAsia="MS Mincho" w:cs="Arial"/>
          <w:szCs w:val="20"/>
          <w:lang w:eastAsia="ja-JP"/>
        </w:rPr>
      </w:pPr>
      <w:r w:rsidRPr="00185C07">
        <w:rPr>
          <w:rFonts w:eastAsia="MS Mincho" w:cs="Arial"/>
          <w:szCs w:val="20"/>
          <w:lang w:eastAsia="ja-JP"/>
        </w:rPr>
        <w:t>If providers do not adhere to the appropriate Directives for Decontamination, the CCG reserves the right to give immediate notice on the contract.</w:t>
      </w:r>
    </w:p>
    <w:p w:rsidR="004737CF" w:rsidRDefault="004737CF" w:rsidP="00511BC5">
      <w:pPr>
        <w:ind w:right="-340"/>
        <w:jc w:val="both"/>
        <w:rPr>
          <w:rFonts w:eastAsia="MS Mincho" w:cs="Arial"/>
          <w:szCs w:val="20"/>
          <w:lang w:eastAsia="ja-JP"/>
        </w:rPr>
      </w:pPr>
    </w:p>
    <w:p w:rsidR="004737CF" w:rsidRPr="007B19EB" w:rsidRDefault="004737CF" w:rsidP="00511BC5">
      <w:pPr>
        <w:ind w:right="-340"/>
        <w:jc w:val="both"/>
        <w:rPr>
          <w:rFonts w:eastAsia="MS Mincho" w:cs="Arial"/>
          <w:szCs w:val="20"/>
          <w:lang w:eastAsia="ja-JP"/>
        </w:rPr>
      </w:pPr>
    </w:p>
    <w:p w:rsidR="00511BC5" w:rsidRPr="00913920" w:rsidRDefault="00511BC5" w:rsidP="00511BC5">
      <w:pPr>
        <w:pStyle w:val="Heading3"/>
        <w:jc w:val="both"/>
        <w:rPr>
          <w:rFonts w:cs="Arial"/>
          <w:color w:val="auto"/>
          <w:szCs w:val="28"/>
        </w:rPr>
      </w:pPr>
      <w:bookmarkStart w:id="33" w:name="_Toc413328446"/>
      <w:bookmarkStart w:id="34" w:name="_Toc414882559"/>
      <w:r w:rsidRPr="00913920">
        <w:rPr>
          <w:rFonts w:cs="Arial"/>
          <w:color w:val="auto"/>
          <w:szCs w:val="28"/>
        </w:rPr>
        <w:t>6.9 Governance</w:t>
      </w:r>
      <w:bookmarkEnd w:id="33"/>
      <w:bookmarkEnd w:id="34"/>
    </w:p>
    <w:p w:rsidR="00511BC5" w:rsidRPr="007B19EB" w:rsidRDefault="00511BC5" w:rsidP="00511BC5">
      <w:pPr>
        <w:autoSpaceDE w:val="0"/>
        <w:autoSpaceDN w:val="0"/>
        <w:adjustRightInd w:val="0"/>
        <w:spacing w:after="0" w:line="240" w:lineRule="auto"/>
        <w:jc w:val="both"/>
        <w:rPr>
          <w:rFonts w:eastAsia="MS Mincho" w:cs="Arial"/>
          <w:color w:val="000000"/>
          <w:szCs w:val="20"/>
          <w:lang w:val="en-US" w:eastAsia="ja-JP"/>
        </w:rPr>
      </w:pPr>
      <w:r w:rsidRPr="007B19EB">
        <w:rPr>
          <w:rFonts w:eastAsia="MS Mincho" w:cs="Arial"/>
          <w:color w:val="000000"/>
          <w:szCs w:val="20"/>
          <w:lang w:val="en-US" w:eastAsia="ja-JP"/>
        </w:rPr>
        <w:t xml:space="preserve">The </w:t>
      </w:r>
      <w:r w:rsidR="00B23E2B">
        <w:rPr>
          <w:rFonts w:eastAsia="MS Mincho" w:cs="Arial"/>
          <w:szCs w:val="20"/>
          <w:lang w:eastAsia="ja-JP"/>
        </w:rPr>
        <w:t>Service</w:t>
      </w:r>
      <w:r w:rsidRPr="007B19EB">
        <w:rPr>
          <w:rFonts w:eastAsia="MS Mincho" w:cs="Arial"/>
          <w:color w:val="000000"/>
          <w:szCs w:val="20"/>
          <w:lang w:val="en-US" w:eastAsia="ja-JP"/>
        </w:rPr>
        <w:t xml:space="preserve"> will have an established Clinical Governance programme and share key clinical governance information with the Commissioner in the form of an annual report which covers any audits undertaken against the standards set within the policies described above and in addition, the following:</w:t>
      </w:r>
    </w:p>
    <w:p w:rsidR="00511BC5" w:rsidRPr="007B19EB" w:rsidRDefault="00511BC5" w:rsidP="00F35F8C">
      <w:pPr>
        <w:numPr>
          <w:ilvl w:val="0"/>
          <w:numId w:val="11"/>
        </w:numPr>
        <w:tabs>
          <w:tab w:val="clear" w:pos="720"/>
          <w:tab w:val="num" w:pos="1003"/>
        </w:tabs>
        <w:autoSpaceDE w:val="0"/>
        <w:autoSpaceDN w:val="0"/>
        <w:adjustRightInd w:val="0"/>
        <w:spacing w:after="0" w:line="240" w:lineRule="auto"/>
        <w:ind w:left="360"/>
        <w:jc w:val="both"/>
        <w:rPr>
          <w:rFonts w:eastAsia="MS Mincho" w:cs="Arial"/>
          <w:color w:val="000000"/>
          <w:szCs w:val="20"/>
          <w:lang w:val="en-US" w:eastAsia="ja-JP"/>
        </w:rPr>
      </w:pPr>
      <w:r w:rsidRPr="007B19EB">
        <w:rPr>
          <w:rFonts w:eastAsia="MS Mincho" w:cs="Arial"/>
          <w:color w:val="000000"/>
          <w:szCs w:val="20"/>
          <w:lang w:val="en-US" w:eastAsia="ja-JP"/>
        </w:rPr>
        <w:t>Patient, public and carer involvement;</w:t>
      </w:r>
    </w:p>
    <w:p w:rsidR="00511BC5" w:rsidRPr="007B19EB" w:rsidRDefault="00511BC5" w:rsidP="00F35F8C">
      <w:pPr>
        <w:numPr>
          <w:ilvl w:val="0"/>
          <w:numId w:val="11"/>
        </w:numPr>
        <w:tabs>
          <w:tab w:val="clear" w:pos="720"/>
          <w:tab w:val="num" w:pos="1003"/>
        </w:tabs>
        <w:autoSpaceDE w:val="0"/>
        <w:autoSpaceDN w:val="0"/>
        <w:adjustRightInd w:val="0"/>
        <w:spacing w:after="0" w:line="240" w:lineRule="auto"/>
        <w:ind w:left="360"/>
        <w:jc w:val="both"/>
        <w:rPr>
          <w:rFonts w:eastAsia="MS Mincho" w:cs="Arial"/>
          <w:color w:val="000000"/>
          <w:szCs w:val="20"/>
          <w:lang w:val="en-US" w:eastAsia="ja-JP"/>
        </w:rPr>
      </w:pPr>
      <w:r w:rsidRPr="007B19EB">
        <w:rPr>
          <w:rFonts w:eastAsia="MS Mincho" w:cs="Arial"/>
          <w:color w:val="000000"/>
          <w:szCs w:val="20"/>
          <w:lang w:val="en-US" w:eastAsia="ja-JP"/>
        </w:rPr>
        <w:t>Staff management and performance, including recruitment, workforce planning and appraisals;</w:t>
      </w:r>
    </w:p>
    <w:p w:rsidR="00511BC5" w:rsidRPr="007B19EB" w:rsidRDefault="00511BC5" w:rsidP="00F35F8C">
      <w:pPr>
        <w:numPr>
          <w:ilvl w:val="0"/>
          <w:numId w:val="11"/>
        </w:numPr>
        <w:tabs>
          <w:tab w:val="clear" w:pos="720"/>
          <w:tab w:val="num" w:pos="1003"/>
        </w:tabs>
        <w:autoSpaceDE w:val="0"/>
        <w:autoSpaceDN w:val="0"/>
        <w:adjustRightInd w:val="0"/>
        <w:spacing w:after="0" w:line="240" w:lineRule="auto"/>
        <w:ind w:left="360"/>
        <w:jc w:val="both"/>
        <w:rPr>
          <w:rFonts w:eastAsia="MS Mincho" w:cs="Arial"/>
          <w:color w:val="000000"/>
          <w:szCs w:val="20"/>
          <w:lang w:val="en-US" w:eastAsia="ja-JP"/>
        </w:rPr>
      </w:pPr>
      <w:r w:rsidRPr="007B19EB">
        <w:rPr>
          <w:rFonts w:eastAsia="MS Mincho" w:cs="Arial"/>
          <w:color w:val="000000"/>
          <w:szCs w:val="20"/>
          <w:lang w:val="en-US" w:eastAsia="ja-JP"/>
        </w:rPr>
        <w:t>Education, training and continuous professional development for all staff; (this includes the recording, and submission to the commissioner of these records if asked, of attendance of mandatory training for all staff)</w:t>
      </w:r>
      <w:r w:rsidR="00F10EC7">
        <w:rPr>
          <w:rFonts w:eastAsia="MS Mincho" w:cs="Arial"/>
          <w:color w:val="000000"/>
          <w:szCs w:val="20"/>
          <w:lang w:val="en-US" w:eastAsia="ja-JP"/>
        </w:rPr>
        <w:t>;</w:t>
      </w:r>
    </w:p>
    <w:p w:rsidR="00511BC5" w:rsidRPr="007B19EB" w:rsidRDefault="00511BC5" w:rsidP="00F35F8C">
      <w:pPr>
        <w:numPr>
          <w:ilvl w:val="0"/>
          <w:numId w:val="11"/>
        </w:numPr>
        <w:tabs>
          <w:tab w:val="clear" w:pos="720"/>
          <w:tab w:val="num" w:pos="1003"/>
        </w:tabs>
        <w:autoSpaceDE w:val="0"/>
        <w:autoSpaceDN w:val="0"/>
        <w:adjustRightInd w:val="0"/>
        <w:spacing w:after="0" w:line="240" w:lineRule="auto"/>
        <w:ind w:left="360"/>
        <w:jc w:val="both"/>
        <w:rPr>
          <w:rFonts w:eastAsia="MS Mincho" w:cs="Arial"/>
          <w:color w:val="000000"/>
          <w:szCs w:val="20"/>
          <w:lang w:val="en-US" w:eastAsia="ja-JP"/>
        </w:rPr>
      </w:pPr>
      <w:r w:rsidRPr="007B19EB">
        <w:rPr>
          <w:rFonts w:eastAsia="MS Mincho" w:cs="Arial"/>
          <w:color w:val="000000"/>
          <w:szCs w:val="20"/>
          <w:lang w:val="en-US" w:eastAsia="ja-JP"/>
        </w:rPr>
        <w:lastRenderedPageBreak/>
        <w:t>Clinical effectiveness, incidents, near misses, complaints and audits;</w:t>
      </w:r>
    </w:p>
    <w:p w:rsidR="00511BC5" w:rsidRPr="007B19EB" w:rsidRDefault="00511BC5" w:rsidP="00F35F8C">
      <w:pPr>
        <w:numPr>
          <w:ilvl w:val="0"/>
          <w:numId w:val="11"/>
        </w:numPr>
        <w:tabs>
          <w:tab w:val="clear" w:pos="720"/>
          <w:tab w:val="num" w:pos="1003"/>
        </w:tabs>
        <w:autoSpaceDE w:val="0"/>
        <w:autoSpaceDN w:val="0"/>
        <w:adjustRightInd w:val="0"/>
        <w:spacing w:after="0" w:line="240" w:lineRule="auto"/>
        <w:ind w:left="360"/>
        <w:jc w:val="both"/>
        <w:rPr>
          <w:rFonts w:eastAsia="MS Mincho" w:cs="Arial"/>
          <w:color w:val="000000"/>
          <w:szCs w:val="20"/>
          <w:lang w:val="en-US" w:eastAsia="ja-JP"/>
        </w:rPr>
      </w:pPr>
      <w:r w:rsidRPr="007B19EB">
        <w:rPr>
          <w:rFonts w:eastAsia="MS Mincho" w:cs="Arial"/>
          <w:color w:val="000000"/>
          <w:szCs w:val="20"/>
          <w:lang w:val="en-US" w:eastAsia="ja-JP"/>
        </w:rPr>
        <w:t xml:space="preserve">Communication both internal and external; </w:t>
      </w:r>
    </w:p>
    <w:p w:rsidR="00511BC5" w:rsidRPr="007B19EB" w:rsidRDefault="00511BC5" w:rsidP="00F35F8C">
      <w:pPr>
        <w:numPr>
          <w:ilvl w:val="0"/>
          <w:numId w:val="11"/>
        </w:numPr>
        <w:tabs>
          <w:tab w:val="clear" w:pos="720"/>
          <w:tab w:val="num" w:pos="1003"/>
        </w:tabs>
        <w:autoSpaceDE w:val="0"/>
        <w:autoSpaceDN w:val="0"/>
        <w:adjustRightInd w:val="0"/>
        <w:spacing w:after="0" w:line="240" w:lineRule="auto"/>
        <w:ind w:left="360"/>
        <w:jc w:val="both"/>
        <w:rPr>
          <w:rFonts w:eastAsia="MS Mincho" w:cs="Arial"/>
          <w:szCs w:val="20"/>
          <w:lang w:val="en-US" w:eastAsia="ja-JP"/>
        </w:rPr>
      </w:pPr>
      <w:r w:rsidRPr="007B19EB">
        <w:rPr>
          <w:rFonts w:eastAsia="MS Mincho" w:cs="Arial"/>
          <w:color w:val="000000"/>
          <w:szCs w:val="20"/>
          <w:lang w:val="en-US" w:eastAsia="ja-JP"/>
        </w:rPr>
        <w:t xml:space="preserve">Leadership development at all levels of the organisation. </w:t>
      </w:r>
      <w:r w:rsidRPr="007B19EB">
        <w:rPr>
          <w:rFonts w:eastAsia="MS Mincho" w:cs="Arial"/>
          <w:szCs w:val="20"/>
          <w:lang w:val="en-US" w:eastAsia="ja-JP"/>
        </w:rPr>
        <w:t xml:space="preserve">The lead </w:t>
      </w:r>
      <w:r w:rsidR="00F60520">
        <w:rPr>
          <w:rFonts w:eastAsia="MS Mincho" w:cs="Arial"/>
          <w:szCs w:val="20"/>
          <w:lang w:val="en-US" w:eastAsia="ja-JP"/>
        </w:rPr>
        <w:t>GPSI in ENT</w:t>
      </w:r>
      <w:r w:rsidRPr="007B19EB">
        <w:rPr>
          <w:rFonts w:eastAsia="MS Mincho" w:cs="Arial"/>
          <w:szCs w:val="20"/>
          <w:lang w:val="en-US" w:eastAsia="ja-JP"/>
        </w:rPr>
        <w:t xml:space="preserve"> will be involved in developing and implementing the service level clinical governance programme</w:t>
      </w:r>
      <w:r w:rsidR="00F10EC7">
        <w:rPr>
          <w:rFonts w:eastAsia="MS Mincho" w:cs="Arial"/>
          <w:szCs w:val="20"/>
          <w:lang w:val="en-US" w:eastAsia="ja-JP"/>
        </w:rPr>
        <w:t>;</w:t>
      </w:r>
    </w:p>
    <w:p w:rsidR="00511BC5" w:rsidRPr="007B19EB" w:rsidRDefault="00511BC5" w:rsidP="00F35F8C">
      <w:pPr>
        <w:pStyle w:val="ListParagraph"/>
        <w:numPr>
          <w:ilvl w:val="0"/>
          <w:numId w:val="14"/>
        </w:numPr>
        <w:spacing w:after="0"/>
        <w:ind w:left="323" w:right="-340"/>
        <w:jc w:val="both"/>
        <w:rPr>
          <w:rFonts w:cs="Arial"/>
          <w:color w:val="000000"/>
          <w:szCs w:val="20"/>
        </w:rPr>
      </w:pPr>
      <w:r w:rsidRPr="007B19EB">
        <w:rPr>
          <w:rFonts w:cs="Arial"/>
          <w:color w:val="000000"/>
          <w:szCs w:val="20"/>
        </w:rPr>
        <w:t>Information governance;</w:t>
      </w:r>
    </w:p>
    <w:p w:rsidR="00511BC5" w:rsidRPr="001F3250" w:rsidRDefault="00511BC5" w:rsidP="00511BC5">
      <w:pPr>
        <w:spacing w:after="0" w:line="240" w:lineRule="auto"/>
        <w:ind w:right="-340"/>
        <w:jc w:val="both"/>
        <w:rPr>
          <w:rFonts w:cs="Arial"/>
          <w:color w:val="000000"/>
          <w:szCs w:val="20"/>
          <w:highlight w:val="yellow"/>
        </w:rPr>
      </w:pPr>
    </w:p>
    <w:p w:rsidR="00511BC5" w:rsidRPr="007B19EB" w:rsidRDefault="00511BC5" w:rsidP="00511BC5">
      <w:pPr>
        <w:spacing w:after="0" w:line="240" w:lineRule="auto"/>
        <w:ind w:right="-340"/>
        <w:jc w:val="both"/>
        <w:rPr>
          <w:rFonts w:cs="Arial"/>
          <w:color w:val="000000"/>
          <w:szCs w:val="20"/>
        </w:rPr>
      </w:pPr>
      <w:r w:rsidRPr="007B19EB">
        <w:rPr>
          <w:rFonts w:cs="Arial"/>
          <w:color w:val="000000"/>
          <w:szCs w:val="20"/>
        </w:rPr>
        <w:t xml:space="preserve">The </w:t>
      </w:r>
      <w:r w:rsidR="00B23E2B">
        <w:rPr>
          <w:rFonts w:eastAsia="MS Mincho" w:cs="Arial"/>
          <w:szCs w:val="20"/>
          <w:lang w:eastAsia="ja-JP"/>
        </w:rPr>
        <w:t>Service</w:t>
      </w:r>
      <w:r w:rsidRPr="007B19EB">
        <w:rPr>
          <w:rFonts w:cs="Arial"/>
          <w:color w:val="000000"/>
          <w:szCs w:val="20"/>
        </w:rPr>
        <w:t xml:space="preserve"> will share key clinical governance information with the Commissioner and the </w:t>
      </w:r>
      <w:r w:rsidR="00B23E2B">
        <w:rPr>
          <w:rFonts w:eastAsia="MS Mincho" w:cs="Arial"/>
          <w:szCs w:val="20"/>
          <w:lang w:eastAsia="ja-JP"/>
        </w:rPr>
        <w:t>Service</w:t>
      </w:r>
      <w:r w:rsidRPr="007B19EB">
        <w:rPr>
          <w:rFonts w:cs="Arial"/>
          <w:color w:val="000000"/>
          <w:szCs w:val="20"/>
        </w:rPr>
        <w:t xml:space="preserve"> will act on any recommendation in any Care Quality Commission report that the Independent Regulator requires to be implemented or is otherwise agreed by the parties to be implemented. Results and recommendations from annual Care Quality Commission audits will be built into a programme of continual improve</w:t>
      </w:r>
      <w:r w:rsidR="00D82705">
        <w:rPr>
          <w:rFonts w:cs="Arial"/>
          <w:color w:val="000000"/>
          <w:szCs w:val="20"/>
        </w:rPr>
        <w:t>ments</w:t>
      </w:r>
      <w:r w:rsidRPr="007B19EB">
        <w:rPr>
          <w:rFonts w:cs="Arial"/>
          <w:color w:val="000000"/>
          <w:szCs w:val="20"/>
        </w:rPr>
        <w:t>.</w:t>
      </w:r>
    </w:p>
    <w:p w:rsidR="00511BC5" w:rsidRPr="007B19EB" w:rsidRDefault="00511BC5" w:rsidP="00511BC5">
      <w:pPr>
        <w:spacing w:after="0" w:line="240" w:lineRule="auto"/>
        <w:ind w:right="-340"/>
        <w:jc w:val="both"/>
        <w:rPr>
          <w:rFonts w:cs="Arial"/>
          <w:color w:val="000000"/>
          <w:szCs w:val="20"/>
        </w:rPr>
      </w:pPr>
    </w:p>
    <w:p w:rsidR="00511BC5" w:rsidRPr="007B19EB" w:rsidRDefault="00511BC5" w:rsidP="00511BC5">
      <w:pPr>
        <w:spacing w:after="0"/>
        <w:ind w:right="-340"/>
        <w:jc w:val="both"/>
        <w:rPr>
          <w:rFonts w:cs="Arial"/>
          <w:szCs w:val="20"/>
          <w:lang w:eastAsia="en-GB"/>
        </w:rPr>
      </w:pPr>
      <w:r w:rsidRPr="007B19EB">
        <w:rPr>
          <w:rFonts w:cs="Arial"/>
          <w:color w:val="000000"/>
          <w:szCs w:val="20"/>
        </w:rPr>
        <w:t xml:space="preserve">Within the </w:t>
      </w:r>
      <w:r w:rsidR="00B23E2B">
        <w:rPr>
          <w:rFonts w:eastAsia="MS Mincho" w:cs="Arial"/>
          <w:szCs w:val="20"/>
          <w:lang w:eastAsia="ja-JP"/>
        </w:rPr>
        <w:t>Service</w:t>
      </w:r>
      <w:r w:rsidRPr="007B19EB">
        <w:rPr>
          <w:rFonts w:cs="Arial"/>
          <w:color w:val="000000"/>
          <w:szCs w:val="20"/>
        </w:rPr>
        <w:t xml:space="preserve"> a lead </w:t>
      </w:r>
      <w:r w:rsidR="00F60520">
        <w:rPr>
          <w:rFonts w:cs="Arial"/>
          <w:color w:val="000000"/>
          <w:szCs w:val="20"/>
        </w:rPr>
        <w:t>GPSI</w:t>
      </w:r>
      <w:r w:rsidRPr="007B19EB">
        <w:rPr>
          <w:rFonts w:cs="Arial"/>
          <w:color w:val="000000"/>
          <w:szCs w:val="20"/>
        </w:rPr>
        <w:t xml:space="preserve"> </w:t>
      </w:r>
      <w:r w:rsidR="00B23E2B">
        <w:rPr>
          <w:rFonts w:cs="Arial"/>
          <w:color w:val="000000"/>
          <w:szCs w:val="20"/>
        </w:rPr>
        <w:t>ENT</w:t>
      </w:r>
      <w:r w:rsidRPr="007B19EB">
        <w:rPr>
          <w:rFonts w:cs="Arial"/>
          <w:color w:val="000000"/>
          <w:szCs w:val="20"/>
        </w:rPr>
        <w:t xml:space="preserve"> will have overall responsibility for supervision for other professionals, as appropriate, delivering the service to maintain practitioner competence and support service integration. </w:t>
      </w:r>
      <w:r w:rsidRPr="007B19EB">
        <w:rPr>
          <w:rFonts w:cs="Arial"/>
          <w:szCs w:val="20"/>
          <w:lang w:eastAsia="en-GB"/>
        </w:rPr>
        <w:t xml:space="preserve">A </w:t>
      </w:r>
      <w:r w:rsidR="00F60520">
        <w:rPr>
          <w:rFonts w:cs="Arial"/>
          <w:szCs w:val="20"/>
          <w:lang w:eastAsia="en-GB"/>
        </w:rPr>
        <w:t>GPSI</w:t>
      </w:r>
      <w:r w:rsidRPr="007B19EB">
        <w:rPr>
          <w:rFonts w:cs="Arial"/>
          <w:szCs w:val="20"/>
          <w:lang w:eastAsia="en-GB"/>
        </w:rPr>
        <w:t xml:space="preserve"> will be accessible to clinical staff for any urgent issues which may arise during clinics either directly on hand (preferred) or via telephone or email. </w:t>
      </w:r>
      <w:r w:rsidR="006F2272">
        <w:rPr>
          <w:rFonts w:cs="Arial"/>
          <w:szCs w:val="20"/>
          <w:lang w:eastAsia="en-GB"/>
        </w:rPr>
        <w:t>The Service will be supported by a Consultant in ENT.</w:t>
      </w:r>
    </w:p>
    <w:p w:rsidR="00511BC5" w:rsidRPr="007B19EB" w:rsidRDefault="00511BC5" w:rsidP="00511BC5">
      <w:pPr>
        <w:spacing w:after="0"/>
        <w:ind w:right="-340"/>
        <w:jc w:val="both"/>
        <w:rPr>
          <w:rFonts w:cs="Arial"/>
          <w:szCs w:val="20"/>
          <w:lang w:eastAsia="en-GB"/>
        </w:rPr>
      </w:pPr>
    </w:p>
    <w:p w:rsidR="00511BC5" w:rsidRPr="007B19EB" w:rsidRDefault="00511BC5" w:rsidP="00511BC5">
      <w:pPr>
        <w:spacing w:after="0"/>
        <w:ind w:right="-340"/>
        <w:jc w:val="both"/>
        <w:rPr>
          <w:rFonts w:eastAsia="MS Mincho" w:cs="Arial"/>
          <w:szCs w:val="20"/>
          <w:lang w:val="en-US" w:eastAsia="ja-JP"/>
        </w:rPr>
      </w:pPr>
      <w:r w:rsidRPr="007B19EB">
        <w:rPr>
          <w:rFonts w:eastAsia="MS Mincho" w:cs="Arial"/>
          <w:szCs w:val="20"/>
          <w:lang w:val="en-US" w:eastAsia="ja-JP"/>
        </w:rPr>
        <w:t xml:space="preserve">The </w:t>
      </w:r>
      <w:r w:rsidR="00B23E2B">
        <w:rPr>
          <w:rFonts w:eastAsia="MS Mincho" w:cs="Arial"/>
          <w:szCs w:val="20"/>
          <w:lang w:eastAsia="ja-JP"/>
        </w:rPr>
        <w:t>Service</w:t>
      </w:r>
      <w:r w:rsidRPr="007B19EB">
        <w:rPr>
          <w:rFonts w:eastAsia="MS Mincho" w:cs="Arial"/>
          <w:szCs w:val="20"/>
          <w:lang w:val="en-US" w:eastAsia="ja-JP"/>
        </w:rPr>
        <w:t xml:space="preserve"> will have operational systems to support the following principles:</w:t>
      </w:r>
    </w:p>
    <w:p w:rsidR="00511BC5" w:rsidRPr="007B19EB" w:rsidRDefault="00511BC5" w:rsidP="00F35F8C">
      <w:pPr>
        <w:numPr>
          <w:ilvl w:val="0"/>
          <w:numId w:val="10"/>
        </w:numPr>
        <w:tabs>
          <w:tab w:val="num" w:pos="426"/>
        </w:tabs>
        <w:autoSpaceDE w:val="0"/>
        <w:autoSpaceDN w:val="0"/>
        <w:adjustRightInd w:val="0"/>
        <w:spacing w:after="0" w:line="240" w:lineRule="auto"/>
        <w:ind w:left="426" w:hanging="426"/>
        <w:jc w:val="both"/>
        <w:rPr>
          <w:rFonts w:eastAsia="MS Mincho" w:cs="Arial"/>
          <w:szCs w:val="20"/>
          <w:lang w:val="en-US" w:eastAsia="ja-JP"/>
        </w:rPr>
      </w:pPr>
      <w:r w:rsidRPr="007B19EB">
        <w:rPr>
          <w:rFonts w:eastAsia="MS Mincho" w:cs="Arial"/>
          <w:szCs w:val="20"/>
          <w:lang w:val="en-US" w:eastAsia="ja-JP"/>
        </w:rPr>
        <w:t>Clear lines of responsibility and accountability</w:t>
      </w:r>
      <w:r w:rsidR="00F10EC7">
        <w:rPr>
          <w:rFonts w:eastAsia="MS Mincho" w:cs="Arial"/>
          <w:szCs w:val="20"/>
          <w:lang w:val="en-US" w:eastAsia="ja-JP"/>
        </w:rPr>
        <w:t>.</w:t>
      </w:r>
    </w:p>
    <w:p w:rsidR="00511BC5" w:rsidRPr="007B19EB" w:rsidRDefault="00511BC5" w:rsidP="00F35F8C">
      <w:pPr>
        <w:numPr>
          <w:ilvl w:val="0"/>
          <w:numId w:val="10"/>
        </w:numPr>
        <w:tabs>
          <w:tab w:val="num" w:pos="426"/>
        </w:tabs>
        <w:autoSpaceDE w:val="0"/>
        <w:autoSpaceDN w:val="0"/>
        <w:adjustRightInd w:val="0"/>
        <w:spacing w:after="0" w:line="240" w:lineRule="auto"/>
        <w:ind w:left="426" w:hanging="426"/>
        <w:jc w:val="both"/>
        <w:rPr>
          <w:rFonts w:eastAsia="MS Mincho" w:cs="Arial"/>
          <w:szCs w:val="20"/>
          <w:lang w:val="en-US" w:eastAsia="ja-JP"/>
        </w:rPr>
      </w:pPr>
      <w:r w:rsidRPr="007B19EB">
        <w:rPr>
          <w:rFonts w:eastAsia="MS Mincho" w:cs="Arial"/>
          <w:szCs w:val="20"/>
          <w:lang w:val="en-US" w:eastAsia="ja-JP"/>
        </w:rPr>
        <w:t>A programme of quality improvement activities</w:t>
      </w:r>
      <w:r w:rsidR="00F10EC7">
        <w:rPr>
          <w:rFonts w:eastAsia="MS Mincho" w:cs="Arial"/>
          <w:szCs w:val="20"/>
          <w:lang w:val="en-US" w:eastAsia="ja-JP"/>
        </w:rPr>
        <w:t>.</w:t>
      </w:r>
    </w:p>
    <w:p w:rsidR="00511BC5" w:rsidRDefault="00511BC5" w:rsidP="00F35F8C">
      <w:pPr>
        <w:numPr>
          <w:ilvl w:val="0"/>
          <w:numId w:val="10"/>
        </w:numPr>
        <w:tabs>
          <w:tab w:val="num" w:pos="426"/>
        </w:tabs>
        <w:autoSpaceDE w:val="0"/>
        <w:autoSpaceDN w:val="0"/>
        <w:adjustRightInd w:val="0"/>
        <w:spacing w:after="0" w:line="240" w:lineRule="auto"/>
        <w:ind w:left="426" w:hanging="426"/>
        <w:jc w:val="both"/>
        <w:rPr>
          <w:rFonts w:eastAsia="MS Mincho" w:cs="Arial"/>
          <w:szCs w:val="20"/>
          <w:lang w:val="en-US" w:eastAsia="ja-JP"/>
        </w:rPr>
      </w:pPr>
      <w:r w:rsidRPr="007B19EB">
        <w:rPr>
          <w:rFonts w:eastAsia="MS Mincho" w:cs="Arial"/>
          <w:szCs w:val="20"/>
          <w:lang w:val="en-US" w:eastAsia="ja-JP"/>
        </w:rPr>
        <w:t>Clear policies, procedures, clinical protocols, patient group directions and algorithms aimed at managing risk and remedy poor professional performance</w:t>
      </w:r>
      <w:r>
        <w:rPr>
          <w:rFonts w:eastAsia="MS Mincho" w:cs="Arial"/>
          <w:szCs w:val="20"/>
          <w:lang w:val="en-US" w:eastAsia="ja-JP"/>
        </w:rPr>
        <w:t xml:space="preserve">. </w:t>
      </w:r>
    </w:p>
    <w:p w:rsidR="00511BC5" w:rsidRPr="007B19EB" w:rsidRDefault="00511BC5" w:rsidP="00F35F8C">
      <w:pPr>
        <w:numPr>
          <w:ilvl w:val="0"/>
          <w:numId w:val="10"/>
        </w:numPr>
        <w:tabs>
          <w:tab w:val="num" w:pos="426"/>
        </w:tabs>
        <w:autoSpaceDE w:val="0"/>
        <w:autoSpaceDN w:val="0"/>
        <w:adjustRightInd w:val="0"/>
        <w:spacing w:after="0" w:line="240" w:lineRule="auto"/>
        <w:ind w:left="426" w:hanging="426"/>
        <w:jc w:val="both"/>
        <w:rPr>
          <w:rFonts w:eastAsia="MS Mincho" w:cs="Arial"/>
          <w:szCs w:val="20"/>
          <w:lang w:val="en-US" w:eastAsia="ja-JP"/>
        </w:rPr>
      </w:pPr>
      <w:r>
        <w:rPr>
          <w:rFonts w:eastAsia="MS Mincho" w:cs="Arial"/>
          <w:szCs w:val="20"/>
          <w:lang w:val="en-US" w:eastAsia="ja-JP"/>
        </w:rPr>
        <w:t>Develop and maintain a clinical network to support the MDT. This network will hold regular meetings to review outcomes, discuss challenging cases and critical incidents, provide peer review and discuss areas of unmet need or Service development. These meetings will be core to maintaining a high quality delivery of clinical services.</w:t>
      </w:r>
    </w:p>
    <w:p w:rsidR="00511BC5" w:rsidRPr="007B19EB" w:rsidRDefault="00511BC5" w:rsidP="00511BC5">
      <w:pPr>
        <w:tabs>
          <w:tab w:val="num" w:pos="960"/>
        </w:tabs>
        <w:spacing w:line="240" w:lineRule="auto"/>
        <w:ind w:left="709" w:hanging="360"/>
        <w:jc w:val="both"/>
        <w:rPr>
          <w:rFonts w:eastAsia="MS Mincho" w:cs="Arial"/>
          <w:szCs w:val="20"/>
          <w:lang w:val="en-US" w:eastAsia="ja-JP"/>
        </w:rPr>
      </w:pPr>
    </w:p>
    <w:p w:rsidR="00511BC5" w:rsidRPr="007B19EB" w:rsidRDefault="00511BC5" w:rsidP="00511BC5">
      <w:pPr>
        <w:tabs>
          <w:tab w:val="num" w:pos="960"/>
        </w:tabs>
        <w:spacing w:after="0" w:line="240" w:lineRule="auto"/>
        <w:jc w:val="both"/>
        <w:rPr>
          <w:rFonts w:eastAsia="MS Mincho" w:cs="Arial"/>
          <w:szCs w:val="20"/>
          <w:lang w:val="en-US" w:eastAsia="ja-JP"/>
        </w:rPr>
      </w:pPr>
      <w:r w:rsidRPr="007B19EB">
        <w:rPr>
          <w:rFonts w:eastAsia="MS Mincho" w:cs="Arial"/>
          <w:szCs w:val="20"/>
          <w:lang w:val="en-US" w:eastAsia="ja-JP"/>
        </w:rPr>
        <w:t>A programme of audit and review will be undertaken at predefined intervals to monitor service standards, outcomes and patient satisfaction and the results shared with the commissioner</w:t>
      </w:r>
      <w:r>
        <w:rPr>
          <w:rFonts w:eastAsia="MS Mincho" w:cs="Arial"/>
          <w:szCs w:val="20"/>
          <w:lang w:val="en-US" w:eastAsia="ja-JP"/>
        </w:rPr>
        <w:t>. The service is expected to participate in any National Audits as appropriate.</w:t>
      </w:r>
    </w:p>
    <w:p w:rsidR="00511BC5" w:rsidRPr="007B19EB" w:rsidRDefault="00511BC5" w:rsidP="00511BC5">
      <w:pPr>
        <w:tabs>
          <w:tab w:val="num" w:pos="960"/>
        </w:tabs>
        <w:spacing w:after="0" w:line="240" w:lineRule="auto"/>
        <w:jc w:val="both"/>
        <w:rPr>
          <w:rFonts w:eastAsia="MS Mincho" w:cs="Arial"/>
          <w:szCs w:val="20"/>
          <w:lang w:val="en-US" w:eastAsia="ja-JP"/>
        </w:rPr>
      </w:pPr>
    </w:p>
    <w:p w:rsidR="00511BC5" w:rsidRPr="007B19EB" w:rsidRDefault="00511BC5" w:rsidP="00511BC5">
      <w:pPr>
        <w:autoSpaceDE w:val="0"/>
        <w:autoSpaceDN w:val="0"/>
        <w:adjustRightInd w:val="0"/>
        <w:spacing w:after="0" w:line="240" w:lineRule="auto"/>
        <w:jc w:val="both"/>
        <w:rPr>
          <w:rFonts w:eastAsia="MS Mincho" w:cs="Arial"/>
          <w:color w:val="000000"/>
          <w:szCs w:val="20"/>
          <w:lang w:val="en-US" w:eastAsia="ja-JP"/>
        </w:rPr>
      </w:pPr>
      <w:r w:rsidRPr="007B19EB">
        <w:rPr>
          <w:rFonts w:eastAsia="MS Mincho" w:cs="Arial"/>
          <w:color w:val="000000"/>
          <w:szCs w:val="20"/>
          <w:lang w:val="en-US" w:eastAsia="ja-JP"/>
        </w:rPr>
        <w:t xml:space="preserve">The </w:t>
      </w:r>
      <w:r w:rsidR="00B23E2B">
        <w:rPr>
          <w:rFonts w:eastAsia="MS Mincho" w:cs="Arial"/>
          <w:szCs w:val="20"/>
          <w:lang w:eastAsia="ja-JP"/>
        </w:rPr>
        <w:t>Service</w:t>
      </w:r>
      <w:r w:rsidRPr="007B19EB">
        <w:rPr>
          <w:rFonts w:eastAsia="MS Mincho" w:cs="Arial"/>
          <w:color w:val="000000"/>
          <w:szCs w:val="20"/>
          <w:lang w:val="en-US" w:eastAsia="ja-JP"/>
        </w:rPr>
        <w:t xml:space="preserve"> will have a framework that assures patient and staff safety and is supported by a range of policies and strategies as outline in the list of policies applicable to this procurement offer.</w:t>
      </w:r>
    </w:p>
    <w:p w:rsidR="00511BC5" w:rsidRPr="007B19EB" w:rsidRDefault="00511BC5" w:rsidP="00511BC5">
      <w:pPr>
        <w:autoSpaceDE w:val="0"/>
        <w:autoSpaceDN w:val="0"/>
        <w:adjustRightInd w:val="0"/>
        <w:spacing w:after="0" w:line="240" w:lineRule="auto"/>
        <w:jc w:val="both"/>
        <w:rPr>
          <w:rFonts w:eastAsia="MS Mincho" w:cs="Arial"/>
          <w:color w:val="000000"/>
          <w:szCs w:val="20"/>
          <w:lang w:val="en-US" w:eastAsia="ja-JP"/>
        </w:rPr>
      </w:pPr>
    </w:p>
    <w:p w:rsidR="00511BC5" w:rsidRPr="007B19EB" w:rsidRDefault="00511BC5" w:rsidP="00511BC5">
      <w:pPr>
        <w:autoSpaceDE w:val="0"/>
        <w:autoSpaceDN w:val="0"/>
        <w:adjustRightInd w:val="0"/>
        <w:spacing w:after="0" w:line="240" w:lineRule="auto"/>
        <w:jc w:val="both"/>
        <w:rPr>
          <w:rFonts w:eastAsia="MS Mincho" w:cs="Arial"/>
          <w:szCs w:val="20"/>
          <w:lang w:val="en-US" w:eastAsia="ja-JP"/>
        </w:rPr>
      </w:pPr>
      <w:r w:rsidRPr="007B19EB">
        <w:rPr>
          <w:rFonts w:eastAsia="MS Mincho" w:cs="Arial"/>
          <w:color w:val="000000"/>
          <w:szCs w:val="20"/>
          <w:lang w:val="en-US" w:eastAsia="ja-JP"/>
        </w:rPr>
        <w:t xml:space="preserve">The </w:t>
      </w:r>
      <w:r w:rsidR="00B23E2B">
        <w:rPr>
          <w:rFonts w:eastAsia="MS Mincho" w:cs="Arial"/>
          <w:szCs w:val="20"/>
          <w:lang w:eastAsia="ja-JP"/>
        </w:rPr>
        <w:t>Service</w:t>
      </w:r>
      <w:r w:rsidRPr="007B19EB">
        <w:rPr>
          <w:rFonts w:eastAsia="MS Mincho" w:cs="Arial"/>
          <w:color w:val="000000"/>
          <w:szCs w:val="20"/>
          <w:lang w:val="en-US" w:eastAsia="ja-JP"/>
        </w:rPr>
        <w:t xml:space="preserve"> will ensure that a process is in place to carryout </w:t>
      </w:r>
      <w:r>
        <w:rPr>
          <w:rFonts w:eastAsia="MS Mincho" w:cs="Arial"/>
          <w:color w:val="000000"/>
          <w:szCs w:val="20"/>
          <w:lang w:val="en-US" w:eastAsia="ja-JP"/>
        </w:rPr>
        <w:t>DBS</w:t>
      </w:r>
      <w:r w:rsidRPr="007B19EB">
        <w:rPr>
          <w:rFonts w:eastAsia="MS Mincho" w:cs="Arial"/>
          <w:color w:val="000000"/>
          <w:szCs w:val="20"/>
          <w:lang w:val="en-US" w:eastAsia="ja-JP"/>
        </w:rPr>
        <w:t xml:space="preserve"> checks on all staff as legally required and annual professional registration checks are carried out for all clinical staff. All doctors will be registered licensed practitioners. </w:t>
      </w:r>
      <w:r w:rsidRPr="007B19EB">
        <w:rPr>
          <w:rFonts w:eastAsia="MS Mincho" w:cs="Arial"/>
          <w:szCs w:val="20"/>
          <w:lang w:val="en-US" w:eastAsia="ja-JP"/>
        </w:rPr>
        <w:t>In addition, the provider will have systems and processes in place to ensure all clinicians have undergone re-validation as required by their professional body. Evidence of this re-validation may be requested by the commissioner</w:t>
      </w:r>
    </w:p>
    <w:p w:rsidR="00511BC5" w:rsidRPr="007B19EB" w:rsidRDefault="00511BC5" w:rsidP="00511BC5">
      <w:pPr>
        <w:autoSpaceDE w:val="0"/>
        <w:autoSpaceDN w:val="0"/>
        <w:adjustRightInd w:val="0"/>
        <w:spacing w:after="0" w:line="240" w:lineRule="auto"/>
        <w:jc w:val="both"/>
        <w:rPr>
          <w:rFonts w:eastAsia="MS Mincho" w:cs="Arial"/>
          <w:szCs w:val="20"/>
          <w:lang w:val="en-US" w:eastAsia="ja-JP"/>
        </w:rPr>
      </w:pPr>
    </w:p>
    <w:p w:rsidR="00511BC5" w:rsidRPr="007B19EB" w:rsidRDefault="00511BC5" w:rsidP="00511BC5">
      <w:pPr>
        <w:autoSpaceDE w:val="0"/>
        <w:autoSpaceDN w:val="0"/>
        <w:adjustRightInd w:val="0"/>
        <w:spacing w:after="0" w:line="240" w:lineRule="auto"/>
        <w:jc w:val="both"/>
        <w:rPr>
          <w:rFonts w:eastAsia="MS Mincho" w:cs="Arial"/>
          <w:szCs w:val="20"/>
          <w:lang w:val="en-US" w:eastAsia="ja-JP"/>
        </w:rPr>
      </w:pPr>
      <w:r w:rsidRPr="007B19EB">
        <w:rPr>
          <w:rFonts w:eastAsia="MS Mincho" w:cs="Arial"/>
          <w:szCs w:val="20"/>
          <w:lang w:val="en-US" w:eastAsia="ja-JP"/>
        </w:rPr>
        <w:t xml:space="preserve">The </w:t>
      </w:r>
      <w:r w:rsidR="00B23E2B">
        <w:rPr>
          <w:rFonts w:eastAsia="MS Mincho" w:cs="Arial"/>
          <w:szCs w:val="20"/>
          <w:lang w:eastAsia="ja-JP"/>
        </w:rPr>
        <w:t>Service</w:t>
      </w:r>
      <w:r w:rsidRPr="007B19EB">
        <w:rPr>
          <w:rFonts w:eastAsia="MS Mincho" w:cs="Arial"/>
          <w:szCs w:val="20"/>
          <w:lang w:val="en-US" w:eastAsia="ja-JP"/>
        </w:rPr>
        <w:t xml:space="preserve"> will be r</w:t>
      </w:r>
      <w:r w:rsidR="003C34B2">
        <w:rPr>
          <w:rFonts w:eastAsia="MS Mincho" w:cs="Arial"/>
          <w:szCs w:val="20"/>
          <w:lang w:val="en-US" w:eastAsia="ja-JP"/>
        </w:rPr>
        <w:t>esponsible for ensuring that GP</w:t>
      </w:r>
      <w:r w:rsidRPr="007B19EB">
        <w:rPr>
          <w:rFonts w:eastAsia="MS Mincho" w:cs="Arial"/>
          <w:szCs w:val="20"/>
          <w:lang w:val="en-US" w:eastAsia="ja-JP"/>
        </w:rPr>
        <w:t>SIs have been assessed as competent, hold current professional registration and indemnity insurance and who also meet the following criteria;</w:t>
      </w:r>
    </w:p>
    <w:p w:rsidR="00511BC5" w:rsidRPr="007B19EB" w:rsidRDefault="00511BC5" w:rsidP="00511BC5">
      <w:pPr>
        <w:autoSpaceDE w:val="0"/>
        <w:autoSpaceDN w:val="0"/>
        <w:adjustRightInd w:val="0"/>
        <w:spacing w:after="0" w:line="240" w:lineRule="auto"/>
        <w:jc w:val="both"/>
        <w:rPr>
          <w:rFonts w:eastAsia="MS Mincho" w:cs="Arial"/>
          <w:szCs w:val="20"/>
          <w:lang w:val="en-US" w:eastAsia="ja-JP"/>
        </w:rPr>
      </w:pPr>
    </w:p>
    <w:p w:rsidR="00511BC5" w:rsidRPr="007B19EB" w:rsidRDefault="00511BC5"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sidRPr="007B19EB">
        <w:rPr>
          <w:rFonts w:eastAsia="MS Mincho" w:cs="Arial"/>
          <w:szCs w:val="20"/>
          <w:lang w:val="en-US" w:eastAsia="ja-JP"/>
        </w:rPr>
        <w:t>Un</w:t>
      </w:r>
      <w:r>
        <w:rPr>
          <w:rFonts w:eastAsia="MS Mincho" w:cs="Arial"/>
          <w:szCs w:val="20"/>
          <w:lang w:val="en-US" w:eastAsia="ja-JP"/>
        </w:rPr>
        <w:t>dertake annual peer supervision.</w:t>
      </w:r>
    </w:p>
    <w:p w:rsidR="00511BC5" w:rsidRPr="008123D9" w:rsidRDefault="00511BC5"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sidRPr="007B19EB">
        <w:rPr>
          <w:rFonts w:eastAsia="MS Mincho" w:cs="Arial"/>
          <w:szCs w:val="20"/>
          <w:lang w:val="en-US" w:eastAsia="ja-JP"/>
        </w:rPr>
        <w:t xml:space="preserve">Maintain a professional development logbook, recording, practical supervision received, courses </w:t>
      </w:r>
      <w:r w:rsidRPr="008123D9">
        <w:rPr>
          <w:rFonts w:eastAsia="MS Mincho" w:cs="Arial"/>
          <w:szCs w:val="20"/>
          <w:lang w:val="en-US" w:eastAsia="ja-JP"/>
        </w:rPr>
        <w:t xml:space="preserve">attended and </w:t>
      </w:r>
      <w:r>
        <w:rPr>
          <w:rFonts w:eastAsia="MS Mincho" w:cs="Arial"/>
          <w:szCs w:val="20"/>
          <w:lang w:val="en-US" w:eastAsia="ja-JP"/>
        </w:rPr>
        <w:t>other related further education.</w:t>
      </w:r>
    </w:p>
    <w:p w:rsidR="00511BC5" w:rsidRDefault="00511BC5"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sidRPr="008123D9">
        <w:rPr>
          <w:rFonts w:eastAsia="MS Mincho" w:cs="Arial"/>
          <w:szCs w:val="20"/>
          <w:lang w:val="en-US" w:eastAsia="ja-JP"/>
        </w:rPr>
        <w:t>Be in receipt of feedback on performance.</w:t>
      </w:r>
    </w:p>
    <w:p w:rsidR="005B609F" w:rsidRDefault="00873796"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Pr>
          <w:rFonts w:eastAsia="MS Mincho" w:cs="Arial"/>
          <w:szCs w:val="20"/>
          <w:lang w:val="en-US" w:eastAsia="ja-JP"/>
        </w:rPr>
        <w:t>GP</w:t>
      </w:r>
      <w:r w:rsidR="00511BC5">
        <w:rPr>
          <w:rFonts w:eastAsia="MS Mincho" w:cs="Arial"/>
          <w:szCs w:val="20"/>
          <w:lang w:val="en-US" w:eastAsia="ja-JP"/>
        </w:rPr>
        <w:t>SIs are required to meet the RCGP</w:t>
      </w:r>
      <w:r w:rsidR="003C34B2">
        <w:rPr>
          <w:rFonts w:eastAsia="MS Mincho" w:cs="Arial"/>
          <w:szCs w:val="20"/>
          <w:lang w:val="en-US" w:eastAsia="ja-JP"/>
        </w:rPr>
        <w:t xml:space="preserve"> and RCS</w:t>
      </w:r>
      <w:r w:rsidR="00511BC5">
        <w:rPr>
          <w:rFonts w:eastAsia="MS Mincho" w:cs="Arial"/>
          <w:szCs w:val="20"/>
          <w:lang w:val="en-US" w:eastAsia="ja-JP"/>
        </w:rPr>
        <w:t xml:space="preserve"> accreditation requirements</w:t>
      </w:r>
      <w:r w:rsidR="00F10EC7">
        <w:rPr>
          <w:rFonts w:eastAsia="MS Mincho" w:cs="Arial"/>
          <w:szCs w:val="20"/>
          <w:lang w:val="en-US" w:eastAsia="ja-JP"/>
        </w:rPr>
        <w:t>.</w:t>
      </w:r>
    </w:p>
    <w:p w:rsidR="00511BC5" w:rsidRPr="00873796" w:rsidRDefault="003C34B2"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Pr>
          <w:rStyle w:val="Style11pt"/>
          <w:rFonts w:cs="Arial"/>
        </w:rPr>
        <w:t xml:space="preserve">A </w:t>
      </w:r>
      <w:r w:rsidR="005B609F" w:rsidRPr="005B609F">
        <w:rPr>
          <w:rStyle w:val="Style11pt"/>
          <w:rFonts w:cs="Arial"/>
        </w:rPr>
        <w:t xml:space="preserve">GPSI in ENT </w:t>
      </w:r>
      <w:r>
        <w:rPr>
          <w:rStyle w:val="Style11pt"/>
          <w:rFonts w:cs="Arial"/>
        </w:rPr>
        <w:t xml:space="preserve">must </w:t>
      </w:r>
      <w:r w:rsidR="005B609F" w:rsidRPr="005B609F">
        <w:rPr>
          <w:rStyle w:val="Style11pt"/>
          <w:rFonts w:cs="Arial"/>
        </w:rPr>
        <w:t>possess a subset of ENT skills and can deliver a service to meet the needs of patients with specified ENT conditions. GPSI</w:t>
      </w:r>
      <w:r>
        <w:rPr>
          <w:rStyle w:val="Style11pt"/>
          <w:rFonts w:cs="Arial"/>
        </w:rPr>
        <w:t>s</w:t>
      </w:r>
      <w:r w:rsidR="005B609F" w:rsidRPr="005B609F">
        <w:rPr>
          <w:rStyle w:val="Style11pt"/>
          <w:rFonts w:cs="Arial"/>
        </w:rPr>
        <w:t xml:space="preserve"> are required to have a minimum of a </w:t>
      </w:r>
      <w:r w:rsidR="005B609F" w:rsidRPr="005B609F">
        <w:rPr>
          <w:lang w:val="en"/>
        </w:rPr>
        <w:t>Diploma in Otolaryngology – Head and Neck Surgery (DO-HNS)</w:t>
      </w:r>
      <w:r w:rsidR="00F10EC7">
        <w:rPr>
          <w:lang w:val="en"/>
        </w:rPr>
        <w:t>.</w:t>
      </w:r>
    </w:p>
    <w:p w:rsidR="00873796" w:rsidRPr="005B609F" w:rsidRDefault="00873796"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Pr>
          <w:rStyle w:val="Style11pt"/>
          <w:rFonts w:cs="Arial"/>
        </w:rPr>
        <w:t xml:space="preserve">Nurse led microsuction clinics are supported by </w:t>
      </w:r>
      <w:r w:rsidR="00F60520">
        <w:rPr>
          <w:rStyle w:val="Style11pt"/>
          <w:rFonts w:cs="Arial"/>
        </w:rPr>
        <w:t xml:space="preserve">the </w:t>
      </w:r>
      <w:r w:rsidR="00AB1094">
        <w:rPr>
          <w:rStyle w:val="Style11pt"/>
          <w:rFonts w:cs="Arial"/>
        </w:rPr>
        <w:t xml:space="preserve">GPSI </w:t>
      </w:r>
      <w:r w:rsidR="00F60520">
        <w:rPr>
          <w:rStyle w:val="Style11pt"/>
          <w:rFonts w:cs="Arial"/>
        </w:rPr>
        <w:t>in ENT</w:t>
      </w:r>
      <w:r w:rsidR="00F10EC7">
        <w:rPr>
          <w:rStyle w:val="Style11pt"/>
          <w:rFonts w:cs="Arial"/>
        </w:rPr>
        <w:t>.</w:t>
      </w:r>
    </w:p>
    <w:p w:rsidR="00511BC5" w:rsidRPr="008123D9" w:rsidRDefault="00511BC5" w:rsidP="00F35F8C">
      <w:pPr>
        <w:numPr>
          <w:ilvl w:val="0"/>
          <w:numId w:val="12"/>
        </w:numPr>
        <w:autoSpaceDE w:val="0"/>
        <w:autoSpaceDN w:val="0"/>
        <w:adjustRightInd w:val="0"/>
        <w:spacing w:after="0" w:line="240" w:lineRule="auto"/>
        <w:ind w:left="426" w:hanging="426"/>
        <w:jc w:val="both"/>
        <w:rPr>
          <w:rFonts w:eastAsia="MS Mincho" w:cs="Arial"/>
          <w:szCs w:val="20"/>
          <w:lang w:val="en-US" w:eastAsia="ja-JP"/>
        </w:rPr>
      </w:pPr>
      <w:r w:rsidRPr="008123D9">
        <w:rPr>
          <w:rFonts w:eastAsia="MS Mincho" w:cs="Arial"/>
          <w:szCs w:val="20"/>
          <w:lang w:val="en-US" w:eastAsia="ja-JP"/>
        </w:rPr>
        <w:t>Undertake one clinical audit relevant to the service every year</w:t>
      </w:r>
      <w:r w:rsidR="00F10EC7">
        <w:rPr>
          <w:rFonts w:eastAsia="MS Mincho" w:cs="Arial"/>
          <w:szCs w:val="20"/>
          <w:lang w:val="en-US" w:eastAsia="ja-JP"/>
        </w:rPr>
        <w:t>.</w:t>
      </w:r>
    </w:p>
    <w:p w:rsidR="00511BC5" w:rsidRPr="008123D9" w:rsidRDefault="00511BC5" w:rsidP="00511BC5">
      <w:pPr>
        <w:autoSpaceDE w:val="0"/>
        <w:autoSpaceDN w:val="0"/>
        <w:adjustRightInd w:val="0"/>
        <w:spacing w:line="240" w:lineRule="auto"/>
        <w:rPr>
          <w:rFonts w:eastAsia="MS Mincho" w:cs="Arial"/>
          <w:b/>
          <w:bCs/>
          <w:color w:val="00B150"/>
          <w:szCs w:val="20"/>
          <w:lang w:val="en-US" w:eastAsia="ja-JP"/>
        </w:rPr>
      </w:pP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35" w:name="_Toc414882560"/>
            <w:r>
              <w:rPr>
                <w:color w:val="FFFFFF" w:themeColor="background1"/>
              </w:rPr>
              <w:t>7</w:t>
            </w:r>
            <w:r w:rsidRPr="003225F3">
              <w:rPr>
                <w:color w:val="FFFFFF" w:themeColor="background1"/>
              </w:rPr>
              <w:t>.0</w:t>
            </w:r>
            <w:r w:rsidRPr="003225F3">
              <w:rPr>
                <w:color w:val="FFFFFF" w:themeColor="background1"/>
              </w:rPr>
              <w:tab/>
              <w:t>Outcomes and KPIs</w:t>
            </w:r>
            <w:bookmarkEnd w:id="35"/>
          </w:p>
        </w:tc>
      </w:tr>
    </w:tbl>
    <w:p w:rsidR="00127F13" w:rsidRDefault="00127F13" w:rsidP="00127F13">
      <w:pPr>
        <w:pStyle w:val="ListParagraph"/>
        <w:ind w:left="-142" w:right="-340"/>
        <w:rPr>
          <w:rFonts w:cs="Arial"/>
          <w:iCs/>
          <w:szCs w:val="20"/>
          <w:lang w:val="en-US" w:eastAsia="ja-JP"/>
        </w:rPr>
      </w:pPr>
    </w:p>
    <w:p w:rsidR="00127F13" w:rsidRPr="00D37192" w:rsidRDefault="00127F13" w:rsidP="00127F13">
      <w:pPr>
        <w:pStyle w:val="ListParagraph"/>
        <w:ind w:left="-142" w:right="-340"/>
        <w:rPr>
          <w:b/>
          <w:color w:val="548DD4" w:themeColor="text2" w:themeTint="99"/>
          <w:sz w:val="24"/>
        </w:rPr>
      </w:pPr>
      <w:r w:rsidRPr="00D37192">
        <w:rPr>
          <w:rFonts w:cs="Arial"/>
          <w:iCs/>
          <w:szCs w:val="20"/>
          <w:lang w:val="en-US" w:eastAsia="ja-JP"/>
        </w:rPr>
        <w:t xml:space="preserve">Providers will be required to comply with all National Quality Requirements set out in Schedule 4 of the NHS Standard Contract, these can be found at </w:t>
      </w:r>
      <w:hyperlink r:id="rId13" w:history="1">
        <w:r w:rsidRPr="00D37192">
          <w:rPr>
            <w:rFonts w:cs="Arial"/>
            <w:iCs/>
            <w:szCs w:val="20"/>
            <w:u w:val="single"/>
            <w:lang w:val="en-US" w:eastAsia="ja-JP"/>
          </w:rPr>
          <w:t>www.england.nhs.uk/nhs-standard-contract</w:t>
        </w:r>
      </w:hyperlink>
      <w:r>
        <w:rPr>
          <w:rFonts w:cs="Arial"/>
          <w:iCs/>
          <w:szCs w:val="20"/>
          <w:u w:val="single"/>
          <w:lang w:val="en-US" w:eastAsia="ja-JP"/>
        </w:rPr>
        <w:t xml:space="preserve">. </w:t>
      </w:r>
      <w:r w:rsidRPr="00D37192">
        <w:rPr>
          <w:rFonts w:ascii="Tahoma" w:hAnsi="Tahoma" w:cs="Tahoma"/>
          <w:color w:val="000000"/>
          <w:szCs w:val="20"/>
        </w:rPr>
        <w:t xml:space="preserve">Bidders will be required to sign up to all terms and conditions of the Standard NHS Contract including the operational and national performance indicators.  </w:t>
      </w:r>
    </w:p>
    <w:p w:rsidR="00D77151" w:rsidRDefault="00D77151" w:rsidP="00D77151">
      <w:pPr>
        <w:pStyle w:val="Heading3"/>
      </w:pPr>
      <w:bookmarkStart w:id="36" w:name="_Toc414882561"/>
      <w:r>
        <w:t>7</w:t>
      </w:r>
      <w:r w:rsidRPr="00C562EE">
        <w:t>.1 Critical Success Factors with Indicative Outcomes and Evidence</w:t>
      </w:r>
      <w:bookmarkEnd w:id="36"/>
    </w:p>
    <w:p w:rsidR="00127F13" w:rsidRPr="005960A2" w:rsidRDefault="00127F13" w:rsidP="00127F13">
      <w:pPr>
        <w:ind w:right="-340"/>
        <w:jc w:val="both"/>
        <w:rPr>
          <w:szCs w:val="20"/>
        </w:rPr>
      </w:pPr>
      <w:r w:rsidRPr="005960A2">
        <w:rPr>
          <w:szCs w:val="20"/>
        </w:rPr>
        <w:t xml:space="preserve">Clinical outcomes </w:t>
      </w:r>
      <w:r w:rsidR="006F2272">
        <w:rPr>
          <w:szCs w:val="20"/>
        </w:rPr>
        <w:t>are</w:t>
      </w:r>
      <w:r w:rsidRPr="005960A2">
        <w:rPr>
          <w:szCs w:val="20"/>
        </w:rPr>
        <w:t xml:space="preserve"> an emerging field and the community </w:t>
      </w:r>
      <w:r w:rsidR="00D82705">
        <w:rPr>
          <w:szCs w:val="20"/>
        </w:rPr>
        <w:t>ENT</w:t>
      </w:r>
      <w:r w:rsidRPr="005960A2">
        <w:rPr>
          <w:szCs w:val="20"/>
        </w:rPr>
        <w:t xml:space="preserve"> providers will work with the Commissioner to agree measures and development of these over the life of the contract. Also see Local Quality Requirements on Appendix 1</w:t>
      </w:r>
      <w:r w:rsidR="006F2272">
        <w:rPr>
          <w:szCs w:val="20"/>
        </w:rPr>
        <w:t xml:space="preserve"> (to follow)</w:t>
      </w:r>
      <w:r w:rsidRPr="005960A2">
        <w:rPr>
          <w:szCs w:val="20"/>
        </w:rPr>
        <w:t xml:space="preserve">.  </w:t>
      </w:r>
      <w:r w:rsidRPr="005960A2">
        <w:rPr>
          <w:color w:val="FF0000"/>
          <w:szCs w:val="20"/>
        </w:rPr>
        <w:t xml:space="preserve"> </w:t>
      </w:r>
    </w:p>
    <w:p w:rsidR="00127F13" w:rsidRPr="00C562EE" w:rsidRDefault="00127F13" w:rsidP="00127F13">
      <w:pPr>
        <w:pStyle w:val="Heading3"/>
      </w:pPr>
      <w:bookmarkStart w:id="37" w:name="_Toc414882562"/>
      <w:r>
        <w:t>7.2</w:t>
      </w:r>
      <w:r w:rsidRPr="00C562EE">
        <w:t xml:space="preserve"> Performance Report</w:t>
      </w:r>
      <w:bookmarkEnd w:id="37"/>
    </w:p>
    <w:p w:rsidR="00127F13" w:rsidRPr="00D37192" w:rsidRDefault="00127F13" w:rsidP="00127F13">
      <w:pPr>
        <w:spacing w:after="0"/>
        <w:ind w:right="-340"/>
        <w:jc w:val="both"/>
        <w:rPr>
          <w:rFonts w:cs="Arial"/>
          <w:szCs w:val="20"/>
        </w:rPr>
      </w:pPr>
      <w:r w:rsidRPr="00D37192">
        <w:rPr>
          <w:rFonts w:cs="Arial"/>
          <w:szCs w:val="20"/>
        </w:rPr>
        <w:t xml:space="preserve">To support on-going monitoring a monthly Performance and Quality Report will be required. This report should be an integrated single report containing all required information. The Service will act on remedial plans on a monthly basis </w:t>
      </w:r>
    </w:p>
    <w:p w:rsidR="00127F13" w:rsidRPr="00D37192" w:rsidRDefault="00127F13" w:rsidP="00127F13">
      <w:pPr>
        <w:spacing w:after="0"/>
        <w:ind w:right="-340"/>
        <w:jc w:val="both"/>
        <w:rPr>
          <w:rFonts w:cs="Arial"/>
          <w:szCs w:val="20"/>
        </w:rPr>
      </w:pPr>
    </w:p>
    <w:p w:rsidR="00127F13" w:rsidRPr="00D37192" w:rsidRDefault="00127F13" w:rsidP="00127F13">
      <w:pPr>
        <w:spacing w:after="0"/>
        <w:ind w:right="-340"/>
        <w:jc w:val="both"/>
        <w:rPr>
          <w:rFonts w:cs="Arial"/>
          <w:szCs w:val="20"/>
        </w:rPr>
      </w:pPr>
      <w:r w:rsidRPr="00D37192">
        <w:rPr>
          <w:rFonts w:cs="Arial"/>
          <w:szCs w:val="20"/>
        </w:rPr>
        <w:t xml:space="preserve">It is expected that the specific content of the report be agreed between commissioners and the </w:t>
      </w:r>
      <w:r>
        <w:rPr>
          <w:rFonts w:cs="Arial"/>
          <w:szCs w:val="20"/>
        </w:rPr>
        <w:t>Service</w:t>
      </w:r>
      <w:r w:rsidRPr="00D37192">
        <w:rPr>
          <w:rFonts w:cs="Arial"/>
          <w:szCs w:val="20"/>
        </w:rPr>
        <w:t xml:space="preserve"> prior to service commencement, notwithstanding, it is expected that this is an iterative report which will be subject to regular review and rationalisation as the service matures.</w:t>
      </w:r>
    </w:p>
    <w:p w:rsidR="00127F13" w:rsidRPr="00D37192" w:rsidRDefault="00127F13" w:rsidP="00127F13">
      <w:pPr>
        <w:spacing w:after="0"/>
        <w:ind w:right="-340"/>
        <w:jc w:val="both"/>
        <w:rPr>
          <w:rFonts w:cs="Arial"/>
          <w:szCs w:val="20"/>
        </w:rPr>
      </w:pPr>
      <w:r w:rsidRPr="00D37192">
        <w:rPr>
          <w:rFonts w:cs="Arial"/>
          <w:szCs w:val="20"/>
        </w:rPr>
        <w:t>The Service will also provide an annual report or ‘quality account’ which summarises the quality outcomes of the Service for the previous year, and describes what the Service will do to maintain and/or improve quality. This will be based both on what quantitative data, as well as other qualitative information in relation to what patients and the public are saying about their experience of the Service.</w:t>
      </w:r>
    </w:p>
    <w:p w:rsidR="00127F13" w:rsidRPr="00C562EE" w:rsidRDefault="00127F13" w:rsidP="00127F13">
      <w:pPr>
        <w:pStyle w:val="Heading3"/>
      </w:pPr>
      <w:bookmarkStart w:id="38" w:name="_Toc414882563"/>
      <w:r>
        <w:t>7.3</w:t>
      </w:r>
      <w:r w:rsidRPr="00C562EE">
        <w:t xml:space="preserve"> Minimum Data Set- Based on National Community MDS</w:t>
      </w:r>
      <w:bookmarkEnd w:id="38"/>
    </w:p>
    <w:p w:rsidR="00127F13" w:rsidRPr="00D37192" w:rsidRDefault="00127F13" w:rsidP="00127F13">
      <w:pPr>
        <w:spacing w:after="0"/>
        <w:ind w:right="-340"/>
        <w:jc w:val="both"/>
        <w:rPr>
          <w:rFonts w:cs="Arial"/>
          <w:szCs w:val="20"/>
        </w:rPr>
      </w:pPr>
      <w:r w:rsidRPr="00D37192">
        <w:rPr>
          <w:rFonts w:cs="Arial"/>
          <w:szCs w:val="20"/>
        </w:rPr>
        <w:t xml:space="preserve">The service minimum dataset is collected to fulfil both local and national requirements.  The data contains patient level data about Patients, Referrals, Care Contacts, Diagnostics and administrative processes.  Data should be provided in accordance with national information governance protocols. </w:t>
      </w:r>
    </w:p>
    <w:p w:rsidR="00127F13" w:rsidRPr="00D37192" w:rsidRDefault="00127F13" w:rsidP="00127F13">
      <w:pPr>
        <w:spacing w:after="0"/>
        <w:ind w:right="-340"/>
        <w:jc w:val="both"/>
        <w:rPr>
          <w:rFonts w:cs="Arial"/>
          <w:color w:val="000000"/>
          <w:szCs w:val="20"/>
        </w:rPr>
      </w:pPr>
      <w:r w:rsidRPr="00D37192">
        <w:rPr>
          <w:rFonts w:cs="Arial"/>
          <w:szCs w:val="20"/>
        </w:rPr>
        <w:t xml:space="preserve">It is anticipated that this data will primarily be used by analysts to support contract/activity monitoring and commissioners’ requests. The requirements for the minimum data set </w:t>
      </w:r>
      <w:r w:rsidR="006F2272">
        <w:rPr>
          <w:rFonts w:cs="Arial"/>
          <w:szCs w:val="20"/>
        </w:rPr>
        <w:t>will follow</w:t>
      </w:r>
      <w:r w:rsidRPr="00D37192">
        <w:rPr>
          <w:rFonts w:cs="Arial"/>
          <w:color w:val="000000"/>
          <w:szCs w:val="20"/>
        </w:rPr>
        <w:t xml:space="preserve"> (note this may change over the course of the contract).</w:t>
      </w:r>
    </w:p>
    <w:p w:rsidR="00127F13" w:rsidRPr="00C562EE" w:rsidRDefault="00127F13" w:rsidP="00127F13">
      <w:pPr>
        <w:pStyle w:val="Heading3"/>
      </w:pPr>
      <w:bookmarkStart w:id="39" w:name="_Toc414882564"/>
      <w:r>
        <w:t>7</w:t>
      </w:r>
      <w:r w:rsidRPr="00C562EE">
        <w:t xml:space="preserve">.6 </w:t>
      </w:r>
      <w:r>
        <w:t>Local Quality Requirements (LQR)</w:t>
      </w:r>
      <w:bookmarkEnd w:id="39"/>
      <w:r>
        <w:t xml:space="preserve"> </w:t>
      </w:r>
    </w:p>
    <w:p w:rsidR="00127F13" w:rsidRPr="008123D9" w:rsidRDefault="00127F13" w:rsidP="00127F13">
      <w:pPr>
        <w:ind w:right="-340"/>
        <w:jc w:val="both"/>
        <w:rPr>
          <w:szCs w:val="20"/>
        </w:rPr>
      </w:pPr>
      <w:r w:rsidRPr="008123D9">
        <w:rPr>
          <w:szCs w:val="20"/>
        </w:rPr>
        <w:t xml:space="preserve">The LQRs have been developed for this service for the first year. These will then be annually reviewed and adjusted. </w:t>
      </w:r>
    </w:p>
    <w:p w:rsidR="00127F13" w:rsidRPr="008123D9" w:rsidRDefault="006F2272" w:rsidP="00127F13">
      <w:pPr>
        <w:ind w:right="-340"/>
        <w:jc w:val="both"/>
        <w:rPr>
          <w:szCs w:val="20"/>
        </w:rPr>
      </w:pPr>
      <w:r>
        <w:rPr>
          <w:szCs w:val="20"/>
        </w:rPr>
        <w:t xml:space="preserve">Examples of </w:t>
      </w:r>
      <w:r w:rsidR="00127F13">
        <w:rPr>
          <w:szCs w:val="20"/>
        </w:rPr>
        <w:t>ENT</w:t>
      </w:r>
      <w:r w:rsidR="00127F13" w:rsidRPr="008123D9">
        <w:rPr>
          <w:szCs w:val="20"/>
        </w:rPr>
        <w:t xml:space="preserve"> specific key performance indicators</w:t>
      </w:r>
    </w:p>
    <w:p w:rsidR="00127F13" w:rsidRDefault="00127F13" w:rsidP="00F35F8C">
      <w:pPr>
        <w:pStyle w:val="Default"/>
        <w:numPr>
          <w:ilvl w:val="0"/>
          <w:numId w:val="43"/>
        </w:numPr>
        <w:spacing w:line="276" w:lineRule="auto"/>
        <w:jc w:val="both"/>
        <w:rPr>
          <w:bCs/>
          <w:color w:val="auto"/>
          <w:sz w:val="20"/>
          <w:szCs w:val="20"/>
        </w:rPr>
      </w:pPr>
      <w:r>
        <w:rPr>
          <w:bCs/>
          <w:color w:val="auto"/>
          <w:sz w:val="20"/>
          <w:szCs w:val="20"/>
        </w:rPr>
        <w:t xml:space="preserve">90% of patients will be seen and treated </w:t>
      </w:r>
      <w:r w:rsidRPr="00261621">
        <w:rPr>
          <w:bCs/>
          <w:color w:val="auto"/>
          <w:sz w:val="20"/>
          <w:szCs w:val="20"/>
        </w:rPr>
        <w:t>within a working maximum of 6 weeks</w:t>
      </w:r>
      <w:r>
        <w:rPr>
          <w:bCs/>
          <w:color w:val="auto"/>
          <w:sz w:val="20"/>
          <w:szCs w:val="20"/>
        </w:rPr>
        <w:t xml:space="preserve">. </w:t>
      </w:r>
      <w:r w:rsidRPr="00261621">
        <w:rPr>
          <w:bCs/>
          <w:color w:val="auto"/>
          <w:sz w:val="20"/>
          <w:szCs w:val="20"/>
        </w:rPr>
        <w:t xml:space="preserve"> (Two-Week Rule Cancer pathways would be followed for appropriate cases)</w:t>
      </w:r>
      <w:r w:rsidR="006B6E5B">
        <w:rPr>
          <w:bCs/>
          <w:color w:val="auto"/>
          <w:sz w:val="20"/>
          <w:szCs w:val="20"/>
        </w:rPr>
        <w:t>.</w:t>
      </w:r>
    </w:p>
    <w:p w:rsidR="00127F13" w:rsidRPr="005D3B4C" w:rsidRDefault="00127F13" w:rsidP="00F35F8C">
      <w:pPr>
        <w:numPr>
          <w:ilvl w:val="0"/>
          <w:numId w:val="43"/>
        </w:numPr>
        <w:spacing w:after="0"/>
        <w:jc w:val="both"/>
      </w:pPr>
      <w:r>
        <w:t>Maximum 10% referrals are directed onwards to secondary care. This includes both those referrals triaged direct to the acute and those patients assessed within the community service and then referred on</w:t>
      </w:r>
      <w:r w:rsidR="003C34B2">
        <w:t>wards to the C</w:t>
      </w:r>
      <w:r>
        <w:t xml:space="preserve">onsultant ENT team. </w:t>
      </w:r>
      <w:r w:rsidRPr="00261621">
        <w:rPr>
          <w:bCs/>
          <w:szCs w:val="20"/>
        </w:rPr>
        <w:t>Clinical justification will be needed if this figure is exceeded. This figure will be reviewed as necessary.</w:t>
      </w:r>
    </w:p>
    <w:p w:rsidR="00127F13" w:rsidRDefault="00127F13" w:rsidP="00F35F8C">
      <w:pPr>
        <w:pStyle w:val="Default"/>
        <w:numPr>
          <w:ilvl w:val="0"/>
          <w:numId w:val="43"/>
        </w:numPr>
        <w:spacing w:line="276" w:lineRule="auto"/>
        <w:jc w:val="both"/>
        <w:rPr>
          <w:bCs/>
          <w:color w:val="auto"/>
          <w:sz w:val="20"/>
          <w:szCs w:val="20"/>
        </w:rPr>
      </w:pPr>
      <w:r>
        <w:rPr>
          <w:bCs/>
          <w:color w:val="auto"/>
          <w:sz w:val="20"/>
          <w:szCs w:val="20"/>
        </w:rPr>
        <w:lastRenderedPageBreak/>
        <w:t xml:space="preserve">Anticipated 80% casemix will be managed in one stop shop. For the remaining 20% of patients the new to follow-up ratio will not exceed 1:1. This means that for the 20% of patients who require a follow up we anticipate one appointment. As microsuction is not included within this ratio it allows the provider more scope for reducing and managing follow ups.     </w:t>
      </w:r>
    </w:p>
    <w:p w:rsidR="00127F13" w:rsidRDefault="00127F13" w:rsidP="00F35F8C">
      <w:pPr>
        <w:pStyle w:val="Default"/>
        <w:numPr>
          <w:ilvl w:val="0"/>
          <w:numId w:val="43"/>
        </w:numPr>
        <w:spacing w:line="276" w:lineRule="auto"/>
        <w:jc w:val="both"/>
        <w:rPr>
          <w:bCs/>
          <w:color w:val="auto"/>
          <w:sz w:val="20"/>
          <w:szCs w:val="20"/>
        </w:rPr>
      </w:pPr>
      <w:r w:rsidRPr="00261621">
        <w:rPr>
          <w:bCs/>
          <w:color w:val="auto"/>
          <w:sz w:val="20"/>
          <w:szCs w:val="20"/>
        </w:rPr>
        <w:t>All onward referrals to secondary care to be sent with minimum data set information including date of receipt of referral at the GPSI service</w:t>
      </w:r>
      <w:r>
        <w:rPr>
          <w:bCs/>
          <w:color w:val="auto"/>
          <w:sz w:val="20"/>
          <w:szCs w:val="20"/>
        </w:rPr>
        <w:t xml:space="preserve"> within 5 working days</w:t>
      </w:r>
      <w:r w:rsidRPr="00261621">
        <w:rPr>
          <w:bCs/>
          <w:color w:val="auto"/>
          <w:sz w:val="20"/>
          <w:szCs w:val="20"/>
        </w:rPr>
        <w:t>. This is to ensure that the receiving hospital is able to comply with 18 week target requirements</w:t>
      </w:r>
      <w:r w:rsidR="00F10EC7">
        <w:rPr>
          <w:bCs/>
          <w:color w:val="auto"/>
          <w:sz w:val="20"/>
          <w:szCs w:val="20"/>
        </w:rPr>
        <w:t>.</w:t>
      </w:r>
    </w:p>
    <w:p w:rsidR="00127F13" w:rsidRDefault="00127F13" w:rsidP="00F35F8C">
      <w:pPr>
        <w:pStyle w:val="Default"/>
        <w:numPr>
          <w:ilvl w:val="0"/>
          <w:numId w:val="43"/>
        </w:numPr>
        <w:spacing w:line="276" w:lineRule="auto"/>
        <w:jc w:val="both"/>
        <w:rPr>
          <w:bCs/>
          <w:color w:val="auto"/>
          <w:sz w:val="20"/>
          <w:szCs w:val="20"/>
        </w:rPr>
      </w:pPr>
      <w:r>
        <w:rPr>
          <w:bCs/>
          <w:color w:val="auto"/>
          <w:sz w:val="20"/>
          <w:szCs w:val="20"/>
        </w:rPr>
        <w:t>Patient’s requiring microsuction will be seen in a nurse led microsuction clinic</w:t>
      </w:r>
      <w:r w:rsidR="00F10EC7">
        <w:rPr>
          <w:bCs/>
          <w:color w:val="auto"/>
          <w:sz w:val="20"/>
          <w:szCs w:val="20"/>
        </w:rPr>
        <w:t>.</w:t>
      </w:r>
    </w:p>
    <w:p w:rsidR="00127F13" w:rsidRDefault="00127F13" w:rsidP="00F35F8C">
      <w:pPr>
        <w:pStyle w:val="Default"/>
        <w:numPr>
          <w:ilvl w:val="0"/>
          <w:numId w:val="43"/>
        </w:numPr>
        <w:spacing w:line="276" w:lineRule="auto"/>
        <w:jc w:val="both"/>
        <w:rPr>
          <w:bCs/>
          <w:color w:val="auto"/>
          <w:sz w:val="20"/>
          <w:szCs w:val="20"/>
        </w:rPr>
      </w:pPr>
      <w:r>
        <w:rPr>
          <w:bCs/>
          <w:color w:val="auto"/>
          <w:sz w:val="20"/>
          <w:szCs w:val="20"/>
        </w:rPr>
        <w:t>DNA rates are equal to or less than 10% of the patient group. Robust recall and monitoring of DNAs should be in place</w:t>
      </w:r>
      <w:r w:rsidR="00F10EC7">
        <w:rPr>
          <w:bCs/>
          <w:color w:val="auto"/>
          <w:sz w:val="20"/>
          <w:szCs w:val="20"/>
        </w:rPr>
        <w:t>.</w:t>
      </w:r>
    </w:p>
    <w:p w:rsidR="00127F13" w:rsidRDefault="00127F13" w:rsidP="00F35F8C">
      <w:pPr>
        <w:pStyle w:val="ListParagraph"/>
        <w:numPr>
          <w:ilvl w:val="0"/>
          <w:numId w:val="43"/>
        </w:numPr>
        <w:ind w:right="-340"/>
        <w:jc w:val="both"/>
        <w:rPr>
          <w:rFonts w:cs="Arial"/>
          <w:color w:val="000000"/>
          <w:szCs w:val="20"/>
          <w:lang w:eastAsia="en-GB"/>
        </w:rPr>
      </w:pPr>
      <w:r w:rsidRPr="0095713A">
        <w:rPr>
          <w:rFonts w:eastAsia="MS Mincho"/>
          <w:szCs w:val="20"/>
          <w:lang w:eastAsia="ja-JP"/>
        </w:rPr>
        <w:t xml:space="preserve">Clinical outcomes relating to </w:t>
      </w:r>
      <w:r>
        <w:rPr>
          <w:rFonts w:eastAsia="MS Mincho"/>
          <w:szCs w:val="20"/>
          <w:lang w:eastAsia="ja-JP"/>
        </w:rPr>
        <w:t>ENT</w:t>
      </w:r>
      <w:r w:rsidRPr="0095713A">
        <w:rPr>
          <w:rFonts w:eastAsia="MS Mincho"/>
          <w:szCs w:val="20"/>
          <w:lang w:eastAsia="ja-JP"/>
        </w:rPr>
        <w:t xml:space="preserve"> conditions such as </w:t>
      </w:r>
      <w:r w:rsidRPr="0095713A">
        <w:rPr>
          <w:rFonts w:cs="Arial"/>
          <w:color w:val="000000"/>
          <w:szCs w:val="20"/>
          <w:lang w:eastAsia="en-GB"/>
        </w:rPr>
        <w:t>the guidance within N</w:t>
      </w:r>
      <w:r w:rsidRPr="002B5213">
        <w:rPr>
          <w:rFonts w:cs="Arial"/>
          <w:color w:val="000000"/>
          <w:szCs w:val="20"/>
          <w:lang w:eastAsia="en-GB"/>
        </w:rPr>
        <w:t xml:space="preserve">ICE </w:t>
      </w:r>
      <w:r>
        <w:rPr>
          <w:rFonts w:cs="Arial"/>
          <w:color w:val="000000"/>
          <w:szCs w:val="20"/>
          <w:lang w:eastAsia="en-GB"/>
        </w:rPr>
        <w:t>and other Clinical PROM as agreed with Commissioners</w:t>
      </w:r>
      <w:r w:rsidR="00F10EC7">
        <w:rPr>
          <w:rFonts w:cs="Arial"/>
          <w:color w:val="000000"/>
          <w:szCs w:val="20"/>
          <w:lang w:eastAsia="en-GB"/>
        </w:rPr>
        <w:t>.</w:t>
      </w:r>
    </w:p>
    <w:p w:rsidR="00127F13" w:rsidRPr="002B5213" w:rsidRDefault="00127F13" w:rsidP="00F35F8C">
      <w:pPr>
        <w:pStyle w:val="ListParagraph"/>
        <w:numPr>
          <w:ilvl w:val="0"/>
          <w:numId w:val="43"/>
        </w:numPr>
        <w:ind w:right="-340"/>
        <w:jc w:val="both"/>
        <w:rPr>
          <w:rFonts w:cs="Arial"/>
          <w:color w:val="000000"/>
          <w:szCs w:val="20"/>
          <w:lang w:eastAsia="en-GB"/>
        </w:rPr>
      </w:pPr>
      <w:r>
        <w:rPr>
          <w:rFonts w:eastAsia="MS Mincho"/>
          <w:szCs w:val="20"/>
          <w:lang w:eastAsia="ja-JP"/>
        </w:rPr>
        <w:t>SURE scores for evaluating Shared Decision Making</w:t>
      </w:r>
      <w:r w:rsidR="00F10EC7">
        <w:rPr>
          <w:rFonts w:eastAsia="MS Mincho"/>
          <w:szCs w:val="20"/>
          <w:lang w:eastAsia="ja-JP"/>
        </w:rPr>
        <w:t>.</w:t>
      </w:r>
    </w:p>
    <w:p w:rsidR="00127F13" w:rsidRPr="00127F13" w:rsidRDefault="00127F13" w:rsidP="00127F13">
      <w:pPr>
        <w:pStyle w:val="Default"/>
        <w:spacing w:line="276" w:lineRule="auto"/>
        <w:ind w:left="720"/>
        <w:jc w:val="both"/>
        <w:rPr>
          <w:bCs/>
          <w:color w:val="auto"/>
          <w:sz w:val="20"/>
          <w:szCs w:val="20"/>
        </w:rPr>
      </w:pPr>
    </w:p>
    <w:p w:rsidR="00D77151" w:rsidRPr="007171CF" w:rsidRDefault="00D77151" w:rsidP="00D77151"/>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0" w:name="_Toc414882565"/>
            <w:r>
              <w:rPr>
                <w:color w:val="FFFFFF" w:themeColor="background1"/>
              </w:rPr>
              <w:t>8</w:t>
            </w:r>
            <w:r w:rsidRPr="003225F3">
              <w:rPr>
                <w:color w:val="FFFFFF" w:themeColor="background1"/>
              </w:rPr>
              <w:t>.0</w:t>
            </w:r>
            <w:r w:rsidRPr="003225F3">
              <w:rPr>
                <w:color w:val="FFFFFF" w:themeColor="background1"/>
              </w:rPr>
              <w:tab/>
              <w:t>Equality, Sustainability (Environmental) and Social Value</w:t>
            </w:r>
            <w:bookmarkEnd w:id="40"/>
          </w:p>
        </w:tc>
      </w:tr>
    </w:tbl>
    <w:p w:rsidR="00D77151" w:rsidRDefault="00D77151" w:rsidP="00D77151">
      <w:pPr>
        <w:rPr>
          <w:b/>
          <w:color w:val="548DD4" w:themeColor="text2" w:themeTint="99"/>
          <w:sz w:val="24"/>
        </w:rPr>
      </w:pPr>
    </w:p>
    <w:p w:rsidR="00F10AB6" w:rsidRPr="00E61BCA" w:rsidRDefault="00F10AB6" w:rsidP="00F10AB6">
      <w:pPr>
        <w:tabs>
          <w:tab w:val="num" w:pos="851"/>
        </w:tabs>
        <w:ind w:right="-340"/>
        <w:jc w:val="both"/>
        <w:rPr>
          <w:rFonts w:eastAsia="MS Mincho" w:cs="Arial"/>
          <w:bCs/>
          <w:szCs w:val="20"/>
          <w:lang w:eastAsia="ja-JP"/>
        </w:rPr>
      </w:pPr>
      <w:r w:rsidRPr="00E61BCA">
        <w:rPr>
          <w:rFonts w:eastAsia="MS Mincho" w:cs="Arial"/>
          <w:bCs/>
          <w:szCs w:val="20"/>
          <w:lang w:eastAsia="ja-JP"/>
        </w:rPr>
        <w:t>To achieve equality, sustainable with social value the Service will need to ensure that it:</w:t>
      </w:r>
    </w:p>
    <w:p w:rsidR="00F10AB6" w:rsidRPr="00E61BCA" w:rsidRDefault="00F10AB6" w:rsidP="00F35F8C">
      <w:pPr>
        <w:pStyle w:val="ListParagraph"/>
        <w:numPr>
          <w:ilvl w:val="0"/>
          <w:numId w:val="16"/>
        </w:numPr>
        <w:ind w:right="-340"/>
        <w:rPr>
          <w:rFonts w:cs="Arial"/>
          <w:szCs w:val="20"/>
        </w:rPr>
      </w:pPr>
      <w:r w:rsidRPr="00E61BCA">
        <w:rPr>
          <w:rFonts w:cs="Arial"/>
          <w:szCs w:val="20"/>
        </w:rPr>
        <w:t>Provides access to the right care in the right place by the right person;</w:t>
      </w:r>
    </w:p>
    <w:p w:rsidR="00F10AB6" w:rsidRPr="00E61BCA" w:rsidRDefault="00F10AB6" w:rsidP="00F35F8C">
      <w:pPr>
        <w:pStyle w:val="ListParagraph"/>
        <w:numPr>
          <w:ilvl w:val="0"/>
          <w:numId w:val="16"/>
        </w:numPr>
        <w:ind w:right="-340"/>
        <w:rPr>
          <w:rFonts w:cs="Arial"/>
          <w:szCs w:val="20"/>
        </w:rPr>
      </w:pPr>
      <w:r w:rsidRPr="00E61BCA">
        <w:rPr>
          <w:rFonts w:cs="Arial"/>
          <w:szCs w:val="20"/>
        </w:rPr>
        <w:t>Establishes standards for quality of care within an effective and integrated service/network;</w:t>
      </w:r>
    </w:p>
    <w:p w:rsidR="00F10AB6" w:rsidRPr="00E61BCA" w:rsidRDefault="00F10AB6" w:rsidP="00F35F8C">
      <w:pPr>
        <w:pStyle w:val="ListParagraph"/>
        <w:numPr>
          <w:ilvl w:val="0"/>
          <w:numId w:val="16"/>
        </w:numPr>
        <w:ind w:right="-340"/>
        <w:rPr>
          <w:rFonts w:cs="Arial"/>
          <w:szCs w:val="20"/>
        </w:rPr>
      </w:pPr>
      <w:r w:rsidRPr="00E61BCA">
        <w:rPr>
          <w:rFonts w:cs="Arial"/>
          <w:szCs w:val="20"/>
        </w:rPr>
        <w:t xml:space="preserve">Improves patient care and outcomes from the </w:t>
      </w:r>
      <w:r w:rsidR="00683290">
        <w:rPr>
          <w:rFonts w:cs="Arial"/>
          <w:szCs w:val="20"/>
        </w:rPr>
        <w:t>Service</w:t>
      </w:r>
      <w:r w:rsidRPr="00E61BCA">
        <w:rPr>
          <w:rFonts w:cs="Arial"/>
          <w:szCs w:val="20"/>
        </w:rPr>
        <w:t>;</w:t>
      </w:r>
    </w:p>
    <w:p w:rsidR="00F10AB6" w:rsidRPr="00E61BCA" w:rsidRDefault="00F10AB6" w:rsidP="00F35F8C">
      <w:pPr>
        <w:pStyle w:val="ListParagraph"/>
        <w:numPr>
          <w:ilvl w:val="0"/>
          <w:numId w:val="16"/>
        </w:numPr>
        <w:ind w:right="-340"/>
        <w:rPr>
          <w:rFonts w:cs="Arial"/>
          <w:szCs w:val="20"/>
        </w:rPr>
      </w:pPr>
      <w:r w:rsidRPr="00E61BCA">
        <w:rPr>
          <w:rFonts w:cs="Arial"/>
          <w:szCs w:val="20"/>
        </w:rPr>
        <w:t>Maximises prevention, either as part of the Service or another closely related service;</w:t>
      </w:r>
    </w:p>
    <w:p w:rsidR="00F10AB6" w:rsidRPr="00E61BCA" w:rsidRDefault="00F10AB6" w:rsidP="00F35F8C">
      <w:pPr>
        <w:pStyle w:val="ListParagraph"/>
        <w:numPr>
          <w:ilvl w:val="0"/>
          <w:numId w:val="16"/>
        </w:numPr>
        <w:ind w:right="-340"/>
        <w:rPr>
          <w:rFonts w:cs="Arial"/>
          <w:szCs w:val="20"/>
        </w:rPr>
      </w:pPr>
      <w:r w:rsidRPr="00E61BCA">
        <w:rPr>
          <w:rFonts w:cs="Arial"/>
          <w:szCs w:val="20"/>
        </w:rPr>
        <w:t>Reduces supply induced demand, by ensuring that need has been demonstrated</w:t>
      </w:r>
      <w:r w:rsidR="00F10EC7">
        <w:rPr>
          <w:rFonts w:cs="Arial"/>
          <w:szCs w:val="20"/>
        </w:rPr>
        <w:t>;</w:t>
      </w:r>
    </w:p>
    <w:p w:rsidR="00F10AB6" w:rsidRPr="00E61BCA" w:rsidRDefault="00F10AB6" w:rsidP="00F35F8C">
      <w:pPr>
        <w:pStyle w:val="ListParagraph"/>
        <w:numPr>
          <w:ilvl w:val="0"/>
          <w:numId w:val="16"/>
        </w:numPr>
        <w:ind w:right="-340"/>
        <w:rPr>
          <w:rFonts w:cs="Arial"/>
          <w:szCs w:val="20"/>
        </w:rPr>
      </w:pPr>
      <w:r w:rsidRPr="00E61BCA">
        <w:rPr>
          <w:rFonts w:cs="Arial"/>
          <w:szCs w:val="20"/>
        </w:rPr>
        <w:t>Uses best available evidence of effectiveness in deciding details of service design and local population need.</w:t>
      </w:r>
    </w:p>
    <w:p w:rsidR="00F10AB6" w:rsidRDefault="00F10AB6" w:rsidP="00D77151">
      <w:pPr>
        <w:rPr>
          <w:b/>
          <w:color w:val="548DD4" w:themeColor="text2" w:themeTint="99"/>
          <w:sz w:val="24"/>
        </w:rPr>
      </w:pPr>
    </w:p>
    <w:p w:rsidR="00D77151" w:rsidRPr="00C562EE" w:rsidRDefault="00D77151" w:rsidP="00D77151">
      <w:pPr>
        <w:pStyle w:val="Heading3"/>
      </w:pPr>
      <w:bookmarkStart w:id="41" w:name="_Toc414882566"/>
      <w:r>
        <w:t>8.</w:t>
      </w:r>
      <w:r w:rsidRPr="00C562EE">
        <w:t>1 Equality</w:t>
      </w:r>
      <w:bookmarkEnd w:id="41"/>
    </w:p>
    <w:p w:rsidR="00F10AB6" w:rsidRDefault="00F10AB6" w:rsidP="00F10AB6">
      <w:pPr>
        <w:tabs>
          <w:tab w:val="num" w:pos="851"/>
        </w:tabs>
        <w:ind w:right="-340"/>
        <w:jc w:val="both"/>
        <w:rPr>
          <w:rFonts w:eastAsia="MS Mincho" w:cs="Arial"/>
          <w:bCs/>
          <w:szCs w:val="20"/>
          <w:lang w:eastAsia="ja-JP"/>
        </w:rPr>
      </w:pPr>
      <w:r w:rsidRPr="00E61BCA">
        <w:rPr>
          <w:rFonts w:eastAsia="MS Mincho" w:cs="Arial"/>
          <w:bCs/>
          <w:szCs w:val="20"/>
          <w:lang w:eastAsia="ja-JP"/>
        </w:rPr>
        <w:t>The NHS Horsham and Mid Sussex CCG</w:t>
      </w:r>
      <w:r w:rsidR="006B6E5B">
        <w:rPr>
          <w:rFonts w:eastAsia="MS Mincho" w:cs="Arial"/>
          <w:bCs/>
          <w:szCs w:val="20"/>
          <w:lang w:eastAsia="ja-JP"/>
        </w:rPr>
        <w:t xml:space="preserve">, </w:t>
      </w:r>
      <w:r w:rsidRPr="00E61BCA">
        <w:rPr>
          <w:rFonts w:eastAsia="MS Mincho" w:cs="Arial"/>
          <w:bCs/>
          <w:szCs w:val="20"/>
          <w:lang w:eastAsia="ja-JP"/>
        </w:rPr>
        <w:t>NHS Crawley CCG</w:t>
      </w:r>
      <w:r w:rsidR="006B6E5B">
        <w:rPr>
          <w:rFonts w:eastAsia="MS Mincho" w:cs="Arial"/>
          <w:bCs/>
          <w:szCs w:val="20"/>
          <w:lang w:eastAsia="ja-JP"/>
        </w:rPr>
        <w:t xml:space="preserve"> and Coastal West Sussex CCG</w:t>
      </w:r>
      <w:r w:rsidRPr="00E61BCA">
        <w:rPr>
          <w:rFonts w:eastAsia="MS Mincho" w:cs="Arial"/>
          <w:bCs/>
          <w:szCs w:val="20"/>
          <w:lang w:eastAsia="ja-JP"/>
        </w:rPr>
        <w:t xml:space="preserve"> are mindful of the obligations under the Equality Act 2010 not to discriminate on unjustifiable grounds in the provision of services and public functions. It is also mindful of its obligations as a public sector body to have due regard to the need to eliminate any conduct prohibited by the Act; advance equality of opportunity; and foster good relations between those with protected characteristics and those without. The Service will be required to show at all times that it meets its obligations under the Equa</w:t>
      </w:r>
      <w:r>
        <w:rPr>
          <w:rFonts w:eastAsia="MS Mincho" w:cs="Arial"/>
          <w:bCs/>
          <w:szCs w:val="20"/>
          <w:lang w:eastAsia="ja-JP"/>
        </w:rPr>
        <w:t>lity Act, including but not limited to:</w:t>
      </w:r>
    </w:p>
    <w:p w:rsidR="00F10AB6" w:rsidRDefault="00F10AB6" w:rsidP="00F35F8C">
      <w:pPr>
        <w:pStyle w:val="ListParagraph"/>
        <w:numPr>
          <w:ilvl w:val="0"/>
          <w:numId w:val="17"/>
        </w:numPr>
        <w:tabs>
          <w:tab w:val="num" w:pos="851"/>
        </w:tabs>
        <w:ind w:right="-340"/>
        <w:jc w:val="both"/>
        <w:rPr>
          <w:rFonts w:eastAsia="MS Mincho" w:cs="Arial"/>
          <w:bCs/>
          <w:szCs w:val="20"/>
          <w:lang w:eastAsia="ja-JP"/>
        </w:rPr>
      </w:pPr>
      <w:r>
        <w:rPr>
          <w:rFonts w:eastAsia="MS Mincho" w:cs="Arial"/>
          <w:bCs/>
          <w:szCs w:val="20"/>
          <w:lang w:eastAsia="ja-JP"/>
        </w:rPr>
        <w:t>Meeting the provisions of the standard NHS contract relating to equality and diversity issues;</w:t>
      </w:r>
    </w:p>
    <w:p w:rsidR="00F10AB6" w:rsidRDefault="00F10AB6" w:rsidP="00F35F8C">
      <w:pPr>
        <w:pStyle w:val="ListParagraph"/>
        <w:numPr>
          <w:ilvl w:val="0"/>
          <w:numId w:val="17"/>
        </w:numPr>
        <w:tabs>
          <w:tab w:val="num" w:pos="851"/>
        </w:tabs>
        <w:ind w:right="-340"/>
        <w:jc w:val="both"/>
        <w:rPr>
          <w:rFonts w:eastAsia="MS Mincho" w:cs="Arial"/>
          <w:bCs/>
          <w:szCs w:val="20"/>
          <w:lang w:eastAsia="ja-JP"/>
        </w:rPr>
      </w:pPr>
      <w:r>
        <w:rPr>
          <w:rFonts w:eastAsia="MS Mincho" w:cs="Arial"/>
          <w:bCs/>
          <w:szCs w:val="20"/>
          <w:lang w:eastAsia="ja-JP"/>
        </w:rPr>
        <w:t>Collecting appropriate monitoring data;</w:t>
      </w:r>
    </w:p>
    <w:p w:rsidR="00F10AB6" w:rsidRDefault="00F10AB6" w:rsidP="00F35F8C">
      <w:pPr>
        <w:pStyle w:val="ListParagraph"/>
        <w:numPr>
          <w:ilvl w:val="0"/>
          <w:numId w:val="17"/>
        </w:numPr>
        <w:tabs>
          <w:tab w:val="num" w:pos="851"/>
        </w:tabs>
        <w:ind w:right="-340"/>
        <w:jc w:val="both"/>
        <w:rPr>
          <w:rFonts w:eastAsia="MS Mincho" w:cs="Arial"/>
          <w:bCs/>
          <w:szCs w:val="20"/>
          <w:lang w:eastAsia="ja-JP"/>
        </w:rPr>
      </w:pPr>
      <w:r>
        <w:rPr>
          <w:rFonts w:eastAsia="MS Mincho" w:cs="Arial"/>
          <w:bCs/>
          <w:szCs w:val="20"/>
          <w:lang w:eastAsia="ja-JP"/>
        </w:rPr>
        <w:t>Evidence of appropriate Equality Awareness training for all staff; and</w:t>
      </w:r>
    </w:p>
    <w:p w:rsidR="00F10AB6" w:rsidRDefault="00F10AB6" w:rsidP="00F35F8C">
      <w:pPr>
        <w:pStyle w:val="ListParagraph"/>
        <w:numPr>
          <w:ilvl w:val="0"/>
          <w:numId w:val="17"/>
        </w:numPr>
        <w:tabs>
          <w:tab w:val="num" w:pos="851"/>
        </w:tabs>
        <w:ind w:right="-340"/>
        <w:jc w:val="both"/>
        <w:rPr>
          <w:rFonts w:eastAsia="MS Mincho" w:cs="Arial"/>
          <w:bCs/>
          <w:szCs w:val="20"/>
          <w:lang w:eastAsia="ja-JP"/>
        </w:rPr>
      </w:pPr>
      <w:r>
        <w:rPr>
          <w:rFonts w:eastAsia="MS Mincho" w:cs="Arial"/>
          <w:bCs/>
          <w:szCs w:val="20"/>
          <w:lang w:eastAsia="ja-JP"/>
        </w:rPr>
        <w:t>Equality Impact Assessment of service provision</w:t>
      </w:r>
    </w:p>
    <w:p w:rsidR="006F2272" w:rsidRPr="00FA7BA3" w:rsidRDefault="006F2272" w:rsidP="006F2272">
      <w:pPr>
        <w:pStyle w:val="ListParagraph"/>
        <w:ind w:right="-340"/>
        <w:jc w:val="both"/>
        <w:rPr>
          <w:rFonts w:eastAsia="MS Mincho" w:cs="Arial"/>
          <w:bCs/>
          <w:szCs w:val="20"/>
          <w:lang w:eastAsia="ja-JP"/>
        </w:rPr>
      </w:pPr>
    </w:p>
    <w:p w:rsidR="00F10AB6" w:rsidRPr="00C562EE" w:rsidRDefault="00F10AB6" w:rsidP="00F10AB6">
      <w:pPr>
        <w:pStyle w:val="Heading3"/>
      </w:pPr>
      <w:bookmarkStart w:id="42" w:name="_Toc414882567"/>
      <w:r>
        <w:lastRenderedPageBreak/>
        <w:t>8</w:t>
      </w:r>
      <w:r w:rsidRPr="00C562EE">
        <w:t>.2 Social Value</w:t>
      </w:r>
      <w:bookmarkEnd w:id="42"/>
    </w:p>
    <w:p w:rsidR="00F10AB6" w:rsidRPr="00E61BCA" w:rsidRDefault="00F10AB6" w:rsidP="00F10AB6">
      <w:pPr>
        <w:tabs>
          <w:tab w:val="num" w:pos="851"/>
        </w:tabs>
        <w:spacing w:after="0"/>
        <w:ind w:right="-340"/>
        <w:jc w:val="both"/>
        <w:rPr>
          <w:rFonts w:eastAsia="MS Mincho" w:cs="Arial"/>
          <w:bCs/>
          <w:szCs w:val="20"/>
          <w:lang w:eastAsia="ja-JP"/>
        </w:rPr>
      </w:pPr>
      <w:r w:rsidRPr="00E61BCA">
        <w:rPr>
          <w:rFonts w:eastAsia="MS Mincho" w:cs="Arial"/>
          <w:bCs/>
          <w:szCs w:val="20"/>
          <w:lang w:eastAsia="ja-JP"/>
        </w:rPr>
        <w:t>The Public Services (Social Value) Act 2012 requires commissioners of public services to consider how their commissioned  services might improve the economic, social and environmental wellbeing of the relevant area; and how in conducting the process of procurement, they might act with a view to securing that improvement.</w:t>
      </w:r>
    </w:p>
    <w:p w:rsidR="00F10AB6" w:rsidRPr="00E61BCA" w:rsidRDefault="00F10AB6" w:rsidP="00F10AB6">
      <w:pPr>
        <w:tabs>
          <w:tab w:val="num" w:pos="851"/>
        </w:tabs>
        <w:spacing w:after="0"/>
        <w:ind w:right="-340"/>
        <w:jc w:val="both"/>
        <w:rPr>
          <w:rFonts w:eastAsia="MS Mincho" w:cs="Arial"/>
          <w:bCs/>
          <w:szCs w:val="20"/>
          <w:lang w:eastAsia="ja-JP"/>
        </w:rPr>
      </w:pPr>
      <w:r w:rsidRPr="00E61BCA">
        <w:rPr>
          <w:rFonts w:eastAsia="MS Mincho" w:cs="Arial"/>
          <w:bCs/>
          <w:szCs w:val="20"/>
          <w:lang w:eastAsia="ja-JP"/>
        </w:rPr>
        <w:t>Social value describes the wider social benefits achieved from high quality public services. It aims to generate wider benefits from investment in health services. It promotes the wellbeing, health inclusion and employment of local people and communities. Adopting an approach based on social value principles requires a change to the traditional mind-set of the care system from one which sees communities and people having needs, to one which understands and empowers them as having assets that contribute to our health and wellbeing.  Social value benefits could for example include improved community resilience, increased training and education opportunities or reduction in demand for public services.</w:t>
      </w:r>
    </w:p>
    <w:p w:rsidR="006F2272" w:rsidRDefault="006F2272" w:rsidP="00F10AB6">
      <w:pPr>
        <w:pStyle w:val="Heading3"/>
      </w:pPr>
      <w:bookmarkStart w:id="43" w:name="_Toc414882568"/>
    </w:p>
    <w:p w:rsidR="00F10AB6" w:rsidRDefault="00F10AB6" w:rsidP="00F10AB6">
      <w:pPr>
        <w:pStyle w:val="Heading3"/>
      </w:pPr>
      <w:r>
        <w:t>8</w:t>
      </w:r>
      <w:r w:rsidRPr="00C562EE">
        <w:t>.3 Sustainability</w:t>
      </w:r>
      <w:bookmarkEnd w:id="43"/>
    </w:p>
    <w:p w:rsidR="00F10AB6" w:rsidRPr="00E61BCA" w:rsidRDefault="00F10AB6" w:rsidP="00F10AB6">
      <w:pPr>
        <w:tabs>
          <w:tab w:val="num" w:pos="851"/>
        </w:tabs>
        <w:spacing w:after="0"/>
        <w:ind w:right="-340"/>
        <w:jc w:val="both"/>
        <w:rPr>
          <w:rFonts w:eastAsia="MS Mincho" w:cs="Arial"/>
          <w:bCs/>
          <w:szCs w:val="20"/>
          <w:lang w:eastAsia="ja-JP"/>
        </w:rPr>
      </w:pPr>
      <w:r w:rsidRPr="00E61BCA">
        <w:rPr>
          <w:rFonts w:eastAsia="MS Mincho" w:cs="Arial"/>
          <w:bCs/>
          <w:szCs w:val="20"/>
          <w:lang w:eastAsia="ja-JP"/>
        </w:rPr>
        <w:t>The new Service will be required to show how it will deliver a sustainable service.</w:t>
      </w:r>
    </w:p>
    <w:p w:rsidR="00F10AB6" w:rsidRPr="00294510" w:rsidRDefault="00F10AB6" w:rsidP="00F10AB6">
      <w:pPr>
        <w:rPr>
          <w:rFonts w:asciiTheme="minorHAnsi" w:eastAsiaTheme="minorHAnsi" w:hAnsiTheme="minorHAnsi" w:cstheme="minorBidi"/>
          <w:sz w:val="22"/>
        </w:rPr>
      </w:pPr>
      <w:r w:rsidRPr="00E61BCA">
        <w:rPr>
          <w:rFonts w:eastAsia="MS Mincho" w:cs="Arial"/>
          <w:bCs/>
          <w:szCs w:val="20"/>
          <w:lang w:eastAsia="ja-JP"/>
        </w:rPr>
        <w:t xml:space="preserve">The Good Corporate Citizenship is a NHS tool to help the Service on how it can contribute to a sustainable </w:t>
      </w:r>
      <w:r w:rsidRPr="0056458C">
        <w:rPr>
          <w:rFonts w:eastAsia="MS Mincho" w:cs="Arial"/>
          <w:bCs/>
          <w:szCs w:val="20"/>
          <w:lang w:eastAsia="ja-JP"/>
        </w:rPr>
        <w:t xml:space="preserve">development. </w:t>
      </w:r>
      <w:r w:rsidRPr="00E210C3">
        <w:rPr>
          <w:rFonts w:eastAsia="MS Mincho" w:cs="Arial"/>
          <w:bCs/>
          <w:szCs w:val="20"/>
          <w:lang w:eastAsia="ja-JP"/>
        </w:rPr>
        <w:t xml:space="preserve">. </w:t>
      </w:r>
      <w:hyperlink r:id="rId14" w:history="1">
        <w:r w:rsidRPr="0056458C">
          <w:rPr>
            <w:rFonts w:asciiTheme="minorHAnsi" w:eastAsiaTheme="minorHAnsi" w:hAnsiTheme="minorHAnsi" w:cstheme="minorBidi"/>
            <w:color w:val="0000FF" w:themeColor="hyperlink"/>
            <w:sz w:val="22"/>
            <w:u w:val="single"/>
          </w:rPr>
          <w:t>http://www.sd-commission.org.uk/pages/health.html</w:t>
        </w:r>
      </w:hyperlink>
    </w:p>
    <w:p w:rsidR="00F10AB6" w:rsidRPr="00E61BCA" w:rsidRDefault="00F10AB6" w:rsidP="00F10AB6">
      <w:pPr>
        <w:tabs>
          <w:tab w:val="num" w:pos="851"/>
        </w:tabs>
        <w:spacing w:after="0"/>
        <w:ind w:right="-340"/>
        <w:jc w:val="both"/>
        <w:rPr>
          <w:rFonts w:eastAsia="MS Mincho" w:cs="Arial"/>
          <w:bCs/>
          <w:szCs w:val="20"/>
          <w:lang w:eastAsia="ja-JP"/>
        </w:rPr>
      </w:pPr>
      <w:r w:rsidRPr="00E61BCA">
        <w:rPr>
          <w:rFonts w:eastAsia="MS Mincho" w:cs="Arial"/>
          <w:bCs/>
          <w:szCs w:val="20"/>
          <w:lang w:eastAsia="ja-JP"/>
        </w:rPr>
        <w:t>There are 5 principles which need to be taken into account:</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Living within environmental limits;</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Ensuring a strong, healthy and just society;</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Achieving a sustainable economy;</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Using sound science responsibly;</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 xml:space="preserve">Promoting good governance. </w:t>
      </w:r>
    </w:p>
    <w:p w:rsidR="00F10AB6" w:rsidRPr="001F3250" w:rsidRDefault="00F10AB6" w:rsidP="00F10AB6">
      <w:pPr>
        <w:tabs>
          <w:tab w:val="num" w:pos="851"/>
        </w:tabs>
        <w:spacing w:after="0"/>
        <w:ind w:left="-680" w:right="-340"/>
        <w:jc w:val="both"/>
        <w:rPr>
          <w:rFonts w:eastAsia="MS Mincho" w:cs="Arial"/>
          <w:bCs/>
          <w:szCs w:val="20"/>
          <w:highlight w:val="yellow"/>
          <w:lang w:eastAsia="ja-JP"/>
        </w:rPr>
      </w:pPr>
    </w:p>
    <w:p w:rsidR="00F10AB6" w:rsidRPr="00E61BCA" w:rsidRDefault="00F10AB6" w:rsidP="00F10AB6">
      <w:pPr>
        <w:tabs>
          <w:tab w:val="num" w:pos="851"/>
        </w:tabs>
        <w:spacing w:after="0"/>
        <w:ind w:right="-340"/>
        <w:jc w:val="both"/>
        <w:rPr>
          <w:rFonts w:eastAsia="MS Mincho" w:cs="Arial"/>
          <w:bCs/>
          <w:szCs w:val="20"/>
          <w:lang w:eastAsia="ja-JP"/>
        </w:rPr>
      </w:pPr>
      <w:r w:rsidRPr="00E61BCA">
        <w:rPr>
          <w:rFonts w:eastAsia="MS Mincho" w:cs="Arial"/>
          <w:bCs/>
          <w:szCs w:val="20"/>
          <w:lang w:eastAsia="ja-JP"/>
        </w:rPr>
        <w:t>The Service must:</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Have a Board-approved sustainable development management plan;</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Be signed up to the Good Corporate Citizenship Assessment Model;</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Have in place measure monitors and try to reduce carbon where possible in the organisation;</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Be an organisation which has an awareness of sustainability at every level of the organisation and works to change the behaviour of all employees to improve sustainability;</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Be a Nominated S</w:t>
      </w:r>
      <w:r w:rsidR="00F10EC7">
        <w:rPr>
          <w:rFonts w:cs="Arial"/>
          <w:szCs w:val="20"/>
        </w:rPr>
        <w:t>ustainable Development Champion;</w:t>
      </w:r>
    </w:p>
    <w:p w:rsidR="00F10AB6" w:rsidRPr="00E61BCA" w:rsidRDefault="00F10AB6" w:rsidP="00F35F8C">
      <w:pPr>
        <w:pStyle w:val="ListParagraph"/>
        <w:numPr>
          <w:ilvl w:val="0"/>
          <w:numId w:val="16"/>
        </w:numPr>
        <w:spacing w:after="0"/>
        <w:ind w:right="-340"/>
        <w:rPr>
          <w:rFonts w:cs="Arial"/>
          <w:szCs w:val="20"/>
        </w:rPr>
      </w:pPr>
      <w:r w:rsidRPr="00E61BCA">
        <w:rPr>
          <w:rFonts w:cs="Arial"/>
          <w:szCs w:val="20"/>
        </w:rPr>
        <w:t>The new Service will be required to show how it will deliver a sustainable service.</w:t>
      </w:r>
    </w:p>
    <w:p w:rsidR="00F10AB6" w:rsidRDefault="00F10AB6" w:rsidP="00F10AB6"/>
    <w:p w:rsidR="006F2272" w:rsidRPr="00F10AB6" w:rsidRDefault="006F2272" w:rsidP="00F10AB6"/>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4" w:name="_Toc414882569"/>
            <w:r>
              <w:rPr>
                <w:color w:val="FFFFFF" w:themeColor="background1"/>
              </w:rPr>
              <w:t>9</w:t>
            </w:r>
            <w:r w:rsidRPr="003225F3">
              <w:rPr>
                <w:color w:val="FFFFFF" w:themeColor="background1"/>
              </w:rPr>
              <w:t>.0</w:t>
            </w:r>
            <w:r w:rsidRPr="003225F3">
              <w:rPr>
                <w:color w:val="FFFFFF" w:themeColor="background1"/>
              </w:rPr>
              <w:tab/>
              <w:t>Armed Forces</w:t>
            </w:r>
            <w:bookmarkEnd w:id="44"/>
          </w:p>
        </w:tc>
      </w:tr>
    </w:tbl>
    <w:p w:rsidR="00C30E8F" w:rsidRDefault="00C30E8F" w:rsidP="00C30E8F">
      <w:pPr>
        <w:pStyle w:val="Default"/>
        <w:ind w:left="-680" w:right="-340" w:firstLine="680"/>
        <w:rPr>
          <w:rFonts w:eastAsia="MS Mincho"/>
          <w:color w:val="auto"/>
          <w:sz w:val="20"/>
          <w:szCs w:val="20"/>
          <w:lang w:eastAsia="ja-JP"/>
        </w:rPr>
      </w:pPr>
    </w:p>
    <w:p w:rsidR="00B309AC" w:rsidRPr="00E61BCA" w:rsidRDefault="00B309AC" w:rsidP="00C30E8F">
      <w:pPr>
        <w:pStyle w:val="Default"/>
        <w:ind w:left="-680" w:right="-340" w:firstLine="680"/>
        <w:rPr>
          <w:rFonts w:eastAsia="MS Mincho"/>
          <w:color w:val="auto"/>
          <w:sz w:val="20"/>
          <w:szCs w:val="20"/>
          <w:lang w:eastAsia="ja-JP"/>
        </w:rPr>
      </w:pPr>
      <w:r w:rsidRPr="00E61BCA">
        <w:rPr>
          <w:rFonts w:eastAsia="MS Mincho"/>
          <w:color w:val="auto"/>
          <w:sz w:val="20"/>
          <w:szCs w:val="20"/>
          <w:lang w:eastAsia="ja-JP"/>
        </w:rPr>
        <w:t>In accordance with the requirements of:</w:t>
      </w:r>
    </w:p>
    <w:p w:rsidR="00B309AC" w:rsidRPr="00E61BCA" w:rsidRDefault="00B309AC" w:rsidP="00F35F8C">
      <w:pPr>
        <w:pStyle w:val="ListParagraph"/>
        <w:numPr>
          <w:ilvl w:val="0"/>
          <w:numId w:val="16"/>
        </w:numPr>
        <w:ind w:right="-340"/>
        <w:rPr>
          <w:rFonts w:cs="Arial"/>
          <w:szCs w:val="20"/>
        </w:rPr>
      </w:pPr>
      <w:r w:rsidRPr="00E61BCA">
        <w:rPr>
          <w:rFonts w:cs="Arial"/>
          <w:szCs w:val="20"/>
        </w:rPr>
        <w:t>The Armed Forces Act 2011: Annual duty to report progress against the Military Covenant to Parliament including Health;</w:t>
      </w:r>
    </w:p>
    <w:p w:rsidR="00B309AC" w:rsidRPr="00E61BCA" w:rsidRDefault="00B309AC" w:rsidP="00F35F8C">
      <w:pPr>
        <w:pStyle w:val="ListParagraph"/>
        <w:numPr>
          <w:ilvl w:val="0"/>
          <w:numId w:val="16"/>
        </w:numPr>
        <w:ind w:right="-340"/>
        <w:rPr>
          <w:rFonts w:cs="Arial"/>
          <w:szCs w:val="20"/>
        </w:rPr>
      </w:pPr>
      <w:r>
        <w:rPr>
          <w:rFonts w:cs="Arial"/>
          <w:szCs w:val="20"/>
        </w:rPr>
        <w:t>Health and Social Care Act 2012</w:t>
      </w:r>
      <w:r w:rsidRPr="00E61BCA">
        <w:rPr>
          <w:rFonts w:cs="Arial"/>
          <w:szCs w:val="20"/>
        </w:rPr>
        <w:t>;</w:t>
      </w:r>
    </w:p>
    <w:p w:rsidR="00B309AC" w:rsidRPr="00E61BCA" w:rsidRDefault="00B309AC" w:rsidP="00F35F8C">
      <w:pPr>
        <w:pStyle w:val="ListParagraph"/>
        <w:numPr>
          <w:ilvl w:val="0"/>
          <w:numId w:val="16"/>
        </w:numPr>
        <w:ind w:right="-340"/>
        <w:rPr>
          <w:rFonts w:eastAsia="MS Mincho"/>
          <w:szCs w:val="20"/>
          <w:lang w:eastAsia="ja-JP"/>
        </w:rPr>
      </w:pPr>
      <w:r w:rsidRPr="00E61BCA">
        <w:rPr>
          <w:rFonts w:cs="Arial"/>
          <w:szCs w:val="20"/>
        </w:rPr>
        <w:t>NHS Mental Health Strategy 2011</w:t>
      </w:r>
      <w:r w:rsidRPr="00E61BCA">
        <w:rPr>
          <w:rFonts w:eastAsia="MS Mincho"/>
          <w:szCs w:val="20"/>
          <w:lang w:eastAsia="ja-JP"/>
        </w:rPr>
        <w:t xml:space="preserve">. </w:t>
      </w:r>
    </w:p>
    <w:p w:rsidR="00B309AC" w:rsidRPr="00E61BCA" w:rsidRDefault="00B309AC" w:rsidP="00B309AC">
      <w:pPr>
        <w:pStyle w:val="Default"/>
        <w:ind w:right="-340"/>
        <w:rPr>
          <w:rFonts w:eastAsia="MS Mincho"/>
          <w:sz w:val="20"/>
          <w:szCs w:val="20"/>
          <w:lang w:eastAsia="ja-JP"/>
        </w:rPr>
      </w:pPr>
      <w:r>
        <w:rPr>
          <w:rFonts w:eastAsia="MS Mincho"/>
          <w:sz w:val="20"/>
          <w:szCs w:val="20"/>
          <w:lang w:eastAsia="ja-JP"/>
        </w:rPr>
        <w:t xml:space="preserve">The </w:t>
      </w:r>
      <w:r w:rsidR="00683290">
        <w:rPr>
          <w:rFonts w:eastAsia="MS Mincho"/>
          <w:sz w:val="20"/>
          <w:szCs w:val="20"/>
          <w:lang w:eastAsia="ja-JP"/>
        </w:rPr>
        <w:t>Service</w:t>
      </w:r>
      <w:r w:rsidRPr="00E61BCA">
        <w:rPr>
          <w:rFonts w:eastAsia="MS Mincho"/>
          <w:sz w:val="20"/>
          <w:szCs w:val="20"/>
          <w:lang w:eastAsia="ja-JP"/>
        </w:rPr>
        <w:t xml:space="preserve"> must meet the spirit of the Community Covenant in working together with Military, to improve the health of veterans, serving personal and their families. </w:t>
      </w:r>
    </w:p>
    <w:p w:rsidR="00B309AC" w:rsidRPr="00E61BCA" w:rsidRDefault="00B309AC" w:rsidP="00B309AC">
      <w:pPr>
        <w:pStyle w:val="Default"/>
        <w:ind w:right="-340"/>
        <w:rPr>
          <w:rFonts w:eastAsia="MS Mincho"/>
          <w:color w:val="auto"/>
          <w:sz w:val="20"/>
          <w:szCs w:val="20"/>
          <w:lang w:eastAsia="ja-JP"/>
        </w:rPr>
      </w:pPr>
    </w:p>
    <w:p w:rsidR="00B309AC" w:rsidRPr="00E61BCA" w:rsidRDefault="00B309AC" w:rsidP="00F35F8C">
      <w:pPr>
        <w:pStyle w:val="ListParagraph"/>
        <w:numPr>
          <w:ilvl w:val="0"/>
          <w:numId w:val="16"/>
        </w:numPr>
        <w:ind w:right="-340"/>
        <w:rPr>
          <w:rFonts w:cs="Arial"/>
          <w:szCs w:val="20"/>
        </w:rPr>
      </w:pPr>
      <w:r w:rsidRPr="00E61BCA">
        <w:rPr>
          <w:rFonts w:cs="Arial"/>
          <w:szCs w:val="20"/>
        </w:rPr>
        <w:t>The Service must ensure that military veterans receive appropriate treatment, ensuring a smooth transition for injured personnel into NHS care as well as providing priority treatment for conditions relating to their service. Veterans at their first outpatient appointment will be scheduled for treatment quicker than other patients of similar clinical priority.</w:t>
      </w:r>
    </w:p>
    <w:p w:rsidR="00B309AC" w:rsidRPr="00E61BCA" w:rsidRDefault="00B309AC" w:rsidP="00F35F8C">
      <w:pPr>
        <w:pStyle w:val="ListParagraph"/>
        <w:numPr>
          <w:ilvl w:val="0"/>
          <w:numId w:val="16"/>
        </w:numPr>
        <w:ind w:right="-340"/>
        <w:rPr>
          <w:rFonts w:cs="Arial"/>
          <w:szCs w:val="20"/>
        </w:rPr>
      </w:pPr>
      <w:r w:rsidRPr="00E61BCA">
        <w:rPr>
          <w:rFonts w:cs="Arial"/>
          <w:szCs w:val="20"/>
        </w:rPr>
        <w:t>‘No disadvantage’ means veterans/serving personnel and family should not lose their place on a hospital waiting list as they move house across the UK. If an individual moves within the UK, previous waiting time will be taken into account, with the expectation that treatment will be within national waiting time standards (i.e. maximum 18 weeks).</w:t>
      </w:r>
    </w:p>
    <w:p w:rsidR="00B309AC" w:rsidRPr="00E61BCA" w:rsidRDefault="00B309AC" w:rsidP="00B309AC">
      <w:pPr>
        <w:spacing w:after="0"/>
        <w:ind w:left="284" w:right="-340"/>
        <w:jc w:val="both"/>
        <w:rPr>
          <w:rFonts w:eastAsia="MS Mincho" w:cs="Arial"/>
          <w:szCs w:val="20"/>
          <w:lang w:eastAsia="ja-JP"/>
        </w:rPr>
      </w:pPr>
      <w:r w:rsidRPr="00E61BCA">
        <w:rPr>
          <w:rFonts w:eastAsia="MS Mincho" w:cs="Arial"/>
          <w:szCs w:val="20"/>
          <w:lang w:eastAsia="ja-JP"/>
        </w:rPr>
        <w:t>A veteran is an individual who has served as a member of the regular services, voluntary reserve and national service.</w:t>
      </w:r>
    </w:p>
    <w:p w:rsidR="00B309AC" w:rsidRPr="00E61BCA" w:rsidRDefault="00B309AC" w:rsidP="00B309AC">
      <w:pPr>
        <w:spacing w:after="0"/>
        <w:ind w:left="284" w:right="-340"/>
        <w:jc w:val="both"/>
        <w:rPr>
          <w:rFonts w:eastAsia="MS Mincho" w:cs="Arial"/>
          <w:szCs w:val="20"/>
          <w:lang w:eastAsia="ja-JP"/>
        </w:rPr>
      </w:pPr>
    </w:p>
    <w:p w:rsidR="00B309AC" w:rsidRPr="00E61BCA" w:rsidRDefault="00B309AC" w:rsidP="00B309AC">
      <w:pPr>
        <w:spacing w:after="0"/>
        <w:ind w:left="284" w:right="-340"/>
        <w:rPr>
          <w:rFonts w:eastAsia="MS Mincho" w:cs="Arial"/>
          <w:szCs w:val="20"/>
          <w:lang w:eastAsia="ja-JP"/>
        </w:rPr>
      </w:pPr>
      <w:r w:rsidRPr="00E61BCA">
        <w:rPr>
          <w:rFonts w:eastAsia="MS Mincho" w:cs="Arial"/>
          <w:szCs w:val="20"/>
          <w:lang w:eastAsia="ja-JP"/>
        </w:rPr>
        <w:t>The Service should ensure the organisations are supportive towards those members of staff who volunteer for reserve duties.</w:t>
      </w:r>
    </w:p>
    <w:p w:rsidR="00B309AC" w:rsidRPr="00E61BCA" w:rsidRDefault="00B309AC" w:rsidP="00B309AC">
      <w:pPr>
        <w:spacing w:after="0"/>
        <w:ind w:left="-680" w:right="-340"/>
        <w:rPr>
          <w:b/>
          <w:color w:val="548DD4" w:themeColor="text2" w:themeTint="99"/>
          <w:sz w:val="24"/>
        </w:rPr>
      </w:pP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5" w:name="_Toc414882570"/>
            <w:r>
              <w:rPr>
                <w:color w:val="FFFFFF" w:themeColor="background1"/>
              </w:rPr>
              <w:t>10</w:t>
            </w:r>
            <w:r w:rsidRPr="003225F3">
              <w:rPr>
                <w:color w:val="FFFFFF" w:themeColor="background1"/>
              </w:rPr>
              <w:t>.0</w:t>
            </w:r>
            <w:r w:rsidRPr="003225F3">
              <w:rPr>
                <w:color w:val="FFFFFF" w:themeColor="background1"/>
              </w:rPr>
              <w:tab/>
              <w:t>Thresholds</w:t>
            </w:r>
            <w:bookmarkEnd w:id="45"/>
          </w:p>
        </w:tc>
      </w:tr>
    </w:tbl>
    <w:p w:rsidR="00C30E8F" w:rsidRPr="00C30E8F" w:rsidRDefault="00C30E8F" w:rsidP="00C30E8F">
      <w:pPr>
        <w:spacing w:after="0" w:line="240" w:lineRule="auto"/>
        <w:rPr>
          <w:rFonts w:ascii="Corbel" w:eastAsia="MS Mincho" w:hAnsi="Corbel" w:cs="Arial"/>
          <w:b/>
          <w:sz w:val="28"/>
          <w:szCs w:val="28"/>
          <w:lang w:val="en-US" w:eastAsia="ja-JP"/>
        </w:rPr>
      </w:pPr>
      <w:r w:rsidRPr="00C30E8F">
        <w:rPr>
          <w:rFonts w:ascii="Corbel" w:eastAsia="MS Mincho" w:hAnsi="Corbel" w:cs="Arial"/>
          <w:b/>
          <w:sz w:val="28"/>
          <w:szCs w:val="28"/>
          <w:lang w:val="en-US" w:eastAsia="ja-JP"/>
        </w:rPr>
        <w:t xml:space="preserve">10.1.1 Clinical Policies and Individual Funding Requests </w:t>
      </w:r>
    </w:p>
    <w:p w:rsidR="00C30E8F" w:rsidRPr="00E61BCA" w:rsidRDefault="00C30E8F" w:rsidP="00C30E8F">
      <w:pPr>
        <w:spacing w:after="0" w:line="240" w:lineRule="auto"/>
        <w:rPr>
          <w:rFonts w:eastAsia="MS Mincho" w:cs="Arial"/>
          <w:szCs w:val="20"/>
          <w:u w:val="single"/>
          <w:lang w:val="en-US" w:eastAsia="ja-JP"/>
        </w:rPr>
      </w:pPr>
    </w:p>
    <w:p w:rsidR="00C30E8F" w:rsidRPr="00E61BCA" w:rsidRDefault="00C30E8F" w:rsidP="00C30E8F">
      <w:pPr>
        <w:spacing w:after="0" w:line="240" w:lineRule="auto"/>
        <w:rPr>
          <w:rFonts w:eastAsia="MS Mincho" w:cs="Arial"/>
          <w:szCs w:val="20"/>
          <w:lang w:val="en-US" w:eastAsia="ja-JP"/>
        </w:rPr>
      </w:pPr>
      <w:r w:rsidRPr="00E61BCA">
        <w:rPr>
          <w:rFonts w:eastAsia="MS Mincho" w:cs="Arial"/>
          <w:szCs w:val="20"/>
          <w:lang w:val="en-US" w:eastAsia="ja-JP"/>
        </w:rPr>
        <w:t>NHS Horsham and Mid Sussex CCG</w:t>
      </w:r>
      <w:r w:rsidR="00F35F8C">
        <w:rPr>
          <w:rFonts w:eastAsia="MS Mincho" w:cs="Arial"/>
          <w:szCs w:val="20"/>
          <w:lang w:val="en-US" w:eastAsia="ja-JP"/>
        </w:rPr>
        <w:t xml:space="preserve">, </w:t>
      </w:r>
      <w:r w:rsidRPr="00E61BCA">
        <w:rPr>
          <w:rFonts w:eastAsia="MS Mincho" w:cs="Arial"/>
          <w:szCs w:val="20"/>
          <w:lang w:val="en-US" w:eastAsia="ja-JP"/>
        </w:rPr>
        <w:t xml:space="preserve">NHS Crawley CCG </w:t>
      </w:r>
      <w:r w:rsidR="00F35F8C">
        <w:rPr>
          <w:rFonts w:eastAsia="MS Mincho" w:cs="Arial"/>
          <w:szCs w:val="20"/>
          <w:lang w:val="en-US" w:eastAsia="ja-JP"/>
        </w:rPr>
        <w:t xml:space="preserve">and Coastal West Sussex CCG </w:t>
      </w:r>
      <w:r w:rsidRPr="00E61BCA">
        <w:rPr>
          <w:rFonts w:eastAsia="MS Mincho" w:cs="Arial"/>
          <w:szCs w:val="20"/>
          <w:lang w:val="en-US" w:eastAsia="ja-JP"/>
        </w:rPr>
        <w:t xml:space="preserve">have a commissioning policy with regard to a range of treatments and procedures that are deemed to be low priority for NHS funding. These procedures are classified as low priority due to a number of reasons, such as a low health outcome benefit, lack of clinical evidence, poor value for money etc. </w:t>
      </w:r>
    </w:p>
    <w:p w:rsidR="00C30E8F" w:rsidRPr="00E61BCA" w:rsidRDefault="00C30E8F" w:rsidP="00C30E8F">
      <w:pPr>
        <w:spacing w:after="0" w:line="240" w:lineRule="auto"/>
        <w:rPr>
          <w:rFonts w:eastAsia="MS Mincho" w:cs="Arial"/>
          <w:szCs w:val="20"/>
          <w:lang w:val="en-US" w:eastAsia="ja-JP"/>
        </w:rPr>
      </w:pPr>
    </w:p>
    <w:p w:rsidR="00C30E8F" w:rsidRPr="004E2D64" w:rsidRDefault="00C30E8F" w:rsidP="00C30E8F">
      <w:pPr>
        <w:spacing w:after="0"/>
        <w:rPr>
          <w:b/>
          <w:color w:val="548DD4" w:themeColor="text2" w:themeTint="99"/>
          <w:szCs w:val="20"/>
        </w:rPr>
      </w:pPr>
      <w:r w:rsidRPr="00E61BCA">
        <w:rPr>
          <w:rFonts w:eastAsia="MS Mincho" w:cs="Arial"/>
          <w:szCs w:val="20"/>
          <w:lang w:val="en-US" w:eastAsia="ja-JP"/>
        </w:rPr>
        <w:t>The policy has always been clear that there is not a blanket ban on these procedures. If a referring (or receiving) clinician believes that a patient sh</w:t>
      </w:r>
      <w:r>
        <w:rPr>
          <w:rFonts w:eastAsia="MS Mincho" w:cs="Arial"/>
          <w:szCs w:val="20"/>
          <w:lang w:val="en-US" w:eastAsia="ja-JP"/>
        </w:rPr>
        <w:t>ould be treated as an exceptiona</w:t>
      </w:r>
      <w:r w:rsidRPr="00E61BCA">
        <w:rPr>
          <w:rFonts w:eastAsia="MS Mincho" w:cs="Arial"/>
          <w:szCs w:val="20"/>
          <w:lang w:val="en-US" w:eastAsia="ja-JP"/>
        </w:rPr>
        <w:t>l</w:t>
      </w:r>
      <w:r>
        <w:rPr>
          <w:rFonts w:eastAsia="MS Mincho" w:cs="Arial"/>
          <w:szCs w:val="20"/>
          <w:lang w:val="en-US" w:eastAsia="ja-JP"/>
        </w:rPr>
        <w:t>/rare</w:t>
      </w:r>
      <w:r w:rsidRPr="00E61BCA">
        <w:rPr>
          <w:rFonts w:eastAsia="MS Mincho" w:cs="Arial"/>
          <w:szCs w:val="20"/>
          <w:lang w:val="en-US" w:eastAsia="ja-JP"/>
        </w:rPr>
        <w:t xml:space="preserve"> case they are able to make an individual request to the CCG’s Individual Funding Request Panel</w:t>
      </w:r>
      <w:r>
        <w:rPr>
          <w:rFonts w:eastAsia="MS Mincho" w:cs="Arial"/>
          <w:szCs w:val="20"/>
          <w:lang w:val="en-US" w:eastAsia="ja-JP"/>
        </w:rPr>
        <w:t>, the details for this can be found on the Horsham and Mid-Sussex, and Crawley CCG’s website</w:t>
      </w:r>
      <w:r w:rsidRPr="00E61BCA">
        <w:rPr>
          <w:rFonts w:eastAsia="MS Mincho" w:cs="Arial"/>
          <w:szCs w:val="20"/>
          <w:lang w:val="en-US" w:eastAsia="ja-JP"/>
        </w:rPr>
        <w:t>.</w:t>
      </w:r>
      <w:r w:rsidRPr="004E2D64">
        <w:rPr>
          <w:b/>
          <w:color w:val="548DD4" w:themeColor="text2" w:themeTint="99"/>
          <w:szCs w:val="20"/>
        </w:rPr>
        <w:t xml:space="preserve"> </w:t>
      </w:r>
      <w:hyperlink r:id="rId15" w:history="1">
        <w:r w:rsidRPr="004E2D64">
          <w:rPr>
            <w:rStyle w:val="Hyperlink"/>
            <w:b/>
            <w:color w:val="548DD4" w:themeColor="text2" w:themeTint="99"/>
            <w:szCs w:val="20"/>
          </w:rPr>
          <w:t>http://www.horshamandmidsussexandcrawleyccg.nhs.uk/intranet/resources2015</w:t>
        </w:r>
      </w:hyperlink>
    </w:p>
    <w:p w:rsidR="00C30E8F" w:rsidRPr="00E61BCA" w:rsidRDefault="00C30E8F" w:rsidP="00C30E8F">
      <w:pPr>
        <w:spacing w:after="0" w:line="240" w:lineRule="auto"/>
        <w:rPr>
          <w:rFonts w:eastAsia="MS Mincho" w:cs="Arial"/>
          <w:szCs w:val="20"/>
          <w:lang w:val="en-US" w:eastAsia="ja-JP"/>
        </w:rPr>
      </w:pPr>
    </w:p>
    <w:p w:rsidR="006B6E5B" w:rsidRPr="006F2272" w:rsidRDefault="006B6E5B" w:rsidP="006B6E5B">
      <w:pPr>
        <w:spacing w:after="0" w:line="240" w:lineRule="auto"/>
        <w:rPr>
          <w:rFonts w:eastAsia="MS Mincho" w:cs="Arial"/>
          <w:b/>
          <w:color w:val="548DD4" w:themeColor="text2" w:themeTint="99"/>
          <w:szCs w:val="20"/>
          <w:lang w:val="en-US" w:eastAsia="ja-JP"/>
        </w:rPr>
      </w:pPr>
      <w:r w:rsidRPr="006B6E5B">
        <w:rPr>
          <w:rFonts w:eastAsia="MS Mincho" w:cs="Arial"/>
          <w:szCs w:val="20"/>
          <w:lang w:val="en-US" w:eastAsia="ja-JP"/>
        </w:rPr>
        <w:t xml:space="preserve">Contact details for Coastal West Sussex Individual Funding Request Panel can be found on our intranet pages </w:t>
      </w:r>
      <w:hyperlink r:id="rId16" w:history="1">
        <w:r w:rsidRPr="006F2272">
          <w:rPr>
            <w:rStyle w:val="Hyperlink"/>
            <w:rFonts w:eastAsia="MS Mincho" w:cs="Arial"/>
            <w:b/>
            <w:color w:val="548DD4" w:themeColor="text2" w:themeTint="99"/>
            <w:szCs w:val="20"/>
            <w:lang w:val="en-US" w:eastAsia="ja-JP"/>
          </w:rPr>
          <w:t>http://www.coastalwestsussexccg.nhs.uk/whos-who?item=910</w:t>
        </w:r>
      </w:hyperlink>
    </w:p>
    <w:p w:rsidR="006B6E5B" w:rsidRDefault="006B6E5B" w:rsidP="00C30E8F">
      <w:pPr>
        <w:spacing w:after="0" w:line="240" w:lineRule="auto"/>
        <w:rPr>
          <w:rFonts w:eastAsia="MS Mincho" w:cs="Arial"/>
          <w:szCs w:val="20"/>
          <w:highlight w:val="yellow"/>
          <w:lang w:val="en-US" w:eastAsia="ja-JP"/>
        </w:rPr>
      </w:pPr>
    </w:p>
    <w:p w:rsidR="006B6E5B" w:rsidRDefault="006B6E5B" w:rsidP="00C30E8F">
      <w:pPr>
        <w:spacing w:after="0" w:line="240" w:lineRule="auto"/>
        <w:rPr>
          <w:rFonts w:eastAsia="MS Mincho" w:cs="Arial"/>
          <w:szCs w:val="20"/>
          <w:highlight w:val="yellow"/>
          <w:lang w:val="en-US" w:eastAsia="ja-JP"/>
        </w:rPr>
      </w:pPr>
    </w:p>
    <w:p w:rsidR="00C30E8F" w:rsidRDefault="00024E29" w:rsidP="00C30E8F">
      <w:pPr>
        <w:spacing w:after="0"/>
      </w:pPr>
      <w:r>
        <w:rPr>
          <w:rFonts w:cs="Arial"/>
          <w:szCs w:val="20"/>
        </w:rPr>
        <w:t>The Service</w:t>
      </w:r>
      <w:r w:rsidR="00C30E8F" w:rsidRPr="00E61BCA">
        <w:rPr>
          <w:rFonts w:cs="Arial"/>
          <w:szCs w:val="20"/>
        </w:rPr>
        <w:t xml:space="preserve"> will ensure that all patients referred onto secondary care meet the criteria for surgery/treatment according to the CCG </w:t>
      </w:r>
      <w:r w:rsidR="00C30E8F" w:rsidRPr="00E61BCA">
        <w:rPr>
          <w:rFonts w:cs="Arial"/>
          <w:i/>
          <w:szCs w:val="20"/>
        </w:rPr>
        <w:t xml:space="preserve">‘Commissioning for Clinical Effectiveness’ </w:t>
      </w:r>
      <w:r w:rsidR="00C30E8F" w:rsidRPr="00E61BCA">
        <w:rPr>
          <w:rFonts w:cs="Arial"/>
          <w:szCs w:val="20"/>
        </w:rPr>
        <w:t>guidance and the referral guidelines that underpin the service</w:t>
      </w:r>
      <w:r w:rsidR="00C30E8F" w:rsidRPr="00E61BCA">
        <w:t>.</w:t>
      </w: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6" w:name="_Toc414882571"/>
            <w:r>
              <w:rPr>
                <w:color w:val="FFFFFF" w:themeColor="background1"/>
              </w:rPr>
              <w:t>11</w:t>
            </w:r>
            <w:r w:rsidRPr="003225F3">
              <w:rPr>
                <w:color w:val="FFFFFF" w:themeColor="background1"/>
              </w:rPr>
              <w:t>.0</w:t>
            </w:r>
            <w:r w:rsidRPr="003225F3">
              <w:rPr>
                <w:color w:val="FFFFFF" w:themeColor="background1"/>
              </w:rPr>
              <w:tab/>
            </w:r>
            <w:r>
              <w:rPr>
                <w:color w:val="FFFFFF" w:themeColor="background1"/>
              </w:rPr>
              <w:t>Business Continuity</w:t>
            </w:r>
            <w:bookmarkEnd w:id="46"/>
          </w:p>
        </w:tc>
      </w:tr>
    </w:tbl>
    <w:p w:rsidR="00C30E8F" w:rsidRPr="00E61BCA" w:rsidRDefault="00C30E8F" w:rsidP="00C30E8F">
      <w:pPr>
        <w:spacing w:after="0"/>
        <w:ind w:right="-340"/>
        <w:jc w:val="both"/>
        <w:rPr>
          <w:rFonts w:cs="Arial"/>
          <w:szCs w:val="20"/>
        </w:rPr>
      </w:pPr>
      <w:r w:rsidRPr="00E61BCA">
        <w:rPr>
          <w:rFonts w:cs="Arial"/>
          <w:szCs w:val="20"/>
        </w:rPr>
        <w:t>The NHS needs to plan for, and respond to, a wide range of incidents and emergencies that could affect health or patient care. These could be anything from extreme weather conditions to an outbreak of an infectious disease or a major transport accident. The Civil Contingencies Act (2004) requires NHS organisations, and providers of NHS-funded care, to show that they can deal with such incidents while maintaining services.</w:t>
      </w:r>
    </w:p>
    <w:p w:rsidR="00C30E8F" w:rsidRPr="00E61BCA" w:rsidRDefault="00C30E8F" w:rsidP="00C30E8F">
      <w:pPr>
        <w:spacing w:after="0"/>
        <w:ind w:right="-340"/>
        <w:jc w:val="both"/>
        <w:rPr>
          <w:rFonts w:cs="Arial"/>
        </w:rPr>
      </w:pPr>
      <w:r w:rsidRPr="00E61BCA">
        <w:rPr>
          <w:rFonts w:cs="Arial"/>
          <w:szCs w:val="20"/>
        </w:rPr>
        <w:t>This programme of work is referred to in the health community as emergency preparedness, resilience and response (EPRR). New arrangements for local health EPRR form some of the changes the Health and Social Care Act 2012 is making to the health system in England</w:t>
      </w:r>
      <w:r w:rsidRPr="00E61BCA">
        <w:rPr>
          <w:rFonts w:cs="Arial"/>
        </w:rPr>
        <w:t xml:space="preserve">. </w:t>
      </w:r>
    </w:p>
    <w:p w:rsidR="00C30E8F" w:rsidRPr="00E61BCA" w:rsidRDefault="00C30E8F" w:rsidP="00C30E8F">
      <w:pPr>
        <w:spacing w:after="0"/>
        <w:ind w:right="-340"/>
        <w:jc w:val="both"/>
        <w:rPr>
          <w:rFonts w:cs="Arial"/>
        </w:rPr>
      </w:pPr>
    </w:p>
    <w:p w:rsidR="00C30E8F" w:rsidRPr="00E61BCA" w:rsidRDefault="00C30E8F" w:rsidP="00C30E8F">
      <w:pPr>
        <w:spacing w:after="0"/>
        <w:ind w:right="-340"/>
        <w:jc w:val="both"/>
        <w:rPr>
          <w:rFonts w:cs="Arial"/>
          <w:szCs w:val="20"/>
        </w:rPr>
      </w:pPr>
      <w:r w:rsidRPr="00E61BCA">
        <w:rPr>
          <w:rFonts w:cs="Arial"/>
          <w:szCs w:val="20"/>
        </w:rPr>
        <w:t xml:space="preserve">In March 2013 the core standards which providers must meet were published. For more detail see </w:t>
      </w:r>
      <w:hyperlink r:id="rId17" w:history="1">
        <w:r w:rsidRPr="0056458C">
          <w:rPr>
            <w:rStyle w:val="Hyperlink"/>
            <w:rFonts w:cs="Arial"/>
            <w:szCs w:val="20"/>
          </w:rPr>
          <w:t>http://www.england.nhs.uk/wp-content/uploads/2013/03/eprr-core-standards.pdf</w:t>
        </w:r>
      </w:hyperlink>
      <w:r w:rsidRPr="00E61BCA">
        <w:rPr>
          <w:rFonts w:cs="Arial"/>
          <w:szCs w:val="20"/>
        </w:rPr>
        <w:t xml:space="preserve"> </w:t>
      </w:r>
    </w:p>
    <w:p w:rsidR="00C30E8F" w:rsidRPr="00E61BCA" w:rsidRDefault="00C30E8F" w:rsidP="00C30E8F">
      <w:pPr>
        <w:spacing w:after="0"/>
        <w:ind w:right="-340"/>
        <w:jc w:val="both"/>
        <w:rPr>
          <w:rFonts w:cs="Arial"/>
          <w:szCs w:val="20"/>
        </w:rPr>
      </w:pPr>
    </w:p>
    <w:p w:rsidR="00C30E8F" w:rsidRPr="00E61BCA" w:rsidRDefault="00C30E8F" w:rsidP="00C30E8F">
      <w:pPr>
        <w:spacing w:after="0"/>
        <w:ind w:right="-340"/>
        <w:jc w:val="both"/>
        <w:rPr>
          <w:rFonts w:cs="Arial"/>
          <w:szCs w:val="20"/>
        </w:rPr>
      </w:pPr>
      <w:r>
        <w:rPr>
          <w:rFonts w:cs="Arial"/>
          <w:szCs w:val="20"/>
        </w:rPr>
        <w:t xml:space="preserve">The </w:t>
      </w:r>
      <w:r w:rsidR="005B609F">
        <w:rPr>
          <w:rFonts w:cs="Arial"/>
          <w:szCs w:val="20"/>
        </w:rPr>
        <w:t xml:space="preserve">Service </w:t>
      </w:r>
      <w:r w:rsidRPr="00E61BCA">
        <w:rPr>
          <w:rFonts w:cs="Arial"/>
          <w:szCs w:val="20"/>
        </w:rPr>
        <w:t>must have an Accountable Emergency Officer. The Accountable Emergency Officer in each organisation is responsible for making sure these standards are met.</w:t>
      </w:r>
    </w:p>
    <w:p w:rsidR="00C30E8F" w:rsidRPr="00E61BCA" w:rsidRDefault="00C30E8F" w:rsidP="00C30E8F">
      <w:pPr>
        <w:spacing w:after="0"/>
        <w:ind w:right="-340"/>
        <w:jc w:val="both"/>
        <w:rPr>
          <w:rFonts w:cs="Arial"/>
          <w:szCs w:val="20"/>
        </w:rPr>
      </w:pPr>
    </w:p>
    <w:p w:rsidR="00C30E8F" w:rsidRPr="00E61BCA" w:rsidRDefault="00C30E8F" w:rsidP="00C30E8F">
      <w:pPr>
        <w:spacing w:after="0"/>
        <w:ind w:right="-340"/>
        <w:jc w:val="both"/>
        <w:rPr>
          <w:rFonts w:cs="Arial"/>
        </w:rPr>
      </w:pPr>
      <w:r>
        <w:rPr>
          <w:rFonts w:cs="Arial"/>
          <w:szCs w:val="20"/>
        </w:rPr>
        <w:t xml:space="preserve">The </w:t>
      </w:r>
      <w:r w:rsidR="005B609F">
        <w:rPr>
          <w:rFonts w:cs="Arial"/>
          <w:szCs w:val="20"/>
        </w:rPr>
        <w:t>Service</w:t>
      </w:r>
      <w:r w:rsidRPr="00E61BCA">
        <w:rPr>
          <w:rFonts w:cs="Arial"/>
          <w:szCs w:val="20"/>
        </w:rPr>
        <w:t xml:space="preserve"> will produce and agree with the Commissioner an appropriate Emergency Preparedness and Business Continuity Plan</w:t>
      </w:r>
      <w:r w:rsidRPr="00E61BCA">
        <w:rPr>
          <w:rFonts w:cs="Arial"/>
        </w:rPr>
        <w:t>.</w:t>
      </w: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7" w:name="_Toc414882572"/>
            <w:r w:rsidRPr="003225F3">
              <w:rPr>
                <w:color w:val="FFFFFF" w:themeColor="background1"/>
              </w:rPr>
              <w:t>1</w:t>
            </w:r>
            <w:r>
              <w:rPr>
                <w:color w:val="FFFFFF" w:themeColor="background1"/>
              </w:rPr>
              <w:t>2</w:t>
            </w:r>
            <w:r w:rsidRPr="003225F3">
              <w:rPr>
                <w:color w:val="FFFFFF" w:themeColor="background1"/>
              </w:rPr>
              <w:t>.0</w:t>
            </w:r>
            <w:r w:rsidRPr="003225F3">
              <w:rPr>
                <w:color w:val="FFFFFF" w:themeColor="background1"/>
              </w:rPr>
              <w:tab/>
              <w:t>Finance</w:t>
            </w:r>
            <w:bookmarkEnd w:id="47"/>
          </w:p>
        </w:tc>
      </w:tr>
    </w:tbl>
    <w:p w:rsidR="00C30E8F" w:rsidRPr="006D5397" w:rsidRDefault="00AB1094" w:rsidP="00C30E8F">
      <w:r>
        <w:t>TO BE ADDED</w:t>
      </w: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8" w:name="_Toc414882573"/>
            <w:r w:rsidRPr="003225F3">
              <w:rPr>
                <w:color w:val="FFFFFF" w:themeColor="background1"/>
              </w:rPr>
              <w:t>1</w:t>
            </w:r>
            <w:r>
              <w:rPr>
                <w:color w:val="FFFFFF" w:themeColor="background1"/>
              </w:rPr>
              <w:t>3</w:t>
            </w:r>
            <w:r w:rsidRPr="003225F3">
              <w:rPr>
                <w:color w:val="FFFFFF" w:themeColor="background1"/>
              </w:rPr>
              <w:t>.0</w:t>
            </w:r>
            <w:r w:rsidRPr="003225F3">
              <w:rPr>
                <w:color w:val="FFFFFF" w:themeColor="background1"/>
              </w:rPr>
              <w:tab/>
              <w:t>Estates</w:t>
            </w:r>
            <w:bookmarkEnd w:id="48"/>
          </w:p>
        </w:tc>
      </w:tr>
    </w:tbl>
    <w:p w:rsidR="00C30E8F" w:rsidRPr="00AB1094" w:rsidRDefault="00C30E8F" w:rsidP="00AB1094">
      <w:pPr>
        <w:spacing w:before="100" w:beforeAutospacing="1" w:line="240" w:lineRule="auto"/>
        <w:ind w:left="150"/>
        <w:rPr>
          <w:rFonts w:eastAsia="Times New Roman" w:cs="Arial"/>
          <w:sz w:val="21"/>
          <w:szCs w:val="21"/>
          <w:lang w:eastAsia="en-GB"/>
        </w:rPr>
      </w:pPr>
      <w:r w:rsidRPr="00AB1094">
        <w:rPr>
          <w:szCs w:val="20"/>
        </w:rPr>
        <w:t xml:space="preserve">It is the </w:t>
      </w:r>
      <w:r w:rsidR="005B609F" w:rsidRPr="00AB1094">
        <w:rPr>
          <w:szCs w:val="20"/>
        </w:rPr>
        <w:t>Service is</w:t>
      </w:r>
      <w:r w:rsidRPr="00AB1094">
        <w:rPr>
          <w:szCs w:val="20"/>
        </w:rPr>
        <w:t xml:space="preserve"> responsibility to source the premises in accordance with the population needs and precedence to clinics in each of </w:t>
      </w:r>
      <w:r w:rsidR="00AB1094" w:rsidRPr="00AB1094">
        <w:rPr>
          <w:szCs w:val="20"/>
        </w:rPr>
        <w:t xml:space="preserve">the </w:t>
      </w:r>
      <w:r w:rsidRPr="00AB1094">
        <w:rPr>
          <w:szCs w:val="20"/>
        </w:rPr>
        <w:t>Communities (Crawley, Horsham, Burgess Hill, Haywards Heath and East Grinstead</w:t>
      </w:r>
      <w:r w:rsidR="00AB1094" w:rsidRPr="00AB1094">
        <w:rPr>
          <w:szCs w:val="20"/>
        </w:rPr>
        <w:t xml:space="preserve">, </w:t>
      </w:r>
      <w:r w:rsidR="00AB1094" w:rsidRPr="00AB1094">
        <w:rPr>
          <w:rFonts w:eastAsia="Times New Roman" w:cs="Arial"/>
          <w:sz w:val="21"/>
          <w:szCs w:val="21"/>
          <w:lang w:eastAsia="en-GB"/>
        </w:rPr>
        <w:t>Adur, Arun, Chanctonbury, Chichester, Regis, Worthing</w:t>
      </w:r>
      <w:r w:rsidRPr="00176B4B">
        <w:rPr>
          <w:szCs w:val="20"/>
        </w:rPr>
        <w:t>)</w:t>
      </w:r>
      <w:r>
        <w:rPr>
          <w:szCs w:val="20"/>
        </w:rPr>
        <w:t xml:space="preserve">. </w:t>
      </w:r>
      <w:r w:rsidRPr="00176B4B">
        <w:rPr>
          <w:szCs w:val="20"/>
        </w:rPr>
        <w:t xml:space="preserve">Suitable premises for delivering the </w:t>
      </w:r>
      <w:r w:rsidR="005B609F">
        <w:rPr>
          <w:szCs w:val="20"/>
        </w:rPr>
        <w:t>Service</w:t>
      </w:r>
      <w:r w:rsidRPr="00176B4B">
        <w:rPr>
          <w:szCs w:val="20"/>
        </w:rPr>
        <w:t xml:space="preserve"> are key hence the service must conform to the following: </w:t>
      </w:r>
    </w:p>
    <w:p w:rsidR="00C30E8F" w:rsidRPr="00176B4B" w:rsidRDefault="00C30E8F" w:rsidP="00F35F8C">
      <w:pPr>
        <w:numPr>
          <w:ilvl w:val="1"/>
          <w:numId w:val="19"/>
        </w:numPr>
        <w:autoSpaceDE w:val="0"/>
        <w:autoSpaceDN w:val="0"/>
        <w:adjustRightInd w:val="0"/>
        <w:spacing w:after="0" w:line="240" w:lineRule="auto"/>
        <w:ind w:right="-340"/>
        <w:jc w:val="both"/>
        <w:rPr>
          <w:rFonts w:cs="Arial"/>
          <w:color w:val="000000"/>
          <w:szCs w:val="20"/>
        </w:rPr>
      </w:pPr>
      <w:r w:rsidRPr="00176B4B">
        <w:rPr>
          <w:rFonts w:cs="Arial"/>
          <w:color w:val="000000"/>
          <w:szCs w:val="20"/>
        </w:rPr>
        <w:t>Ensure the site(s) included within their bid are clinically fit for purpose and most critically, are Care Quality Commission (CQC) accredited (or will become CQC accredited prior to service commencement) for provision of Minor Surgery</w:t>
      </w:r>
      <w:r w:rsidR="00F10EC7">
        <w:rPr>
          <w:rFonts w:cs="Arial"/>
          <w:color w:val="000000"/>
          <w:szCs w:val="20"/>
        </w:rPr>
        <w:t>.</w:t>
      </w:r>
    </w:p>
    <w:p w:rsidR="00C30E8F" w:rsidRPr="00176B4B" w:rsidRDefault="00C30E8F" w:rsidP="00F35F8C">
      <w:pPr>
        <w:numPr>
          <w:ilvl w:val="1"/>
          <w:numId w:val="19"/>
        </w:numPr>
        <w:autoSpaceDE w:val="0"/>
        <w:autoSpaceDN w:val="0"/>
        <w:adjustRightInd w:val="0"/>
        <w:spacing w:after="0" w:line="240" w:lineRule="auto"/>
        <w:ind w:right="-340"/>
        <w:jc w:val="both"/>
        <w:rPr>
          <w:rFonts w:cs="Arial"/>
          <w:color w:val="000000"/>
          <w:szCs w:val="20"/>
        </w:rPr>
      </w:pPr>
      <w:r w:rsidRPr="00176B4B">
        <w:rPr>
          <w:rFonts w:cs="Arial"/>
          <w:color w:val="000000"/>
          <w:szCs w:val="20"/>
        </w:rPr>
        <w:t>Ensure the site(s) are compliant with relevant Clinical Gove</w:t>
      </w:r>
      <w:r w:rsidR="00F10EC7">
        <w:rPr>
          <w:rFonts w:cs="Arial"/>
          <w:color w:val="000000"/>
          <w:szCs w:val="20"/>
        </w:rPr>
        <w:t>rnance policies and legislation.</w:t>
      </w:r>
    </w:p>
    <w:p w:rsidR="00C30E8F" w:rsidRPr="00176B4B" w:rsidRDefault="00C30E8F" w:rsidP="00F35F8C">
      <w:pPr>
        <w:numPr>
          <w:ilvl w:val="1"/>
          <w:numId w:val="19"/>
        </w:numPr>
        <w:autoSpaceDE w:val="0"/>
        <w:autoSpaceDN w:val="0"/>
        <w:adjustRightInd w:val="0"/>
        <w:spacing w:after="0" w:line="240" w:lineRule="auto"/>
        <w:ind w:right="-340"/>
        <w:jc w:val="both"/>
        <w:rPr>
          <w:rFonts w:cs="Arial"/>
          <w:color w:val="000000"/>
          <w:szCs w:val="20"/>
        </w:rPr>
      </w:pPr>
      <w:r w:rsidRPr="00176B4B">
        <w:rPr>
          <w:rFonts w:cs="Arial"/>
          <w:color w:val="000000"/>
          <w:szCs w:val="20"/>
        </w:rPr>
        <w:t xml:space="preserve">Providers should ensure that services are accessible in terms of geographical location and should be accessible to public and private transportation and parking facilities. Sites should also be accessible by patient transportation service vehicles for those patients with identified clinical need for transportation. </w:t>
      </w:r>
    </w:p>
    <w:p w:rsidR="00C30E8F" w:rsidRPr="00176B4B" w:rsidRDefault="00C30E8F" w:rsidP="00F35F8C">
      <w:pPr>
        <w:numPr>
          <w:ilvl w:val="1"/>
          <w:numId w:val="19"/>
        </w:numPr>
        <w:autoSpaceDE w:val="0"/>
        <w:autoSpaceDN w:val="0"/>
        <w:adjustRightInd w:val="0"/>
        <w:spacing w:after="0" w:line="240" w:lineRule="auto"/>
        <w:ind w:right="-340"/>
        <w:jc w:val="both"/>
        <w:rPr>
          <w:rFonts w:cs="Arial"/>
          <w:b/>
          <w:bCs/>
          <w:szCs w:val="20"/>
        </w:rPr>
      </w:pPr>
      <w:r w:rsidRPr="00176B4B">
        <w:rPr>
          <w:rFonts w:cs="Arial"/>
          <w:color w:val="000000"/>
          <w:szCs w:val="20"/>
        </w:rPr>
        <w:t>Providers should make reasonable adjustments in order that services are accessible e.g. appointments times, length of appointments, information and signage to demonstrate compliance with their Disability &amp; Equality Duty. All premises are required to be DDA (Disabilities Discrimination Act) compliant</w:t>
      </w:r>
      <w:r w:rsidRPr="00176B4B">
        <w:rPr>
          <w:rFonts w:cs="Arial"/>
          <w:bCs/>
          <w:szCs w:val="20"/>
        </w:rPr>
        <w:t xml:space="preserve">. </w:t>
      </w:r>
    </w:p>
    <w:p w:rsidR="00C30E8F" w:rsidRPr="001F3250" w:rsidRDefault="00C30E8F" w:rsidP="00C30E8F">
      <w:pPr>
        <w:autoSpaceDE w:val="0"/>
        <w:autoSpaceDN w:val="0"/>
        <w:adjustRightInd w:val="0"/>
        <w:spacing w:after="0" w:line="240" w:lineRule="auto"/>
        <w:ind w:left="-624"/>
        <w:jc w:val="both"/>
        <w:rPr>
          <w:rFonts w:eastAsia="Times New Roman" w:cs="Arial"/>
          <w:color w:val="000000"/>
          <w:szCs w:val="20"/>
          <w:highlight w:val="yellow"/>
        </w:rPr>
      </w:pPr>
    </w:p>
    <w:p w:rsidR="00C30E8F" w:rsidRPr="00176B4B" w:rsidRDefault="00C30E8F" w:rsidP="00C30E8F">
      <w:pPr>
        <w:autoSpaceDE w:val="0"/>
        <w:autoSpaceDN w:val="0"/>
        <w:adjustRightInd w:val="0"/>
        <w:spacing w:after="0" w:line="240" w:lineRule="auto"/>
        <w:jc w:val="both"/>
        <w:rPr>
          <w:rFonts w:eastAsia="Times New Roman" w:cs="Arial"/>
          <w:color w:val="000000"/>
          <w:szCs w:val="20"/>
        </w:rPr>
      </w:pPr>
      <w:r w:rsidRPr="00176B4B">
        <w:rPr>
          <w:rFonts w:eastAsia="Times New Roman" w:cs="Arial"/>
          <w:color w:val="000000"/>
          <w:szCs w:val="20"/>
        </w:rPr>
        <w:t>The commissioners seek improved geographical access to services, including:</w:t>
      </w:r>
    </w:p>
    <w:p w:rsidR="00C30E8F" w:rsidRPr="00176B4B" w:rsidRDefault="00C30E8F" w:rsidP="00F35F8C">
      <w:pPr>
        <w:numPr>
          <w:ilvl w:val="0"/>
          <w:numId w:val="18"/>
        </w:numPr>
        <w:autoSpaceDE w:val="0"/>
        <w:autoSpaceDN w:val="0"/>
        <w:adjustRightInd w:val="0"/>
        <w:spacing w:after="0" w:line="240" w:lineRule="auto"/>
        <w:ind w:left="426" w:hanging="426"/>
        <w:jc w:val="both"/>
        <w:rPr>
          <w:rFonts w:eastAsia="Times New Roman" w:cs="Arial"/>
          <w:color w:val="000000"/>
          <w:szCs w:val="20"/>
        </w:rPr>
      </w:pPr>
      <w:r w:rsidRPr="00176B4B">
        <w:rPr>
          <w:rFonts w:eastAsia="Times New Roman" w:cs="Arial"/>
          <w:color w:val="000000"/>
          <w:szCs w:val="20"/>
        </w:rPr>
        <w:t>Clinic locations that is able to demonstrate their accessibility by both road and public transport for those patients where private transport is not an option.</w:t>
      </w:r>
    </w:p>
    <w:p w:rsidR="00C30E8F" w:rsidRPr="00F00F18" w:rsidRDefault="00C30E8F" w:rsidP="00F35F8C">
      <w:pPr>
        <w:numPr>
          <w:ilvl w:val="0"/>
          <w:numId w:val="18"/>
        </w:numPr>
        <w:autoSpaceDE w:val="0"/>
        <w:autoSpaceDN w:val="0"/>
        <w:adjustRightInd w:val="0"/>
        <w:spacing w:after="0" w:line="240" w:lineRule="auto"/>
        <w:ind w:left="426" w:hanging="426"/>
        <w:jc w:val="both"/>
        <w:rPr>
          <w:rFonts w:eastAsia="Times New Roman" w:cs="Arial"/>
          <w:color w:val="000000"/>
          <w:szCs w:val="20"/>
        </w:rPr>
      </w:pPr>
      <w:r w:rsidRPr="00176B4B">
        <w:rPr>
          <w:rFonts w:eastAsia="Times New Roman" w:cs="Arial"/>
          <w:color w:val="000000"/>
          <w:szCs w:val="20"/>
        </w:rPr>
        <w:t>All clinic locations should have a surgical treatment room and facilities in line with the national standards for minor surgery.</w:t>
      </w:r>
    </w:p>
    <w:p w:rsidR="00C30E8F" w:rsidRPr="00176B4B" w:rsidRDefault="00C30E8F" w:rsidP="00C30E8F">
      <w:pPr>
        <w:pStyle w:val="Default"/>
        <w:ind w:left="-680" w:right="-340"/>
        <w:jc w:val="both"/>
        <w:rPr>
          <w:sz w:val="20"/>
          <w:szCs w:val="20"/>
        </w:rPr>
      </w:pPr>
    </w:p>
    <w:p w:rsidR="00C30E8F" w:rsidRPr="00176B4B" w:rsidRDefault="00C30E8F" w:rsidP="00C30E8F">
      <w:pPr>
        <w:pStyle w:val="Default"/>
        <w:ind w:right="-340"/>
        <w:jc w:val="both"/>
        <w:rPr>
          <w:sz w:val="20"/>
          <w:szCs w:val="20"/>
        </w:rPr>
      </w:pPr>
      <w:r w:rsidRPr="00176B4B">
        <w:rPr>
          <w:sz w:val="20"/>
          <w:szCs w:val="20"/>
        </w:rPr>
        <w:t xml:space="preserve">The following list describes the resource requirements that would be expected as a minimum. This list is not exhaustive and should be used as a guide: </w:t>
      </w:r>
    </w:p>
    <w:p w:rsidR="00C30E8F" w:rsidRPr="00176B4B" w:rsidRDefault="00C30E8F" w:rsidP="00F35F8C">
      <w:pPr>
        <w:numPr>
          <w:ilvl w:val="1"/>
          <w:numId w:val="20"/>
        </w:numPr>
        <w:autoSpaceDE w:val="0"/>
        <w:autoSpaceDN w:val="0"/>
        <w:adjustRightInd w:val="0"/>
        <w:spacing w:after="0" w:line="240" w:lineRule="auto"/>
        <w:ind w:right="-340"/>
        <w:jc w:val="both"/>
        <w:rPr>
          <w:rFonts w:cs="Arial"/>
          <w:color w:val="000000"/>
          <w:szCs w:val="20"/>
        </w:rPr>
      </w:pPr>
      <w:r w:rsidRPr="00176B4B">
        <w:rPr>
          <w:rFonts w:cs="Arial"/>
          <w:color w:val="000000"/>
          <w:szCs w:val="20"/>
        </w:rPr>
        <w:t xml:space="preserve">Complete access to diagnosis and treatment in convenient geographical locations; </w:t>
      </w:r>
    </w:p>
    <w:p w:rsidR="00C30E8F" w:rsidRPr="00176B4B" w:rsidRDefault="00C30E8F" w:rsidP="00F35F8C">
      <w:pPr>
        <w:numPr>
          <w:ilvl w:val="1"/>
          <w:numId w:val="20"/>
        </w:numPr>
        <w:autoSpaceDE w:val="0"/>
        <w:autoSpaceDN w:val="0"/>
        <w:adjustRightInd w:val="0"/>
        <w:spacing w:after="0" w:line="240" w:lineRule="auto"/>
        <w:ind w:right="-340"/>
        <w:jc w:val="both"/>
        <w:rPr>
          <w:rFonts w:cs="Arial"/>
          <w:color w:val="000000"/>
          <w:szCs w:val="20"/>
        </w:rPr>
      </w:pPr>
      <w:r w:rsidRPr="00176B4B">
        <w:rPr>
          <w:rFonts w:cs="Arial"/>
          <w:color w:val="000000"/>
          <w:szCs w:val="20"/>
        </w:rPr>
        <w:t xml:space="preserve">Access to consultation rooms and appropriate facilities for diagnosis and treatment procedures; </w:t>
      </w:r>
    </w:p>
    <w:p w:rsidR="00C30E8F" w:rsidRPr="00176B4B" w:rsidRDefault="00C30E8F" w:rsidP="00F35F8C">
      <w:pPr>
        <w:numPr>
          <w:ilvl w:val="1"/>
          <w:numId w:val="20"/>
        </w:numPr>
        <w:autoSpaceDE w:val="0"/>
        <w:autoSpaceDN w:val="0"/>
        <w:adjustRightInd w:val="0"/>
        <w:spacing w:after="0" w:line="240" w:lineRule="auto"/>
        <w:ind w:right="-340"/>
        <w:jc w:val="both"/>
        <w:rPr>
          <w:rFonts w:cs="Arial"/>
          <w:color w:val="000000"/>
          <w:szCs w:val="20"/>
        </w:rPr>
      </w:pPr>
      <w:r w:rsidRPr="00176B4B">
        <w:rPr>
          <w:rFonts w:cs="Arial"/>
          <w:color w:val="000000"/>
          <w:szCs w:val="20"/>
        </w:rPr>
        <w:t>Administrative support to ensure that clinics are organised and reported. This will include management and storage of patient records</w:t>
      </w:r>
      <w:r w:rsidR="00F10EC7">
        <w:rPr>
          <w:rFonts w:cs="Arial"/>
          <w:color w:val="000000"/>
          <w:szCs w:val="20"/>
        </w:rPr>
        <w:t>.</w:t>
      </w:r>
      <w:r w:rsidRPr="00176B4B">
        <w:rPr>
          <w:rFonts w:cs="Arial"/>
          <w:color w:val="000000"/>
          <w:szCs w:val="20"/>
        </w:rPr>
        <w:t xml:space="preserve"> </w:t>
      </w:r>
    </w:p>
    <w:p w:rsidR="00C30E8F" w:rsidRPr="00176B4B" w:rsidRDefault="00C30E8F" w:rsidP="00F35F8C">
      <w:pPr>
        <w:numPr>
          <w:ilvl w:val="1"/>
          <w:numId w:val="20"/>
        </w:numPr>
        <w:autoSpaceDE w:val="0"/>
        <w:autoSpaceDN w:val="0"/>
        <w:adjustRightInd w:val="0"/>
        <w:spacing w:after="0" w:line="240" w:lineRule="auto"/>
        <w:ind w:right="-340"/>
        <w:jc w:val="both"/>
        <w:rPr>
          <w:rFonts w:cs="Arial"/>
          <w:color w:val="000000"/>
          <w:szCs w:val="20"/>
        </w:rPr>
      </w:pPr>
      <w:r w:rsidRPr="00176B4B">
        <w:rPr>
          <w:rFonts w:cs="Arial"/>
          <w:color w:val="000000"/>
          <w:szCs w:val="20"/>
        </w:rPr>
        <w:t xml:space="preserve">The service provider will have a commitment to moving towards an integrated health record for all patients into the service. </w:t>
      </w:r>
    </w:p>
    <w:p w:rsidR="00C30E8F" w:rsidRPr="00176B4B" w:rsidRDefault="00C30E8F" w:rsidP="00F35F8C">
      <w:pPr>
        <w:numPr>
          <w:ilvl w:val="1"/>
          <w:numId w:val="20"/>
        </w:numPr>
        <w:autoSpaceDE w:val="0"/>
        <w:autoSpaceDN w:val="0"/>
        <w:adjustRightInd w:val="0"/>
        <w:spacing w:after="0" w:line="240" w:lineRule="auto"/>
        <w:ind w:right="-340"/>
        <w:jc w:val="both"/>
        <w:rPr>
          <w:rFonts w:cs="Arial"/>
          <w:color w:val="000000"/>
          <w:szCs w:val="20"/>
        </w:rPr>
      </w:pPr>
      <w:r w:rsidRPr="00176B4B">
        <w:rPr>
          <w:rFonts w:cs="Arial"/>
          <w:color w:val="000000"/>
          <w:szCs w:val="20"/>
        </w:rPr>
        <w:t>Information technology and arrangements for IT support and information Governance</w:t>
      </w:r>
      <w:r w:rsidR="00F10EC7">
        <w:rPr>
          <w:rFonts w:cs="Arial"/>
          <w:color w:val="000000"/>
          <w:szCs w:val="20"/>
        </w:rPr>
        <w:t>.</w:t>
      </w:r>
    </w:p>
    <w:p w:rsidR="00C30E8F" w:rsidRPr="00176B4B" w:rsidRDefault="00C30E8F" w:rsidP="00C30E8F">
      <w:pPr>
        <w:spacing w:after="0"/>
        <w:ind w:left="-680" w:right="-340"/>
        <w:jc w:val="both"/>
        <w:rPr>
          <w:rFonts w:cs="Arial"/>
          <w:szCs w:val="20"/>
          <w:lang w:eastAsia="en-GB"/>
        </w:rPr>
      </w:pPr>
    </w:p>
    <w:p w:rsidR="00C30E8F" w:rsidRPr="00176B4B" w:rsidRDefault="00C30E8F" w:rsidP="00C30E8F">
      <w:pPr>
        <w:spacing w:after="0"/>
        <w:ind w:right="-340"/>
        <w:jc w:val="both"/>
        <w:rPr>
          <w:rFonts w:cs="Arial"/>
          <w:szCs w:val="20"/>
          <w:lang w:eastAsia="en-GB"/>
        </w:rPr>
      </w:pPr>
      <w:r w:rsidRPr="00176B4B">
        <w:rPr>
          <w:rFonts w:cs="Arial"/>
          <w:szCs w:val="20"/>
          <w:lang w:eastAsia="en-GB"/>
        </w:rPr>
        <w:t>There must be infection control procedures and protocols including decontamination which should comply with NHS standards.</w:t>
      </w:r>
    </w:p>
    <w:p w:rsidR="00C30E8F" w:rsidRPr="00176B4B" w:rsidRDefault="00C30E8F" w:rsidP="00C30E8F">
      <w:pPr>
        <w:spacing w:after="0"/>
        <w:ind w:right="-340"/>
        <w:jc w:val="both"/>
        <w:rPr>
          <w:rFonts w:cs="Arial"/>
          <w:szCs w:val="20"/>
        </w:rPr>
      </w:pPr>
    </w:p>
    <w:p w:rsidR="00C30E8F" w:rsidRPr="00176B4B" w:rsidRDefault="00C30E8F" w:rsidP="00C30E8F">
      <w:pPr>
        <w:spacing w:after="0"/>
        <w:ind w:right="-340"/>
        <w:jc w:val="both"/>
        <w:rPr>
          <w:rFonts w:cs="Arial"/>
          <w:szCs w:val="20"/>
        </w:rPr>
      </w:pPr>
      <w:r w:rsidRPr="00176B4B">
        <w:rPr>
          <w:rFonts w:cs="Arial"/>
          <w:szCs w:val="20"/>
        </w:rPr>
        <w:t xml:space="preserve">The Provider will be responsible for ensuring they are registered with the Care Quality Commission to provide the service from their chosen location(s). </w:t>
      </w:r>
    </w:p>
    <w:p w:rsidR="00C30E8F" w:rsidRDefault="00C30E8F" w:rsidP="00C30E8F">
      <w:pPr>
        <w:spacing w:after="0"/>
        <w:ind w:left="-680" w:right="-340"/>
        <w:jc w:val="both"/>
        <w:rPr>
          <w:b/>
          <w:color w:val="548DD4" w:themeColor="text2" w:themeTint="99"/>
          <w:sz w:val="24"/>
        </w:rPr>
      </w:pP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49" w:name="_Toc414882574"/>
            <w:r>
              <w:rPr>
                <w:color w:val="FFFFFF" w:themeColor="background1"/>
              </w:rPr>
              <w:t>14</w:t>
            </w:r>
            <w:r w:rsidRPr="003225F3">
              <w:rPr>
                <w:color w:val="FFFFFF" w:themeColor="background1"/>
              </w:rPr>
              <w:t>.0</w:t>
            </w:r>
            <w:r w:rsidRPr="003225F3">
              <w:rPr>
                <w:color w:val="FFFFFF" w:themeColor="background1"/>
              </w:rPr>
              <w:tab/>
              <w:t>Information Technology</w:t>
            </w:r>
            <w:bookmarkEnd w:id="49"/>
          </w:p>
        </w:tc>
      </w:tr>
    </w:tbl>
    <w:p w:rsidR="00C30E8F" w:rsidRPr="00C30E8F" w:rsidRDefault="00C30E8F" w:rsidP="00C30E8F">
      <w:pPr>
        <w:spacing w:after="0"/>
        <w:ind w:right="-340"/>
        <w:rPr>
          <w:rFonts w:ascii="Corbel" w:hAnsi="Corbel" w:cs="Arial"/>
          <w:b/>
          <w:sz w:val="28"/>
          <w:szCs w:val="28"/>
        </w:rPr>
      </w:pPr>
      <w:r w:rsidRPr="00C30E8F">
        <w:rPr>
          <w:rFonts w:ascii="Corbel" w:hAnsi="Corbel" w:cs="Arial"/>
          <w:b/>
          <w:sz w:val="28"/>
          <w:szCs w:val="28"/>
        </w:rPr>
        <w:t>14.1 Strategic alignment</w:t>
      </w:r>
    </w:p>
    <w:p w:rsidR="00C30E8F" w:rsidRPr="0056458C" w:rsidRDefault="00C30E8F" w:rsidP="00C30E8F">
      <w:pPr>
        <w:pStyle w:val="ListParagraph"/>
        <w:spacing w:after="0"/>
        <w:ind w:left="0" w:right="-340"/>
        <w:rPr>
          <w:rFonts w:cs="Arial"/>
          <w:szCs w:val="20"/>
        </w:rPr>
      </w:pPr>
      <w:r w:rsidRPr="0056458C">
        <w:rPr>
          <w:rFonts w:cs="Arial"/>
          <w:szCs w:val="20"/>
        </w:rPr>
        <w:t xml:space="preserve">The </w:t>
      </w:r>
      <w:r w:rsidR="005B609F">
        <w:rPr>
          <w:rFonts w:cs="Arial"/>
          <w:szCs w:val="20"/>
        </w:rPr>
        <w:t>Service</w:t>
      </w:r>
      <w:r w:rsidRPr="0056458C">
        <w:rPr>
          <w:rFonts w:cs="Arial"/>
          <w:szCs w:val="20"/>
        </w:rPr>
        <w:t>’s IM&amp;T strategy should be aligned with national NHS IM&amp;T strategies and the CCG’s IM&amp;T strategy. Key deliverables are:</w:t>
      </w:r>
    </w:p>
    <w:p w:rsidR="00C30E8F" w:rsidRPr="0056458C" w:rsidRDefault="00C30E8F" w:rsidP="00F35F8C">
      <w:pPr>
        <w:pStyle w:val="ListParagraph"/>
        <w:numPr>
          <w:ilvl w:val="0"/>
          <w:numId w:val="16"/>
        </w:numPr>
        <w:tabs>
          <w:tab w:val="clear" w:pos="360"/>
          <w:tab w:val="num" w:pos="567"/>
        </w:tabs>
        <w:ind w:left="426" w:right="-340" w:hanging="426"/>
        <w:rPr>
          <w:rFonts w:cs="Arial"/>
          <w:szCs w:val="20"/>
        </w:rPr>
      </w:pPr>
      <w:r w:rsidRPr="0056458C">
        <w:rPr>
          <w:rFonts w:cs="Arial"/>
          <w:szCs w:val="20"/>
        </w:rPr>
        <w:t>Integrated Digital Care Records</w:t>
      </w:r>
    </w:p>
    <w:p w:rsidR="00C30E8F" w:rsidRPr="0056458C" w:rsidRDefault="00C30E8F" w:rsidP="00F35F8C">
      <w:pPr>
        <w:pStyle w:val="ListParagraph"/>
        <w:numPr>
          <w:ilvl w:val="0"/>
          <w:numId w:val="16"/>
        </w:numPr>
        <w:tabs>
          <w:tab w:val="clear" w:pos="360"/>
          <w:tab w:val="num" w:pos="567"/>
        </w:tabs>
        <w:ind w:left="426" w:right="-340" w:hanging="426"/>
        <w:rPr>
          <w:rFonts w:cs="Arial"/>
          <w:szCs w:val="20"/>
        </w:rPr>
      </w:pPr>
      <w:r w:rsidRPr="0056458C">
        <w:rPr>
          <w:rFonts w:cs="Arial"/>
          <w:szCs w:val="20"/>
        </w:rPr>
        <w:t xml:space="preserve">Patient Access to </w:t>
      </w:r>
      <w:r>
        <w:rPr>
          <w:rFonts w:cs="Arial"/>
          <w:szCs w:val="20"/>
        </w:rPr>
        <w:t>care r</w:t>
      </w:r>
      <w:r w:rsidRPr="0056458C">
        <w:rPr>
          <w:rFonts w:cs="Arial"/>
          <w:szCs w:val="20"/>
        </w:rPr>
        <w:t>ecords</w:t>
      </w:r>
    </w:p>
    <w:p w:rsidR="00C30E8F" w:rsidRPr="00C30E8F" w:rsidRDefault="00C30E8F" w:rsidP="00C30E8F">
      <w:pPr>
        <w:spacing w:after="0"/>
        <w:ind w:right="-340"/>
        <w:rPr>
          <w:rFonts w:ascii="Corbel" w:hAnsi="Corbel" w:cs="Arial"/>
          <w:b/>
          <w:sz w:val="28"/>
          <w:szCs w:val="28"/>
        </w:rPr>
      </w:pPr>
      <w:r w:rsidRPr="00C30E8F">
        <w:rPr>
          <w:rFonts w:ascii="Corbel" w:hAnsi="Corbel" w:cs="Arial"/>
          <w:b/>
          <w:sz w:val="28"/>
          <w:szCs w:val="28"/>
        </w:rPr>
        <w:t>14.2 Reporting Requirements</w:t>
      </w:r>
    </w:p>
    <w:p w:rsidR="00C30E8F" w:rsidRPr="0056458C" w:rsidRDefault="00C30E8F" w:rsidP="00C30E8F">
      <w:pPr>
        <w:pStyle w:val="ListParagraph"/>
        <w:spacing w:after="0"/>
        <w:ind w:left="0"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must submit data sets that comply with all published NHS information standards.  Reports will be required for National requirements but also to support local performance and quality monitoring see section 13 and below:</w:t>
      </w:r>
    </w:p>
    <w:p w:rsidR="00C30E8F" w:rsidRPr="0056458C" w:rsidRDefault="00C30E8F" w:rsidP="00F35F8C">
      <w:pPr>
        <w:pStyle w:val="ListParagraph"/>
        <w:numPr>
          <w:ilvl w:val="0"/>
          <w:numId w:val="16"/>
        </w:numPr>
        <w:ind w:right="-340"/>
        <w:rPr>
          <w:rFonts w:cs="Arial"/>
          <w:szCs w:val="20"/>
        </w:rPr>
      </w:pPr>
      <w:r w:rsidRPr="0056458C">
        <w:rPr>
          <w:rFonts w:cs="Arial"/>
          <w:szCs w:val="20"/>
        </w:rPr>
        <w:t>National requirements reported centrally via the Health and Social Care Information Centre (HSCIC)</w:t>
      </w:r>
    </w:p>
    <w:p w:rsidR="00C30E8F" w:rsidRPr="0056458C" w:rsidRDefault="00C30E8F" w:rsidP="00F35F8C">
      <w:pPr>
        <w:pStyle w:val="ListParagraph"/>
        <w:numPr>
          <w:ilvl w:val="0"/>
          <w:numId w:val="16"/>
        </w:numPr>
        <w:ind w:right="-340"/>
        <w:rPr>
          <w:rFonts w:cs="Arial"/>
          <w:szCs w:val="20"/>
        </w:rPr>
      </w:pPr>
      <w:r w:rsidRPr="0056458C">
        <w:rPr>
          <w:rFonts w:cs="Arial"/>
          <w:szCs w:val="20"/>
        </w:rPr>
        <w:t>National requirements reported locally</w:t>
      </w:r>
    </w:p>
    <w:p w:rsidR="00C30E8F" w:rsidRPr="0056458C" w:rsidRDefault="00C30E8F" w:rsidP="00F35F8C">
      <w:pPr>
        <w:pStyle w:val="ListParagraph"/>
        <w:numPr>
          <w:ilvl w:val="0"/>
          <w:numId w:val="16"/>
        </w:numPr>
        <w:ind w:right="-340"/>
        <w:rPr>
          <w:rFonts w:cs="Arial"/>
          <w:szCs w:val="20"/>
        </w:rPr>
      </w:pPr>
      <w:r w:rsidRPr="0056458C">
        <w:rPr>
          <w:rFonts w:cs="Arial"/>
          <w:szCs w:val="20"/>
        </w:rPr>
        <w:t>Local requirements reported locally</w:t>
      </w:r>
    </w:p>
    <w:p w:rsidR="00C30E8F" w:rsidRPr="0056458C" w:rsidRDefault="00C30E8F" w:rsidP="00C30E8F">
      <w:pPr>
        <w:pStyle w:val="ListParagraph"/>
        <w:ind w:left="-680" w:right="-340"/>
        <w:rPr>
          <w:rFonts w:cs="Arial"/>
          <w:szCs w:val="20"/>
        </w:rPr>
      </w:pPr>
    </w:p>
    <w:p w:rsidR="00C30E8F" w:rsidRPr="0056458C" w:rsidRDefault="00C30E8F" w:rsidP="00C30E8F">
      <w:pPr>
        <w:pStyle w:val="ListParagraph"/>
        <w:ind w:left="0"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should have a Data Quality Improvement Plan to ensure that they achieve the expectations for high quality data described in </w:t>
      </w:r>
      <w:r w:rsidRPr="0056458C">
        <w:rPr>
          <w:rFonts w:cs="Arial"/>
          <w:i/>
          <w:szCs w:val="20"/>
        </w:rPr>
        <w:t>Everyone Counts: Planning for Patients 2013/14.</w:t>
      </w:r>
    </w:p>
    <w:p w:rsidR="00C30E8F" w:rsidRPr="00C30E8F" w:rsidRDefault="00C30E8F" w:rsidP="00C30E8F">
      <w:pPr>
        <w:spacing w:after="0"/>
        <w:ind w:right="-340"/>
        <w:rPr>
          <w:rFonts w:ascii="Corbel" w:hAnsi="Corbel" w:cs="Arial"/>
          <w:b/>
          <w:sz w:val="28"/>
          <w:szCs w:val="28"/>
        </w:rPr>
      </w:pPr>
      <w:r w:rsidRPr="00C30E8F">
        <w:rPr>
          <w:rFonts w:ascii="Corbel" w:hAnsi="Corbel" w:cs="Arial"/>
          <w:b/>
          <w:sz w:val="28"/>
          <w:szCs w:val="28"/>
        </w:rPr>
        <w:t>14.3 Information Governance</w:t>
      </w:r>
    </w:p>
    <w:p w:rsidR="00C30E8F" w:rsidRPr="0056458C" w:rsidRDefault="00C30E8F" w:rsidP="00F35F8C">
      <w:pPr>
        <w:pStyle w:val="ListParagraph"/>
        <w:numPr>
          <w:ilvl w:val="0"/>
          <w:numId w:val="16"/>
        </w:numPr>
        <w:spacing w:after="0"/>
        <w:ind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should manage service user identifiable data in accordance with the law, good clinical practice and/or health and social care practice.  </w:t>
      </w:r>
    </w:p>
    <w:p w:rsidR="00C30E8F" w:rsidRPr="0056458C" w:rsidRDefault="00C30E8F" w:rsidP="00F35F8C">
      <w:pPr>
        <w:pStyle w:val="ListParagraph"/>
        <w:numPr>
          <w:ilvl w:val="0"/>
          <w:numId w:val="16"/>
        </w:numPr>
        <w:ind w:right="-340"/>
        <w:rPr>
          <w:rFonts w:cs="Arial"/>
          <w:szCs w:val="20"/>
        </w:rPr>
      </w:pPr>
      <w:r w:rsidRPr="0056458C">
        <w:rPr>
          <w:rFonts w:cs="Arial"/>
          <w:szCs w:val="20"/>
        </w:rPr>
        <w:t xml:space="preserve">It is a requirement that the </w:t>
      </w:r>
      <w:r>
        <w:rPr>
          <w:rFonts w:cs="Arial"/>
          <w:szCs w:val="20"/>
        </w:rPr>
        <w:t>service</w:t>
      </w:r>
      <w:r w:rsidRPr="0056458C">
        <w:rPr>
          <w:rFonts w:cs="Arial"/>
          <w:szCs w:val="20"/>
        </w:rPr>
        <w:t xml:space="preserve"> meets the requirements set out in the Information Governance Toolkit (IGT) at a minimum level 2 performance.</w:t>
      </w:r>
    </w:p>
    <w:p w:rsidR="00C30E8F" w:rsidRPr="0056458C" w:rsidRDefault="00C30E8F" w:rsidP="00F35F8C">
      <w:pPr>
        <w:pStyle w:val="ListParagraph"/>
        <w:numPr>
          <w:ilvl w:val="0"/>
          <w:numId w:val="16"/>
        </w:numPr>
        <w:ind w:right="-340"/>
        <w:rPr>
          <w:rFonts w:cs="Arial"/>
          <w:szCs w:val="20"/>
        </w:rPr>
      </w:pPr>
      <w:r w:rsidRPr="0056458C">
        <w:rPr>
          <w:rFonts w:cs="Arial"/>
          <w:szCs w:val="20"/>
        </w:rPr>
        <w:t xml:space="preserve">Where there is a requirement to integrate their IM&amp;T solution to NHS systems and services, the </w:t>
      </w:r>
      <w:r>
        <w:rPr>
          <w:rFonts w:cs="Arial"/>
          <w:szCs w:val="20"/>
        </w:rPr>
        <w:t>service</w:t>
      </w:r>
      <w:r w:rsidRPr="0056458C">
        <w:rPr>
          <w:rFonts w:cs="Arial"/>
          <w:szCs w:val="20"/>
        </w:rPr>
        <w:t xml:space="preserve"> will need to complete an information governance statement of compliance.</w:t>
      </w:r>
    </w:p>
    <w:p w:rsidR="00C30E8F" w:rsidRDefault="00C30E8F" w:rsidP="00F35F8C">
      <w:pPr>
        <w:pStyle w:val="ListParagraph"/>
        <w:numPr>
          <w:ilvl w:val="0"/>
          <w:numId w:val="16"/>
        </w:numPr>
        <w:ind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should ensure that any suppliers and sub-contractors with access to service user information and to any NHS systems or services as part of the contract meet the same IG obligations and the provider themselves</w:t>
      </w:r>
    </w:p>
    <w:p w:rsidR="00C30E8F" w:rsidRPr="0056458C" w:rsidRDefault="00C30E8F" w:rsidP="00C30E8F">
      <w:pPr>
        <w:autoSpaceDE w:val="0"/>
        <w:autoSpaceDN w:val="0"/>
        <w:adjustRightInd w:val="0"/>
        <w:spacing w:line="240" w:lineRule="auto"/>
        <w:rPr>
          <w:rFonts w:eastAsia="MS Mincho" w:cs="Arial"/>
          <w:color w:val="000000"/>
          <w:szCs w:val="20"/>
          <w:lang w:val="en-US" w:eastAsia="ja-JP"/>
        </w:rPr>
      </w:pPr>
      <w:r w:rsidRPr="0056458C">
        <w:rPr>
          <w:rFonts w:eastAsia="MS Mincho" w:cs="Arial"/>
          <w:color w:val="000000"/>
          <w:szCs w:val="20"/>
          <w:lang w:val="en-US" w:eastAsia="ja-JP"/>
        </w:rPr>
        <w:t xml:space="preserve">The </w:t>
      </w:r>
      <w:r>
        <w:rPr>
          <w:rFonts w:eastAsia="MS Mincho" w:cs="Arial"/>
          <w:color w:val="000000"/>
          <w:szCs w:val="20"/>
          <w:lang w:val="en-US" w:eastAsia="ja-JP"/>
        </w:rPr>
        <w:t>service</w:t>
      </w:r>
      <w:r w:rsidRPr="0056458C">
        <w:rPr>
          <w:rFonts w:eastAsia="MS Mincho" w:cs="Arial"/>
          <w:color w:val="000000"/>
          <w:szCs w:val="20"/>
          <w:lang w:val="en-US" w:eastAsia="ja-JP"/>
        </w:rPr>
        <w:t xml:space="preserve"> will have in place a completed NHS Information Governance Statement of Compliance (IGSoC) process, comprising:</w:t>
      </w:r>
    </w:p>
    <w:p w:rsidR="00C30E8F" w:rsidRPr="0056458C" w:rsidRDefault="00C30E8F" w:rsidP="00F35F8C">
      <w:pPr>
        <w:numPr>
          <w:ilvl w:val="0"/>
          <w:numId w:val="21"/>
        </w:numPr>
        <w:autoSpaceDE w:val="0"/>
        <w:autoSpaceDN w:val="0"/>
        <w:adjustRightInd w:val="0"/>
        <w:spacing w:after="0" w:line="240" w:lineRule="auto"/>
        <w:ind w:left="426" w:hanging="426"/>
        <w:rPr>
          <w:rFonts w:eastAsia="MS Mincho" w:cs="Arial"/>
          <w:color w:val="000000"/>
          <w:szCs w:val="20"/>
          <w:lang w:val="en-US" w:eastAsia="ja-JP"/>
        </w:rPr>
      </w:pPr>
      <w:r w:rsidRPr="0056458C">
        <w:rPr>
          <w:rFonts w:eastAsia="MS Mincho" w:cs="Arial"/>
          <w:color w:val="000000"/>
          <w:szCs w:val="20"/>
          <w:lang w:val="en-US" w:eastAsia="ja-JP"/>
        </w:rPr>
        <w:t xml:space="preserve">IGSoC signed by the most senior executive in the organisation, and sent from that individuals mailbox (usually the CEO) to </w:t>
      </w:r>
      <w:hyperlink r:id="rId18" w:history="1">
        <w:r w:rsidRPr="0056458C">
          <w:rPr>
            <w:rFonts w:eastAsia="MS Mincho" w:cs="Arial"/>
            <w:color w:val="0000FF"/>
            <w:szCs w:val="20"/>
            <w:u w:val="single"/>
            <w:lang w:val="en-US" w:eastAsia="ja-JP"/>
          </w:rPr>
          <w:t>igsoc@nhs.net</w:t>
        </w:r>
      </w:hyperlink>
      <w:r w:rsidRPr="0056458C">
        <w:rPr>
          <w:rFonts w:eastAsia="MS Mincho" w:cs="Arial"/>
          <w:color w:val="000000"/>
          <w:szCs w:val="20"/>
          <w:lang w:val="en-US" w:eastAsia="ja-JP"/>
        </w:rPr>
        <w:t>;</w:t>
      </w:r>
    </w:p>
    <w:p w:rsidR="00C30E8F" w:rsidRPr="0056458C" w:rsidRDefault="00C30E8F" w:rsidP="00F35F8C">
      <w:pPr>
        <w:numPr>
          <w:ilvl w:val="0"/>
          <w:numId w:val="21"/>
        </w:numPr>
        <w:autoSpaceDE w:val="0"/>
        <w:autoSpaceDN w:val="0"/>
        <w:adjustRightInd w:val="0"/>
        <w:spacing w:after="0" w:line="240" w:lineRule="auto"/>
        <w:ind w:left="426" w:hanging="426"/>
        <w:rPr>
          <w:rFonts w:eastAsia="MS Mincho" w:cs="Arial"/>
          <w:szCs w:val="20"/>
          <w:lang w:val="en-US" w:eastAsia="ja-JP"/>
        </w:rPr>
      </w:pPr>
      <w:r w:rsidRPr="0056458C">
        <w:rPr>
          <w:rFonts w:eastAsia="MS Mincho" w:cs="Arial"/>
          <w:szCs w:val="20"/>
          <w:lang w:val="en-US" w:eastAsia="ja-JP"/>
        </w:rPr>
        <w:t>Logical Connection Architecture – a description of the applying organisations network infrastructure;</w:t>
      </w:r>
    </w:p>
    <w:p w:rsidR="00C30E8F" w:rsidRPr="0056458C" w:rsidRDefault="00C30E8F" w:rsidP="00F35F8C">
      <w:pPr>
        <w:numPr>
          <w:ilvl w:val="0"/>
          <w:numId w:val="21"/>
        </w:numPr>
        <w:autoSpaceDE w:val="0"/>
        <w:autoSpaceDN w:val="0"/>
        <w:adjustRightInd w:val="0"/>
        <w:spacing w:after="0" w:line="240" w:lineRule="auto"/>
        <w:ind w:left="426" w:hanging="426"/>
        <w:rPr>
          <w:rFonts w:eastAsia="MS Mincho" w:cs="Arial"/>
          <w:szCs w:val="20"/>
          <w:lang w:val="en-US" w:eastAsia="ja-JP"/>
        </w:rPr>
      </w:pPr>
      <w:r w:rsidRPr="0056458C">
        <w:rPr>
          <w:rFonts w:eastAsia="MS Mincho" w:cs="Arial"/>
          <w:szCs w:val="20"/>
          <w:lang w:val="en-US" w:eastAsia="ja-JP"/>
        </w:rPr>
        <w:t>Sponsorship letter from the NHS organisation to which you provide services.</w:t>
      </w:r>
    </w:p>
    <w:p w:rsidR="00C30E8F" w:rsidRPr="0056458C" w:rsidRDefault="00C30E8F" w:rsidP="00F35F8C">
      <w:pPr>
        <w:numPr>
          <w:ilvl w:val="0"/>
          <w:numId w:val="21"/>
        </w:numPr>
        <w:autoSpaceDE w:val="0"/>
        <w:autoSpaceDN w:val="0"/>
        <w:adjustRightInd w:val="0"/>
        <w:spacing w:after="0" w:line="240" w:lineRule="auto"/>
        <w:ind w:left="426" w:hanging="426"/>
        <w:rPr>
          <w:rFonts w:eastAsia="MS Mincho" w:cs="Arial"/>
          <w:szCs w:val="20"/>
          <w:lang w:val="en-US" w:eastAsia="ja-JP"/>
        </w:rPr>
      </w:pPr>
      <w:r w:rsidRPr="0056458C">
        <w:rPr>
          <w:rFonts w:eastAsia="MS Mincho" w:cs="Arial"/>
          <w:szCs w:val="20"/>
          <w:lang w:val="en-US" w:eastAsia="ja-JP"/>
        </w:rPr>
        <w:t xml:space="preserve">All IGSoC processes will have to be approved via Connecting for Health IGSoC Team. </w:t>
      </w:r>
      <w:hyperlink r:id="rId19" w:history="1">
        <w:r w:rsidRPr="0056458C">
          <w:rPr>
            <w:rStyle w:val="Hyperlink"/>
            <w:rFonts w:eastAsia="MS Mincho" w:cs="Arial"/>
            <w:szCs w:val="20"/>
            <w:lang w:val="en-US" w:eastAsia="ja-JP"/>
          </w:rPr>
          <w:t>http://www.connectingforhealth.nhs.uk/systemsandservices/infogov/igsoc</w:t>
        </w:r>
      </w:hyperlink>
    </w:p>
    <w:p w:rsidR="00C30E8F" w:rsidRPr="0056458C" w:rsidRDefault="00C30E8F" w:rsidP="00C30E8F">
      <w:pPr>
        <w:autoSpaceDE w:val="0"/>
        <w:autoSpaceDN w:val="0"/>
        <w:adjustRightInd w:val="0"/>
        <w:spacing w:line="240" w:lineRule="auto"/>
        <w:rPr>
          <w:rFonts w:eastAsia="MS Mincho" w:cs="Arial"/>
          <w:szCs w:val="20"/>
          <w:lang w:val="en-US" w:eastAsia="ja-JP"/>
        </w:rPr>
      </w:pPr>
    </w:p>
    <w:p w:rsidR="00C30E8F" w:rsidRPr="0056458C" w:rsidRDefault="00C30E8F" w:rsidP="00C30E8F">
      <w:pPr>
        <w:autoSpaceDE w:val="0"/>
        <w:autoSpaceDN w:val="0"/>
        <w:adjustRightInd w:val="0"/>
        <w:spacing w:line="240" w:lineRule="auto"/>
        <w:rPr>
          <w:rFonts w:eastAsia="MS Mincho" w:cs="Arial"/>
          <w:szCs w:val="20"/>
          <w:lang w:val="en-US" w:eastAsia="ja-JP"/>
        </w:rPr>
      </w:pPr>
      <w:r w:rsidRPr="0056458C">
        <w:rPr>
          <w:rFonts w:eastAsia="MS Mincho" w:cs="Arial"/>
          <w:szCs w:val="20"/>
          <w:lang w:val="en-US" w:eastAsia="ja-JP"/>
        </w:rPr>
        <w:t xml:space="preserve">The </w:t>
      </w:r>
      <w:r>
        <w:rPr>
          <w:rFonts w:eastAsia="MS Mincho" w:cs="Arial"/>
          <w:color w:val="000000"/>
          <w:szCs w:val="20"/>
          <w:lang w:val="en-US" w:eastAsia="ja-JP"/>
        </w:rPr>
        <w:t>service</w:t>
      </w:r>
      <w:r w:rsidRPr="0056458C">
        <w:rPr>
          <w:rFonts w:eastAsia="MS Mincho" w:cs="Arial"/>
          <w:szCs w:val="20"/>
          <w:lang w:val="en-US" w:eastAsia="ja-JP"/>
        </w:rPr>
        <w:t xml:space="preserve"> will comply with all relevant national information governance and best practice standards including:</w:t>
      </w:r>
    </w:p>
    <w:p w:rsidR="00C30E8F" w:rsidRPr="0056458C" w:rsidRDefault="00C30E8F" w:rsidP="00F35F8C">
      <w:pPr>
        <w:numPr>
          <w:ilvl w:val="0"/>
          <w:numId w:val="22"/>
        </w:numPr>
        <w:autoSpaceDE w:val="0"/>
        <w:autoSpaceDN w:val="0"/>
        <w:adjustRightInd w:val="0"/>
        <w:spacing w:after="0" w:line="240" w:lineRule="auto"/>
        <w:ind w:left="426" w:hanging="426"/>
        <w:rPr>
          <w:rFonts w:eastAsia="MS Mincho" w:cs="Arial"/>
          <w:szCs w:val="20"/>
          <w:lang w:val="en-US" w:eastAsia="ja-JP"/>
        </w:rPr>
      </w:pPr>
      <w:r w:rsidRPr="0056458C">
        <w:rPr>
          <w:rFonts w:eastAsia="MS Mincho" w:cs="Arial"/>
          <w:szCs w:val="20"/>
          <w:lang w:val="en-US" w:eastAsia="ja-JP"/>
        </w:rPr>
        <w:lastRenderedPageBreak/>
        <w:t>NHS Security Management – NHS Code of Practice;</w:t>
      </w:r>
    </w:p>
    <w:p w:rsidR="00C30E8F" w:rsidRPr="0056458C" w:rsidRDefault="00C30E8F" w:rsidP="00F35F8C">
      <w:pPr>
        <w:numPr>
          <w:ilvl w:val="0"/>
          <w:numId w:val="22"/>
        </w:numPr>
        <w:autoSpaceDE w:val="0"/>
        <w:autoSpaceDN w:val="0"/>
        <w:adjustRightInd w:val="0"/>
        <w:spacing w:after="0" w:line="240" w:lineRule="auto"/>
        <w:ind w:left="426" w:hanging="426"/>
        <w:rPr>
          <w:rFonts w:eastAsia="MS Mincho" w:cs="Arial"/>
          <w:szCs w:val="20"/>
          <w:lang w:val="en-US" w:eastAsia="ja-JP"/>
        </w:rPr>
      </w:pPr>
      <w:r w:rsidRPr="0056458C">
        <w:rPr>
          <w:rFonts w:eastAsia="MS Mincho" w:cs="Arial"/>
          <w:szCs w:val="20"/>
          <w:lang w:val="en-US" w:eastAsia="ja-JP"/>
        </w:rPr>
        <w:t>NHS Confidentiality – NHS Code of Practice.</w:t>
      </w:r>
    </w:p>
    <w:p w:rsidR="00C30E8F" w:rsidRPr="0056458C" w:rsidRDefault="00C30E8F" w:rsidP="00C30E8F">
      <w:pPr>
        <w:spacing w:after="0" w:line="240" w:lineRule="auto"/>
        <w:ind w:left="-624"/>
        <w:rPr>
          <w:rFonts w:eastAsia="MS Mincho" w:cs="Arial"/>
          <w:szCs w:val="20"/>
          <w:lang w:val="en-US" w:eastAsia="ja-JP"/>
        </w:rPr>
      </w:pPr>
    </w:p>
    <w:p w:rsidR="00C30E8F" w:rsidRPr="0056458C" w:rsidRDefault="00C30E8F" w:rsidP="00C30E8F">
      <w:pPr>
        <w:spacing w:after="0" w:line="240" w:lineRule="auto"/>
        <w:rPr>
          <w:rFonts w:eastAsia="MS Mincho" w:cs="Arial"/>
          <w:color w:val="00B050"/>
          <w:szCs w:val="20"/>
          <w:lang w:val="en-US" w:eastAsia="ja-JP"/>
        </w:rPr>
      </w:pPr>
      <w:r w:rsidRPr="0056458C">
        <w:rPr>
          <w:rFonts w:eastAsia="MS Mincho" w:cs="Arial"/>
          <w:szCs w:val="20"/>
          <w:lang w:val="en-US" w:eastAsia="ja-JP"/>
        </w:rPr>
        <w:t xml:space="preserve">The </w:t>
      </w:r>
      <w:r>
        <w:rPr>
          <w:rFonts w:eastAsia="MS Mincho" w:cs="Arial"/>
          <w:szCs w:val="20"/>
          <w:lang w:val="en-US" w:eastAsia="ja-JP"/>
        </w:rPr>
        <w:t xml:space="preserve">service </w:t>
      </w:r>
      <w:r w:rsidRPr="0056458C">
        <w:rPr>
          <w:rFonts w:eastAsia="MS Mincho" w:cs="Arial"/>
          <w:szCs w:val="20"/>
          <w:lang w:val="en-US" w:eastAsia="ja-JP"/>
        </w:rPr>
        <w:t>will participate in additional Information Governance audits as agreed with the Commissioner.</w:t>
      </w:r>
    </w:p>
    <w:p w:rsidR="00C30E8F" w:rsidRPr="0056458C" w:rsidRDefault="00C30E8F" w:rsidP="00C30E8F">
      <w:pPr>
        <w:spacing w:after="0"/>
        <w:ind w:left="284"/>
        <w:rPr>
          <w:rFonts w:eastAsia="MS Mincho" w:cs="Arial"/>
          <w:szCs w:val="20"/>
          <w:lang w:val="en-US" w:eastAsia="ja-JP"/>
        </w:rPr>
      </w:pPr>
    </w:p>
    <w:p w:rsidR="00C30E8F" w:rsidRPr="0056458C" w:rsidRDefault="00C30E8F" w:rsidP="00C30E8F">
      <w:pPr>
        <w:spacing w:after="0"/>
        <w:rPr>
          <w:rFonts w:eastAsia="MS Mincho" w:cs="Arial"/>
          <w:szCs w:val="20"/>
          <w:lang w:val="en-US" w:eastAsia="ja-JP"/>
        </w:rPr>
      </w:pPr>
      <w:r w:rsidRPr="0056458C">
        <w:rPr>
          <w:rFonts w:eastAsia="MS Mincho" w:cs="Arial"/>
          <w:szCs w:val="20"/>
          <w:lang w:val="en-US" w:eastAsia="ja-JP"/>
        </w:rPr>
        <w:t xml:space="preserve">The </w:t>
      </w:r>
      <w:r>
        <w:rPr>
          <w:rFonts w:eastAsia="MS Mincho" w:cs="Arial"/>
          <w:szCs w:val="20"/>
          <w:lang w:val="en-US" w:eastAsia="ja-JP"/>
        </w:rPr>
        <w:t>service</w:t>
      </w:r>
      <w:r w:rsidRPr="0056458C">
        <w:rPr>
          <w:rFonts w:eastAsia="MS Mincho" w:cs="Arial"/>
          <w:szCs w:val="20"/>
          <w:lang w:val="en-US" w:eastAsia="ja-JP"/>
        </w:rPr>
        <w:t xml:space="preserve"> must complete and provide evidence that they have achieved a minimum of level 2 scores for their organisations Information Governance Toolkit </w:t>
      </w:r>
      <w:hyperlink r:id="rId20" w:history="1">
        <w:r w:rsidRPr="0056458C">
          <w:rPr>
            <w:rFonts w:eastAsia="MS Mincho" w:cs="Arial"/>
            <w:color w:val="0000FF"/>
            <w:szCs w:val="20"/>
            <w:u w:val="single"/>
            <w:lang w:val="en-US" w:eastAsia="ja-JP"/>
          </w:rPr>
          <w:t>https://nww.igt.hscic.gov.uk/</w:t>
        </w:r>
      </w:hyperlink>
    </w:p>
    <w:p w:rsidR="00C30E8F" w:rsidRPr="00851189" w:rsidRDefault="00C30E8F" w:rsidP="00C30E8F">
      <w:pPr>
        <w:ind w:right="-340"/>
        <w:rPr>
          <w:rFonts w:cs="Arial"/>
          <w:szCs w:val="20"/>
        </w:rPr>
      </w:pPr>
    </w:p>
    <w:p w:rsidR="00C30E8F" w:rsidRPr="00C30E8F" w:rsidRDefault="00C30E8F" w:rsidP="00C30E8F">
      <w:pPr>
        <w:spacing w:after="0"/>
        <w:ind w:right="-340"/>
        <w:rPr>
          <w:rFonts w:ascii="Corbel" w:hAnsi="Corbel" w:cs="Arial"/>
          <w:b/>
          <w:sz w:val="28"/>
          <w:szCs w:val="28"/>
        </w:rPr>
      </w:pPr>
      <w:r w:rsidRPr="00C30E8F">
        <w:rPr>
          <w:rFonts w:ascii="Corbel" w:hAnsi="Corbel" w:cs="Arial"/>
          <w:b/>
          <w:sz w:val="28"/>
          <w:szCs w:val="28"/>
        </w:rPr>
        <w:t>14.4 System Compliance</w:t>
      </w:r>
    </w:p>
    <w:p w:rsidR="00C30E8F" w:rsidRPr="0056458C" w:rsidRDefault="00C30E8F" w:rsidP="00C30E8F">
      <w:pPr>
        <w:pStyle w:val="ListParagraph"/>
        <w:spacing w:after="0"/>
        <w:ind w:left="0" w:right="-340"/>
        <w:rPr>
          <w:rFonts w:cs="Arial"/>
          <w:szCs w:val="20"/>
        </w:rPr>
      </w:pPr>
      <w:r w:rsidRPr="0056458C">
        <w:rPr>
          <w:rFonts w:cs="Arial"/>
          <w:szCs w:val="20"/>
        </w:rPr>
        <w:t>The NHS Number must be used to support the sharing of patient information and to help healthcare staff and the service provider match the service user to their health records.  The NHS Number should be included on all patient documentation.  To help facilitate the use of the NHS Number the provider should use:</w:t>
      </w:r>
    </w:p>
    <w:p w:rsidR="00C30E8F" w:rsidRPr="0056458C" w:rsidRDefault="00C30E8F" w:rsidP="00F35F8C">
      <w:pPr>
        <w:pStyle w:val="ListParagraph"/>
        <w:numPr>
          <w:ilvl w:val="0"/>
          <w:numId w:val="16"/>
        </w:numPr>
        <w:ind w:right="-340"/>
        <w:rPr>
          <w:rFonts w:cs="Arial"/>
          <w:szCs w:val="20"/>
        </w:rPr>
      </w:pPr>
      <w:r w:rsidRPr="0056458C">
        <w:rPr>
          <w:rFonts w:cs="Arial"/>
          <w:szCs w:val="20"/>
        </w:rPr>
        <w:t>The Patient Demographic Service (PDS)</w:t>
      </w:r>
    </w:p>
    <w:p w:rsidR="00C30E8F" w:rsidRPr="0056458C" w:rsidRDefault="00C30E8F" w:rsidP="00F35F8C">
      <w:pPr>
        <w:pStyle w:val="ListParagraph"/>
        <w:numPr>
          <w:ilvl w:val="0"/>
          <w:numId w:val="16"/>
        </w:numPr>
        <w:ind w:right="-340"/>
        <w:rPr>
          <w:rFonts w:cs="Arial"/>
          <w:szCs w:val="20"/>
        </w:rPr>
      </w:pPr>
      <w:r w:rsidRPr="0056458C">
        <w:rPr>
          <w:rFonts w:cs="Arial"/>
          <w:szCs w:val="20"/>
        </w:rPr>
        <w:t>The Demographic Batch Service (DBS)</w:t>
      </w:r>
    </w:p>
    <w:p w:rsidR="00C30E8F" w:rsidRPr="0056458C" w:rsidRDefault="00C30E8F" w:rsidP="00F35F8C">
      <w:pPr>
        <w:pStyle w:val="ListParagraph"/>
        <w:numPr>
          <w:ilvl w:val="0"/>
          <w:numId w:val="16"/>
        </w:numPr>
        <w:ind w:right="-340"/>
        <w:rPr>
          <w:rFonts w:cs="Arial"/>
          <w:szCs w:val="20"/>
        </w:rPr>
      </w:pPr>
      <w:r w:rsidRPr="0056458C">
        <w:rPr>
          <w:rFonts w:cs="Arial"/>
          <w:szCs w:val="20"/>
        </w:rPr>
        <w:t>Interoperability Toolkit Spine Mini Services</w:t>
      </w:r>
    </w:p>
    <w:p w:rsidR="00C30E8F" w:rsidRPr="0056458C" w:rsidRDefault="00C30E8F" w:rsidP="00C30E8F">
      <w:pPr>
        <w:pStyle w:val="ListParagraph"/>
        <w:ind w:left="0" w:right="-340"/>
        <w:rPr>
          <w:rFonts w:cs="Arial"/>
          <w:szCs w:val="20"/>
        </w:rPr>
      </w:pPr>
      <w:r w:rsidRPr="0056458C">
        <w:rPr>
          <w:rFonts w:cs="Arial"/>
          <w:szCs w:val="20"/>
        </w:rPr>
        <w:t>To enable reporting via NHS systems the provider will require a unique Organisation Data Services (ODS) code for their organisation.</w:t>
      </w:r>
    </w:p>
    <w:p w:rsidR="00C30E8F" w:rsidRPr="0056458C" w:rsidRDefault="00C30E8F" w:rsidP="00C30E8F">
      <w:pPr>
        <w:pStyle w:val="ListParagraph"/>
        <w:ind w:left="0" w:right="-340"/>
        <w:rPr>
          <w:rFonts w:cs="Arial"/>
          <w:szCs w:val="20"/>
        </w:rPr>
      </w:pPr>
    </w:p>
    <w:p w:rsidR="00C30E8F" w:rsidRPr="0056458C" w:rsidRDefault="00C30E8F" w:rsidP="00C30E8F">
      <w:pPr>
        <w:pStyle w:val="ListParagraph"/>
        <w:ind w:left="0" w:right="-340"/>
        <w:rPr>
          <w:rFonts w:cs="Arial"/>
          <w:szCs w:val="20"/>
        </w:rPr>
      </w:pPr>
      <w:r w:rsidRPr="0056458C">
        <w:rPr>
          <w:rFonts w:cs="Arial"/>
          <w:szCs w:val="20"/>
        </w:rPr>
        <w:t>In order to use NHS IT services the provider must obtain an N3 connection.</w:t>
      </w:r>
    </w:p>
    <w:p w:rsidR="00C30E8F" w:rsidRPr="0056458C" w:rsidRDefault="00C30E8F" w:rsidP="00C30E8F">
      <w:pPr>
        <w:pStyle w:val="ListParagraph"/>
        <w:ind w:left="0"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will be required to register for NHS mail to provide a secure email service for the transmission of service user identifiable data.</w:t>
      </w:r>
    </w:p>
    <w:p w:rsidR="00C30E8F" w:rsidRPr="0056458C" w:rsidRDefault="00C30E8F" w:rsidP="00C30E8F">
      <w:pPr>
        <w:pStyle w:val="ListParagraph"/>
        <w:ind w:left="0" w:right="-340"/>
        <w:rPr>
          <w:rFonts w:cs="Arial"/>
          <w:szCs w:val="20"/>
        </w:rPr>
      </w:pPr>
    </w:p>
    <w:p w:rsidR="00C30E8F" w:rsidRDefault="00C30E8F" w:rsidP="00C30E8F">
      <w:pPr>
        <w:pStyle w:val="ListParagraph"/>
        <w:ind w:left="0" w:right="-340"/>
        <w:rPr>
          <w:rFonts w:cs="Arial"/>
          <w:szCs w:val="20"/>
        </w:rPr>
      </w:pPr>
      <w:r w:rsidRPr="0056458C">
        <w:rPr>
          <w:rFonts w:cs="Arial"/>
          <w:szCs w:val="20"/>
        </w:rPr>
        <w:t>When implementing Integrated Digital Care Records systems the provider must ensure that systems built or procured provide Open Application Programming Interfaces (APIs) in line with the NHS Technology Strategy and the IT Interoperability Toolkit.</w:t>
      </w:r>
    </w:p>
    <w:p w:rsidR="00C30E8F" w:rsidRDefault="00C30E8F" w:rsidP="00C30E8F">
      <w:pPr>
        <w:pStyle w:val="ListParagraph"/>
        <w:ind w:left="0" w:right="-340"/>
        <w:rPr>
          <w:rFonts w:cs="Arial"/>
          <w:szCs w:val="20"/>
        </w:rPr>
      </w:pPr>
    </w:p>
    <w:p w:rsidR="00C30E8F" w:rsidRPr="0056458C" w:rsidRDefault="00C30E8F" w:rsidP="00C30E8F">
      <w:pPr>
        <w:ind w:right="-340"/>
        <w:rPr>
          <w:rFonts w:cs="Arial"/>
          <w:szCs w:val="20"/>
        </w:rPr>
      </w:pPr>
      <w:r w:rsidRPr="0056458C">
        <w:rPr>
          <w:rFonts w:cs="Arial"/>
          <w:szCs w:val="20"/>
        </w:rPr>
        <w:t xml:space="preserve">The </w:t>
      </w:r>
      <w:r w:rsidR="005B609F">
        <w:rPr>
          <w:rFonts w:cs="Arial"/>
          <w:szCs w:val="20"/>
        </w:rPr>
        <w:t>Service</w:t>
      </w:r>
      <w:r w:rsidRPr="0056458C">
        <w:rPr>
          <w:rFonts w:cs="Arial"/>
          <w:szCs w:val="20"/>
        </w:rPr>
        <w:t xml:space="preserve"> must cooperate with all National application service providers, national infrastructure service providers that are responsible for, among others:</w:t>
      </w:r>
    </w:p>
    <w:p w:rsidR="00C30E8F" w:rsidRPr="0056458C" w:rsidRDefault="00C30E8F" w:rsidP="00F35F8C">
      <w:pPr>
        <w:pStyle w:val="ListParagraph"/>
        <w:numPr>
          <w:ilvl w:val="0"/>
          <w:numId w:val="16"/>
        </w:numPr>
        <w:ind w:right="-340"/>
        <w:rPr>
          <w:rFonts w:cs="Arial"/>
          <w:szCs w:val="20"/>
        </w:rPr>
      </w:pPr>
      <w:r w:rsidRPr="0056458C">
        <w:rPr>
          <w:rFonts w:cs="Arial"/>
          <w:szCs w:val="20"/>
        </w:rPr>
        <w:t>Choose and Book(or equivalent system); use of the Directly Bookable Service (DBS) for all patient referrals into secondary care</w:t>
      </w:r>
      <w:r w:rsidR="00F10EC7">
        <w:rPr>
          <w:rFonts w:cs="Arial"/>
          <w:szCs w:val="20"/>
        </w:rPr>
        <w:t>;</w:t>
      </w:r>
    </w:p>
    <w:p w:rsidR="00C30E8F" w:rsidRPr="0056458C" w:rsidRDefault="00C30E8F" w:rsidP="00F35F8C">
      <w:pPr>
        <w:pStyle w:val="ListParagraph"/>
        <w:numPr>
          <w:ilvl w:val="0"/>
          <w:numId w:val="16"/>
        </w:numPr>
        <w:ind w:right="-340"/>
        <w:rPr>
          <w:rFonts w:cs="Arial"/>
          <w:szCs w:val="20"/>
        </w:rPr>
      </w:pPr>
      <w:r w:rsidRPr="0056458C">
        <w:rPr>
          <w:rFonts w:cs="Arial"/>
          <w:szCs w:val="20"/>
        </w:rPr>
        <w:t>GP systems e.g. SystmOne, EMIS, Vision and others</w:t>
      </w:r>
      <w:r w:rsidR="00F10EC7">
        <w:rPr>
          <w:rFonts w:cs="Arial"/>
          <w:szCs w:val="20"/>
        </w:rPr>
        <w:t>;</w:t>
      </w:r>
    </w:p>
    <w:p w:rsidR="00C30E8F" w:rsidRPr="0056458C" w:rsidRDefault="00C30E8F" w:rsidP="00F35F8C">
      <w:pPr>
        <w:pStyle w:val="ListParagraph"/>
        <w:numPr>
          <w:ilvl w:val="0"/>
          <w:numId w:val="16"/>
        </w:numPr>
        <w:ind w:right="-340"/>
        <w:rPr>
          <w:rFonts w:cs="Arial"/>
          <w:szCs w:val="20"/>
        </w:rPr>
      </w:pPr>
      <w:r w:rsidRPr="0056458C">
        <w:rPr>
          <w:rFonts w:cs="Arial"/>
          <w:szCs w:val="20"/>
        </w:rPr>
        <w:t>NHS Summary Care Records plus ensure that all patient records are kept in the national compatible format and when available to communicate with the national spine services;</w:t>
      </w:r>
    </w:p>
    <w:p w:rsidR="00C30E8F" w:rsidRPr="0056458C" w:rsidRDefault="00C30E8F" w:rsidP="00F35F8C">
      <w:pPr>
        <w:pStyle w:val="ListParagraph"/>
        <w:numPr>
          <w:ilvl w:val="0"/>
          <w:numId w:val="16"/>
        </w:numPr>
        <w:ind w:right="-340"/>
        <w:rPr>
          <w:rFonts w:cs="Arial"/>
          <w:szCs w:val="20"/>
        </w:rPr>
      </w:pPr>
      <w:r w:rsidRPr="0056458C">
        <w:rPr>
          <w:rFonts w:cs="Arial"/>
          <w:szCs w:val="20"/>
        </w:rPr>
        <w:t>Electronic Transfer of Prescriptions; use of the electronic prescribing service for supply, administration and recording of medications prescribed and transmission to the Prescription Pricing Division (PPD);</w:t>
      </w:r>
    </w:p>
    <w:p w:rsidR="00C30E8F" w:rsidRPr="0056458C" w:rsidRDefault="00C30E8F" w:rsidP="00F35F8C">
      <w:pPr>
        <w:pStyle w:val="ListParagraph"/>
        <w:numPr>
          <w:ilvl w:val="0"/>
          <w:numId w:val="16"/>
        </w:numPr>
        <w:ind w:right="-340"/>
        <w:rPr>
          <w:rFonts w:cs="Arial"/>
          <w:szCs w:val="20"/>
        </w:rPr>
      </w:pPr>
      <w:r w:rsidRPr="0056458C">
        <w:rPr>
          <w:rFonts w:cs="Arial"/>
          <w:szCs w:val="20"/>
        </w:rPr>
        <w:t>Patient Demographic Service; use of the PDS to obtain and verify NHS Numbers for patients and ensure their use in all clinical communications;</w:t>
      </w:r>
    </w:p>
    <w:p w:rsidR="00C30E8F" w:rsidRPr="0056458C" w:rsidRDefault="00C30E8F" w:rsidP="00F35F8C">
      <w:pPr>
        <w:pStyle w:val="ListParagraph"/>
        <w:numPr>
          <w:ilvl w:val="0"/>
          <w:numId w:val="16"/>
        </w:numPr>
        <w:ind w:right="-340"/>
        <w:rPr>
          <w:rFonts w:cs="Arial"/>
          <w:szCs w:val="20"/>
        </w:rPr>
      </w:pPr>
      <w:r w:rsidRPr="0056458C">
        <w:rPr>
          <w:rFonts w:cs="Arial"/>
          <w:szCs w:val="20"/>
        </w:rPr>
        <w:t>NHSMail; use of the NHSMail email service for all email communications concerning patient-identifiable information</w:t>
      </w:r>
      <w:r w:rsidR="00F10EC7">
        <w:rPr>
          <w:rFonts w:cs="Arial"/>
          <w:szCs w:val="20"/>
        </w:rPr>
        <w:t>;</w:t>
      </w:r>
    </w:p>
    <w:p w:rsidR="00C30E8F" w:rsidRPr="0056458C" w:rsidRDefault="00C30E8F" w:rsidP="00F35F8C">
      <w:pPr>
        <w:pStyle w:val="ListParagraph"/>
        <w:numPr>
          <w:ilvl w:val="0"/>
          <w:numId w:val="16"/>
        </w:numPr>
        <w:spacing w:after="0"/>
        <w:ind w:right="-340"/>
        <w:rPr>
          <w:rFonts w:cs="Arial"/>
        </w:rPr>
      </w:pPr>
      <w:r w:rsidRPr="0056458C">
        <w:rPr>
          <w:rFonts w:cs="Arial"/>
          <w:szCs w:val="20"/>
        </w:rPr>
        <w:t>N3 ; use of the national network for all external system connections to enable communication and facilitate the flow of patient information</w:t>
      </w:r>
      <w:r w:rsidR="00F10EC7">
        <w:rPr>
          <w:rFonts w:cs="Arial"/>
          <w:szCs w:val="20"/>
        </w:rPr>
        <w:t>;</w:t>
      </w:r>
    </w:p>
    <w:p w:rsidR="00C30E8F" w:rsidRPr="0056458C" w:rsidRDefault="00C30E8F" w:rsidP="00F35F8C">
      <w:pPr>
        <w:numPr>
          <w:ilvl w:val="0"/>
          <w:numId w:val="16"/>
        </w:numPr>
        <w:autoSpaceDE w:val="0"/>
        <w:autoSpaceDN w:val="0"/>
        <w:adjustRightInd w:val="0"/>
        <w:spacing w:after="0" w:line="240" w:lineRule="auto"/>
        <w:ind w:right="-340"/>
        <w:rPr>
          <w:rFonts w:cs="Arial"/>
        </w:rPr>
      </w:pPr>
      <w:r w:rsidRPr="0056458C">
        <w:rPr>
          <w:rFonts w:cs="Arial"/>
          <w:szCs w:val="20"/>
        </w:rPr>
        <w:t xml:space="preserve">IEP (Image Exchange Portal); </w:t>
      </w:r>
      <w:r w:rsidRPr="0056458C">
        <w:rPr>
          <w:rFonts w:cs="Arial"/>
          <w:szCs w:val="20"/>
          <w:lang w:val="en"/>
        </w:rPr>
        <w:t>The National Data Sharing Network, web-based application for secure transfer of patient images and reports</w:t>
      </w:r>
      <w:r w:rsidR="00F10EC7">
        <w:rPr>
          <w:rFonts w:cs="Arial"/>
          <w:szCs w:val="20"/>
          <w:lang w:val="en"/>
        </w:rPr>
        <w:t xml:space="preserve"> to secondary care as necessary;</w:t>
      </w:r>
    </w:p>
    <w:p w:rsidR="00C30E8F" w:rsidRPr="0056458C" w:rsidRDefault="00C30E8F" w:rsidP="00F35F8C">
      <w:pPr>
        <w:numPr>
          <w:ilvl w:val="0"/>
          <w:numId w:val="16"/>
        </w:numPr>
        <w:autoSpaceDE w:val="0"/>
        <w:autoSpaceDN w:val="0"/>
        <w:adjustRightInd w:val="0"/>
        <w:spacing w:after="0" w:line="240" w:lineRule="auto"/>
        <w:ind w:right="-340"/>
        <w:rPr>
          <w:rFonts w:cs="Arial"/>
        </w:rPr>
      </w:pPr>
      <w:r w:rsidRPr="0056458C">
        <w:rPr>
          <w:rFonts w:cs="Arial"/>
          <w:szCs w:val="20"/>
          <w:lang w:val="en"/>
        </w:rPr>
        <w:t>EPR (Electronic Patient Record)</w:t>
      </w:r>
      <w:r w:rsidR="00F10EC7">
        <w:rPr>
          <w:rFonts w:cs="Arial"/>
          <w:szCs w:val="20"/>
          <w:lang w:val="en"/>
        </w:rPr>
        <w:t>.</w:t>
      </w:r>
    </w:p>
    <w:p w:rsidR="00C30E8F" w:rsidRPr="00DD4A53" w:rsidRDefault="00C30E8F" w:rsidP="00C30E8F">
      <w:pPr>
        <w:autoSpaceDE w:val="0"/>
        <w:autoSpaceDN w:val="0"/>
        <w:adjustRightInd w:val="0"/>
        <w:spacing w:after="0" w:line="240" w:lineRule="auto"/>
        <w:ind w:left="360" w:right="-340"/>
        <w:rPr>
          <w:rFonts w:cs="Arial"/>
        </w:rPr>
      </w:pPr>
    </w:p>
    <w:p w:rsidR="00C30E8F" w:rsidRPr="0056458C" w:rsidRDefault="00C30E8F" w:rsidP="00C30E8F">
      <w:pPr>
        <w:pStyle w:val="ListParagraph"/>
        <w:ind w:left="0" w:right="-340"/>
        <w:rPr>
          <w:rFonts w:cs="Arial"/>
          <w:szCs w:val="20"/>
        </w:rPr>
      </w:pPr>
    </w:p>
    <w:p w:rsidR="00C30E8F" w:rsidRPr="00C30E8F" w:rsidRDefault="00C30E8F" w:rsidP="00C30E8F">
      <w:pPr>
        <w:spacing w:after="0"/>
        <w:ind w:right="-340"/>
        <w:rPr>
          <w:rFonts w:ascii="Corbel" w:hAnsi="Corbel" w:cs="Arial"/>
          <w:b/>
          <w:sz w:val="28"/>
          <w:szCs w:val="28"/>
        </w:rPr>
      </w:pPr>
      <w:r w:rsidRPr="00C30E8F">
        <w:rPr>
          <w:rFonts w:ascii="Corbel" w:hAnsi="Corbel" w:cs="Arial"/>
          <w:b/>
          <w:sz w:val="28"/>
          <w:szCs w:val="28"/>
        </w:rPr>
        <w:lastRenderedPageBreak/>
        <w:t xml:space="preserve">14.5 Information Standards </w:t>
      </w:r>
    </w:p>
    <w:p w:rsidR="00C30E8F" w:rsidRPr="0056458C" w:rsidRDefault="00C30E8F" w:rsidP="00C30E8F">
      <w:pPr>
        <w:pStyle w:val="ListParagraph"/>
        <w:ind w:left="0"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should be aware of and operate in accordance with the requirements of the following:</w:t>
      </w:r>
    </w:p>
    <w:p w:rsidR="00C30E8F" w:rsidRPr="0056458C" w:rsidRDefault="00C30E8F" w:rsidP="00F35F8C">
      <w:pPr>
        <w:pStyle w:val="ListParagraph"/>
        <w:numPr>
          <w:ilvl w:val="0"/>
          <w:numId w:val="16"/>
        </w:numPr>
        <w:ind w:right="-340"/>
        <w:rPr>
          <w:rFonts w:cs="Arial"/>
          <w:szCs w:val="20"/>
        </w:rPr>
      </w:pPr>
      <w:r w:rsidRPr="0056458C">
        <w:rPr>
          <w:rFonts w:cs="Arial"/>
          <w:szCs w:val="20"/>
        </w:rPr>
        <w:t>Information Standards Board and the Information Standard Notices it issues.</w:t>
      </w:r>
    </w:p>
    <w:p w:rsidR="00C30E8F" w:rsidRPr="0056458C" w:rsidRDefault="00C30E8F" w:rsidP="00F35F8C">
      <w:pPr>
        <w:pStyle w:val="ListParagraph"/>
        <w:numPr>
          <w:ilvl w:val="0"/>
          <w:numId w:val="16"/>
        </w:numPr>
        <w:ind w:right="-340"/>
        <w:rPr>
          <w:rFonts w:cs="Arial"/>
          <w:szCs w:val="20"/>
        </w:rPr>
      </w:pPr>
      <w:r w:rsidRPr="0056458C">
        <w:rPr>
          <w:rFonts w:cs="Arial"/>
          <w:szCs w:val="20"/>
        </w:rPr>
        <w:t>NHS Data Model and Dictionary Service</w:t>
      </w:r>
    </w:p>
    <w:p w:rsidR="00C30E8F" w:rsidRPr="0056458C" w:rsidRDefault="00C30E8F" w:rsidP="00F35F8C">
      <w:pPr>
        <w:pStyle w:val="ListParagraph"/>
        <w:numPr>
          <w:ilvl w:val="0"/>
          <w:numId w:val="16"/>
        </w:numPr>
        <w:ind w:right="-340"/>
        <w:rPr>
          <w:rFonts w:cs="Arial"/>
          <w:szCs w:val="20"/>
        </w:rPr>
      </w:pPr>
      <w:r w:rsidRPr="0056458C">
        <w:rPr>
          <w:rFonts w:cs="Arial"/>
          <w:szCs w:val="20"/>
        </w:rPr>
        <w:t>Health and Social Care Information Centre (HSCIC)</w:t>
      </w:r>
    </w:p>
    <w:p w:rsidR="00C30E8F" w:rsidRPr="0056458C" w:rsidRDefault="00C30E8F" w:rsidP="00C30E8F">
      <w:pPr>
        <w:pStyle w:val="ListParagraph"/>
        <w:ind w:left="-680" w:right="-340"/>
        <w:rPr>
          <w:rFonts w:cs="Arial"/>
          <w:szCs w:val="20"/>
        </w:rPr>
      </w:pPr>
    </w:p>
    <w:p w:rsidR="00C30E8F" w:rsidRPr="00C30E8F" w:rsidRDefault="00C30E8F" w:rsidP="00C30E8F">
      <w:pPr>
        <w:spacing w:after="0"/>
        <w:ind w:right="-340"/>
        <w:rPr>
          <w:rFonts w:ascii="Corbel" w:hAnsi="Corbel" w:cs="Arial"/>
          <w:b/>
          <w:sz w:val="28"/>
          <w:szCs w:val="28"/>
        </w:rPr>
      </w:pPr>
      <w:r w:rsidRPr="00C30E8F">
        <w:rPr>
          <w:rFonts w:ascii="Corbel" w:hAnsi="Corbel" w:cs="Arial"/>
          <w:b/>
          <w:sz w:val="28"/>
          <w:szCs w:val="28"/>
        </w:rPr>
        <w:t>14.6 Informatics Lead</w:t>
      </w:r>
    </w:p>
    <w:p w:rsidR="00C30E8F" w:rsidRPr="0056458C" w:rsidRDefault="00C30E8F" w:rsidP="00C30E8F">
      <w:pPr>
        <w:pStyle w:val="ListParagraph"/>
        <w:spacing w:after="0"/>
        <w:ind w:left="0"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should nominate an Informatics Lead to support the contract and be responsible for meeting the requirements and any new requirements that emerge during the lifetime of the contract.</w:t>
      </w:r>
    </w:p>
    <w:p w:rsidR="00C30E8F" w:rsidRDefault="00C30E8F" w:rsidP="00C30E8F">
      <w:pPr>
        <w:pStyle w:val="ITTnormal"/>
        <w:spacing w:after="0"/>
        <w:ind w:left="0" w:right="-340"/>
        <w:rPr>
          <w:b/>
          <w:color w:val="0070C0"/>
          <w:sz w:val="20"/>
          <w:szCs w:val="20"/>
        </w:rPr>
      </w:pPr>
    </w:p>
    <w:p w:rsidR="006F2272" w:rsidRPr="0056458C" w:rsidRDefault="006F2272" w:rsidP="00C30E8F">
      <w:pPr>
        <w:pStyle w:val="ITTnormal"/>
        <w:spacing w:after="0"/>
        <w:ind w:left="0" w:right="-340"/>
        <w:rPr>
          <w:b/>
          <w:color w:val="0070C0"/>
          <w:sz w:val="20"/>
          <w:szCs w:val="20"/>
        </w:rPr>
      </w:pPr>
    </w:p>
    <w:p w:rsidR="00C30E8F" w:rsidRPr="00C30E8F" w:rsidRDefault="00C30E8F" w:rsidP="00C30E8F">
      <w:pPr>
        <w:pStyle w:val="ITTnormal"/>
        <w:spacing w:after="0"/>
        <w:ind w:left="0" w:right="-340"/>
        <w:rPr>
          <w:rFonts w:ascii="Corbel" w:hAnsi="Corbel"/>
          <w:b/>
          <w:sz w:val="28"/>
          <w:szCs w:val="28"/>
        </w:rPr>
      </w:pPr>
      <w:r w:rsidRPr="00C30E8F">
        <w:rPr>
          <w:rFonts w:ascii="Corbel" w:hAnsi="Corbel"/>
          <w:b/>
          <w:sz w:val="28"/>
          <w:szCs w:val="28"/>
        </w:rPr>
        <w:t>14.7 NHS Terminology</w:t>
      </w:r>
    </w:p>
    <w:p w:rsidR="00C30E8F" w:rsidRPr="0056458C" w:rsidRDefault="00C30E8F" w:rsidP="00C30E8F">
      <w:pPr>
        <w:pStyle w:val="ITTnormal"/>
        <w:spacing w:after="0"/>
        <w:ind w:left="0" w:right="-340"/>
        <w:rPr>
          <w:sz w:val="20"/>
          <w:szCs w:val="20"/>
        </w:rPr>
      </w:pPr>
      <w:r w:rsidRPr="0056458C">
        <w:rPr>
          <w:sz w:val="20"/>
          <w:szCs w:val="20"/>
        </w:rPr>
        <w:t xml:space="preserve">The </w:t>
      </w:r>
      <w:r>
        <w:rPr>
          <w:sz w:val="20"/>
          <w:szCs w:val="20"/>
        </w:rPr>
        <w:t>service</w:t>
      </w:r>
      <w:r w:rsidRPr="0056458C">
        <w:rPr>
          <w:sz w:val="20"/>
          <w:szCs w:val="20"/>
        </w:rPr>
        <w:t xml:space="preserve"> must comply with NHS Terminology Service (</w:t>
      </w:r>
      <w:r w:rsidRPr="0056458C">
        <w:rPr>
          <w:b/>
          <w:sz w:val="20"/>
          <w:szCs w:val="20"/>
        </w:rPr>
        <w:t>NHS TS</w:t>
      </w:r>
      <w:r w:rsidRPr="0056458C">
        <w:rPr>
          <w:sz w:val="20"/>
          <w:szCs w:val="20"/>
        </w:rPr>
        <w:t>), NHS Classifications Service (</w:t>
      </w:r>
      <w:r w:rsidRPr="0056458C">
        <w:rPr>
          <w:b/>
          <w:sz w:val="20"/>
          <w:szCs w:val="20"/>
        </w:rPr>
        <w:t>NHS CS</w:t>
      </w:r>
      <w:r w:rsidRPr="0056458C">
        <w:rPr>
          <w:sz w:val="20"/>
          <w:szCs w:val="20"/>
        </w:rPr>
        <w:t>) and Healthcare Resource Groupings (</w:t>
      </w:r>
      <w:r w:rsidRPr="0056458C">
        <w:rPr>
          <w:b/>
          <w:sz w:val="20"/>
          <w:szCs w:val="20"/>
        </w:rPr>
        <w:t>HRG</w:t>
      </w:r>
      <w:r w:rsidRPr="0056458C">
        <w:rPr>
          <w:sz w:val="20"/>
          <w:szCs w:val="20"/>
        </w:rPr>
        <w:t>) including:</w:t>
      </w:r>
    </w:p>
    <w:p w:rsidR="00C30E8F" w:rsidRPr="0056458C" w:rsidRDefault="00C30E8F" w:rsidP="00F35F8C">
      <w:pPr>
        <w:pStyle w:val="ListParagraph"/>
        <w:numPr>
          <w:ilvl w:val="0"/>
          <w:numId w:val="16"/>
        </w:numPr>
        <w:spacing w:after="0"/>
        <w:ind w:right="-340"/>
        <w:rPr>
          <w:rFonts w:cs="Arial"/>
          <w:szCs w:val="20"/>
        </w:rPr>
      </w:pPr>
      <w:r w:rsidRPr="0056458C">
        <w:rPr>
          <w:rFonts w:cs="Arial"/>
          <w:szCs w:val="20"/>
        </w:rPr>
        <w:t>Read Codes and migrate to SNOMED CT (UK Edition) when available;</w:t>
      </w:r>
    </w:p>
    <w:p w:rsidR="00C30E8F" w:rsidRPr="0056458C" w:rsidRDefault="00C30E8F" w:rsidP="00F35F8C">
      <w:pPr>
        <w:pStyle w:val="ListParagraph"/>
        <w:numPr>
          <w:ilvl w:val="0"/>
          <w:numId w:val="16"/>
        </w:numPr>
        <w:spacing w:after="0"/>
        <w:ind w:right="-340"/>
        <w:rPr>
          <w:rFonts w:cs="Arial"/>
          <w:szCs w:val="20"/>
        </w:rPr>
      </w:pPr>
      <w:r w:rsidRPr="0056458C">
        <w:rPr>
          <w:rFonts w:cs="Arial"/>
          <w:szCs w:val="20"/>
        </w:rPr>
        <w:t>NHS Dictionary of Medicines and Devices;</w:t>
      </w:r>
    </w:p>
    <w:p w:rsidR="00C30E8F" w:rsidRPr="0056458C" w:rsidRDefault="00C30E8F" w:rsidP="00F35F8C">
      <w:pPr>
        <w:pStyle w:val="ListParagraph"/>
        <w:numPr>
          <w:ilvl w:val="0"/>
          <w:numId w:val="16"/>
        </w:numPr>
        <w:ind w:right="-340"/>
        <w:rPr>
          <w:rFonts w:cs="Arial"/>
          <w:szCs w:val="20"/>
        </w:rPr>
      </w:pPr>
      <w:r w:rsidRPr="0056458C">
        <w:rPr>
          <w:rFonts w:cs="Arial"/>
          <w:szCs w:val="20"/>
        </w:rPr>
        <w:t>Office of Population Census and Surveys (OPCS) version 4.3;</w:t>
      </w:r>
    </w:p>
    <w:p w:rsidR="00C30E8F" w:rsidRPr="0056458C" w:rsidRDefault="00C30E8F" w:rsidP="00F35F8C">
      <w:pPr>
        <w:pStyle w:val="ListParagraph"/>
        <w:numPr>
          <w:ilvl w:val="0"/>
          <w:numId w:val="16"/>
        </w:numPr>
        <w:ind w:right="-340"/>
        <w:rPr>
          <w:rFonts w:cs="Arial"/>
          <w:szCs w:val="20"/>
        </w:rPr>
      </w:pPr>
      <w:r w:rsidRPr="0056458C">
        <w:rPr>
          <w:rFonts w:cs="Arial"/>
          <w:szCs w:val="20"/>
        </w:rPr>
        <w:t>National Intervention Classification Service (NIC);</w:t>
      </w:r>
    </w:p>
    <w:p w:rsidR="00C30E8F" w:rsidRPr="0056458C" w:rsidRDefault="00C30E8F" w:rsidP="00F35F8C">
      <w:pPr>
        <w:pStyle w:val="ListParagraph"/>
        <w:numPr>
          <w:ilvl w:val="0"/>
          <w:numId w:val="16"/>
        </w:numPr>
        <w:ind w:right="-340"/>
        <w:rPr>
          <w:rFonts w:cs="Arial"/>
          <w:szCs w:val="20"/>
        </w:rPr>
      </w:pPr>
      <w:r w:rsidRPr="0056458C">
        <w:rPr>
          <w:rFonts w:cs="Arial"/>
          <w:szCs w:val="20"/>
        </w:rPr>
        <w:t>International Classification of Disease (ICD) version 10; and</w:t>
      </w:r>
    </w:p>
    <w:p w:rsidR="00C30E8F" w:rsidRPr="0056458C" w:rsidRDefault="00C30E8F" w:rsidP="00F35F8C">
      <w:pPr>
        <w:pStyle w:val="ListParagraph"/>
        <w:numPr>
          <w:ilvl w:val="0"/>
          <w:numId w:val="16"/>
        </w:numPr>
        <w:ind w:right="-340"/>
        <w:rPr>
          <w:rFonts w:cs="Arial"/>
          <w:szCs w:val="20"/>
        </w:rPr>
      </w:pPr>
      <w:r w:rsidRPr="0056458C">
        <w:rPr>
          <w:rFonts w:cs="Arial"/>
          <w:szCs w:val="20"/>
        </w:rPr>
        <w:t>Healthcare Resource Groupings (HRG) version 4; and</w:t>
      </w:r>
    </w:p>
    <w:p w:rsidR="00C30E8F" w:rsidRPr="0056458C" w:rsidRDefault="00C30E8F" w:rsidP="00F35F8C">
      <w:pPr>
        <w:pStyle w:val="ListParagraph"/>
        <w:numPr>
          <w:ilvl w:val="0"/>
          <w:numId w:val="16"/>
        </w:numPr>
        <w:ind w:right="-340"/>
        <w:rPr>
          <w:rFonts w:cs="Arial"/>
          <w:szCs w:val="20"/>
        </w:rPr>
      </w:pPr>
      <w:r w:rsidRPr="0056458C">
        <w:rPr>
          <w:rFonts w:cs="Arial"/>
          <w:szCs w:val="20"/>
        </w:rPr>
        <w:t>Information Standards Boards (ISB)</w:t>
      </w:r>
      <w:r w:rsidR="00F10EC7">
        <w:rPr>
          <w:rFonts w:cs="Arial"/>
          <w:szCs w:val="20"/>
        </w:rPr>
        <w:t>.</w:t>
      </w:r>
    </w:p>
    <w:p w:rsidR="006F2272" w:rsidRDefault="006F2272" w:rsidP="00C30E8F">
      <w:pPr>
        <w:ind w:right="-340"/>
        <w:rPr>
          <w:rStyle w:val="IntenseEmphasis"/>
          <w:rFonts w:ascii="Corbel" w:hAnsi="Corbel"/>
          <w:i w:val="0"/>
          <w:color w:val="auto"/>
          <w:sz w:val="28"/>
          <w:szCs w:val="28"/>
        </w:rPr>
      </w:pPr>
    </w:p>
    <w:p w:rsidR="00C30E8F" w:rsidRPr="00C30E8F" w:rsidRDefault="00C30E8F" w:rsidP="00C30E8F">
      <w:pPr>
        <w:ind w:right="-340"/>
        <w:rPr>
          <w:rStyle w:val="IntenseEmphasis"/>
          <w:rFonts w:ascii="Corbel" w:hAnsi="Corbel"/>
          <w:i w:val="0"/>
          <w:color w:val="auto"/>
          <w:sz w:val="28"/>
          <w:szCs w:val="28"/>
        </w:rPr>
      </w:pPr>
      <w:r w:rsidRPr="00C30E8F">
        <w:rPr>
          <w:rStyle w:val="IntenseEmphasis"/>
          <w:rFonts w:ascii="Corbel" w:hAnsi="Corbel"/>
          <w:i w:val="0"/>
          <w:color w:val="auto"/>
          <w:sz w:val="28"/>
          <w:szCs w:val="28"/>
        </w:rPr>
        <w:t>14.8  IG Toolkit</w:t>
      </w:r>
    </w:p>
    <w:p w:rsidR="00C30E8F" w:rsidRPr="0056458C" w:rsidRDefault="00C30E8F" w:rsidP="00C30E8F">
      <w:pPr>
        <w:ind w:right="-340"/>
        <w:rPr>
          <w:rStyle w:val="IntenseEmphasis"/>
          <w:b w:val="0"/>
          <w:i w:val="0"/>
        </w:rPr>
      </w:pPr>
      <w:r w:rsidRPr="0056458C">
        <w:rPr>
          <w:rStyle w:val="IntenseEmphasis"/>
        </w:rPr>
        <w:t>The provider must complete the Department of Health IG Toolkit submission and demonstrate achievement of level 2 or higher.</w:t>
      </w:r>
    </w:p>
    <w:p w:rsidR="00C30E8F" w:rsidRPr="0056458C" w:rsidRDefault="00C30E8F" w:rsidP="00C30E8F">
      <w:pPr>
        <w:ind w:right="-340"/>
        <w:rPr>
          <w:rFonts w:cs="Arial"/>
          <w:szCs w:val="20"/>
        </w:rPr>
      </w:pPr>
      <w:r w:rsidRPr="0056458C">
        <w:rPr>
          <w:rFonts w:cs="Arial"/>
          <w:szCs w:val="20"/>
        </w:rPr>
        <w:t xml:space="preserve">The </w:t>
      </w:r>
      <w:r>
        <w:rPr>
          <w:rFonts w:cs="Arial"/>
          <w:szCs w:val="20"/>
        </w:rPr>
        <w:t>service</w:t>
      </w:r>
      <w:r w:rsidRPr="0056458C">
        <w:rPr>
          <w:rFonts w:cs="Arial"/>
          <w:szCs w:val="20"/>
        </w:rPr>
        <w:t xml:space="preserve"> must acknowledge the role of ISB and comply with any mandated changes specified by the ISB during the period of the contract.  In addition the provider must comply with ISB0160 (aka DSCN 18/2009 </w:t>
      </w:r>
      <w:hyperlink r:id="rId21" w:history="1">
        <w:r w:rsidRPr="0056458C">
          <w:rPr>
            <w:rStyle w:val="Hyperlink"/>
            <w:rFonts w:cs="Arial"/>
            <w:szCs w:val="20"/>
          </w:rPr>
          <w:t>http://www.isb.nhs.uk/library/standard/162</w:t>
        </w:r>
      </w:hyperlink>
      <w:r w:rsidRPr="0056458C">
        <w:rPr>
          <w:rFonts w:cs="Arial"/>
          <w:szCs w:val="20"/>
        </w:rPr>
        <w:t xml:space="preserve"> ).  The ISB concerns clinical safety.</w:t>
      </w: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50" w:name="_Toc414882575"/>
            <w:r w:rsidRPr="003225F3">
              <w:rPr>
                <w:color w:val="FFFFFF" w:themeColor="background1"/>
              </w:rPr>
              <w:t>1</w:t>
            </w:r>
            <w:r>
              <w:rPr>
                <w:color w:val="FFFFFF" w:themeColor="background1"/>
              </w:rPr>
              <w:t>5</w:t>
            </w:r>
            <w:r w:rsidRPr="003225F3">
              <w:rPr>
                <w:color w:val="FFFFFF" w:themeColor="background1"/>
              </w:rPr>
              <w:t>.0</w:t>
            </w:r>
            <w:r w:rsidRPr="003225F3">
              <w:rPr>
                <w:color w:val="FFFFFF" w:themeColor="background1"/>
              </w:rPr>
              <w:tab/>
              <w:t>Workforce, training and Education</w:t>
            </w:r>
            <w:bookmarkEnd w:id="50"/>
          </w:p>
        </w:tc>
      </w:tr>
    </w:tbl>
    <w:p w:rsidR="007B73C1" w:rsidRPr="00D37192" w:rsidRDefault="007B73C1" w:rsidP="007B73C1">
      <w:pPr>
        <w:spacing w:after="0"/>
        <w:ind w:right="-340"/>
        <w:rPr>
          <w:rFonts w:cs="Arial"/>
          <w:szCs w:val="20"/>
        </w:rPr>
      </w:pPr>
      <w:r w:rsidRPr="00D37192">
        <w:rPr>
          <w:rFonts w:cs="Arial"/>
          <w:szCs w:val="20"/>
        </w:rPr>
        <w:t xml:space="preserve">The </w:t>
      </w:r>
      <w:r w:rsidR="005B609F">
        <w:rPr>
          <w:rFonts w:cs="Arial"/>
          <w:szCs w:val="20"/>
        </w:rPr>
        <w:t>Service</w:t>
      </w:r>
      <w:r w:rsidRPr="00D37192">
        <w:rPr>
          <w:rFonts w:cs="Arial"/>
          <w:szCs w:val="20"/>
        </w:rPr>
        <w:t xml:space="preserve"> workforce model must be capable of meeting all the requirements of the service specification and must be flexible enough to deal with fluctuations in demand and capacity without detriment to service delivery.</w:t>
      </w:r>
    </w:p>
    <w:p w:rsidR="007B73C1" w:rsidRPr="00D37192" w:rsidRDefault="007B73C1" w:rsidP="007B73C1">
      <w:pPr>
        <w:spacing w:after="0"/>
        <w:ind w:right="-340"/>
        <w:rPr>
          <w:rFonts w:cs="Arial"/>
          <w:szCs w:val="20"/>
        </w:rPr>
      </w:pPr>
    </w:p>
    <w:p w:rsidR="007B73C1" w:rsidRPr="00D37192" w:rsidRDefault="007B73C1" w:rsidP="007B73C1">
      <w:pPr>
        <w:spacing w:after="0"/>
        <w:ind w:right="-340"/>
        <w:rPr>
          <w:rFonts w:cs="Arial"/>
          <w:b/>
          <w:color w:val="000000"/>
          <w:szCs w:val="20"/>
        </w:rPr>
      </w:pPr>
      <w:r w:rsidRPr="00D37192">
        <w:rPr>
          <w:rFonts w:cs="Arial"/>
          <w:szCs w:val="20"/>
        </w:rPr>
        <w:t>The commissioner is looking for innovative approaches to workforce provision, which puts clinical safety and quality at the heart of the service with an emphasis on patients being seen by the most clinically appropriate person at the most appropriate time.</w:t>
      </w:r>
    </w:p>
    <w:p w:rsidR="007B73C1" w:rsidRPr="00D37192" w:rsidRDefault="007B73C1" w:rsidP="007B73C1">
      <w:pPr>
        <w:spacing w:after="0"/>
        <w:ind w:right="-340"/>
        <w:rPr>
          <w:rFonts w:cs="Arial"/>
          <w:szCs w:val="20"/>
          <w:lang w:val="en-US"/>
        </w:rPr>
      </w:pPr>
    </w:p>
    <w:p w:rsidR="007B73C1" w:rsidRPr="00D37192" w:rsidRDefault="007B73C1" w:rsidP="007B73C1">
      <w:pPr>
        <w:spacing w:after="0"/>
        <w:ind w:right="-340"/>
        <w:rPr>
          <w:rFonts w:cs="Arial"/>
          <w:szCs w:val="20"/>
          <w:lang w:val="en-US"/>
        </w:rPr>
      </w:pPr>
      <w:r w:rsidRPr="00D37192">
        <w:rPr>
          <w:rFonts w:cs="Arial"/>
          <w:szCs w:val="20"/>
          <w:lang w:val="en-US"/>
        </w:rPr>
        <w:t xml:space="preserve">The </w:t>
      </w:r>
      <w:r w:rsidR="005B609F">
        <w:rPr>
          <w:rFonts w:cs="Arial"/>
          <w:szCs w:val="20"/>
        </w:rPr>
        <w:t>Service</w:t>
      </w:r>
      <w:r w:rsidRPr="00D37192">
        <w:rPr>
          <w:rFonts w:cs="Arial"/>
          <w:szCs w:val="20"/>
          <w:lang w:val="en-US"/>
        </w:rPr>
        <w:t xml:space="preserve"> will have responsibility for ensuring that suitable training</w:t>
      </w:r>
      <w:r>
        <w:rPr>
          <w:rFonts w:cs="Arial"/>
          <w:szCs w:val="20"/>
          <w:lang w:val="en-US"/>
        </w:rPr>
        <w:t>, development, appraisal</w:t>
      </w:r>
      <w:r w:rsidRPr="00D37192">
        <w:rPr>
          <w:rFonts w:cs="Arial"/>
          <w:szCs w:val="20"/>
          <w:lang w:val="en-US"/>
        </w:rPr>
        <w:t xml:space="preserve"> and mentoring arrangements exist for all clinicians working within the service and that training</w:t>
      </w:r>
      <w:r>
        <w:rPr>
          <w:rFonts w:cs="Arial"/>
          <w:szCs w:val="20"/>
          <w:lang w:val="en-US"/>
        </w:rPr>
        <w:t xml:space="preserve"> and supervision</w:t>
      </w:r>
      <w:r w:rsidRPr="00D37192">
        <w:rPr>
          <w:rFonts w:cs="Arial"/>
          <w:szCs w:val="20"/>
          <w:lang w:val="en-US"/>
        </w:rPr>
        <w:t xml:space="preserve"> is provided to ensure succession planning for future provision of </w:t>
      </w:r>
      <w:r w:rsidR="00024E29">
        <w:rPr>
          <w:rFonts w:cs="Arial"/>
          <w:szCs w:val="20"/>
          <w:lang w:val="en-US"/>
        </w:rPr>
        <w:t>ENT s</w:t>
      </w:r>
      <w:r w:rsidRPr="00D37192">
        <w:rPr>
          <w:rFonts w:cs="Arial"/>
          <w:szCs w:val="20"/>
          <w:lang w:val="en-US"/>
        </w:rPr>
        <w:t>ervices.</w:t>
      </w:r>
    </w:p>
    <w:p w:rsidR="007B73C1" w:rsidRPr="00D37192" w:rsidRDefault="007B73C1" w:rsidP="007B73C1">
      <w:pPr>
        <w:spacing w:after="0"/>
        <w:ind w:right="-340"/>
        <w:rPr>
          <w:rFonts w:cs="Arial"/>
          <w:szCs w:val="20"/>
          <w:lang w:eastAsia="en-GB"/>
        </w:rPr>
      </w:pPr>
    </w:p>
    <w:p w:rsidR="007B73C1" w:rsidRPr="00D37192" w:rsidRDefault="007B73C1" w:rsidP="007B73C1">
      <w:pPr>
        <w:ind w:right="-340"/>
        <w:rPr>
          <w:rFonts w:cs="Arial"/>
          <w:szCs w:val="20"/>
          <w:lang w:eastAsia="en-GB"/>
        </w:rPr>
      </w:pPr>
      <w:r w:rsidRPr="00D37192">
        <w:rPr>
          <w:rFonts w:cs="Arial"/>
          <w:szCs w:val="20"/>
          <w:lang w:eastAsia="en-GB"/>
        </w:rPr>
        <w:t>Clear policies on staff accreditation, supervision, CPD, and registration in line with national guidance must be demonstrated and adhered to. Relevant certification of accredited training for the undertaking of any procedures, including surgery, must be provided.</w:t>
      </w:r>
    </w:p>
    <w:p w:rsidR="007B73C1" w:rsidRPr="00D37192" w:rsidRDefault="007B73C1" w:rsidP="007B73C1">
      <w:pPr>
        <w:spacing w:after="0"/>
        <w:ind w:right="-340"/>
        <w:jc w:val="both"/>
        <w:rPr>
          <w:rFonts w:eastAsia="MS Mincho" w:cs="Arial"/>
          <w:szCs w:val="20"/>
          <w:lang w:eastAsia="ja-JP"/>
        </w:rPr>
      </w:pPr>
      <w:r w:rsidRPr="00D37192">
        <w:rPr>
          <w:rFonts w:eastAsia="MS Mincho" w:cs="Arial"/>
          <w:szCs w:val="20"/>
          <w:lang w:eastAsia="ja-JP"/>
        </w:rPr>
        <w:t>The Service will be required to ensure the required workforce policies, strategies, processes and practices comply with all relevant employment legislation applicable in the UK and also comply with the provisions outlined in:</w:t>
      </w:r>
    </w:p>
    <w:p w:rsidR="007B73C1" w:rsidRPr="00D37192" w:rsidRDefault="007B73C1" w:rsidP="00F35F8C">
      <w:pPr>
        <w:numPr>
          <w:ilvl w:val="1"/>
          <w:numId w:val="23"/>
        </w:numPr>
        <w:autoSpaceDE w:val="0"/>
        <w:autoSpaceDN w:val="0"/>
        <w:adjustRightInd w:val="0"/>
        <w:spacing w:after="0" w:line="240" w:lineRule="auto"/>
        <w:ind w:right="-340"/>
        <w:rPr>
          <w:rFonts w:cs="Arial"/>
          <w:color w:val="000000"/>
          <w:szCs w:val="20"/>
        </w:rPr>
      </w:pPr>
      <w:r w:rsidRPr="00D37192">
        <w:rPr>
          <w:rFonts w:cs="Arial"/>
          <w:color w:val="000000"/>
          <w:szCs w:val="20"/>
        </w:rPr>
        <w:t>Safer Recruitment – A Guide for NHS Employers (May 2005);</w:t>
      </w:r>
    </w:p>
    <w:p w:rsidR="007B73C1" w:rsidRPr="00D37192" w:rsidRDefault="007B73C1" w:rsidP="00F35F8C">
      <w:pPr>
        <w:numPr>
          <w:ilvl w:val="1"/>
          <w:numId w:val="23"/>
        </w:numPr>
        <w:autoSpaceDE w:val="0"/>
        <w:autoSpaceDN w:val="0"/>
        <w:adjustRightInd w:val="0"/>
        <w:spacing w:after="0" w:line="240" w:lineRule="auto"/>
        <w:ind w:right="-340"/>
        <w:rPr>
          <w:rFonts w:cs="Arial"/>
          <w:color w:val="000000"/>
          <w:szCs w:val="20"/>
        </w:rPr>
      </w:pPr>
      <w:r w:rsidRPr="00D37192">
        <w:rPr>
          <w:rFonts w:cs="Arial"/>
          <w:color w:val="000000"/>
          <w:szCs w:val="20"/>
        </w:rPr>
        <w:t>The Code of Practice for the International Recruitment of Healthcare Professionals (December 2004) (the Code of Practice); and</w:t>
      </w:r>
    </w:p>
    <w:p w:rsidR="007B73C1" w:rsidRPr="00D37192" w:rsidRDefault="007B73C1" w:rsidP="00F35F8C">
      <w:pPr>
        <w:numPr>
          <w:ilvl w:val="1"/>
          <w:numId w:val="23"/>
        </w:numPr>
        <w:autoSpaceDE w:val="0"/>
        <w:autoSpaceDN w:val="0"/>
        <w:adjustRightInd w:val="0"/>
        <w:spacing w:after="0" w:line="240" w:lineRule="auto"/>
        <w:ind w:right="-340"/>
        <w:rPr>
          <w:rFonts w:cs="Arial"/>
          <w:color w:val="000000"/>
          <w:szCs w:val="20"/>
        </w:rPr>
      </w:pPr>
      <w:r w:rsidRPr="00D37192">
        <w:rPr>
          <w:rFonts w:cs="Arial"/>
          <w:color w:val="000000"/>
          <w:szCs w:val="20"/>
        </w:rPr>
        <w:t>NHS Employment Check Standards (updated July 2013).</w:t>
      </w:r>
    </w:p>
    <w:p w:rsidR="007B73C1" w:rsidRPr="001F3250" w:rsidRDefault="007B73C1" w:rsidP="007B73C1">
      <w:pPr>
        <w:spacing w:after="0"/>
        <w:ind w:left="-680" w:right="-340"/>
        <w:rPr>
          <w:rFonts w:cs="Arial"/>
          <w:szCs w:val="20"/>
          <w:highlight w:val="yellow"/>
          <w:lang w:val="en-US"/>
        </w:rPr>
      </w:pPr>
    </w:p>
    <w:p w:rsidR="007B73C1" w:rsidRPr="00D37192" w:rsidRDefault="007B73C1" w:rsidP="007B73C1">
      <w:pPr>
        <w:spacing w:after="0"/>
        <w:ind w:left="40" w:right="-340"/>
        <w:jc w:val="both"/>
        <w:rPr>
          <w:rFonts w:eastAsia="MS Mincho" w:cs="Arial"/>
          <w:szCs w:val="20"/>
          <w:lang w:eastAsia="ja-JP"/>
        </w:rPr>
      </w:pPr>
      <w:r w:rsidRPr="00D37192">
        <w:rPr>
          <w:rFonts w:eastAsia="MS Mincho" w:cs="Arial"/>
          <w:szCs w:val="20"/>
          <w:lang w:eastAsia="ja-JP"/>
        </w:rPr>
        <w:t xml:space="preserve">The </w:t>
      </w:r>
      <w:r w:rsidR="005B609F">
        <w:rPr>
          <w:rFonts w:cs="Arial"/>
          <w:szCs w:val="20"/>
        </w:rPr>
        <w:t>Service</w:t>
      </w:r>
      <w:r w:rsidRPr="00D37192">
        <w:rPr>
          <w:rFonts w:eastAsia="MS Mincho" w:cs="Arial"/>
          <w:szCs w:val="20"/>
          <w:lang w:eastAsia="ja-JP"/>
        </w:rPr>
        <w:t xml:space="preserve"> will ensure that all staff members have the training and development they require to deliver the services in a way such that patients receive compassionate, efficient and empathetic care</w:t>
      </w:r>
      <w:r>
        <w:rPr>
          <w:rFonts w:eastAsia="MS Mincho" w:cs="Arial"/>
          <w:szCs w:val="20"/>
          <w:lang w:eastAsia="ja-JP"/>
        </w:rPr>
        <w:t xml:space="preserve"> and is inclusive of training in Shared Decision Making</w:t>
      </w:r>
      <w:r w:rsidRPr="00D37192">
        <w:rPr>
          <w:rFonts w:eastAsia="MS Mincho" w:cs="Arial"/>
          <w:szCs w:val="20"/>
          <w:lang w:eastAsia="ja-JP"/>
        </w:rPr>
        <w:t xml:space="preserve">. </w:t>
      </w:r>
    </w:p>
    <w:p w:rsidR="007B73C1" w:rsidRPr="00D37192" w:rsidRDefault="007B73C1" w:rsidP="007B73C1">
      <w:pPr>
        <w:spacing w:after="0"/>
        <w:ind w:left="40" w:right="-340"/>
        <w:rPr>
          <w:rFonts w:cs="Arial"/>
          <w:b/>
          <w:color w:val="0070C0"/>
          <w:szCs w:val="20"/>
          <w:lang w:val="en-US"/>
        </w:rPr>
      </w:pPr>
    </w:p>
    <w:p w:rsidR="007B73C1" w:rsidRPr="00D37192" w:rsidRDefault="007B73C1" w:rsidP="007B73C1">
      <w:pPr>
        <w:spacing w:after="0"/>
        <w:ind w:left="40" w:right="-340"/>
        <w:rPr>
          <w:rFonts w:cs="Arial"/>
          <w:lang w:val="en-US"/>
        </w:rPr>
      </w:pPr>
      <w:r w:rsidRPr="00D37192">
        <w:rPr>
          <w:rFonts w:cs="Arial"/>
          <w:b/>
          <w:color w:val="0070C0"/>
          <w:szCs w:val="20"/>
          <w:lang w:val="en-US"/>
        </w:rPr>
        <w:t>15.1.1 Administrative staff</w:t>
      </w:r>
      <w:r w:rsidRPr="00D37192">
        <w:rPr>
          <w:rFonts w:cs="Arial"/>
          <w:color w:val="0070C0"/>
          <w:lang w:val="en-US"/>
        </w:rPr>
        <w:t xml:space="preserve"> </w:t>
      </w:r>
      <w:r w:rsidRPr="00D37192">
        <w:rPr>
          <w:rFonts w:cs="Arial"/>
          <w:szCs w:val="20"/>
          <w:lang w:val="en-US"/>
        </w:rPr>
        <w:t xml:space="preserve">must be adequately trained in both patient confidentiality and </w:t>
      </w:r>
      <w:r w:rsidR="005B609F">
        <w:rPr>
          <w:rFonts w:cs="Arial"/>
          <w:szCs w:val="20"/>
          <w:lang w:val="en-US"/>
        </w:rPr>
        <w:t>ENT</w:t>
      </w:r>
      <w:r w:rsidRPr="00D37192">
        <w:rPr>
          <w:rFonts w:cs="Arial"/>
          <w:szCs w:val="20"/>
          <w:lang w:val="en-US"/>
        </w:rPr>
        <w:t xml:space="preserve"> terms and policies, and must be provided with appropriate word processing and data collection facilities to allow for proper clinical audit and to support </w:t>
      </w:r>
      <w:r w:rsidR="006B6E5B">
        <w:rPr>
          <w:rFonts w:cs="Arial"/>
          <w:szCs w:val="20"/>
          <w:lang w:val="en-US"/>
        </w:rPr>
        <w:t xml:space="preserve">NHS </w:t>
      </w:r>
      <w:r w:rsidRPr="00D37192">
        <w:rPr>
          <w:rFonts w:cs="Arial"/>
          <w:szCs w:val="20"/>
          <w:lang w:val="en-US"/>
        </w:rPr>
        <w:t>Horsham and Mid Sussex CCG</w:t>
      </w:r>
      <w:r w:rsidR="006B6E5B">
        <w:rPr>
          <w:rFonts w:cs="Arial"/>
          <w:szCs w:val="20"/>
          <w:lang w:val="en-US"/>
        </w:rPr>
        <w:t>,</w:t>
      </w:r>
      <w:r w:rsidRPr="00D37192">
        <w:rPr>
          <w:rFonts w:cs="Arial"/>
          <w:szCs w:val="20"/>
          <w:lang w:val="en-US"/>
        </w:rPr>
        <w:t xml:space="preserve"> Crawley CCG</w:t>
      </w:r>
      <w:r w:rsidR="006B6E5B">
        <w:rPr>
          <w:rFonts w:cs="Arial"/>
          <w:szCs w:val="20"/>
          <w:lang w:val="en-US"/>
        </w:rPr>
        <w:t xml:space="preserve"> and NHS Coastal West Sussex CCG</w:t>
      </w:r>
      <w:r w:rsidRPr="00D37192">
        <w:rPr>
          <w:rFonts w:cs="Arial"/>
          <w:szCs w:val="20"/>
          <w:lang w:val="en-US"/>
        </w:rPr>
        <w:t xml:space="preserve"> information requirements.</w:t>
      </w:r>
    </w:p>
    <w:p w:rsidR="007B73C1" w:rsidRPr="00D37192" w:rsidRDefault="007B73C1" w:rsidP="007B73C1">
      <w:pPr>
        <w:spacing w:after="0"/>
        <w:ind w:left="40" w:right="-340"/>
        <w:rPr>
          <w:rFonts w:cs="Arial"/>
          <w:b/>
          <w:color w:val="0070C0"/>
          <w:szCs w:val="20"/>
          <w:lang w:eastAsia="en-GB"/>
        </w:rPr>
      </w:pPr>
    </w:p>
    <w:p w:rsidR="007B73C1" w:rsidRPr="00D37192" w:rsidRDefault="007B73C1" w:rsidP="007B73C1">
      <w:pPr>
        <w:spacing w:after="0"/>
        <w:ind w:left="40" w:right="-340"/>
        <w:rPr>
          <w:rFonts w:cs="Arial"/>
          <w:color w:val="000000"/>
        </w:rPr>
      </w:pPr>
      <w:r w:rsidRPr="00D37192">
        <w:rPr>
          <w:rFonts w:cs="Arial"/>
          <w:b/>
          <w:color w:val="0070C0"/>
          <w:szCs w:val="20"/>
          <w:lang w:eastAsia="en-GB"/>
        </w:rPr>
        <w:t>15.1.2 Nursing staff</w:t>
      </w:r>
      <w:r w:rsidRPr="00D37192">
        <w:rPr>
          <w:rFonts w:cs="Arial"/>
          <w:color w:val="0070C0"/>
          <w:lang w:eastAsia="en-GB"/>
        </w:rPr>
        <w:t xml:space="preserve"> </w:t>
      </w:r>
      <w:r w:rsidRPr="00D37192">
        <w:rPr>
          <w:rFonts w:cs="Arial"/>
          <w:szCs w:val="20"/>
          <w:lang w:eastAsia="en-GB"/>
        </w:rPr>
        <w:t xml:space="preserve">within the service should be registered with Nursing and Midwifery Council and hold recognised qualifications for any treatments they undertake. </w:t>
      </w:r>
      <w:r w:rsidR="00F35F8C">
        <w:rPr>
          <w:rFonts w:cs="Arial"/>
          <w:szCs w:val="20"/>
          <w:lang w:eastAsia="en-GB"/>
        </w:rPr>
        <w:t>The nurse led microsuction clinic should ensure competencies in microsuction are undertaken and appropriate peer supervision/Consultant</w:t>
      </w:r>
      <w:r w:rsidR="003C34B2">
        <w:rPr>
          <w:rFonts w:cs="Arial"/>
          <w:szCs w:val="20"/>
          <w:lang w:eastAsia="en-GB"/>
        </w:rPr>
        <w:t xml:space="preserve"> ENT surgeon</w:t>
      </w:r>
      <w:r w:rsidR="00F35F8C">
        <w:rPr>
          <w:rFonts w:cs="Arial"/>
          <w:szCs w:val="20"/>
          <w:lang w:eastAsia="en-GB"/>
        </w:rPr>
        <w:t>/GPSI</w:t>
      </w:r>
      <w:r w:rsidR="003C34B2">
        <w:rPr>
          <w:rFonts w:cs="Arial"/>
          <w:szCs w:val="20"/>
          <w:lang w:eastAsia="en-GB"/>
        </w:rPr>
        <w:t xml:space="preserve"> in ENT</w:t>
      </w:r>
      <w:r w:rsidR="00F35F8C">
        <w:rPr>
          <w:rFonts w:cs="Arial"/>
          <w:szCs w:val="20"/>
          <w:lang w:eastAsia="en-GB"/>
        </w:rPr>
        <w:t xml:space="preserve"> supervision. Maintain a professional development logbook, recording, practical supervision received, course attended and other related further education. Also be in receipt of feedback on performance. </w:t>
      </w:r>
    </w:p>
    <w:p w:rsidR="007B73C1" w:rsidRPr="001F3250" w:rsidRDefault="007B73C1" w:rsidP="007B73C1">
      <w:pPr>
        <w:spacing w:after="0"/>
        <w:ind w:left="40" w:right="-340"/>
        <w:jc w:val="both"/>
        <w:rPr>
          <w:rFonts w:cs="Arial"/>
          <w:b/>
          <w:color w:val="0070C0"/>
          <w:szCs w:val="20"/>
          <w:highlight w:val="yellow"/>
        </w:rPr>
      </w:pPr>
    </w:p>
    <w:p w:rsidR="007B73C1" w:rsidRPr="006D5397" w:rsidRDefault="007B73C1" w:rsidP="007B73C1">
      <w:pPr>
        <w:spacing w:after="0"/>
        <w:ind w:left="40" w:right="-340"/>
        <w:jc w:val="both"/>
        <w:rPr>
          <w:rFonts w:eastAsia="MS Mincho" w:cs="Arial"/>
          <w:szCs w:val="20"/>
          <w:lang w:val="en-US" w:eastAsia="ja-JP"/>
        </w:rPr>
      </w:pPr>
      <w:r w:rsidRPr="00D37192">
        <w:rPr>
          <w:rFonts w:cs="Arial"/>
          <w:b/>
          <w:color w:val="0070C0"/>
          <w:szCs w:val="20"/>
        </w:rPr>
        <w:t xml:space="preserve">15.1.3 </w:t>
      </w:r>
      <w:r w:rsidR="003C34B2">
        <w:rPr>
          <w:rFonts w:eastAsia="MS Mincho" w:cs="Arial"/>
          <w:b/>
          <w:color w:val="0070C0"/>
          <w:szCs w:val="20"/>
          <w:lang w:val="en-US" w:eastAsia="ja-JP"/>
        </w:rPr>
        <w:t>GPSI in</w:t>
      </w:r>
      <w:r w:rsidRPr="00D37192">
        <w:rPr>
          <w:rFonts w:eastAsia="MS Mincho" w:cs="Arial"/>
          <w:b/>
          <w:color w:val="0070C0"/>
          <w:szCs w:val="20"/>
          <w:lang w:val="en-US" w:eastAsia="ja-JP"/>
        </w:rPr>
        <w:t xml:space="preserve"> </w:t>
      </w:r>
      <w:r w:rsidR="005B609F">
        <w:rPr>
          <w:rFonts w:eastAsia="MS Mincho" w:cs="Arial"/>
          <w:b/>
          <w:color w:val="0070C0"/>
          <w:szCs w:val="20"/>
          <w:lang w:val="en-US" w:eastAsia="ja-JP"/>
        </w:rPr>
        <w:t>ENT</w:t>
      </w:r>
      <w:r w:rsidR="006F2272">
        <w:rPr>
          <w:rFonts w:eastAsia="MS Mincho" w:cs="Arial"/>
          <w:b/>
          <w:color w:val="0070C0"/>
          <w:szCs w:val="20"/>
          <w:lang w:val="en-US" w:eastAsia="ja-JP"/>
        </w:rPr>
        <w:t xml:space="preserve"> </w:t>
      </w:r>
      <w:r w:rsidR="006F2272">
        <w:rPr>
          <w:rFonts w:eastAsia="MS Mincho" w:cs="Arial"/>
          <w:szCs w:val="20"/>
          <w:lang w:val="en-US" w:eastAsia="ja-JP"/>
        </w:rPr>
        <w:t>as</w:t>
      </w:r>
      <w:r w:rsidRPr="006D5397">
        <w:rPr>
          <w:rFonts w:eastAsia="MS Mincho" w:cs="Arial"/>
          <w:szCs w:val="20"/>
          <w:lang w:val="en-US" w:eastAsia="ja-JP"/>
        </w:rPr>
        <w:t xml:space="preserve"> part of this service, staff will require familiarity with the local healthcare environment, systems and policies in order to work effectively at the interface with key services. They should also be on the </w:t>
      </w:r>
      <w:r w:rsidR="005B609F">
        <w:rPr>
          <w:rFonts w:eastAsia="MS Mincho" w:cs="Arial"/>
          <w:szCs w:val="20"/>
          <w:lang w:val="en-US" w:eastAsia="ja-JP"/>
        </w:rPr>
        <w:t xml:space="preserve">ENT </w:t>
      </w:r>
      <w:r w:rsidRPr="006D5397">
        <w:rPr>
          <w:rFonts w:eastAsia="MS Mincho" w:cs="Arial"/>
          <w:szCs w:val="20"/>
          <w:lang w:val="en-US" w:eastAsia="ja-JP"/>
        </w:rPr>
        <w:t xml:space="preserve">specialist register at the General Medical Council. The </w:t>
      </w:r>
      <w:r w:rsidR="003C34B2">
        <w:rPr>
          <w:rFonts w:eastAsia="MS Mincho" w:cs="Arial"/>
          <w:szCs w:val="20"/>
          <w:lang w:val="en-US" w:eastAsia="ja-JP"/>
        </w:rPr>
        <w:t>GPSI</w:t>
      </w:r>
      <w:r w:rsidRPr="006D5397">
        <w:rPr>
          <w:rFonts w:eastAsia="MS Mincho" w:cs="Arial"/>
          <w:szCs w:val="20"/>
          <w:lang w:val="en-US" w:eastAsia="ja-JP"/>
        </w:rPr>
        <w:t xml:space="preserve"> </w:t>
      </w:r>
      <w:r w:rsidR="005B609F">
        <w:rPr>
          <w:rFonts w:eastAsia="MS Mincho" w:cs="Arial"/>
          <w:szCs w:val="20"/>
          <w:lang w:val="en-US" w:eastAsia="ja-JP"/>
        </w:rPr>
        <w:t>ENT</w:t>
      </w:r>
      <w:r>
        <w:rPr>
          <w:rFonts w:eastAsia="MS Mincho" w:cs="Arial"/>
          <w:szCs w:val="20"/>
          <w:lang w:val="en-US" w:eastAsia="ja-JP"/>
        </w:rPr>
        <w:t xml:space="preserve"> </w:t>
      </w:r>
      <w:r w:rsidRPr="006D5397">
        <w:rPr>
          <w:rFonts w:eastAsia="MS Mincho" w:cs="Arial"/>
          <w:szCs w:val="20"/>
          <w:lang w:val="en-US" w:eastAsia="ja-JP"/>
        </w:rPr>
        <w:t xml:space="preserve">team must demonstrate experience and training in </w:t>
      </w:r>
      <w:r w:rsidR="005B609F">
        <w:rPr>
          <w:rFonts w:eastAsia="MS Mincho" w:cs="Arial"/>
          <w:szCs w:val="20"/>
          <w:lang w:val="en-US" w:eastAsia="ja-JP"/>
        </w:rPr>
        <w:t xml:space="preserve">ENT </w:t>
      </w:r>
      <w:r w:rsidRPr="006D5397">
        <w:rPr>
          <w:rFonts w:eastAsia="MS Mincho" w:cs="Arial"/>
          <w:szCs w:val="20"/>
          <w:lang w:val="en-US" w:eastAsia="ja-JP"/>
        </w:rPr>
        <w:t>conditions</w:t>
      </w:r>
      <w:r w:rsidR="00F57A86">
        <w:rPr>
          <w:rFonts w:eastAsia="MS Mincho" w:cs="Arial"/>
          <w:szCs w:val="20"/>
          <w:lang w:val="en-US" w:eastAsia="ja-JP"/>
        </w:rPr>
        <w:t>.</w:t>
      </w:r>
    </w:p>
    <w:p w:rsidR="007B73C1" w:rsidRPr="001F3250" w:rsidRDefault="007B73C1" w:rsidP="007B73C1">
      <w:pPr>
        <w:spacing w:after="0"/>
        <w:ind w:left="40" w:right="-340"/>
        <w:jc w:val="both"/>
        <w:rPr>
          <w:rFonts w:eastAsia="MS Mincho" w:cs="Arial"/>
          <w:color w:val="000000"/>
          <w:szCs w:val="20"/>
          <w:highlight w:val="yellow"/>
          <w:lang w:val="en-US" w:eastAsia="ja-JP"/>
        </w:rPr>
      </w:pPr>
    </w:p>
    <w:p w:rsidR="007B73C1" w:rsidRPr="00D37192" w:rsidRDefault="007B73C1" w:rsidP="00F57A86">
      <w:pPr>
        <w:spacing w:after="0"/>
        <w:ind w:right="-340"/>
        <w:rPr>
          <w:rFonts w:cs="Arial"/>
          <w:color w:val="000000"/>
          <w:szCs w:val="20"/>
        </w:rPr>
      </w:pPr>
      <w:r w:rsidRPr="00D37192">
        <w:rPr>
          <w:rFonts w:cs="Arial"/>
          <w:bCs/>
        </w:rPr>
        <w:t>T</w:t>
      </w:r>
      <w:r w:rsidRPr="00D37192">
        <w:rPr>
          <w:rFonts w:cs="Arial"/>
          <w:color w:val="000000"/>
          <w:szCs w:val="20"/>
        </w:rPr>
        <w:t>he Provider will be r</w:t>
      </w:r>
      <w:r w:rsidR="003C34B2">
        <w:rPr>
          <w:rFonts w:cs="Arial"/>
          <w:color w:val="000000"/>
          <w:szCs w:val="20"/>
        </w:rPr>
        <w:t>esponsible for ensuring that GP</w:t>
      </w:r>
      <w:r w:rsidRPr="00D37192">
        <w:rPr>
          <w:rFonts w:cs="Arial"/>
          <w:color w:val="000000"/>
          <w:szCs w:val="20"/>
        </w:rPr>
        <w:t>SIs have been assessed as competent, hold current professional registration and indemnity insurance and who also meet the following criteria:</w:t>
      </w:r>
    </w:p>
    <w:p w:rsidR="007B73C1" w:rsidRPr="00D37192" w:rsidRDefault="007B73C1" w:rsidP="00F35F8C">
      <w:pPr>
        <w:pStyle w:val="ListParagraph"/>
        <w:numPr>
          <w:ilvl w:val="0"/>
          <w:numId w:val="24"/>
        </w:numPr>
        <w:spacing w:after="0"/>
        <w:ind w:right="-340"/>
        <w:rPr>
          <w:rFonts w:cs="Arial"/>
          <w:color w:val="000000"/>
          <w:szCs w:val="20"/>
        </w:rPr>
      </w:pPr>
      <w:r w:rsidRPr="00D37192">
        <w:rPr>
          <w:rFonts w:cs="Arial"/>
          <w:color w:val="000000"/>
          <w:szCs w:val="20"/>
        </w:rPr>
        <w:t>Undertake annual peer supervision;</w:t>
      </w:r>
    </w:p>
    <w:p w:rsidR="007B73C1" w:rsidRPr="00D37192" w:rsidRDefault="007B73C1" w:rsidP="00F35F8C">
      <w:pPr>
        <w:pStyle w:val="ListParagraph"/>
        <w:numPr>
          <w:ilvl w:val="0"/>
          <w:numId w:val="24"/>
        </w:numPr>
        <w:spacing w:after="0"/>
        <w:ind w:right="-340"/>
        <w:rPr>
          <w:rFonts w:cs="Arial"/>
          <w:color w:val="000000"/>
          <w:szCs w:val="20"/>
        </w:rPr>
      </w:pPr>
      <w:r w:rsidRPr="00D37192">
        <w:rPr>
          <w:rFonts w:cs="Arial"/>
          <w:color w:val="000000"/>
          <w:szCs w:val="20"/>
        </w:rPr>
        <w:t xml:space="preserve">Maintain a professional development logbook, recording, practical supervision received, courses attended  </w:t>
      </w:r>
    </w:p>
    <w:p w:rsidR="007B73C1" w:rsidRPr="00F00F18" w:rsidRDefault="007B73C1" w:rsidP="007B73C1">
      <w:pPr>
        <w:pStyle w:val="ListParagraph"/>
        <w:spacing w:after="0"/>
        <w:ind w:left="400" w:right="-340"/>
        <w:rPr>
          <w:rFonts w:cs="Arial"/>
          <w:color w:val="000000"/>
          <w:szCs w:val="20"/>
        </w:rPr>
      </w:pPr>
      <w:r w:rsidRPr="00D37192">
        <w:rPr>
          <w:rFonts w:cs="Arial"/>
          <w:color w:val="000000"/>
          <w:szCs w:val="20"/>
        </w:rPr>
        <w:t>and other related further education;</w:t>
      </w:r>
    </w:p>
    <w:p w:rsidR="007B73C1" w:rsidRDefault="007B73C1" w:rsidP="00F35F8C">
      <w:pPr>
        <w:pStyle w:val="ListParagraph"/>
        <w:numPr>
          <w:ilvl w:val="0"/>
          <w:numId w:val="24"/>
        </w:numPr>
        <w:spacing w:after="0"/>
        <w:ind w:right="-340"/>
        <w:rPr>
          <w:rFonts w:cs="Arial"/>
          <w:color w:val="000000"/>
          <w:szCs w:val="20"/>
        </w:rPr>
      </w:pPr>
      <w:r w:rsidRPr="00D37192">
        <w:rPr>
          <w:rFonts w:cs="Arial"/>
          <w:color w:val="000000"/>
          <w:szCs w:val="20"/>
        </w:rPr>
        <w:t>Be in rec</w:t>
      </w:r>
      <w:r w:rsidR="00F10EC7">
        <w:rPr>
          <w:rFonts w:cs="Arial"/>
          <w:color w:val="000000"/>
          <w:szCs w:val="20"/>
        </w:rPr>
        <w:t>eipt of feedback on performance;</w:t>
      </w:r>
      <w:r w:rsidRPr="00D37192">
        <w:rPr>
          <w:rFonts w:cs="Arial"/>
          <w:color w:val="000000"/>
          <w:szCs w:val="20"/>
        </w:rPr>
        <w:t xml:space="preserve"> </w:t>
      </w:r>
    </w:p>
    <w:p w:rsidR="00F57A86" w:rsidRPr="00D37192" w:rsidRDefault="00F57A86" w:rsidP="00F35F8C">
      <w:pPr>
        <w:pStyle w:val="ListParagraph"/>
        <w:numPr>
          <w:ilvl w:val="0"/>
          <w:numId w:val="24"/>
        </w:numPr>
        <w:spacing w:after="0"/>
        <w:ind w:right="-340"/>
        <w:rPr>
          <w:rFonts w:cs="Arial"/>
          <w:color w:val="000000"/>
          <w:szCs w:val="20"/>
        </w:rPr>
      </w:pPr>
      <w:r>
        <w:rPr>
          <w:rFonts w:eastAsia="MS Mincho" w:cs="Arial"/>
          <w:szCs w:val="20"/>
          <w:lang w:val="en-US" w:eastAsia="ja-JP"/>
        </w:rPr>
        <w:t>GPSIs will be supported and mentored by a named ENT Consultant.</w:t>
      </w:r>
    </w:p>
    <w:p w:rsidR="007B73C1" w:rsidRPr="006E0156" w:rsidRDefault="007B73C1" w:rsidP="007B73C1">
      <w:pPr>
        <w:spacing w:after="0"/>
        <w:ind w:left="-680" w:right="-340"/>
        <w:rPr>
          <w:rFonts w:cs="Arial"/>
          <w:b/>
          <w:color w:val="0070C0"/>
          <w:szCs w:val="20"/>
        </w:rPr>
      </w:pPr>
    </w:p>
    <w:p w:rsidR="007B73C1" w:rsidRPr="006E0156" w:rsidRDefault="007B73C1" w:rsidP="007B73C1">
      <w:pPr>
        <w:spacing w:after="0"/>
        <w:ind w:right="-340"/>
        <w:rPr>
          <w:rFonts w:cs="Arial"/>
          <w:b/>
          <w:color w:val="0070C0"/>
          <w:szCs w:val="20"/>
        </w:rPr>
      </w:pPr>
      <w:r w:rsidRPr="006E0156">
        <w:rPr>
          <w:rFonts w:cs="Arial"/>
          <w:b/>
          <w:color w:val="0070C0"/>
          <w:szCs w:val="20"/>
        </w:rPr>
        <w:t>15.2 Clinical Networks</w:t>
      </w:r>
    </w:p>
    <w:p w:rsidR="007B73C1" w:rsidRPr="006E0156" w:rsidRDefault="007B73C1" w:rsidP="007B73C1">
      <w:pPr>
        <w:spacing w:after="0"/>
        <w:ind w:right="-340"/>
        <w:rPr>
          <w:rFonts w:cs="Arial"/>
          <w:szCs w:val="20"/>
        </w:rPr>
      </w:pPr>
      <w:r w:rsidRPr="006E0156">
        <w:rPr>
          <w:rFonts w:cs="Arial"/>
          <w:szCs w:val="20"/>
        </w:rPr>
        <w:t xml:space="preserve">The </w:t>
      </w:r>
      <w:r w:rsidR="004226BD">
        <w:rPr>
          <w:rFonts w:cs="Arial"/>
          <w:szCs w:val="20"/>
        </w:rPr>
        <w:t>ENT</w:t>
      </w:r>
      <w:r w:rsidRPr="006E0156">
        <w:rPr>
          <w:rFonts w:cs="Arial"/>
          <w:szCs w:val="20"/>
        </w:rPr>
        <w:t xml:space="preserve"> providers will work with other </w:t>
      </w:r>
      <w:r w:rsidR="004226BD">
        <w:rPr>
          <w:rFonts w:cs="Arial"/>
          <w:szCs w:val="20"/>
        </w:rPr>
        <w:t>ENT</w:t>
      </w:r>
      <w:r w:rsidRPr="006E0156">
        <w:rPr>
          <w:rFonts w:cs="Arial"/>
          <w:szCs w:val="20"/>
        </w:rPr>
        <w:t xml:space="preserve"> healthcare providers to join or establish a clinical network to share clinical outcomes and facilitate clinical exchange of information.</w:t>
      </w:r>
    </w:p>
    <w:p w:rsidR="007B73C1" w:rsidRPr="001F3250" w:rsidRDefault="007B73C1" w:rsidP="007B73C1">
      <w:pPr>
        <w:spacing w:after="0"/>
        <w:ind w:right="-340"/>
        <w:rPr>
          <w:rFonts w:cs="Arial"/>
          <w:b/>
          <w:color w:val="0070C0"/>
          <w:szCs w:val="20"/>
          <w:highlight w:val="yellow"/>
        </w:rPr>
      </w:pPr>
    </w:p>
    <w:p w:rsidR="007B73C1" w:rsidRPr="00AE381F" w:rsidRDefault="007B73C1" w:rsidP="007B73C1">
      <w:pPr>
        <w:spacing w:after="0"/>
        <w:ind w:right="-340"/>
        <w:rPr>
          <w:rFonts w:cs="Arial"/>
          <w:b/>
          <w:color w:val="0070C0"/>
          <w:szCs w:val="20"/>
        </w:rPr>
      </w:pPr>
      <w:r w:rsidRPr="00AE381F">
        <w:rPr>
          <w:rFonts w:cs="Arial"/>
          <w:b/>
          <w:color w:val="0070C0"/>
          <w:szCs w:val="20"/>
        </w:rPr>
        <w:t>15.3 Education and training Requirements</w:t>
      </w:r>
    </w:p>
    <w:p w:rsidR="007B73C1" w:rsidRDefault="007B73C1" w:rsidP="007B73C1">
      <w:pPr>
        <w:spacing w:after="0"/>
        <w:ind w:right="-340"/>
        <w:jc w:val="both"/>
        <w:rPr>
          <w:rFonts w:eastAsia="MS Mincho" w:cs="Arial"/>
          <w:szCs w:val="20"/>
          <w:lang w:eastAsia="ja-JP"/>
        </w:rPr>
      </w:pPr>
      <w:r>
        <w:rPr>
          <w:rFonts w:eastAsia="MS Mincho" w:cs="Arial"/>
          <w:szCs w:val="20"/>
          <w:lang w:eastAsia="ja-JP"/>
        </w:rPr>
        <w:t xml:space="preserve">The </w:t>
      </w:r>
      <w:r w:rsidR="004226BD">
        <w:rPr>
          <w:rFonts w:eastAsia="MS Mincho" w:cs="Arial"/>
          <w:szCs w:val="20"/>
          <w:lang w:eastAsia="ja-JP"/>
        </w:rPr>
        <w:t>Service</w:t>
      </w:r>
      <w:r>
        <w:rPr>
          <w:rFonts w:eastAsia="MS Mincho" w:cs="Arial"/>
          <w:szCs w:val="20"/>
          <w:lang w:eastAsia="ja-JP"/>
        </w:rPr>
        <w:t xml:space="preserve"> will establish links to and work with Health Education England Kent, Surrey, Sussex (HEEKSS) in providing educational opportunities for all professionals aligned to </w:t>
      </w:r>
      <w:r w:rsidR="00024E29">
        <w:rPr>
          <w:rFonts w:eastAsia="MS Mincho" w:cs="Arial"/>
          <w:szCs w:val="20"/>
          <w:lang w:eastAsia="ja-JP"/>
        </w:rPr>
        <w:t>ENT</w:t>
      </w:r>
      <w:r>
        <w:rPr>
          <w:rFonts w:eastAsia="MS Mincho" w:cs="Arial"/>
          <w:szCs w:val="20"/>
          <w:lang w:eastAsia="ja-JP"/>
        </w:rPr>
        <w:t xml:space="preserve"> as a speciality.</w:t>
      </w:r>
    </w:p>
    <w:p w:rsidR="007B73C1" w:rsidRDefault="007B73C1" w:rsidP="007B73C1">
      <w:pPr>
        <w:spacing w:after="0"/>
        <w:ind w:right="-340"/>
        <w:jc w:val="both"/>
        <w:rPr>
          <w:rFonts w:eastAsia="MS Mincho" w:cs="Arial"/>
          <w:szCs w:val="20"/>
          <w:lang w:eastAsia="ja-JP"/>
        </w:rPr>
      </w:pPr>
    </w:p>
    <w:p w:rsidR="007B73C1" w:rsidRPr="00AE381F" w:rsidRDefault="007B73C1" w:rsidP="007B73C1">
      <w:pPr>
        <w:spacing w:after="0"/>
        <w:ind w:right="-340"/>
        <w:jc w:val="both"/>
        <w:rPr>
          <w:rFonts w:eastAsia="MS Mincho" w:cs="Arial"/>
          <w:szCs w:val="20"/>
          <w:lang w:eastAsia="ja-JP"/>
        </w:rPr>
      </w:pPr>
      <w:r w:rsidRPr="00AE381F">
        <w:rPr>
          <w:rFonts w:eastAsia="MS Mincho" w:cs="Arial"/>
          <w:szCs w:val="20"/>
          <w:lang w:eastAsia="ja-JP"/>
        </w:rPr>
        <w:lastRenderedPageBreak/>
        <w:t xml:space="preserve">In accordance with best practice the </w:t>
      </w:r>
      <w:r w:rsidR="004226BD">
        <w:rPr>
          <w:rFonts w:eastAsia="MS Mincho" w:cs="Arial"/>
          <w:szCs w:val="20"/>
          <w:lang w:eastAsia="ja-JP"/>
        </w:rPr>
        <w:t>Service</w:t>
      </w:r>
      <w:r w:rsidRPr="00AE381F">
        <w:rPr>
          <w:rFonts w:eastAsia="MS Mincho" w:cs="Arial"/>
          <w:szCs w:val="20"/>
          <w:lang w:eastAsia="ja-JP"/>
        </w:rPr>
        <w:t xml:space="preserve"> will provide opportunities and placements for existing and new learners</w:t>
      </w:r>
      <w:r>
        <w:rPr>
          <w:rFonts w:eastAsia="MS Mincho" w:cs="Arial"/>
          <w:szCs w:val="20"/>
          <w:lang w:eastAsia="ja-JP"/>
        </w:rPr>
        <w:t xml:space="preserve"> (including junior doctors and surgical trainees)</w:t>
      </w:r>
      <w:r w:rsidRPr="00AE381F">
        <w:rPr>
          <w:rFonts w:eastAsia="MS Mincho" w:cs="Arial"/>
          <w:szCs w:val="20"/>
          <w:lang w:eastAsia="ja-JP"/>
        </w:rPr>
        <w:t xml:space="preserve"> in training to gain work based experience within the Service, with appropriate supervision by accredited trainers within the Service to the standards set with the relevant training and governing bodies. The </w:t>
      </w:r>
      <w:r w:rsidR="004226BD">
        <w:rPr>
          <w:rFonts w:eastAsia="MS Mincho" w:cs="Arial"/>
          <w:szCs w:val="20"/>
          <w:lang w:eastAsia="ja-JP"/>
        </w:rPr>
        <w:t>Service</w:t>
      </w:r>
      <w:r w:rsidRPr="00AE381F">
        <w:rPr>
          <w:rFonts w:eastAsia="MS Mincho" w:cs="Arial"/>
          <w:szCs w:val="20"/>
          <w:lang w:eastAsia="ja-JP"/>
        </w:rPr>
        <w:t xml:space="preserve"> will require that staff members adhere to and demonstrate the NHS Values to ensure that students</w:t>
      </w:r>
      <w:r>
        <w:rPr>
          <w:rFonts w:eastAsia="MS Mincho" w:cs="Arial"/>
          <w:szCs w:val="20"/>
          <w:lang w:eastAsia="ja-JP"/>
        </w:rPr>
        <w:t>/trainees</w:t>
      </w:r>
      <w:r w:rsidRPr="00AE381F">
        <w:rPr>
          <w:rFonts w:eastAsia="MS Mincho" w:cs="Arial"/>
          <w:szCs w:val="20"/>
          <w:lang w:eastAsia="ja-JP"/>
        </w:rPr>
        <w:t xml:space="preserve"> are exposed to effective role models in practice.</w:t>
      </w:r>
    </w:p>
    <w:p w:rsidR="007B73C1" w:rsidRPr="00AE381F" w:rsidRDefault="007B73C1" w:rsidP="007B73C1">
      <w:pPr>
        <w:spacing w:after="0"/>
        <w:ind w:right="-340"/>
        <w:jc w:val="both"/>
        <w:rPr>
          <w:rFonts w:eastAsia="MS Mincho" w:cs="Arial"/>
          <w:szCs w:val="20"/>
          <w:lang w:eastAsia="ja-JP"/>
        </w:rPr>
      </w:pPr>
    </w:p>
    <w:p w:rsidR="007B73C1" w:rsidRPr="00AE381F" w:rsidRDefault="007B73C1" w:rsidP="007B73C1">
      <w:pPr>
        <w:spacing w:after="0"/>
        <w:ind w:right="-340"/>
        <w:jc w:val="both"/>
        <w:rPr>
          <w:rFonts w:eastAsia="MS Mincho" w:cs="Arial"/>
          <w:szCs w:val="20"/>
          <w:lang w:eastAsia="ja-JP"/>
        </w:rPr>
      </w:pPr>
      <w:r w:rsidRPr="00AE381F">
        <w:rPr>
          <w:rFonts w:eastAsia="MS Mincho" w:cs="Arial"/>
          <w:szCs w:val="20"/>
          <w:lang w:eastAsia="ja-JP"/>
        </w:rPr>
        <w:t xml:space="preserve">The </w:t>
      </w:r>
      <w:r w:rsidR="004226BD">
        <w:rPr>
          <w:rFonts w:eastAsia="MS Mincho" w:cs="Arial"/>
          <w:szCs w:val="20"/>
          <w:lang w:eastAsia="ja-JP"/>
        </w:rPr>
        <w:t>Service</w:t>
      </w:r>
      <w:r w:rsidRPr="00AE381F">
        <w:rPr>
          <w:rFonts w:eastAsia="MS Mincho" w:cs="Arial"/>
          <w:szCs w:val="20"/>
          <w:lang w:eastAsia="ja-JP"/>
        </w:rPr>
        <w:t xml:space="preserve"> will make a commitment to training and development for their own staff, which will include protected time for high quality training and ensuring sufficient staff members are available to teach and assess students in practice.</w:t>
      </w:r>
    </w:p>
    <w:p w:rsidR="007B73C1" w:rsidRPr="00AE381F" w:rsidRDefault="007B73C1" w:rsidP="007B73C1">
      <w:pPr>
        <w:spacing w:after="0"/>
        <w:ind w:right="-340"/>
        <w:jc w:val="both"/>
        <w:rPr>
          <w:rFonts w:eastAsia="MS Mincho" w:cs="Arial"/>
          <w:szCs w:val="20"/>
          <w:lang w:eastAsia="ja-JP"/>
        </w:rPr>
      </w:pPr>
    </w:p>
    <w:p w:rsidR="007B73C1" w:rsidRPr="00AE381F" w:rsidRDefault="007B73C1" w:rsidP="007B73C1">
      <w:pPr>
        <w:spacing w:after="0"/>
        <w:ind w:right="-340"/>
        <w:jc w:val="both"/>
        <w:rPr>
          <w:rFonts w:eastAsia="MS Mincho" w:cs="Arial"/>
          <w:szCs w:val="20"/>
          <w:lang w:eastAsia="ja-JP"/>
        </w:rPr>
      </w:pPr>
      <w:r w:rsidRPr="00AE381F">
        <w:rPr>
          <w:rFonts w:eastAsia="MS Mincho" w:cs="Arial"/>
          <w:szCs w:val="20"/>
          <w:lang w:eastAsia="ja-JP"/>
        </w:rPr>
        <w:t xml:space="preserve">The </w:t>
      </w:r>
      <w:r w:rsidR="004226BD">
        <w:rPr>
          <w:rFonts w:eastAsia="MS Mincho" w:cs="Arial"/>
          <w:szCs w:val="20"/>
          <w:lang w:eastAsia="ja-JP"/>
        </w:rPr>
        <w:t>Service</w:t>
      </w:r>
      <w:r w:rsidRPr="00AE381F">
        <w:rPr>
          <w:rFonts w:eastAsia="MS Mincho" w:cs="Arial"/>
          <w:szCs w:val="20"/>
          <w:lang w:eastAsia="ja-JP"/>
        </w:rPr>
        <w:t xml:space="preserve"> as an employer has the responsibility to fund and organise statutory and mandatory training as well as ensuring Continued Professional Development (CPD).</w:t>
      </w:r>
    </w:p>
    <w:p w:rsidR="007B73C1" w:rsidRPr="00AE381F" w:rsidRDefault="007B73C1" w:rsidP="007B73C1">
      <w:pPr>
        <w:spacing w:after="0"/>
        <w:ind w:right="-340"/>
        <w:jc w:val="both"/>
        <w:rPr>
          <w:rFonts w:eastAsia="MS Mincho" w:cs="Arial"/>
          <w:szCs w:val="20"/>
          <w:lang w:eastAsia="ja-JP"/>
        </w:rPr>
      </w:pPr>
    </w:p>
    <w:p w:rsidR="007B73C1" w:rsidRPr="00AE381F" w:rsidRDefault="007B73C1" w:rsidP="007B73C1">
      <w:pPr>
        <w:spacing w:after="0"/>
        <w:ind w:right="-340"/>
        <w:jc w:val="both"/>
        <w:rPr>
          <w:rFonts w:eastAsia="MS Mincho" w:cs="Arial"/>
          <w:szCs w:val="20"/>
          <w:lang w:eastAsia="ja-JP"/>
        </w:rPr>
      </w:pPr>
      <w:r w:rsidRPr="00AE381F">
        <w:rPr>
          <w:rFonts w:eastAsia="MS Mincho" w:cs="Arial"/>
          <w:szCs w:val="20"/>
          <w:lang w:eastAsia="ja-JP"/>
        </w:rPr>
        <w:t>Time is required to ensure supervision and support needs are provided for clinical staff and to ensure that skills and competencies are developed and maintained.  There should be opportunities for debriefing and learning when situations arise.</w:t>
      </w:r>
    </w:p>
    <w:p w:rsidR="007B73C1" w:rsidRPr="00AE381F" w:rsidRDefault="007B73C1" w:rsidP="007B73C1">
      <w:pPr>
        <w:spacing w:after="0"/>
        <w:ind w:right="-340"/>
        <w:jc w:val="both"/>
        <w:rPr>
          <w:rFonts w:eastAsia="MS Mincho" w:cs="Arial"/>
          <w:szCs w:val="20"/>
          <w:lang w:eastAsia="ja-JP"/>
        </w:rPr>
      </w:pPr>
    </w:p>
    <w:p w:rsidR="007B73C1" w:rsidRPr="00AE381F" w:rsidRDefault="007B73C1" w:rsidP="007B73C1">
      <w:pPr>
        <w:spacing w:after="0"/>
        <w:ind w:right="-340"/>
        <w:jc w:val="both"/>
        <w:rPr>
          <w:rFonts w:eastAsia="MS Mincho" w:cs="Arial"/>
          <w:szCs w:val="20"/>
          <w:lang w:eastAsia="ja-JP"/>
        </w:rPr>
      </w:pPr>
      <w:r w:rsidRPr="00AE381F">
        <w:rPr>
          <w:rFonts w:eastAsia="MS Mincho" w:cs="Arial"/>
          <w:szCs w:val="20"/>
          <w:lang w:eastAsia="ja-JP"/>
        </w:rPr>
        <w:t xml:space="preserve">The </w:t>
      </w:r>
      <w:r w:rsidR="004226BD">
        <w:rPr>
          <w:rFonts w:eastAsia="MS Mincho" w:cs="Arial"/>
          <w:szCs w:val="20"/>
          <w:lang w:eastAsia="ja-JP"/>
        </w:rPr>
        <w:t>Service</w:t>
      </w:r>
      <w:r w:rsidR="004226BD" w:rsidRPr="00AE381F">
        <w:rPr>
          <w:rFonts w:eastAsia="MS Mincho" w:cs="Arial"/>
          <w:szCs w:val="20"/>
          <w:lang w:eastAsia="ja-JP"/>
        </w:rPr>
        <w:t xml:space="preserve"> </w:t>
      </w:r>
      <w:r w:rsidRPr="00AE381F">
        <w:rPr>
          <w:rFonts w:eastAsia="MS Mincho" w:cs="Arial"/>
          <w:szCs w:val="20"/>
          <w:lang w:eastAsia="ja-JP"/>
        </w:rPr>
        <w:t xml:space="preserve">will support and encourage GP and other primary care staff through education to ensure that there is a good understanding in </w:t>
      </w:r>
      <w:r w:rsidR="006B6E5B">
        <w:rPr>
          <w:rFonts w:eastAsia="MS Mincho" w:cs="Arial"/>
          <w:szCs w:val="20"/>
          <w:lang w:eastAsia="ja-JP"/>
        </w:rPr>
        <w:t>ENT</w:t>
      </w:r>
      <w:r w:rsidRPr="00AE381F">
        <w:rPr>
          <w:rFonts w:eastAsia="MS Mincho" w:cs="Arial"/>
          <w:szCs w:val="20"/>
          <w:lang w:eastAsia="ja-JP"/>
        </w:rPr>
        <w:t xml:space="preserve"> conditions particularly with respect to early diagnosis and referral.</w:t>
      </w:r>
    </w:p>
    <w:p w:rsidR="007B73C1" w:rsidRPr="00AE381F" w:rsidRDefault="007B73C1" w:rsidP="007B73C1">
      <w:pPr>
        <w:spacing w:after="0"/>
        <w:ind w:right="-340"/>
        <w:jc w:val="both"/>
        <w:rPr>
          <w:rFonts w:eastAsia="MS Mincho" w:cs="Arial"/>
          <w:szCs w:val="20"/>
          <w:lang w:eastAsia="ja-JP"/>
        </w:rPr>
      </w:pPr>
    </w:p>
    <w:p w:rsidR="007B73C1" w:rsidRPr="00AE381F" w:rsidRDefault="007B73C1" w:rsidP="007B73C1">
      <w:pPr>
        <w:spacing w:after="0"/>
        <w:ind w:right="-340"/>
        <w:jc w:val="both"/>
        <w:rPr>
          <w:rFonts w:eastAsia="MS Mincho" w:cs="Arial"/>
          <w:szCs w:val="20"/>
          <w:lang w:eastAsia="ja-JP"/>
        </w:rPr>
      </w:pPr>
      <w:r w:rsidRPr="00AE381F">
        <w:rPr>
          <w:rFonts w:eastAsia="MS Mincho" w:cs="Arial"/>
          <w:szCs w:val="20"/>
          <w:lang w:val="en-US" w:eastAsia="ja-JP"/>
        </w:rPr>
        <w:t xml:space="preserve">The </w:t>
      </w:r>
      <w:r w:rsidR="004226BD">
        <w:rPr>
          <w:rFonts w:eastAsia="MS Mincho" w:cs="Arial"/>
          <w:szCs w:val="20"/>
          <w:lang w:eastAsia="ja-JP"/>
        </w:rPr>
        <w:t>Service</w:t>
      </w:r>
      <w:r w:rsidRPr="00AE381F">
        <w:rPr>
          <w:rFonts w:eastAsia="MS Mincho" w:cs="Arial"/>
          <w:szCs w:val="20"/>
          <w:lang w:val="en-US" w:eastAsia="ja-JP"/>
        </w:rPr>
        <w:t xml:space="preserve"> must demonstrate that staff delivering the service are fully indemnified to provide the service and shall maintain in force at its own cost appropriate indemnity arrangements as set out in </w:t>
      </w:r>
      <w:r w:rsidRPr="00AE381F">
        <w:rPr>
          <w:rFonts w:eastAsia="MS Mincho" w:cs="Arial"/>
          <w:color w:val="000000"/>
          <w:szCs w:val="20"/>
          <w:lang w:val="en-US" w:eastAsia="ja-JP"/>
        </w:rPr>
        <w:t>General Conditions Clause GC11 Liability and Indemnity</w:t>
      </w: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51" w:name="_Toc414882576"/>
            <w:r>
              <w:rPr>
                <w:color w:val="FFFFFF" w:themeColor="background1"/>
              </w:rPr>
              <w:t>16</w:t>
            </w:r>
            <w:r w:rsidRPr="003225F3">
              <w:rPr>
                <w:color w:val="FFFFFF" w:themeColor="background1"/>
              </w:rPr>
              <w:t>.0</w:t>
            </w:r>
            <w:r w:rsidRPr="003225F3">
              <w:rPr>
                <w:color w:val="FFFFFF" w:themeColor="background1"/>
              </w:rPr>
              <w:tab/>
              <w:t>Research, Audit and Development</w:t>
            </w:r>
            <w:bookmarkEnd w:id="51"/>
          </w:p>
        </w:tc>
      </w:tr>
    </w:tbl>
    <w:p w:rsidR="001E1BAF" w:rsidRPr="00AE381F" w:rsidRDefault="001E1BAF" w:rsidP="001E1BAF">
      <w:pPr>
        <w:spacing w:after="0"/>
        <w:ind w:right="-340"/>
        <w:rPr>
          <w:rFonts w:cs="Arial"/>
          <w:szCs w:val="20"/>
        </w:rPr>
      </w:pPr>
      <w:r w:rsidRPr="00AE381F">
        <w:rPr>
          <w:rFonts w:cs="Arial"/>
          <w:szCs w:val="20"/>
        </w:rPr>
        <w:t xml:space="preserve">The </w:t>
      </w:r>
      <w:r w:rsidR="004226BD">
        <w:rPr>
          <w:rFonts w:eastAsia="MS Mincho" w:cs="Arial"/>
          <w:szCs w:val="20"/>
          <w:lang w:eastAsia="ja-JP"/>
        </w:rPr>
        <w:t>Service</w:t>
      </w:r>
      <w:r w:rsidRPr="00AE381F">
        <w:rPr>
          <w:rFonts w:cs="Arial"/>
          <w:szCs w:val="20"/>
        </w:rPr>
        <w:t xml:space="preserve"> must also develop a culture of training and research to ensure that cutting edge approaches t</w:t>
      </w:r>
      <w:r>
        <w:rPr>
          <w:rFonts w:cs="Arial"/>
          <w:szCs w:val="20"/>
        </w:rPr>
        <w:t xml:space="preserve">o </w:t>
      </w:r>
      <w:r w:rsidR="00024E29">
        <w:rPr>
          <w:rFonts w:cs="Arial"/>
          <w:szCs w:val="20"/>
        </w:rPr>
        <w:t>ENT</w:t>
      </w:r>
      <w:r>
        <w:rPr>
          <w:rFonts w:cs="Arial"/>
          <w:szCs w:val="20"/>
        </w:rPr>
        <w:t xml:space="preserve"> </w:t>
      </w:r>
      <w:r w:rsidRPr="00AE381F">
        <w:rPr>
          <w:rFonts w:cs="Arial"/>
          <w:szCs w:val="20"/>
        </w:rPr>
        <w:t>management are thoroughly investigated and implemented where appropriate and in agreement with the Commissioners.</w:t>
      </w:r>
    </w:p>
    <w:p w:rsidR="001E1BAF" w:rsidRPr="00AE381F" w:rsidRDefault="001E1BAF" w:rsidP="001E1BAF">
      <w:pPr>
        <w:spacing w:after="0"/>
        <w:ind w:right="-340"/>
        <w:rPr>
          <w:rFonts w:ascii="Frutiger-Bold" w:hAnsi="Frutiger-Bold" w:cs="Frutiger-Bold"/>
          <w:b/>
          <w:bCs/>
          <w:color w:val="00FF8F"/>
          <w:szCs w:val="20"/>
          <w:lang w:eastAsia="en-GB"/>
        </w:rPr>
      </w:pPr>
    </w:p>
    <w:p w:rsidR="001E1BAF" w:rsidRPr="00AE381F" w:rsidRDefault="001E1BAF" w:rsidP="001E1BAF">
      <w:pPr>
        <w:spacing w:after="0"/>
        <w:ind w:right="-340"/>
        <w:rPr>
          <w:rFonts w:cs="Arial"/>
          <w:szCs w:val="20"/>
        </w:rPr>
      </w:pPr>
      <w:r w:rsidRPr="00AE381F">
        <w:rPr>
          <w:rFonts w:cs="Arial"/>
          <w:szCs w:val="20"/>
        </w:rPr>
        <w:t xml:space="preserve">The commissioners will also expect the </w:t>
      </w:r>
      <w:r w:rsidR="004226BD">
        <w:rPr>
          <w:rFonts w:eastAsia="MS Mincho" w:cs="Arial"/>
          <w:szCs w:val="20"/>
          <w:lang w:eastAsia="ja-JP"/>
        </w:rPr>
        <w:t>Service</w:t>
      </w:r>
      <w:r w:rsidRPr="00AE381F">
        <w:rPr>
          <w:rFonts w:cs="Arial"/>
          <w:szCs w:val="20"/>
        </w:rPr>
        <w:t xml:space="preserve"> to demonstrate that they will use an accredited evidence base when designing and delivering services.  In addition we encourage providers to seek ways of extending that evidence base through supporting and collaborating in evaluative research. We expect bidders to demonstrate how they will facilitate research and outline areas where they would hope to generate new evidence.</w:t>
      </w:r>
    </w:p>
    <w:p w:rsidR="001E1BAF" w:rsidRDefault="001E1BAF" w:rsidP="001E1BAF">
      <w:pPr>
        <w:spacing w:after="0"/>
        <w:ind w:right="-340" w:hanging="34"/>
        <w:rPr>
          <w:szCs w:val="20"/>
        </w:rPr>
      </w:pPr>
    </w:p>
    <w:p w:rsidR="001E1BAF" w:rsidRPr="00AE381F" w:rsidRDefault="001E1BAF" w:rsidP="001E1BAF">
      <w:pPr>
        <w:spacing w:after="0"/>
        <w:ind w:right="-340" w:hanging="34"/>
        <w:rPr>
          <w:szCs w:val="20"/>
        </w:rPr>
      </w:pPr>
      <w:r w:rsidRPr="00AE381F">
        <w:rPr>
          <w:szCs w:val="20"/>
        </w:rPr>
        <w:t xml:space="preserve">The </w:t>
      </w:r>
      <w:r w:rsidR="00024E29">
        <w:rPr>
          <w:szCs w:val="20"/>
        </w:rPr>
        <w:t>Service</w:t>
      </w:r>
      <w:r w:rsidRPr="00AE381F">
        <w:rPr>
          <w:szCs w:val="20"/>
        </w:rPr>
        <w:t xml:space="preserve"> must also make adequate provision, details of which must be agreed with the commissioner, to ensure the service can take part in suitable research programmes and clinical trials, relevant to the furtherance of good practice and innovation in </w:t>
      </w:r>
      <w:r w:rsidR="00024E29">
        <w:rPr>
          <w:szCs w:val="20"/>
        </w:rPr>
        <w:t>ENT</w:t>
      </w:r>
      <w:r w:rsidRPr="00AE381F">
        <w:rPr>
          <w:szCs w:val="20"/>
        </w:rPr>
        <w:t xml:space="preserve">. </w:t>
      </w:r>
    </w:p>
    <w:p w:rsidR="001E1BAF" w:rsidRPr="00AE381F" w:rsidRDefault="001E1BAF" w:rsidP="001E1BAF">
      <w:pPr>
        <w:spacing w:after="0" w:line="240" w:lineRule="auto"/>
        <w:rPr>
          <w:szCs w:val="20"/>
        </w:rPr>
      </w:pPr>
    </w:p>
    <w:p w:rsidR="001E1BAF" w:rsidRPr="001F3250" w:rsidRDefault="001E1BAF" w:rsidP="001E1BAF">
      <w:pPr>
        <w:spacing w:after="0" w:line="240" w:lineRule="auto"/>
        <w:rPr>
          <w:b/>
          <w:color w:val="548DD4" w:themeColor="text2" w:themeTint="99"/>
          <w:sz w:val="24"/>
          <w:highlight w:val="yellow"/>
        </w:rPr>
      </w:pPr>
      <w:r w:rsidRPr="001F3250">
        <w:rPr>
          <w:b/>
          <w:color w:val="548DD4" w:themeColor="text2" w:themeTint="99"/>
          <w:sz w:val="24"/>
          <w:highlight w:val="yellow"/>
        </w:rPr>
        <w:br w:type="page"/>
      </w:r>
    </w:p>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52" w:name="_Toc414882577"/>
            <w:r w:rsidRPr="003225F3">
              <w:rPr>
                <w:color w:val="FFFFFF" w:themeColor="background1"/>
              </w:rPr>
              <w:t>Appendix 1</w:t>
            </w:r>
            <w:bookmarkEnd w:id="52"/>
          </w:p>
        </w:tc>
      </w:tr>
    </w:tbl>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53" w:name="_Toc414882578"/>
            <w:r w:rsidRPr="003225F3">
              <w:rPr>
                <w:color w:val="FFFFFF" w:themeColor="background1"/>
              </w:rPr>
              <w:t>Appendix 2</w:t>
            </w:r>
            <w:bookmarkEnd w:id="53"/>
          </w:p>
        </w:tc>
      </w:tr>
    </w:tbl>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54" w:name="_Toc414882579"/>
            <w:r w:rsidRPr="003225F3">
              <w:rPr>
                <w:color w:val="FFFFFF" w:themeColor="background1"/>
              </w:rPr>
              <w:t>Appendix 3</w:t>
            </w:r>
            <w:bookmarkEnd w:id="54"/>
          </w:p>
        </w:tc>
      </w:tr>
    </w:tbl>
    <w:p w:rsidR="00D77151" w:rsidRDefault="00D77151" w:rsidP="00D77151">
      <w:pPr>
        <w:rPr>
          <w:b/>
          <w:color w:val="548DD4" w:themeColor="text2" w:themeTint="99"/>
          <w:sz w:val="24"/>
        </w:rPr>
      </w:pPr>
    </w:p>
    <w:tbl>
      <w:tblPr>
        <w:tblStyle w:val="TableGrid"/>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77151" w:rsidRPr="00815166" w:rsidTr="002407EF">
        <w:trPr>
          <w:trHeight w:val="324"/>
        </w:trPr>
        <w:tc>
          <w:tcPr>
            <w:tcW w:w="9242" w:type="dxa"/>
            <w:shd w:val="clear" w:color="auto" w:fill="548DD4" w:themeFill="text2" w:themeFillTint="99"/>
          </w:tcPr>
          <w:p w:rsidR="00D77151" w:rsidRPr="003225F3" w:rsidRDefault="00D77151" w:rsidP="002407EF">
            <w:pPr>
              <w:pStyle w:val="Heading1"/>
              <w:spacing w:before="0"/>
            </w:pPr>
            <w:bookmarkStart w:id="55" w:name="_Toc414882580"/>
            <w:r w:rsidRPr="003225F3">
              <w:rPr>
                <w:color w:val="FFFFFF" w:themeColor="background1"/>
              </w:rPr>
              <w:t>Appendix 4</w:t>
            </w:r>
            <w:bookmarkEnd w:id="55"/>
          </w:p>
        </w:tc>
      </w:tr>
    </w:tbl>
    <w:p w:rsidR="00D77151" w:rsidRDefault="00D77151" w:rsidP="00D77151">
      <w:pPr>
        <w:rPr>
          <w:b/>
          <w:color w:val="548DD4" w:themeColor="text2" w:themeTint="99"/>
          <w:sz w:val="24"/>
        </w:rPr>
      </w:pPr>
    </w:p>
    <w:p w:rsidR="00D77151" w:rsidRPr="00033D34" w:rsidRDefault="00D77151" w:rsidP="00D77151">
      <w:pPr>
        <w:pStyle w:val="Sectionheading"/>
      </w:pPr>
    </w:p>
    <w:p w:rsidR="00891A5D" w:rsidRDefault="00891A5D">
      <w:pPr>
        <w:spacing w:after="0" w:line="240" w:lineRule="auto"/>
        <w:rPr>
          <w:rFonts w:cs="Calibri"/>
          <w:color w:val="404040" w:themeColor="text1" w:themeTint="BF"/>
          <w:sz w:val="24"/>
          <w:szCs w:val="24"/>
        </w:rPr>
      </w:pPr>
    </w:p>
    <w:sectPr w:rsidR="00891A5D" w:rsidSect="00185E76">
      <w:headerReference w:type="even" r:id="rId22"/>
      <w:headerReference w:type="default" r:id="rId23"/>
      <w:footerReference w:type="default" r:id="rId24"/>
      <w:headerReference w:type="first" r:id="rId25"/>
      <w:footerReference w:type="first" r:id="rId26"/>
      <w:type w:val="continuous"/>
      <w:pgSz w:w="11906" w:h="16838" w:code="9"/>
      <w:pgMar w:top="1535" w:right="991" w:bottom="2127" w:left="1276" w:header="709" w:footer="9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7D" w:rsidRDefault="005C2E7D" w:rsidP="00173D5C">
      <w:pPr>
        <w:spacing w:after="0" w:line="240" w:lineRule="auto"/>
      </w:pPr>
      <w:r>
        <w:separator/>
      </w:r>
    </w:p>
  </w:endnote>
  <w:endnote w:type="continuationSeparator" w:id="0">
    <w:p w:rsidR="005C2E7D" w:rsidRDefault="005C2E7D" w:rsidP="0017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T1) MT Light">
    <w:panose1 w:val="00000000000000000000"/>
    <w:charset w:val="00"/>
    <w:family w:val="auto"/>
    <w:notTrueType/>
    <w:pitch w:val="default"/>
    <w:sig w:usb0="00000003" w:usb1="00000000" w:usb2="00000000" w:usb3="00000000" w:csb0="00000001" w:csb1="00000000"/>
  </w:font>
  <w:font w:name="Rockwell">
    <w:altName w:val="Lucida Fax"/>
    <w:panose1 w:val="02060603020205020403"/>
    <w:charset w:val="00"/>
    <w:family w:val="roman"/>
    <w:pitch w:val="variable"/>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812453"/>
      <w:docPartObj>
        <w:docPartGallery w:val="Page Numbers (Bottom of Page)"/>
        <w:docPartUnique/>
      </w:docPartObj>
    </w:sdtPr>
    <w:sdtEndPr>
      <w:rPr>
        <w:noProof/>
      </w:rPr>
    </w:sdtEndPr>
    <w:sdtContent>
      <w:p w:rsidR="003746B1" w:rsidRDefault="003746B1">
        <w:pPr>
          <w:pStyle w:val="Footer"/>
          <w:jc w:val="right"/>
        </w:pPr>
        <w:r>
          <w:fldChar w:fldCharType="begin"/>
        </w:r>
        <w:r>
          <w:instrText xml:space="preserve"> PAGE   \* MERGEFORMAT </w:instrText>
        </w:r>
        <w:r>
          <w:fldChar w:fldCharType="separate"/>
        </w:r>
        <w:r w:rsidR="00526E5D">
          <w:rPr>
            <w:noProof/>
          </w:rPr>
          <w:t>33</w:t>
        </w:r>
        <w:r>
          <w:rPr>
            <w:noProof/>
          </w:rPr>
          <w:fldChar w:fldCharType="end"/>
        </w:r>
      </w:p>
    </w:sdtContent>
  </w:sdt>
  <w:p w:rsidR="003746B1" w:rsidRPr="00AE64AF" w:rsidRDefault="003746B1" w:rsidP="00933E02">
    <w:pPr>
      <w:pStyle w:val="Footer"/>
      <w:rPr>
        <w:rFonts w:asciiTheme="minorHAnsi" w:hAnsiTheme="minorHAnsi" w:cstheme="minorHAns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B1" w:rsidRPr="00AE64AF" w:rsidRDefault="003746B1" w:rsidP="00891A5D">
    <w:pPr>
      <w:pStyle w:val="Footer"/>
      <w:tabs>
        <w:tab w:val="clear" w:pos="4513"/>
        <w:tab w:val="left" w:pos="5080"/>
        <w:tab w:val="left" w:pos="8106"/>
      </w:tabs>
      <w:rPr>
        <w:b/>
        <w:szCs w:val="20"/>
      </w:rPr>
    </w:pPr>
    <w:r>
      <w:rPr>
        <w:noProof/>
        <w:lang w:eastAsia="en-GB"/>
      </w:rPr>
      <mc:AlternateContent>
        <mc:Choice Requires="wps">
          <w:drawing>
            <wp:anchor distT="0" distB="0" distL="114300" distR="114300" simplePos="0" relativeHeight="251657216" behindDoc="0" locked="0" layoutInCell="1" allowOverlap="1" wp14:anchorId="398638F6" wp14:editId="250B0F22">
              <wp:simplePos x="0" y="0"/>
              <wp:positionH relativeFrom="column">
                <wp:posOffset>-317500</wp:posOffset>
              </wp:positionH>
              <wp:positionV relativeFrom="paragraph">
                <wp:posOffset>-34925</wp:posOffset>
              </wp:positionV>
              <wp:extent cx="2914650" cy="2286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28600"/>
                      </a:xfrm>
                      <a:prstGeom prst="rect">
                        <a:avLst/>
                      </a:prstGeom>
                      <a:noFill/>
                      <a:ln w="9525">
                        <a:noFill/>
                        <a:miter lim="800000"/>
                        <a:headEnd/>
                        <a:tailEnd/>
                      </a:ln>
                    </wps:spPr>
                    <wps:txbx>
                      <w:txbxContent>
                        <w:p w:rsidR="003746B1" w:rsidRPr="00A445A6" w:rsidRDefault="003746B1" w:rsidP="006602BB">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pt;margin-top:-2.75pt;width:22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51GCAIAAPMDAAAOAAAAZHJzL2Uyb0RvYy54bWysU8Fu2zAMvQ/YPwi6L06MJEuNOEXXrsOA&#10;rhvQ7gMYWY6FSaImKbGzrx8lp2mw3YbpIIgi+cT3SK2vB6PZQfqg0NZ8NplyJq3ARtldzb8/379b&#10;cRYi2AY0Wlnzowz8evP2zbp3lSyxQ91IzwjEhqp3Ne9idFVRBNFJA2GCTlpytugNRDL9rmg89IRu&#10;dFFOp8uiR984j0KGQLd3o5NvMn7bShG/tm2QkemaU20x7z7v27QXmzVUOw+uU+JUBvxDFQaUpUfP&#10;UHcQge29+gvKKOExYBsnAk2BbauEzByIzWz6B5unDpzMXEic4M4yhf8HKx4P3zxTDfWOOmXBUI+e&#10;5RDZBxxYmeTpXago6slRXBzomkIz1eAeUPwIzOJtB3Ynb7zHvpPQUHmzlFlcpI44IYFs+y/Y0DOw&#10;j5iBhtabpB2pwQid2nQ8tyaVIuiyvJrNlwtyCfKV5Wo5zb0roHrJdj7ETxINS4eae2p9RofDQ4ip&#10;GqheQtJjFu+V1rn92rK+5leLcpETLjxGRZpOrUzNV9O0xnlJJD/aJidHUHo80wPanlgnoiPlOGwH&#10;CkxSbLE5En+P4xTSr6FDh/4XZz1NYM3Dzz14yZn+bElDYjxPI5uN+eJ9SYa/9GwvPWAFQdU8cjYe&#10;b2Me85HrDWndqizDayWnWmmysjqnX5BG99LOUa9/dfMbAAD//wMAUEsDBBQABgAIAAAAIQC0Tal3&#10;3AAAAAkBAAAPAAAAZHJzL2Rvd25yZXYueG1sTI9BT8MwDIXvSPyHyEjcNgdY0VaaTgjEFcSASdyy&#10;xmsrGqdqsrX8e7wTu9l+T8/fK9aT79SRhtgGNnAz16CIq+Barg18frzMlqBisuxsF5gM/FKEdXl5&#10;UdjchZHf6bhJtZIQjrk10KTU54ixasjbOA89sWj7MHibZB1qdIMdJdx3eKv1PXrbsnxobE9PDVU/&#10;m4M38PW6/94u9Fv97LN+DJNG9is05vpqenwAlWhK/2Y44Qs6lMK0Cwd2UXUGZpmWLuk0ZKDEsNAr&#10;OewM3OkMsCzwvEH5BwAA//8DAFBLAQItABQABgAIAAAAIQC2gziS/gAAAOEBAAATAAAAAAAAAAAA&#10;AAAAAAAAAABbQ29udGVudF9UeXBlc10ueG1sUEsBAi0AFAAGAAgAAAAhADj9If/WAAAAlAEAAAsA&#10;AAAAAAAAAAAAAAAALwEAAF9yZWxzLy5yZWxzUEsBAi0AFAAGAAgAAAAhADUPnUYIAgAA8wMAAA4A&#10;AAAAAAAAAAAAAAAALgIAAGRycy9lMm9Eb2MueG1sUEsBAi0AFAAGAAgAAAAhALRNqXfcAAAACQEA&#10;AA8AAAAAAAAAAAAAAAAAYgQAAGRycy9kb3ducmV2LnhtbFBLBQYAAAAABAAEAPMAAABrBQAAAAA=&#10;" filled="f" stroked="f">
              <v:textbox>
                <w:txbxContent>
                  <w:p w:rsidR="003746B1" w:rsidRPr="00A445A6" w:rsidRDefault="003746B1" w:rsidP="006602BB">
                    <w:pPr>
                      <w:rPr>
                        <w:rFonts w:asciiTheme="minorHAnsi" w:hAnsiTheme="minorHAnsi" w:cstheme="minorHAnsi"/>
                      </w:rPr>
                    </w:pPr>
                  </w:p>
                </w:txbxContent>
              </v:textbox>
            </v:shape>
          </w:pict>
        </mc:Fallback>
      </mc:AlternateContent>
    </w:r>
    <w:r>
      <w:rPr>
        <w:rFonts w:ascii="Calibri" w:hAnsi="Calibri" w:cs="Calibri"/>
        <w:b/>
        <w:color w:val="002060"/>
        <w:szCs w:val="24"/>
      </w:rPr>
      <w:tab/>
    </w:r>
    <w:r>
      <w:rPr>
        <w:rFonts w:ascii="Calibri" w:hAnsi="Calibri" w:cs="Calibri"/>
        <w:b/>
        <w:color w:val="002060"/>
        <w:szCs w:val="24"/>
      </w:rPr>
      <w:tab/>
    </w:r>
    <w:r w:rsidRPr="00A71011">
      <w:rPr>
        <w:rFonts w:ascii="Calibri" w:hAnsi="Calibri" w:cs="Calibri"/>
        <w:b/>
        <w:color w:val="4F8F99"/>
        <w:szCs w:val="24"/>
      </w:rPr>
      <w:tab/>
    </w:r>
  </w:p>
  <w:p w:rsidR="003746B1" w:rsidRPr="00AE64AF" w:rsidRDefault="003746B1" w:rsidP="00032BE7">
    <w:pPr>
      <w:pStyle w:val="Body"/>
      <w:tabs>
        <w:tab w:val="left" w:pos="6715"/>
      </w:tabs>
      <w:jc w:val="both"/>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7D" w:rsidRDefault="005C2E7D" w:rsidP="00173D5C">
      <w:pPr>
        <w:spacing w:after="0" w:line="240" w:lineRule="auto"/>
      </w:pPr>
      <w:r>
        <w:separator/>
      </w:r>
    </w:p>
  </w:footnote>
  <w:footnote w:type="continuationSeparator" w:id="0">
    <w:p w:rsidR="005C2E7D" w:rsidRDefault="005C2E7D" w:rsidP="00173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3746B1" w:rsidRPr="005E04E9" w:rsidRDefault="003746B1">
        <w:pPr>
          <w:pStyle w:val="Header"/>
          <w:pBdr>
            <w:between w:val="single" w:sz="4" w:space="1" w:color="4F81BD" w:themeColor="accent1"/>
          </w:pBdr>
          <w:spacing w:line="276" w:lineRule="auto"/>
          <w:jc w:val="center"/>
          <w:rPr>
            <w:rFonts w:ascii="Cambria" w:hAnsi="Cambria"/>
          </w:rPr>
        </w:pPr>
        <w:r>
          <w:rPr>
            <w:rFonts w:ascii="Cambria" w:hAnsi="Cambria"/>
          </w:rPr>
          <w:t>Ear, Nose and Throat Specification</w:t>
        </w:r>
      </w:p>
    </w:sdtContent>
  </w:sdt>
  <w:sdt>
    <w:sdtPr>
      <w:rPr>
        <w:rFonts w:ascii="Cambria" w:hAnsi="Cambria"/>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3746B1" w:rsidRPr="005E04E9" w:rsidRDefault="003746B1">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rsidR="003746B1" w:rsidRDefault="00374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B1" w:rsidRPr="00F32A08" w:rsidRDefault="00526E5D" w:rsidP="00F32A08">
    <w:pPr>
      <w:pStyle w:val="Body"/>
      <w:spacing w:after="40"/>
      <w:rPr>
        <w:sz w:val="18"/>
        <w:szCs w:val="18"/>
      </w:rPr>
    </w:pPr>
    <w:sdt>
      <w:sdtPr>
        <w:rPr>
          <w:sz w:val="18"/>
          <w:szCs w:val="18"/>
        </w:rPr>
        <w:id w:val="-573976971"/>
        <w:docPartObj>
          <w:docPartGallery w:val="Watermarks"/>
          <w:docPartUnique/>
        </w:docPartObj>
      </w:sdtPr>
      <w:sdtEndPr/>
      <w:sdtContent>
        <w:r>
          <w:rPr>
            <w:noProof/>
            <w:sz w:val="18"/>
            <w:szCs w:val="18"/>
            <w:lang w:val="en-US" w:eastAsia="zh-TW"/>
          </w:rPr>
          <w:pict w14:anchorId="402C3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sz w:val="18"/>
          <w:szCs w:val="18"/>
        </w:rPr>
        <w:alias w:val="Title"/>
        <w:id w:val="575411455"/>
        <w:dataBinding w:prefixMappings="xmlns:ns0='http://schemas.openxmlformats.org/package/2006/metadata/core-properties' xmlns:ns1='http://purl.org/dc/elements/1.1/'" w:xpath="/ns0:coreProperties[1]/ns1:title[1]" w:storeItemID="{6C3C8BC8-F283-45AE-878A-BAB7291924A1}"/>
        <w:text/>
      </w:sdtPr>
      <w:sdtEndPr/>
      <w:sdtContent>
        <w:r w:rsidR="003746B1">
          <w:rPr>
            <w:sz w:val="18"/>
            <w:szCs w:val="18"/>
          </w:rPr>
          <w:t>Ear, Nose and Throat Specification</w:t>
        </w:r>
      </w:sdtContent>
    </w:sdt>
  </w:p>
  <w:p w:rsidR="003746B1" w:rsidRDefault="003746B1" w:rsidP="00185E76">
    <w:pPr>
      <w:pStyle w:val="Header"/>
    </w:pPr>
    <w:r>
      <w:rPr>
        <w:noProof/>
        <w:lang w:eastAsia="en-GB"/>
      </w:rPr>
      <mc:AlternateContent>
        <mc:Choice Requires="wps">
          <w:drawing>
            <wp:inline distT="0" distB="0" distL="0" distR="0" wp14:anchorId="3D95EF2B" wp14:editId="13CE32CE">
              <wp:extent cx="6223000" cy="0"/>
              <wp:effectExtent l="0" t="0" r="25400" b="25400"/>
              <wp:docPr id="11" name="Straight Connector 11"/>
              <wp:cNvGraphicFramePr/>
              <a:graphic xmlns:a="http://schemas.openxmlformats.org/drawingml/2006/main">
                <a:graphicData uri="http://schemas.microsoft.com/office/word/2010/wordprocessingShape">
                  <wps:wsp>
                    <wps:cNvCnPr/>
                    <wps:spPr>
                      <a:xfrm>
                        <a:off x="0" y="0"/>
                        <a:ext cx="6223000" cy="0"/>
                      </a:xfrm>
                      <a:prstGeom prst="line">
                        <a:avLst/>
                      </a:prstGeom>
                      <a:ln w="6350">
                        <a:solidFill>
                          <a:schemeClr val="tx1">
                            <a:lumMod val="85000"/>
                            <a:lumOff val="1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9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xT+gEAAFcEAAAOAAAAZHJzL2Uyb0RvYy54bWysVMtuGyEU3VfqPyD29TyiRNHI4ywcpZs+&#10;rKb5AMKABwm4CIjH/vteYDx2H+qi6gbDfZ5z7h2vH45Gk4PwQYHtabOqKRGWw6Dsvqcv358+3FMS&#10;IrMD02BFT08i0IfN+3fryXWihRH0IDzBIjZ0k+vpGKPrqirwURgWVuCERacEb1jEp99Xg2cTVje6&#10;auv6rprAD84DFyGg9bE46SbXl1Lw+FXKICLRPUVsMZ8+n6/prDZr1u09c6PiMwz2DygMUxabLqUe&#10;WWTkzavfShnFPQSQccXBVCCl4iJzQDZN/Qub55E5kbmgOMEtMoX/V5Z/Oew8UQPOrqHEMoMzeo6e&#10;qf0YyRasRQXBE3SiUpMLHSZs7c7Pr+B2PtE+Sm/SLxIix6zuaVFXHCPhaLxr25u6xiHws6+6JDof&#10;4kcBhqRLT7WyiTjr2OFTiNgMQ88hyawtmbDizW2dowJoNTwprZMv747Yak8ODKcej02O0W/mMwzF&#10;dn+bgOTZoxk3pJibsxm7LVVy76sG6NM29RF5vWZ4SZoiRr7FkxYF5zchUV6k3xakabEv4BjnwsYs&#10;bq6L0SlNIpUlcab4t8Q5/oJqSS7cFzKF589dC49zZ7BxSTbKgv8T7KRpGYos8SjSFe90fYXhlNck&#10;O3B7s47zl5Y+j+t3Tr/8H2x+AAAA//8DAFBLAwQUAAYACAAAACEAvC+hVtgAAAACAQAADwAAAGRy&#10;cy9kb3ducmV2LnhtbEyPwUrDQBCG74LvsIzgpdiNiqWN2RSpCFKkYCz0Os2OSTA7G7KbJr69Uy96&#10;Gfj4h3++ydaTa9WJ+tB4NnA7T0ARl942XBnYf7zcLEGFiGyx9UwGvinAOr+8yDC1fuR3OhWxUlLC&#10;IUUDdYxdqnUoa3IY5r4jluzT9w6jYF9p2+Mo5a7Vd0my0A4blgs1drSpqfwqBmdgusfFarud9Ztd&#10;caDn8W14eC1nxlxfTU+PoCJN8W8ZzvqiDrk4Hf3ANqjWgDwSf6dkq2UieDyjzjP9Xz3/AQAA//8D&#10;AFBLAQItABQABgAIAAAAIQC2gziS/gAAAOEBAAATAAAAAAAAAAAAAAAAAAAAAABbQ29udGVudF9U&#10;eXBlc10ueG1sUEsBAi0AFAAGAAgAAAAhADj9If/WAAAAlAEAAAsAAAAAAAAAAAAAAAAALwEAAF9y&#10;ZWxzLy5yZWxzUEsBAi0AFAAGAAgAAAAhAO2+XFP6AQAAVwQAAA4AAAAAAAAAAAAAAAAALgIAAGRy&#10;cy9lMm9Eb2MueG1sUEsBAi0AFAAGAAgAAAAhALwvoVbYAAAAAgEAAA8AAAAAAAAAAAAAAAAAVAQA&#10;AGRycy9kb3ducmV2LnhtbFBLBQYAAAAABAAEAPMAAABZBQAAAAA=&#10;" strokecolor="#272727 [2749]" strokeweight=".5pt">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B1" w:rsidRDefault="003746B1" w:rsidP="00E25A48">
    <w:pPr>
      <w:pStyle w:val="Header"/>
      <w:jc w:val="center"/>
    </w:pPr>
  </w:p>
  <w:p w:rsidR="003746B1" w:rsidRDefault="003746B1" w:rsidP="00FB3FEE">
    <w:pPr>
      <w:pStyle w:val="Header"/>
      <w:jc w:val="right"/>
    </w:pPr>
  </w:p>
  <w:p w:rsidR="003746B1" w:rsidRDefault="003746B1" w:rsidP="00A71011">
    <w:pPr>
      <w:pStyle w:val="Header"/>
      <w:jc w:val="right"/>
    </w:pPr>
  </w:p>
  <w:tbl>
    <w:tblPr>
      <w:tblStyle w:val="TableGrid"/>
      <w:tblpPr w:leftFromText="180" w:rightFromText="180" w:vertAnchor="text" w:horzAnchor="page" w:tblpX="2241" w:tblpY="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126"/>
    </w:tblGrid>
    <w:tr w:rsidR="003746B1" w:rsidRPr="006A22EB" w:rsidTr="00A71011">
      <w:tc>
        <w:tcPr>
          <w:tcW w:w="4621" w:type="dxa"/>
        </w:tcPr>
        <w:p w:rsidR="003746B1" w:rsidRDefault="003746B1" w:rsidP="00A71011"/>
      </w:tc>
      <w:tc>
        <w:tcPr>
          <w:tcW w:w="5126" w:type="dxa"/>
        </w:tcPr>
        <w:p w:rsidR="003746B1" w:rsidRDefault="003746B1" w:rsidP="00A71011"/>
      </w:tc>
    </w:tr>
  </w:tbl>
  <w:p w:rsidR="003746B1" w:rsidRPr="006A22EB" w:rsidRDefault="003746B1" w:rsidP="00A71011">
    <w:pPr>
      <w:pStyle w:val="Header"/>
      <w:rPr>
        <w:color w:val="808080" w:themeColor="background1" w:themeShade="80"/>
      </w:rPr>
    </w:pPr>
    <w:r w:rsidRPr="006A22EB">
      <w:rPr>
        <w:color w:val="808080" w:themeColor="background1" w:themeShade="80"/>
      </w:rPr>
      <w:t xml:space="preserve">         </w:t>
    </w:r>
  </w:p>
  <w:p w:rsidR="003746B1" w:rsidRDefault="00374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D47"/>
    <w:multiLevelType w:val="hybridMultilevel"/>
    <w:tmpl w:val="15A4A134"/>
    <w:lvl w:ilvl="0" w:tplc="8FA8BE5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C062BA"/>
    <w:multiLevelType w:val="hybridMultilevel"/>
    <w:tmpl w:val="A8263988"/>
    <w:lvl w:ilvl="0" w:tplc="8B42E9F8">
      <w:numFmt w:val="bullet"/>
      <w:lvlText w:val="•"/>
      <w:lvlJc w:val="left"/>
      <w:pPr>
        <w:ind w:left="360" w:hanging="360"/>
      </w:pPr>
      <w:rPr>
        <w:rFonts w:ascii="Arial" w:eastAsia="Times New Roman" w:hAnsi="Arial" w:cs="Aria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7B6182"/>
    <w:multiLevelType w:val="hybridMultilevel"/>
    <w:tmpl w:val="1510755C"/>
    <w:lvl w:ilvl="0" w:tplc="2A08ED60">
      <w:start w:val="1"/>
      <w:numFmt w:val="bullet"/>
      <w:lvlText w:val=""/>
      <w:lvlJc w:val="left"/>
      <w:pPr>
        <w:tabs>
          <w:tab w:val="num" w:pos="-320"/>
        </w:tabs>
        <w:ind w:left="-320" w:hanging="360"/>
      </w:pPr>
      <w:rPr>
        <w:rFonts w:ascii="Symbol" w:hAnsi="Symbol" w:hint="default"/>
        <w:color w:val="0070C0"/>
      </w:rPr>
    </w:lvl>
    <w:lvl w:ilvl="1" w:tplc="8FA8BE50">
      <w:start w:val="1"/>
      <w:numFmt w:val="bullet"/>
      <w:lvlText w:val=""/>
      <w:lvlJc w:val="left"/>
      <w:pPr>
        <w:tabs>
          <w:tab w:val="num" w:pos="400"/>
        </w:tabs>
        <w:ind w:left="400" w:hanging="360"/>
      </w:pPr>
      <w:rPr>
        <w:rFonts w:ascii="Symbol" w:hAnsi="Symbol" w:hint="default"/>
        <w:color w:val="0070C0"/>
      </w:rPr>
    </w:lvl>
    <w:lvl w:ilvl="2" w:tplc="08090005">
      <w:start w:val="1"/>
      <w:numFmt w:val="bullet"/>
      <w:lvlText w:val=""/>
      <w:lvlJc w:val="left"/>
      <w:pPr>
        <w:tabs>
          <w:tab w:val="num" w:pos="1120"/>
        </w:tabs>
        <w:ind w:left="1120" w:hanging="360"/>
      </w:pPr>
      <w:rPr>
        <w:rFonts w:ascii="Wingdings" w:hAnsi="Wingdings" w:hint="default"/>
      </w:rPr>
    </w:lvl>
    <w:lvl w:ilvl="3" w:tplc="08090001" w:tentative="1">
      <w:start w:val="1"/>
      <w:numFmt w:val="bullet"/>
      <w:lvlText w:val=""/>
      <w:lvlJc w:val="left"/>
      <w:pPr>
        <w:tabs>
          <w:tab w:val="num" w:pos="1840"/>
        </w:tabs>
        <w:ind w:left="1840" w:hanging="360"/>
      </w:pPr>
      <w:rPr>
        <w:rFonts w:ascii="Symbol" w:hAnsi="Symbol" w:hint="default"/>
      </w:rPr>
    </w:lvl>
    <w:lvl w:ilvl="4" w:tplc="08090003" w:tentative="1">
      <w:start w:val="1"/>
      <w:numFmt w:val="bullet"/>
      <w:lvlText w:val="o"/>
      <w:lvlJc w:val="left"/>
      <w:pPr>
        <w:tabs>
          <w:tab w:val="num" w:pos="2560"/>
        </w:tabs>
        <w:ind w:left="2560" w:hanging="360"/>
      </w:pPr>
      <w:rPr>
        <w:rFonts w:ascii="Courier New" w:hAnsi="Courier New" w:hint="default"/>
      </w:rPr>
    </w:lvl>
    <w:lvl w:ilvl="5" w:tplc="08090005" w:tentative="1">
      <w:start w:val="1"/>
      <w:numFmt w:val="bullet"/>
      <w:lvlText w:val=""/>
      <w:lvlJc w:val="left"/>
      <w:pPr>
        <w:tabs>
          <w:tab w:val="num" w:pos="3280"/>
        </w:tabs>
        <w:ind w:left="3280" w:hanging="360"/>
      </w:pPr>
      <w:rPr>
        <w:rFonts w:ascii="Wingdings" w:hAnsi="Wingdings" w:hint="default"/>
      </w:rPr>
    </w:lvl>
    <w:lvl w:ilvl="6" w:tplc="08090001" w:tentative="1">
      <w:start w:val="1"/>
      <w:numFmt w:val="bullet"/>
      <w:lvlText w:val=""/>
      <w:lvlJc w:val="left"/>
      <w:pPr>
        <w:tabs>
          <w:tab w:val="num" w:pos="4000"/>
        </w:tabs>
        <w:ind w:left="4000" w:hanging="360"/>
      </w:pPr>
      <w:rPr>
        <w:rFonts w:ascii="Symbol" w:hAnsi="Symbol" w:hint="default"/>
      </w:rPr>
    </w:lvl>
    <w:lvl w:ilvl="7" w:tplc="08090003" w:tentative="1">
      <w:start w:val="1"/>
      <w:numFmt w:val="bullet"/>
      <w:lvlText w:val="o"/>
      <w:lvlJc w:val="left"/>
      <w:pPr>
        <w:tabs>
          <w:tab w:val="num" w:pos="4720"/>
        </w:tabs>
        <w:ind w:left="4720" w:hanging="360"/>
      </w:pPr>
      <w:rPr>
        <w:rFonts w:ascii="Courier New" w:hAnsi="Courier New" w:hint="default"/>
      </w:rPr>
    </w:lvl>
    <w:lvl w:ilvl="8" w:tplc="08090005" w:tentative="1">
      <w:start w:val="1"/>
      <w:numFmt w:val="bullet"/>
      <w:lvlText w:val=""/>
      <w:lvlJc w:val="left"/>
      <w:pPr>
        <w:tabs>
          <w:tab w:val="num" w:pos="5440"/>
        </w:tabs>
        <w:ind w:left="5440" w:hanging="360"/>
      </w:pPr>
      <w:rPr>
        <w:rFonts w:ascii="Wingdings" w:hAnsi="Wingdings" w:hint="default"/>
      </w:rPr>
    </w:lvl>
  </w:abstractNum>
  <w:abstractNum w:abstractNumId="3">
    <w:nsid w:val="12CF371F"/>
    <w:multiLevelType w:val="hybridMultilevel"/>
    <w:tmpl w:val="E23EEA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309630D"/>
    <w:multiLevelType w:val="hybridMultilevel"/>
    <w:tmpl w:val="7062DD0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1612591C"/>
    <w:multiLevelType w:val="hybridMultilevel"/>
    <w:tmpl w:val="A670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1C4FA8"/>
    <w:multiLevelType w:val="hybridMultilevel"/>
    <w:tmpl w:val="663A18EA"/>
    <w:lvl w:ilvl="0" w:tplc="4F4C99D6">
      <w:start w:val="1"/>
      <w:numFmt w:val="bullet"/>
      <w:lvlText w:val=""/>
      <w:lvlJc w:val="left"/>
      <w:pPr>
        <w:tabs>
          <w:tab w:val="num" w:pos="719"/>
        </w:tabs>
        <w:ind w:left="719" w:hanging="360"/>
      </w:pPr>
      <w:rPr>
        <w:rFonts w:ascii="Symbol" w:hAnsi="Symbol" w:hint="default"/>
        <w:color w:val="0070C0"/>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7">
    <w:nsid w:val="1A376996"/>
    <w:multiLevelType w:val="hybridMultilevel"/>
    <w:tmpl w:val="B3EE3606"/>
    <w:lvl w:ilvl="0" w:tplc="029422E4">
      <w:start w:val="1"/>
      <w:numFmt w:val="bullet"/>
      <w:lvlText w:val=""/>
      <w:lvlJc w:val="left"/>
      <w:pPr>
        <w:tabs>
          <w:tab w:val="num" w:pos="1077"/>
        </w:tabs>
        <w:ind w:left="1077" w:hanging="360"/>
      </w:pPr>
      <w:rPr>
        <w:rFonts w:ascii="Symbol" w:hAnsi="Symbol" w:hint="default"/>
        <w:color w:val="0070C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AC07218"/>
    <w:multiLevelType w:val="hybridMultilevel"/>
    <w:tmpl w:val="A06A86DE"/>
    <w:lvl w:ilvl="0" w:tplc="8FA8BE5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0523DC"/>
    <w:multiLevelType w:val="hybridMultilevel"/>
    <w:tmpl w:val="37147C38"/>
    <w:lvl w:ilvl="0" w:tplc="CF044692">
      <w:start w:val="1"/>
      <w:numFmt w:val="bullet"/>
      <w:lvlText w:val=""/>
      <w:lvlJc w:val="left"/>
      <w:pPr>
        <w:tabs>
          <w:tab w:val="num" w:pos="720"/>
        </w:tabs>
        <w:ind w:left="720" w:hanging="360"/>
      </w:pPr>
      <w:rPr>
        <w:rFonts w:ascii="Symbol" w:hAnsi="Symbol" w:hint="default"/>
        <w:color w:val="0070C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9151BF"/>
    <w:multiLevelType w:val="hybridMultilevel"/>
    <w:tmpl w:val="24DEAD2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51710A5"/>
    <w:multiLevelType w:val="hybridMultilevel"/>
    <w:tmpl w:val="85C66A52"/>
    <w:lvl w:ilvl="0" w:tplc="8FA8BE50">
      <w:start w:val="1"/>
      <w:numFmt w:val="bullet"/>
      <w:lvlText w:val=""/>
      <w:lvlJc w:val="left"/>
      <w:pPr>
        <w:ind w:left="40" w:hanging="360"/>
      </w:pPr>
      <w:rPr>
        <w:rFonts w:ascii="Symbol" w:hAnsi="Symbol" w:hint="default"/>
        <w:color w:val="0070C0"/>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2">
    <w:nsid w:val="253217EC"/>
    <w:multiLevelType w:val="hybridMultilevel"/>
    <w:tmpl w:val="EF9A8E30"/>
    <w:lvl w:ilvl="0" w:tplc="7FEAAC74">
      <w:start w:val="3"/>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43511"/>
    <w:multiLevelType w:val="hybridMultilevel"/>
    <w:tmpl w:val="18BA0B8A"/>
    <w:lvl w:ilvl="0" w:tplc="1CB6BE4E">
      <w:start w:val="1"/>
      <w:numFmt w:val="bullet"/>
      <w:lvlText w:val=""/>
      <w:lvlJc w:val="left"/>
      <w:pPr>
        <w:tabs>
          <w:tab w:val="num" w:pos="1786"/>
        </w:tabs>
        <w:ind w:left="1786" w:hanging="360"/>
      </w:pPr>
      <w:rPr>
        <w:rFonts w:ascii="Symbol" w:hAnsi="Symbol" w:hint="default"/>
        <w:color w:val="0070C0"/>
      </w:rPr>
    </w:lvl>
    <w:lvl w:ilvl="1" w:tplc="08090003" w:tentative="1">
      <w:start w:val="1"/>
      <w:numFmt w:val="bullet"/>
      <w:lvlText w:val="o"/>
      <w:lvlJc w:val="left"/>
      <w:pPr>
        <w:tabs>
          <w:tab w:val="num" w:pos="2506"/>
        </w:tabs>
        <w:ind w:left="2506" w:hanging="360"/>
      </w:pPr>
      <w:rPr>
        <w:rFonts w:ascii="Courier New" w:hAnsi="Courier New" w:cs="Courier New" w:hint="default"/>
      </w:rPr>
    </w:lvl>
    <w:lvl w:ilvl="2" w:tplc="08090005" w:tentative="1">
      <w:start w:val="1"/>
      <w:numFmt w:val="bullet"/>
      <w:lvlText w:val=""/>
      <w:lvlJc w:val="left"/>
      <w:pPr>
        <w:tabs>
          <w:tab w:val="num" w:pos="3226"/>
        </w:tabs>
        <w:ind w:left="3226" w:hanging="360"/>
      </w:pPr>
      <w:rPr>
        <w:rFonts w:ascii="Wingdings" w:hAnsi="Wingdings" w:hint="default"/>
      </w:rPr>
    </w:lvl>
    <w:lvl w:ilvl="3" w:tplc="08090001" w:tentative="1">
      <w:start w:val="1"/>
      <w:numFmt w:val="bullet"/>
      <w:lvlText w:val=""/>
      <w:lvlJc w:val="left"/>
      <w:pPr>
        <w:tabs>
          <w:tab w:val="num" w:pos="3946"/>
        </w:tabs>
        <w:ind w:left="3946" w:hanging="360"/>
      </w:pPr>
      <w:rPr>
        <w:rFonts w:ascii="Symbol" w:hAnsi="Symbol" w:hint="default"/>
      </w:rPr>
    </w:lvl>
    <w:lvl w:ilvl="4" w:tplc="08090003" w:tentative="1">
      <w:start w:val="1"/>
      <w:numFmt w:val="bullet"/>
      <w:lvlText w:val="o"/>
      <w:lvlJc w:val="left"/>
      <w:pPr>
        <w:tabs>
          <w:tab w:val="num" w:pos="4666"/>
        </w:tabs>
        <w:ind w:left="4666" w:hanging="360"/>
      </w:pPr>
      <w:rPr>
        <w:rFonts w:ascii="Courier New" w:hAnsi="Courier New" w:cs="Courier New" w:hint="default"/>
      </w:rPr>
    </w:lvl>
    <w:lvl w:ilvl="5" w:tplc="08090005" w:tentative="1">
      <w:start w:val="1"/>
      <w:numFmt w:val="bullet"/>
      <w:lvlText w:val=""/>
      <w:lvlJc w:val="left"/>
      <w:pPr>
        <w:tabs>
          <w:tab w:val="num" w:pos="5386"/>
        </w:tabs>
        <w:ind w:left="5386" w:hanging="360"/>
      </w:pPr>
      <w:rPr>
        <w:rFonts w:ascii="Wingdings" w:hAnsi="Wingdings" w:hint="default"/>
      </w:rPr>
    </w:lvl>
    <w:lvl w:ilvl="6" w:tplc="08090001" w:tentative="1">
      <w:start w:val="1"/>
      <w:numFmt w:val="bullet"/>
      <w:lvlText w:val=""/>
      <w:lvlJc w:val="left"/>
      <w:pPr>
        <w:tabs>
          <w:tab w:val="num" w:pos="6106"/>
        </w:tabs>
        <w:ind w:left="6106" w:hanging="360"/>
      </w:pPr>
      <w:rPr>
        <w:rFonts w:ascii="Symbol" w:hAnsi="Symbol" w:hint="default"/>
      </w:rPr>
    </w:lvl>
    <w:lvl w:ilvl="7" w:tplc="08090003" w:tentative="1">
      <w:start w:val="1"/>
      <w:numFmt w:val="bullet"/>
      <w:lvlText w:val="o"/>
      <w:lvlJc w:val="left"/>
      <w:pPr>
        <w:tabs>
          <w:tab w:val="num" w:pos="6826"/>
        </w:tabs>
        <w:ind w:left="6826" w:hanging="360"/>
      </w:pPr>
      <w:rPr>
        <w:rFonts w:ascii="Courier New" w:hAnsi="Courier New" w:cs="Courier New" w:hint="default"/>
      </w:rPr>
    </w:lvl>
    <w:lvl w:ilvl="8" w:tplc="08090005" w:tentative="1">
      <w:start w:val="1"/>
      <w:numFmt w:val="bullet"/>
      <w:lvlText w:val=""/>
      <w:lvlJc w:val="left"/>
      <w:pPr>
        <w:tabs>
          <w:tab w:val="num" w:pos="7546"/>
        </w:tabs>
        <w:ind w:left="7546" w:hanging="360"/>
      </w:pPr>
      <w:rPr>
        <w:rFonts w:ascii="Wingdings" w:hAnsi="Wingdings" w:hint="default"/>
      </w:rPr>
    </w:lvl>
  </w:abstractNum>
  <w:abstractNum w:abstractNumId="14">
    <w:nsid w:val="280A4323"/>
    <w:multiLevelType w:val="hybridMultilevel"/>
    <w:tmpl w:val="CBFE4A54"/>
    <w:lvl w:ilvl="0" w:tplc="8FA8BE50">
      <w:start w:val="1"/>
      <w:numFmt w:val="bullet"/>
      <w:lvlText w:val=""/>
      <w:lvlJc w:val="left"/>
      <w:pPr>
        <w:tabs>
          <w:tab w:val="num" w:pos="423"/>
        </w:tabs>
        <w:ind w:left="423" w:hanging="363"/>
      </w:pPr>
      <w:rPr>
        <w:rFonts w:ascii="Symbol" w:hAnsi="Symbol" w:hint="default"/>
        <w:color w:val="0070C0"/>
      </w:rPr>
    </w:lvl>
    <w:lvl w:ilvl="1" w:tplc="08090019">
      <w:start w:val="1"/>
      <w:numFmt w:val="lowerLetter"/>
      <w:lvlText w:val="%2."/>
      <w:lvlJc w:val="left"/>
      <w:pPr>
        <w:tabs>
          <w:tab w:val="num" w:pos="2283"/>
        </w:tabs>
        <w:ind w:left="2283" w:hanging="360"/>
      </w:pPr>
    </w:lvl>
    <w:lvl w:ilvl="2" w:tplc="0809001B" w:tentative="1">
      <w:start w:val="1"/>
      <w:numFmt w:val="lowerRoman"/>
      <w:lvlText w:val="%3."/>
      <w:lvlJc w:val="right"/>
      <w:pPr>
        <w:tabs>
          <w:tab w:val="num" w:pos="3003"/>
        </w:tabs>
        <w:ind w:left="3003" w:hanging="180"/>
      </w:pPr>
    </w:lvl>
    <w:lvl w:ilvl="3" w:tplc="0809000F" w:tentative="1">
      <w:start w:val="1"/>
      <w:numFmt w:val="decimal"/>
      <w:lvlText w:val="%4."/>
      <w:lvlJc w:val="left"/>
      <w:pPr>
        <w:tabs>
          <w:tab w:val="num" w:pos="3723"/>
        </w:tabs>
        <w:ind w:left="3723" w:hanging="360"/>
      </w:pPr>
    </w:lvl>
    <w:lvl w:ilvl="4" w:tplc="08090019" w:tentative="1">
      <w:start w:val="1"/>
      <w:numFmt w:val="lowerLetter"/>
      <w:lvlText w:val="%5."/>
      <w:lvlJc w:val="left"/>
      <w:pPr>
        <w:tabs>
          <w:tab w:val="num" w:pos="4443"/>
        </w:tabs>
        <w:ind w:left="4443" w:hanging="360"/>
      </w:pPr>
    </w:lvl>
    <w:lvl w:ilvl="5" w:tplc="0809001B" w:tentative="1">
      <w:start w:val="1"/>
      <w:numFmt w:val="lowerRoman"/>
      <w:lvlText w:val="%6."/>
      <w:lvlJc w:val="right"/>
      <w:pPr>
        <w:tabs>
          <w:tab w:val="num" w:pos="5163"/>
        </w:tabs>
        <w:ind w:left="5163" w:hanging="180"/>
      </w:pPr>
    </w:lvl>
    <w:lvl w:ilvl="6" w:tplc="0809000F" w:tentative="1">
      <w:start w:val="1"/>
      <w:numFmt w:val="decimal"/>
      <w:lvlText w:val="%7."/>
      <w:lvlJc w:val="left"/>
      <w:pPr>
        <w:tabs>
          <w:tab w:val="num" w:pos="5883"/>
        </w:tabs>
        <w:ind w:left="5883" w:hanging="360"/>
      </w:pPr>
    </w:lvl>
    <w:lvl w:ilvl="7" w:tplc="08090019" w:tentative="1">
      <w:start w:val="1"/>
      <w:numFmt w:val="lowerLetter"/>
      <w:lvlText w:val="%8."/>
      <w:lvlJc w:val="left"/>
      <w:pPr>
        <w:tabs>
          <w:tab w:val="num" w:pos="6603"/>
        </w:tabs>
        <w:ind w:left="6603" w:hanging="360"/>
      </w:pPr>
    </w:lvl>
    <w:lvl w:ilvl="8" w:tplc="0809001B" w:tentative="1">
      <w:start w:val="1"/>
      <w:numFmt w:val="lowerRoman"/>
      <w:lvlText w:val="%9."/>
      <w:lvlJc w:val="right"/>
      <w:pPr>
        <w:tabs>
          <w:tab w:val="num" w:pos="7323"/>
        </w:tabs>
        <w:ind w:left="7323" w:hanging="180"/>
      </w:pPr>
    </w:lvl>
  </w:abstractNum>
  <w:abstractNum w:abstractNumId="15">
    <w:nsid w:val="2B5F243D"/>
    <w:multiLevelType w:val="hybridMultilevel"/>
    <w:tmpl w:val="F0E2A642"/>
    <w:lvl w:ilvl="0" w:tplc="AEA0C36E">
      <w:start w:val="1"/>
      <w:numFmt w:val="bullet"/>
      <w:pStyle w:val="Bullets"/>
      <w:lvlText w:val=""/>
      <w:lvlJc w:val="left"/>
      <w:pPr>
        <w:ind w:left="720" w:hanging="360"/>
      </w:pPr>
      <w:rPr>
        <w:rFonts w:ascii="Symbol" w:hAnsi="Symbol" w:hint="default"/>
        <w:color w:val="9A1B7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135B71"/>
    <w:multiLevelType w:val="hybridMultilevel"/>
    <w:tmpl w:val="152A6BCE"/>
    <w:lvl w:ilvl="0" w:tplc="4EF8E4D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40331E"/>
    <w:multiLevelType w:val="hybridMultilevel"/>
    <w:tmpl w:val="7CE8583A"/>
    <w:lvl w:ilvl="0" w:tplc="25DA652A">
      <w:start w:val="1"/>
      <w:numFmt w:val="bullet"/>
      <w:lvlText w:val=""/>
      <w:lvlJc w:val="left"/>
      <w:pPr>
        <w:tabs>
          <w:tab w:val="num" w:pos="360"/>
        </w:tabs>
        <w:ind w:left="360" w:hanging="360"/>
      </w:pPr>
      <w:rPr>
        <w:rFonts w:ascii="Symbol" w:hAnsi="Symbol" w:hint="default"/>
        <w:color w:val="0070C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1F0116B"/>
    <w:multiLevelType w:val="hybridMultilevel"/>
    <w:tmpl w:val="C46855F6"/>
    <w:lvl w:ilvl="0" w:tplc="4AE6DE72">
      <w:start w:val="1"/>
      <w:numFmt w:val="bullet"/>
      <w:lvlText w:val=""/>
      <w:lvlJc w:val="left"/>
      <w:pPr>
        <w:tabs>
          <w:tab w:val="num" w:pos="1260"/>
        </w:tabs>
        <w:ind w:left="1260" w:hanging="360"/>
      </w:pPr>
      <w:rPr>
        <w:rFonts w:ascii="Symbol" w:hAnsi="Symbol" w:hint="default"/>
        <w:color w:val="0070C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1F82B14"/>
    <w:multiLevelType w:val="hybridMultilevel"/>
    <w:tmpl w:val="D150A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213657"/>
    <w:multiLevelType w:val="hybridMultilevel"/>
    <w:tmpl w:val="AFDC1C6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45263C7"/>
    <w:multiLevelType w:val="hybridMultilevel"/>
    <w:tmpl w:val="1206B6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A94753B"/>
    <w:multiLevelType w:val="hybridMultilevel"/>
    <w:tmpl w:val="5678B19A"/>
    <w:lvl w:ilvl="0" w:tplc="E0000FFA">
      <w:start w:val="4"/>
      <w:numFmt w:val="bullet"/>
      <w:lvlText w:val="-"/>
      <w:lvlJc w:val="left"/>
      <w:pPr>
        <w:ind w:left="1389" w:hanging="360"/>
      </w:pPr>
      <w:rPr>
        <w:rFonts w:ascii="Arial" w:eastAsia="MS Mincho" w:hAnsi="Arial" w:cs="Aria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23">
    <w:nsid w:val="3C4307C9"/>
    <w:multiLevelType w:val="hybridMultilevel"/>
    <w:tmpl w:val="AD9CD42C"/>
    <w:lvl w:ilvl="0" w:tplc="8FA8BE5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C70527D"/>
    <w:multiLevelType w:val="hybridMultilevel"/>
    <w:tmpl w:val="BDD298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2AF6988"/>
    <w:multiLevelType w:val="hybridMultilevel"/>
    <w:tmpl w:val="BF14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2B54B07"/>
    <w:multiLevelType w:val="hybridMultilevel"/>
    <w:tmpl w:val="8B1E98FA"/>
    <w:lvl w:ilvl="0" w:tplc="44EC91C4">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CC1E6B"/>
    <w:multiLevelType w:val="hybridMultilevel"/>
    <w:tmpl w:val="44641C64"/>
    <w:lvl w:ilvl="0" w:tplc="8FA8BE50">
      <w:start w:val="1"/>
      <w:numFmt w:val="bullet"/>
      <w:lvlText w:val=""/>
      <w:lvlJc w:val="left"/>
      <w:pPr>
        <w:tabs>
          <w:tab w:val="num" w:pos="3071"/>
        </w:tabs>
        <w:ind w:left="3071" w:hanging="360"/>
      </w:pPr>
      <w:rPr>
        <w:rFonts w:ascii="Symbol" w:hAnsi="Symbol" w:hint="default"/>
        <w:color w:val="0070C0"/>
      </w:rPr>
    </w:lvl>
    <w:lvl w:ilvl="1" w:tplc="04090001">
      <w:start w:val="1"/>
      <w:numFmt w:val="bullet"/>
      <w:lvlText w:val=""/>
      <w:lvlJc w:val="left"/>
      <w:pPr>
        <w:tabs>
          <w:tab w:val="num" w:pos="3431"/>
        </w:tabs>
        <w:ind w:left="3431" w:hanging="360"/>
      </w:pPr>
      <w:rPr>
        <w:rFonts w:ascii="Symbol" w:hAnsi="Symbol" w:hint="default"/>
      </w:rPr>
    </w:lvl>
    <w:lvl w:ilvl="2" w:tplc="04090005" w:tentative="1">
      <w:start w:val="1"/>
      <w:numFmt w:val="bullet"/>
      <w:lvlText w:val=""/>
      <w:lvlJc w:val="left"/>
      <w:pPr>
        <w:tabs>
          <w:tab w:val="num" w:pos="4151"/>
        </w:tabs>
        <w:ind w:left="4151" w:hanging="360"/>
      </w:pPr>
      <w:rPr>
        <w:rFonts w:ascii="Wingdings" w:hAnsi="Wingdings" w:hint="default"/>
      </w:rPr>
    </w:lvl>
    <w:lvl w:ilvl="3" w:tplc="04090001" w:tentative="1">
      <w:start w:val="1"/>
      <w:numFmt w:val="bullet"/>
      <w:lvlText w:val=""/>
      <w:lvlJc w:val="left"/>
      <w:pPr>
        <w:tabs>
          <w:tab w:val="num" w:pos="4871"/>
        </w:tabs>
        <w:ind w:left="4871" w:hanging="360"/>
      </w:pPr>
      <w:rPr>
        <w:rFonts w:ascii="Symbol" w:hAnsi="Symbol" w:hint="default"/>
      </w:rPr>
    </w:lvl>
    <w:lvl w:ilvl="4" w:tplc="04090003" w:tentative="1">
      <w:start w:val="1"/>
      <w:numFmt w:val="bullet"/>
      <w:lvlText w:val="o"/>
      <w:lvlJc w:val="left"/>
      <w:pPr>
        <w:tabs>
          <w:tab w:val="num" w:pos="5591"/>
        </w:tabs>
        <w:ind w:left="5591" w:hanging="360"/>
      </w:pPr>
      <w:rPr>
        <w:rFonts w:ascii="Courier New" w:hAnsi="Courier New" w:hint="default"/>
      </w:rPr>
    </w:lvl>
    <w:lvl w:ilvl="5" w:tplc="04090005" w:tentative="1">
      <w:start w:val="1"/>
      <w:numFmt w:val="bullet"/>
      <w:lvlText w:val=""/>
      <w:lvlJc w:val="left"/>
      <w:pPr>
        <w:tabs>
          <w:tab w:val="num" w:pos="6311"/>
        </w:tabs>
        <w:ind w:left="6311" w:hanging="360"/>
      </w:pPr>
      <w:rPr>
        <w:rFonts w:ascii="Wingdings" w:hAnsi="Wingdings" w:hint="default"/>
      </w:rPr>
    </w:lvl>
    <w:lvl w:ilvl="6" w:tplc="04090001" w:tentative="1">
      <w:start w:val="1"/>
      <w:numFmt w:val="bullet"/>
      <w:lvlText w:val=""/>
      <w:lvlJc w:val="left"/>
      <w:pPr>
        <w:tabs>
          <w:tab w:val="num" w:pos="7031"/>
        </w:tabs>
        <w:ind w:left="7031" w:hanging="360"/>
      </w:pPr>
      <w:rPr>
        <w:rFonts w:ascii="Symbol" w:hAnsi="Symbol" w:hint="default"/>
      </w:rPr>
    </w:lvl>
    <w:lvl w:ilvl="7" w:tplc="04090003" w:tentative="1">
      <w:start w:val="1"/>
      <w:numFmt w:val="bullet"/>
      <w:lvlText w:val="o"/>
      <w:lvlJc w:val="left"/>
      <w:pPr>
        <w:tabs>
          <w:tab w:val="num" w:pos="7751"/>
        </w:tabs>
        <w:ind w:left="7751" w:hanging="360"/>
      </w:pPr>
      <w:rPr>
        <w:rFonts w:ascii="Courier New" w:hAnsi="Courier New" w:hint="default"/>
      </w:rPr>
    </w:lvl>
    <w:lvl w:ilvl="8" w:tplc="04090005" w:tentative="1">
      <w:start w:val="1"/>
      <w:numFmt w:val="bullet"/>
      <w:lvlText w:val=""/>
      <w:lvlJc w:val="left"/>
      <w:pPr>
        <w:tabs>
          <w:tab w:val="num" w:pos="8471"/>
        </w:tabs>
        <w:ind w:left="8471" w:hanging="360"/>
      </w:pPr>
      <w:rPr>
        <w:rFonts w:ascii="Wingdings" w:hAnsi="Wingdings" w:hint="default"/>
      </w:rPr>
    </w:lvl>
  </w:abstractNum>
  <w:abstractNum w:abstractNumId="28">
    <w:nsid w:val="49FD243A"/>
    <w:multiLevelType w:val="hybridMultilevel"/>
    <w:tmpl w:val="1834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E25288D"/>
    <w:multiLevelType w:val="hybridMultilevel"/>
    <w:tmpl w:val="C1904D5E"/>
    <w:lvl w:ilvl="0" w:tplc="8FA8BE50">
      <w:start w:val="1"/>
      <w:numFmt w:val="bullet"/>
      <w:lvlText w:val=""/>
      <w:lvlJc w:val="left"/>
      <w:pPr>
        <w:tabs>
          <w:tab w:val="num" w:pos="1374"/>
        </w:tabs>
        <w:ind w:left="1374" w:hanging="360"/>
      </w:pPr>
      <w:rPr>
        <w:rFonts w:ascii="Symbol" w:hAnsi="Symbol" w:hint="default"/>
        <w:color w:val="0070C0"/>
      </w:rPr>
    </w:lvl>
    <w:lvl w:ilvl="1" w:tplc="08090003" w:tentative="1">
      <w:start w:val="1"/>
      <w:numFmt w:val="bullet"/>
      <w:lvlText w:val="o"/>
      <w:lvlJc w:val="left"/>
      <w:pPr>
        <w:tabs>
          <w:tab w:val="num" w:pos="2094"/>
        </w:tabs>
        <w:ind w:left="2094" w:hanging="360"/>
      </w:pPr>
      <w:rPr>
        <w:rFonts w:ascii="Courier New" w:hAnsi="Courier New" w:cs="Courier New" w:hint="default"/>
      </w:rPr>
    </w:lvl>
    <w:lvl w:ilvl="2" w:tplc="08090005" w:tentative="1">
      <w:start w:val="1"/>
      <w:numFmt w:val="bullet"/>
      <w:lvlText w:val=""/>
      <w:lvlJc w:val="left"/>
      <w:pPr>
        <w:tabs>
          <w:tab w:val="num" w:pos="2814"/>
        </w:tabs>
        <w:ind w:left="2814" w:hanging="360"/>
      </w:pPr>
      <w:rPr>
        <w:rFonts w:ascii="Wingdings" w:hAnsi="Wingdings" w:hint="default"/>
      </w:rPr>
    </w:lvl>
    <w:lvl w:ilvl="3" w:tplc="08090001" w:tentative="1">
      <w:start w:val="1"/>
      <w:numFmt w:val="bullet"/>
      <w:lvlText w:val=""/>
      <w:lvlJc w:val="left"/>
      <w:pPr>
        <w:tabs>
          <w:tab w:val="num" w:pos="3534"/>
        </w:tabs>
        <w:ind w:left="3534" w:hanging="360"/>
      </w:pPr>
      <w:rPr>
        <w:rFonts w:ascii="Symbol" w:hAnsi="Symbol" w:hint="default"/>
      </w:rPr>
    </w:lvl>
    <w:lvl w:ilvl="4" w:tplc="08090003" w:tentative="1">
      <w:start w:val="1"/>
      <w:numFmt w:val="bullet"/>
      <w:lvlText w:val="o"/>
      <w:lvlJc w:val="left"/>
      <w:pPr>
        <w:tabs>
          <w:tab w:val="num" w:pos="4254"/>
        </w:tabs>
        <w:ind w:left="4254" w:hanging="360"/>
      </w:pPr>
      <w:rPr>
        <w:rFonts w:ascii="Courier New" w:hAnsi="Courier New" w:cs="Courier New" w:hint="default"/>
      </w:rPr>
    </w:lvl>
    <w:lvl w:ilvl="5" w:tplc="08090005" w:tentative="1">
      <w:start w:val="1"/>
      <w:numFmt w:val="bullet"/>
      <w:lvlText w:val=""/>
      <w:lvlJc w:val="left"/>
      <w:pPr>
        <w:tabs>
          <w:tab w:val="num" w:pos="4974"/>
        </w:tabs>
        <w:ind w:left="4974" w:hanging="360"/>
      </w:pPr>
      <w:rPr>
        <w:rFonts w:ascii="Wingdings" w:hAnsi="Wingdings" w:hint="default"/>
      </w:rPr>
    </w:lvl>
    <w:lvl w:ilvl="6" w:tplc="08090001" w:tentative="1">
      <w:start w:val="1"/>
      <w:numFmt w:val="bullet"/>
      <w:lvlText w:val=""/>
      <w:lvlJc w:val="left"/>
      <w:pPr>
        <w:tabs>
          <w:tab w:val="num" w:pos="5694"/>
        </w:tabs>
        <w:ind w:left="5694" w:hanging="360"/>
      </w:pPr>
      <w:rPr>
        <w:rFonts w:ascii="Symbol" w:hAnsi="Symbol" w:hint="default"/>
      </w:rPr>
    </w:lvl>
    <w:lvl w:ilvl="7" w:tplc="08090003" w:tentative="1">
      <w:start w:val="1"/>
      <w:numFmt w:val="bullet"/>
      <w:lvlText w:val="o"/>
      <w:lvlJc w:val="left"/>
      <w:pPr>
        <w:tabs>
          <w:tab w:val="num" w:pos="6414"/>
        </w:tabs>
        <w:ind w:left="6414" w:hanging="360"/>
      </w:pPr>
      <w:rPr>
        <w:rFonts w:ascii="Courier New" w:hAnsi="Courier New" w:cs="Courier New" w:hint="default"/>
      </w:rPr>
    </w:lvl>
    <w:lvl w:ilvl="8" w:tplc="08090005" w:tentative="1">
      <w:start w:val="1"/>
      <w:numFmt w:val="bullet"/>
      <w:lvlText w:val=""/>
      <w:lvlJc w:val="left"/>
      <w:pPr>
        <w:tabs>
          <w:tab w:val="num" w:pos="7134"/>
        </w:tabs>
        <w:ind w:left="7134" w:hanging="360"/>
      </w:pPr>
      <w:rPr>
        <w:rFonts w:ascii="Wingdings" w:hAnsi="Wingdings" w:hint="default"/>
      </w:rPr>
    </w:lvl>
  </w:abstractNum>
  <w:abstractNum w:abstractNumId="30">
    <w:nsid w:val="4EB95A89"/>
    <w:multiLevelType w:val="hybridMultilevel"/>
    <w:tmpl w:val="0CB2566C"/>
    <w:lvl w:ilvl="0" w:tplc="2A08ED60">
      <w:start w:val="1"/>
      <w:numFmt w:val="bullet"/>
      <w:lvlText w:val=""/>
      <w:lvlJc w:val="left"/>
      <w:pPr>
        <w:tabs>
          <w:tab w:val="num" w:pos="-320"/>
        </w:tabs>
        <w:ind w:left="-320" w:hanging="360"/>
      </w:pPr>
      <w:rPr>
        <w:rFonts w:ascii="Symbol" w:hAnsi="Symbol" w:hint="default"/>
        <w:color w:val="0070C0"/>
      </w:rPr>
    </w:lvl>
    <w:lvl w:ilvl="1" w:tplc="8FA8BE50">
      <w:start w:val="1"/>
      <w:numFmt w:val="bullet"/>
      <w:lvlText w:val=""/>
      <w:lvlJc w:val="left"/>
      <w:pPr>
        <w:tabs>
          <w:tab w:val="num" w:pos="400"/>
        </w:tabs>
        <w:ind w:left="400" w:hanging="360"/>
      </w:pPr>
      <w:rPr>
        <w:rFonts w:ascii="Symbol" w:hAnsi="Symbol" w:hint="default"/>
        <w:color w:val="0070C0"/>
      </w:rPr>
    </w:lvl>
    <w:lvl w:ilvl="2" w:tplc="08090005">
      <w:start w:val="1"/>
      <w:numFmt w:val="bullet"/>
      <w:lvlText w:val=""/>
      <w:lvlJc w:val="left"/>
      <w:pPr>
        <w:tabs>
          <w:tab w:val="num" w:pos="1120"/>
        </w:tabs>
        <w:ind w:left="1120" w:hanging="360"/>
      </w:pPr>
      <w:rPr>
        <w:rFonts w:ascii="Wingdings" w:hAnsi="Wingdings" w:hint="default"/>
      </w:rPr>
    </w:lvl>
    <w:lvl w:ilvl="3" w:tplc="08090001" w:tentative="1">
      <w:start w:val="1"/>
      <w:numFmt w:val="bullet"/>
      <w:lvlText w:val=""/>
      <w:lvlJc w:val="left"/>
      <w:pPr>
        <w:tabs>
          <w:tab w:val="num" w:pos="1840"/>
        </w:tabs>
        <w:ind w:left="1840" w:hanging="360"/>
      </w:pPr>
      <w:rPr>
        <w:rFonts w:ascii="Symbol" w:hAnsi="Symbol" w:hint="default"/>
      </w:rPr>
    </w:lvl>
    <w:lvl w:ilvl="4" w:tplc="08090003" w:tentative="1">
      <w:start w:val="1"/>
      <w:numFmt w:val="bullet"/>
      <w:lvlText w:val="o"/>
      <w:lvlJc w:val="left"/>
      <w:pPr>
        <w:tabs>
          <w:tab w:val="num" w:pos="2560"/>
        </w:tabs>
        <w:ind w:left="2560" w:hanging="360"/>
      </w:pPr>
      <w:rPr>
        <w:rFonts w:ascii="Courier New" w:hAnsi="Courier New" w:hint="default"/>
      </w:rPr>
    </w:lvl>
    <w:lvl w:ilvl="5" w:tplc="08090005" w:tentative="1">
      <w:start w:val="1"/>
      <w:numFmt w:val="bullet"/>
      <w:lvlText w:val=""/>
      <w:lvlJc w:val="left"/>
      <w:pPr>
        <w:tabs>
          <w:tab w:val="num" w:pos="3280"/>
        </w:tabs>
        <w:ind w:left="3280" w:hanging="360"/>
      </w:pPr>
      <w:rPr>
        <w:rFonts w:ascii="Wingdings" w:hAnsi="Wingdings" w:hint="default"/>
      </w:rPr>
    </w:lvl>
    <w:lvl w:ilvl="6" w:tplc="08090001" w:tentative="1">
      <w:start w:val="1"/>
      <w:numFmt w:val="bullet"/>
      <w:lvlText w:val=""/>
      <w:lvlJc w:val="left"/>
      <w:pPr>
        <w:tabs>
          <w:tab w:val="num" w:pos="4000"/>
        </w:tabs>
        <w:ind w:left="4000" w:hanging="360"/>
      </w:pPr>
      <w:rPr>
        <w:rFonts w:ascii="Symbol" w:hAnsi="Symbol" w:hint="default"/>
      </w:rPr>
    </w:lvl>
    <w:lvl w:ilvl="7" w:tplc="08090003" w:tentative="1">
      <w:start w:val="1"/>
      <w:numFmt w:val="bullet"/>
      <w:lvlText w:val="o"/>
      <w:lvlJc w:val="left"/>
      <w:pPr>
        <w:tabs>
          <w:tab w:val="num" w:pos="4720"/>
        </w:tabs>
        <w:ind w:left="4720" w:hanging="360"/>
      </w:pPr>
      <w:rPr>
        <w:rFonts w:ascii="Courier New" w:hAnsi="Courier New" w:hint="default"/>
      </w:rPr>
    </w:lvl>
    <w:lvl w:ilvl="8" w:tplc="08090005" w:tentative="1">
      <w:start w:val="1"/>
      <w:numFmt w:val="bullet"/>
      <w:lvlText w:val=""/>
      <w:lvlJc w:val="left"/>
      <w:pPr>
        <w:tabs>
          <w:tab w:val="num" w:pos="5440"/>
        </w:tabs>
        <w:ind w:left="5440" w:hanging="360"/>
      </w:pPr>
      <w:rPr>
        <w:rFonts w:ascii="Wingdings" w:hAnsi="Wingdings" w:hint="default"/>
      </w:rPr>
    </w:lvl>
  </w:abstractNum>
  <w:abstractNum w:abstractNumId="31">
    <w:nsid w:val="4EBC49A4"/>
    <w:multiLevelType w:val="hybridMultilevel"/>
    <w:tmpl w:val="9DDA297E"/>
    <w:lvl w:ilvl="0" w:tplc="8FA8BE50">
      <w:start w:val="1"/>
      <w:numFmt w:val="bullet"/>
      <w:lvlText w:val=""/>
      <w:lvlJc w:val="left"/>
      <w:pPr>
        <w:ind w:left="400" w:hanging="360"/>
      </w:pPr>
      <w:rPr>
        <w:rFonts w:ascii="Symbol" w:hAnsi="Symbol" w:hint="default"/>
        <w:color w:val="0070C0"/>
      </w:rPr>
    </w:lvl>
    <w:lvl w:ilvl="1" w:tplc="08090003">
      <w:start w:val="1"/>
      <w:numFmt w:val="bullet"/>
      <w:lvlText w:val="o"/>
      <w:lvlJc w:val="left"/>
      <w:pPr>
        <w:ind w:left="1120" w:hanging="360"/>
      </w:pPr>
      <w:rPr>
        <w:rFonts w:ascii="Courier New" w:hAnsi="Courier New" w:cs="Courier New" w:hint="default"/>
      </w:rPr>
    </w:lvl>
    <w:lvl w:ilvl="2" w:tplc="08090005">
      <w:start w:val="1"/>
      <w:numFmt w:val="bullet"/>
      <w:lvlText w:val=""/>
      <w:lvlJc w:val="left"/>
      <w:pPr>
        <w:ind w:left="1840" w:hanging="360"/>
      </w:pPr>
      <w:rPr>
        <w:rFonts w:ascii="Wingdings" w:hAnsi="Wingdings" w:hint="default"/>
      </w:rPr>
    </w:lvl>
    <w:lvl w:ilvl="3" w:tplc="0809000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2">
    <w:nsid w:val="4FC04E03"/>
    <w:multiLevelType w:val="hybridMultilevel"/>
    <w:tmpl w:val="5DE69976"/>
    <w:lvl w:ilvl="0" w:tplc="C49C210C">
      <w:start w:val="1"/>
      <w:numFmt w:val="bullet"/>
      <w:lvlText w:val=""/>
      <w:lvlJc w:val="left"/>
      <w:pPr>
        <w:tabs>
          <w:tab w:val="num" w:pos="-700"/>
        </w:tabs>
        <w:ind w:left="-700" w:hanging="363"/>
      </w:pPr>
      <w:rPr>
        <w:rFonts w:ascii="Symbol" w:hAnsi="Symbol" w:hint="default"/>
        <w:color w:val="0070C0"/>
      </w:rPr>
    </w:lvl>
    <w:lvl w:ilvl="1" w:tplc="04090003">
      <w:start w:val="1"/>
      <w:numFmt w:val="bullet"/>
      <w:lvlText w:val="o"/>
      <w:lvlJc w:val="left"/>
      <w:pPr>
        <w:tabs>
          <w:tab w:val="num" w:pos="80"/>
        </w:tabs>
        <w:ind w:left="80" w:hanging="360"/>
      </w:pPr>
      <w:rPr>
        <w:rFonts w:ascii="Courier New" w:hAnsi="Courier New" w:hint="default"/>
      </w:rPr>
    </w:lvl>
    <w:lvl w:ilvl="2" w:tplc="04090001">
      <w:start w:val="1"/>
      <w:numFmt w:val="bullet"/>
      <w:lvlText w:val=""/>
      <w:lvlJc w:val="left"/>
      <w:pPr>
        <w:tabs>
          <w:tab w:val="num" w:pos="800"/>
        </w:tabs>
        <w:ind w:left="800" w:hanging="360"/>
      </w:pPr>
      <w:rPr>
        <w:rFonts w:ascii="Symbol" w:hAnsi="Symbol" w:hint="default"/>
      </w:rPr>
    </w:lvl>
    <w:lvl w:ilvl="3" w:tplc="04090001">
      <w:start w:val="1"/>
      <w:numFmt w:val="bullet"/>
      <w:lvlText w:val=""/>
      <w:lvlJc w:val="left"/>
      <w:pPr>
        <w:tabs>
          <w:tab w:val="num" w:pos="1520"/>
        </w:tabs>
        <w:ind w:left="1520" w:hanging="360"/>
      </w:pPr>
      <w:rPr>
        <w:rFonts w:ascii="Symbol" w:hAnsi="Symbol" w:hint="default"/>
      </w:rPr>
    </w:lvl>
    <w:lvl w:ilvl="4" w:tplc="04090003" w:tentative="1">
      <w:start w:val="1"/>
      <w:numFmt w:val="bullet"/>
      <w:lvlText w:val="o"/>
      <w:lvlJc w:val="left"/>
      <w:pPr>
        <w:tabs>
          <w:tab w:val="num" w:pos="2240"/>
        </w:tabs>
        <w:ind w:left="2240" w:hanging="360"/>
      </w:pPr>
      <w:rPr>
        <w:rFonts w:ascii="Courier New" w:hAnsi="Courier New" w:hint="default"/>
      </w:rPr>
    </w:lvl>
    <w:lvl w:ilvl="5" w:tplc="04090005" w:tentative="1">
      <w:start w:val="1"/>
      <w:numFmt w:val="bullet"/>
      <w:lvlText w:val=""/>
      <w:lvlJc w:val="left"/>
      <w:pPr>
        <w:tabs>
          <w:tab w:val="num" w:pos="2960"/>
        </w:tabs>
        <w:ind w:left="2960" w:hanging="360"/>
      </w:pPr>
      <w:rPr>
        <w:rFonts w:ascii="Wingdings" w:hAnsi="Wingdings" w:hint="default"/>
      </w:rPr>
    </w:lvl>
    <w:lvl w:ilvl="6" w:tplc="04090001" w:tentative="1">
      <w:start w:val="1"/>
      <w:numFmt w:val="bullet"/>
      <w:lvlText w:val=""/>
      <w:lvlJc w:val="left"/>
      <w:pPr>
        <w:tabs>
          <w:tab w:val="num" w:pos="3680"/>
        </w:tabs>
        <w:ind w:left="3680" w:hanging="360"/>
      </w:pPr>
      <w:rPr>
        <w:rFonts w:ascii="Symbol" w:hAnsi="Symbol" w:hint="default"/>
      </w:rPr>
    </w:lvl>
    <w:lvl w:ilvl="7" w:tplc="04090003" w:tentative="1">
      <w:start w:val="1"/>
      <w:numFmt w:val="bullet"/>
      <w:lvlText w:val="o"/>
      <w:lvlJc w:val="left"/>
      <w:pPr>
        <w:tabs>
          <w:tab w:val="num" w:pos="4400"/>
        </w:tabs>
        <w:ind w:left="4400" w:hanging="360"/>
      </w:pPr>
      <w:rPr>
        <w:rFonts w:ascii="Courier New" w:hAnsi="Courier New" w:hint="default"/>
      </w:rPr>
    </w:lvl>
    <w:lvl w:ilvl="8" w:tplc="04090005" w:tentative="1">
      <w:start w:val="1"/>
      <w:numFmt w:val="bullet"/>
      <w:lvlText w:val=""/>
      <w:lvlJc w:val="left"/>
      <w:pPr>
        <w:tabs>
          <w:tab w:val="num" w:pos="5120"/>
        </w:tabs>
        <w:ind w:left="5120" w:hanging="360"/>
      </w:pPr>
      <w:rPr>
        <w:rFonts w:ascii="Wingdings" w:hAnsi="Wingdings" w:hint="default"/>
      </w:rPr>
    </w:lvl>
  </w:abstractNum>
  <w:abstractNum w:abstractNumId="33">
    <w:nsid w:val="51CC3E56"/>
    <w:multiLevelType w:val="hybridMultilevel"/>
    <w:tmpl w:val="5F42F11C"/>
    <w:lvl w:ilvl="0" w:tplc="8FA8BE5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2D630F6"/>
    <w:multiLevelType w:val="hybridMultilevel"/>
    <w:tmpl w:val="1188C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57B2A6F"/>
    <w:multiLevelType w:val="hybridMultilevel"/>
    <w:tmpl w:val="8E84E290"/>
    <w:lvl w:ilvl="0" w:tplc="0809000F">
      <w:start w:val="1"/>
      <w:numFmt w:val="decimal"/>
      <w:lvlText w:val="%1."/>
      <w:lvlJc w:val="left"/>
      <w:pPr>
        <w:ind w:left="720" w:hanging="360"/>
      </w:pPr>
      <w:rPr>
        <w:rFonts w:cs="Times New Roman" w:hint="default"/>
      </w:rPr>
    </w:lvl>
    <w:lvl w:ilvl="1" w:tplc="6FB8788C">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8020F18"/>
    <w:multiLevelType w:val="hybridMultilevel"/>
    <w:tmpl w:val="D640CEA0"/>
    <w:lvl w:ilvl="0" w:tplc="36EC5472">
      <w:start w:val="1"/>
      <w:numFmt w:val="bullet"/>
      <w:lvlText w:val=""/>
      <w:lvlJc w:val="left"/>
      <w:pPr>
        <w:ind w:left="720" w:hanging="360"/>
      </w:pPr>
      <w:rPr>
        <w:rFonts w:ascii="Symbol" w:hAnsi="Symbol" w:hint="default"/>
        <w:color w:val="800000"/>
      </w:rPr>
    </w:lvl>
    <w:lvl w:ilvl="1" w:tplc="D3A4B83C">
      <w:start w:val="1"/>
      <w:numFmt w:val="bullet"/>
      <w:lvlText w:val="o"/>
      <w:lvlJc w:val="left"/>
      <w:pPr>
        <w:ind w:left="1440" w:hanging="360"/>
      </w:pPr>
      <w:rPr>
        <w:rFonts w:ascii="Courier New" w:hAnsi="Courier New" w:cs="Courier New" w:hint="default"/>
        <w:color w:val="800000"/>
      </w:rPr>
    </w:lvl>
    <w:lvl w:ilvl="2" w:tplc="6440573A">
      <w:start w:val="1"/>
      <w:numFmt w:val="bullet"/>
      <w:lvlText w:val=""/>
      <w:lvlJc w:val="left"/>
      <w:pPr>
        <w:ind w:left="2160" w:hanging="360"/>
      </w:pPr>
      <w:rPr>
        <w:rFonts w:ascii="Wingdings" w:hAnsi="Wingdings" w:hint="default"/>
        <w:color w:val="800000"/>
      </w:rPr>
    </w:lvl>
    <w:lvl w:ilvl="3" w:tplc="8B42E9F8">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140F0F"/>
    <w:multiLevelType w:val="hybridMultilevel"/>
    <w:tmpl w:val="EEB09290"/>
    <w:lvl w:ilvl="0" w:tplc="2A08ED60">
      <w:start w:val="1"/>
      <w:numFmt w:val="bullet"/>
      <w:lvlText w:val=""/>
      <w:lvlJc w:val="left"/>
      <w:pPr>
        <w:tabs>
          <w:tab w:val="num" w:pos="-320"/>
        </w:tabs>
        <w:ind w:left="-320" w:hanging="360"/>
      </w:pPr>
      <w:rPr>
        <w:rFonts w:ascii="Symbol" w:hAnsi="Symbol" w:hint="default"/>
        <w:color w:val="0070C0"/>
      </w:rPr>
    </w:lvl>
    <w:lvl w:ilvl="1" w:tplc="08090003">
      <w:start w:val="1"/>
      <w:numFmt w:val="bullet"/>
      <w:lvlText w:val="o"/>
      <w:lvlJc w:val="left"/>
      <w:pPr>
        <w:tabs>
          <w:tab w:val="num" w:pos="400"/>
        </w:tabs>
        <w:ind w:left="400" w:hanging="360"/>
      </w:pPr>
      <w:rPr>
        <w:rFonts w:ascii="Courier New" w:hAnsi="Courier New" w:hint="default"/>
      </w:rPr>
    </w:lvl>
    <w:lvl w:ilvl="2" w:tplc="08090005">
      <w:start w:val="1"/>
      <w:numFmt w:val="bullet"/>
      <w:lvlText w:val=""/>
      <w:lvlJc w:val="left"/>
      <w:pPr>
        <w:tabs>
          <w:tab w:val="num" w:pos="1120"/>
        </w:tabs>
        <w:ind w:left="1120" w:hanging="360"/>
      </w:pPr>
      <w:rPr>
        <w:rFonts w:ascii="Wingdings" w:hAnsi="Wingdings" w:hint="default"/>
      </w:rPr>
    </w:lvl>
    <w:lvl w:ilvl="3" w:tplc="08090001" w:tentative="1">
      <w:start w:val="1"/>
      <w:numFmt w:val="bullet"/>
      <w:lvlText w:val=""/>
      <w:lvlJc w:val="left"/>
      <w:pPr>
        <w:tabs>
          <w:tab w:val="num" w:pos="1840"/>
        </w:tabs>
        <w:ind w:left="1840" w:hanging="360"/>
      </w:pPr>
      <w:rPr>
        <w:rFonts w:ascii="Symbol" w:hAnsi="Symbol" w:hint="default"/>
      </w:rPr>
    </w:lvl>
    <w:lvl w:ilvl="4" w:tplc="08090003" w:tentative="1">
      <w:start w:val="1"/>
      <w:numFmt w:val="bullet"/>
      <w:lvlText w:val="o"/>
      <w:lvlJc w:val="left"/>
      <w:pPr>
        <w:tabs>
          <w:tab w:val="num" w:pos="2560"/>
        </w:tabs>
        <w:ind w:left="2560" w:hanging="360"/>
      </w:pPr>
      <w:rPr>
        <w:rFonts w:ascii="Courier New" w:hAnsi="Courier New" w:hint="default"/>
      </w:rPr>
    </w:lvl>
    <w:lvl w:ilvl="5" w:tplc="08090005" w:tentative="1">
      <w:start w:val="1"/>
      <w:numFmt w:val="bullet"/>
      <w:lvlText w:val=""/>
      <w:lvlJc w:val="left"/>
      <w:pPr>
        <w:tabs>
          <w:tab w:val="num" w:pos="3280"/>
        </w:tabs>
        <w:ind w:left="3280" w:hanging="360"/>
      </w:pPr>
      <w:rPr>
        <w:rFonts w:ascii="Wingdings" w:hAnsi="Wingdings" w:hint="default"/>
      </w:rPr>
    </w:lvl>
    <w:lvl w:ilvl="6" w:tplc="08090001" w:tentative="1">
      <w:start w:val="1"/>
      <w:numFmt w:val="bullet"/>
      <w:lvlText w:val=""/>
      <w:lvlJc w:val="left"/>
      <w:pPr>
        <w:tabs>
          <w:tab w:val="num" w:pos="4000"/>
        </w:tabs>
        <w:ind w:left="4000" w:hanging="360"/>
      </w:pPr>
      <w:rPr>
        <w:rFonts w:ascii="Symbol" w:hAnsi="Symbol" w:hint="default"/>
      </w:rPr>
    </w:lvl>
    <w:lvl w:ilvl="7" w:tplc="08090003" w:tentative="1">
      <w:start w:val="1"/>
      <w:numFmt w:val="bullet"/>
      <w:lvlText w:val="o"/>
      <w:lvlJc w:val="left"/>
      <w:pPr>
        <w:tabs>
          <w:tab w:val="num" w:pos="4720"/>
        </w:tabs>
        <w:ind w:left="4720" w:hanging="360"/>
      </w:pPr>
      <w:rPr>
        <w:rFonts w:ascii="Courier New" w:hAnsi="Courier New" w:hint="default"/>
      </w:rPr>
    </w:lvl>
    <w:lvl w:ilvl="8" w:tplc="08090005" w:tentative="1">
      <w:start w:val="1"/>
      <w:numFmt w:val="bullet"/>
      <w:lvlText w:val=""/>
      <w:lvlJc w:val="left"/>
      <w:pPr>
        <w:tabs>
          <w:tab w:val="num" w:pos="5440"/>
        </w:tabs>
        <w:ind w:left="5440" w:hanging="360"/>
      </w:pPr>
      <w:rPr>
        <w:rFonts w:ascii="Wingdings" w:hAnsi="Wingdings" w:hint="default"/>
      </w:rPr>
    </w:lvl>
  </w:abstractNum>
  <w:abstractNum w:abstractNumId="38">
    <w:nsid w:val="5CB26143"/>
    <w:multiLevelType w:val="hybridMultilevel"/>
    <w:tmpl w:val="1048D9BE"/>
    <w:lvl w:ilvl="0" w:tplc="08E223F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1FA71BC"/>
    <w:multiLevelType w:val="hybridMultilevel"/>
    <w:tmpl w:val="05AC1B4E"/>
    <w:lvl w:ilvl="0" w:tplc="2A08ED60">
      <w:start w:val="1"/>
      <w:numFmt w:val="bullet"/>
      <w:lvlText w:val=""/>
      <w:lvlJc w:val="left"/>
      <w:pPr>
        <w:tabs>
          <w:tab w:val="num" w:pos="360"/>
        </w:tabs>
        <w:ind w:left="360" w:hanging="360"/>
      </w:pPr>
      <w:rPr>
        <w:rFonts w:ascii="Symbol" w:hAnsi="Symbol" w:hint="default"/>
        <w:color w:val="0070C0"/>
      </w:rPr>
    </w:lvl>
    <w:lvl w:ilvl="1" w:tplc="8FA8BE50">
      <w:start w:val="1"/>
      <w:numFmt w:val="bullet"/>
      <w:lvlText w:val=""/>
      <w:lvlJc w:val="left"/>
      <w:pPr>
        <w:tabs>
          <w:tab w:val="num" w:pos="1080"/>
        </w:tabs>
        <w:ind w:left="1080" w:hanging="360"/>
      </w:pPr>
      <w:rPr>
        <w:rFonts w:ascii="Symbol" w:hAnsi="Symbol" w:hint="default"/>
        <w:color w:val="0070C0"/>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nsid w:val="6C750742"/>
    <w:multiLevelType w:val="hybridMultilevel"/>
    <w:tmpl w:val="4BDA3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D1E73CC"/>
    <w:multiLevelType w:val="hybridMultilevel"/>
    <w:tmpl w:val="8B5CD7DC"/>
    <w:lvl w:ilvl="0" w:tplc="039E46D0">
      <w:start w:val="1"/>
      <w:numFmt w:val="bullet"/>
      <w:lvlText w:val=""/>
      <w:lvlJc w:val="left"/>
      <w:pPr>
        <w:tabs>
          <w:tab w:val="num" w:pos="360"/>
        </w:tabs>
        <w:ind w:left="360" w:hanging="360"/>
      </w:pPr>
      <w:rPr>
        <w:rFonts w:ascii="Symbol" w:hAnsi="Symbol" w:hint="default"/>
        <w:color w:val="0070C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D5D4A76"/>
    <w:multiLevelType w:val="hybridMultilevel"/>
    <w:tmpl w:val="C942692A"/>
    <w:lvl w:ilvl="0" w:tplc="D38C2CF0">
      <w:start w:val="1"/>
      <w:numFmt w:val="bullet"/>
      <w:lvlText w:val=""/>
      <w:lvlJc w:val="left"/>
      <w:pPr>
        <w:tabs>
          <w:tab w:val="num" w:pos="434"/>
        </w:tabs>
        <w:ind w:left="434" w:hanging="360"/>
      </w:pPr>
      <w:rPr>
        <w:rFonts w:ascii="Symbol" w:hAnsi="Symbol" w:hint="default"/>
        <w:color w:val="0070C0"/>
      </w:rPr>
    </w:lvl>
    <w:lvl w:ilvl="1" w:tplc="08090003" w:tentative="1">
      <w:start w:val="1"/>
      <w:numFmt w:val="bullet"/>
      <w:lvlText w:val="o"/>
      <w:lvlJc w:val="left"/>
      <w:pPr>
        <w:tabs>
          <w:tab w:val="num" w:pos="1154"/>
        </w:tabs>
        <w:ind w:left="1154" w:hanging="360"/>
      </w:pPr>
      <w:rPr>
        <w:rFonts w:ascii="Courier New" w:hAnsi="Courier New" w:cs="Courier New" w:hint="default"/>
      </w:rPr>
    </w:lvl>
    <w:lvl w:ilvl="2" w:tplc="08090005" w:tentative="1">
      <w:start w:val="1"/>
      <w:numFmt w:val="bullet"/>
      <w:lvlText w:val=""/>
      <w:lvlJc w:val="left"/>
      <w:pPr>
        <w:tabs>
          <w:tab w:val="num" w:pos="1874"/>
        </w:tabs>
        <w:ind w:left="1874" w:hanging="360"/>
      </w:pPr>
      <w:rPr>
        <w:rFonts w:ascii="Wingdings" w:hAnsi="Wingdings" w:hint="default"/>
      </w:rPr>
    </w:lvl>
    <w:lvl w:ilvl="3" w:tplc="08090001" w:tentative="1">
      <w:start w:val="1"/>
      <w:numFmt w:val="bullet"/>
      <w:lvlText w:val=""/>
      <w:lvlJc w:val="left"/>
      <w:pPr>
        <w:tabs>
          <w:tab w:val="num" w:pos="2594"/>
        </w:tabs>
        <w:ind w:left="2594" w:hanging="360"/>
      </w:pPr>
      <w:rPr>
        <w:rFonts w:ascii="Symbol" w:hAnsi="Symbol" w:hint="default"/>
      </w:rPr>
    </w:lvl>
    <w:lvl w:ilvl="4" w:tplc="08090003" w:tentative="1">
      <w:start w:val="1"/>
      <w:numFmt w:val="bullet"/>
      <w:lvlText w:val="o"/>
      <w:lvlJc w:val="left"/>
      <w:pPr>
        <w:tabs>
          <w:tab w:val="num" w:pos="3314"/>
        </w:tabs>
        <w:ind w:left="3314" w:hanging="360"/>
      </w:pPr>
      <w:rPr>
        <w:rFonts w:ascii="Courier New" w:hAnsi="Courier New" w:cs="Courier New" w:hint="default"/>
      </w:rPr>
    </w:lvl>
    <w:lvl w:ilvl="5" w:tplc="08090005" w:tentative="1">
      <w:start w:val="1"/>
      <w:numFmt w:val="bullet"/>
      <w:lvlText w:val=""/>
      <w:lvlJc w:val="left"/>
      <w:pPr>
        <w:tabs>
          <w:tab w:val="num" w:pos="4034"/>
        </w:tabs>
        <w:ind w:left="4034" w:hanging="360"/>
      </w:pPr>
      <w:rPr>
        <w:rFonts w:ascii="Wingdings" w:hAnsi="Wingdings" w:hint="default"/>
      </w:rPr>
    </w:lvl>
    <w:lvl w:ilvl="6" w:tplc="08090001" w:tentative="1">
      <w:start w:val="1"/>
      <w:numFmt w:val="bullet"/>
      <w:lvlText w:val=""/>
      <w:lvlJc w:val="left"/>
      <w:pPr>
        <w:tabs>
          <w:tab w:val="num" w:pos="4754"/>
        </w:tabs>
        <w:ind w:left="4754" w:hanging="360"/>
      </w:pPr>
      <w:rPr>
        <w:rFonts w:ascii="Symbol" w:hAnsi="Symbol" w:hint="default"/>
      </w:rPr>
    </w:lvl>
    <w:lvl w:ilvl="7" w:tplc="08090003" w:tentative="1">
      <w:start w:val="1"/>
      <w:numFmt w:val="bullet"/>
      <w:lvlText w:val="o"/>
      <w:lvlJc w:val="left"/>
      <w:pPr>
        <w:tabs>
          <w:tab w:val="num" w:pos="5474"/>
        </w:tabs>
        <w:ind w:left="5474" w:hanging="360"/>
      </w:pPr>
      <w:rPr>
        <w:rFonts w:ascii="Courier New" w:hAnsi="Courier New" w:cs="Courier New" w:hint="default"/>
      </w:rPr>
    </w:lvl>
    <w:lvl w:ilvl="8" w:tplc="08090005" w:tentative="1">
      <w:start w:val="1"/>
      <w:numFmt w:val="bullet"/>
      <w:lvlText w:val=""/>
      <w:lvlJc w:val="left"/>
      <w:pPr>
        <w:tabs>
          <w:tab w:val="num" w:pos="6194"/>
        </w:tabs>
        <w:ind w:left="6194" w:hanging="360"/>
      </w:pPr>
      <w:rPr>
        <w:rFonts w:ascii="Wingdings" w:hAnsi="Wingdings" w:hint="default"/>
      </w:rPr>
    </w:lvl>
  </w:abstractNum>
  <w:abstractNum w:abstractNumId="43">
    <w:nsid w:val="6EB27BA5"/>
    <w:multiLevelType w:val="hybridMultilevel"/>
    <w:tmpl w:val="8ADA45A2"/>
    <w:lvl w:ilvl="0" w:tplc="2A08ED60">
      <w:start w:val="1"/>
      <w:numFmt w:val="bullet"/>
      <w:lvlText w:val=""/>
      <w:lvlJc w:val="left"/>
      <w:pPr>
        <w:tabs>
          <w:tab w:val="num" w:pos="-320"/>
        </w:tabs>
        <w:ind w:left="-320" w:hanging="360"/>
      </w:pPr>
      <w:rPr>
        <w:rFonts w:ascii="Symbol" w:hAnsi="Symbol" w:hint="default"/>
        <w:color w:val="0070C0"/>
      </w:rPr>
    </w:lvl>
    <w:lvl w:ilvl="1" w:tplc="8FA8BE50">
      <w:start w:val="1"/>
      <w:numFmt w:val="bullet"/>
      <w:lvlText w:val=""/>
      <w:lvlJc w:val="left"/>
      <w:pPr>
        <w:tabs>
          <w:tab w:val="num" w:pos="400"/>
        </w:tabs>
        <w:ind w:left="400" w:hanging="360"/>
      </w:pPr>
      <w:rPr>
        <w:rFonts w:ascii="Symbol" w:hAnsi="Symbol" w:hint="default"/>
        <w:color w:val="0070C0"/>
      </w:rPr>
    </w:lvl>
    <w:lvl w:ilvl="2" w:tplc="08090005">
      <w:start w:val="1"/>
      <w:numFmt w:val="bullet"/>
      <w:lvlText w:val=""/>
      <w:lvlJc w:val="left"/>
      <w:pPr>
        <w:tabs>
          <w:tab w:val="num" w:pos="1120"/>
        </w:tabs>
        <w:ind w:left="1120" w:hanging="360"/>
      </w:pPr>
      <w:rPr>
        <w:rFonts w:ascii="Wingdings" w:hAnsi="Wingdings" w:hint="default"/>
      </w:rPr>
    </w:lvl>
    <w:lvl w:ilvl="3" w:tplc="08090001" w:tentative="1">
      <w:start w:val="1"/>
      <w:numFmt w:val="bullet"/>
      <w:lvlText w:val=""/>
      <w:lvlJc w:val="left"/>
      <w:pPr>
        <w:tabs>
          <w:tab w:val="num" w:pos="1840"/>
        </w:tabs>
        <w:ind w:left="1840" w:hanging="360"/>
      </w:pPr>
      <w:rPr>
        <w:rFonts w:ascii="Symbol" w:hAnsi="Symbol" w:hint="default"/>
      </w:rPr>
    </w:lvl>
    <w:lvl w:ilvl="4" w:tplc="08090003" w:tentative="1">
      <w:start w:val="1"/>
      <w:numFmt w:val="bullet"/>
      <w:lvlText w:val="o"/>
      <w:lvlJc w:val="left"/>
      <w:pPr>
        <w:tabs>
          <w:tab w:val="num" w:pos="2560"/>
        </w:tabs>
        <w:ind w:left="2560" w:hanging="360"/>
      </w:pPr>
      <w:rPr>
        <w:rFonts w:ascii="Courier New" w:hAnsi="Courier New" w:hint="default"/>
      </w:rPr>
    </w:lvl>
    <w:lvl w:ilvl="5" w:tplc="08090005" w:tentative="1">
      <w:start w:val="1"/>
      <w:numFmt w:val="bullet"/>
      <w:lvlText w:val=""/>
      <w:lvlJc w:val="left"/>
      <w:pPr>
        <w:tabs>
          <w:tab w:val="num" w:pos="3280"/>
        </w:tabs>
        <w:ind w:left="3280" w:hanging="360"/>
      </w:pPr>
      <w:rPr>
        <w:rFonts w:ascii="Wingdings" w:hAnsi="Wingdings" w:hint="default"/>
      </w:rPr>
    </w:lvl>
    <w:lvl w:ilvl="6" w:tplc="08090001" w:tentative="1">
      <w:start w:val="1"/>
      <w:numFmt w:val="bullet"/>
      <w:lvlText w:val=""/>
      <w:lvlJc w:val="left"/>
      <w:pPr>
        <w:tabs>
          <w:tab w:val="num" w:pos="4000"/>
        </w:tabs>
        <w:ind w:left="4000" w:hanging="360"/>
      </w:pPr>
      <w:rPr>
        <w:rFonts w:ascii="Symbol" w:hAnsi="Symbol" w:hint="default"/>
      </w:rPr>
    </w:lvl>
    <w:lvl w:ilvl="7" w:tplc="08090003" w:tentative="1">
      <w:start w:val="1"/>
      <w:numFmt w:val="bullet"/>
      <w:lvlText w:val="o"/>
      <w:lvlJc w:val="left"/>
      <w:pPr>
        <w:tabs>
          <w:tab w:val="num" w:pos="4720"/>
        </w:tabs>
        <w:ind w:left="4720" w:hanging="360"/>
      </w:pPr>
      <w:rPr>
        <w:rFonts w:ascii="Courier New" w:hAnsi="Courier New" w:hint="default"/>
      </w:rPr>
    </w:lvl>
    <w:lvl w:ilvl="8" w:tplc="08090005" w:tentative="1">
      <w:start w:val="1"/>
      <w:numFmt w:val="bullet"/>
      <w:lvlText w:val=""/>
      <w:lvlJc w:val="left"/>
      <w:pPr>
        <w:tabs>
          <w:tab w:val="num" w:pos="5440"/>
        </w:tabs>
        <w:ind w:left="5440" w:hanging="360"/>
      </w:pPr>
      <w:rPr>
        <w:rFonts w:ascii="Wingdings" w:hAnsi="Wingdings" w:hint="default"/>
      </w:rPr>
    </w:lvl>
  </w:abstractNum>
  <w:abstractNum w:abstractNumId="44">
    <w:nsid w:val="7A513E03"/>
    <w:multiLevelType w:val="hybridMultilevel"/>
    <w:tmpl w:val="97E0D2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FE65C59"/>
    <w:multiLevelType w:val="hybridMultilevel"/>
    <w:tmpl w:val="9FCCE0D8"/>
    <w:lvl w:ilvl="0" w:tplc="6A164DB4">
      <w:start w:val="1"/>
      <w:numFmt w:val="bullet"/>
      <w:lvlText w:val=""/>
      <w:lvlJc w:val="left"/>
      <w:pPr>
        <w:tabs>
          <w:tab w:val="num" w:pos="720"/>
        </w:tabs>
        <w:ind w:left="72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25"/>
  </w:num>
  <w:num w:numId="4">
    <w:abstractNumId w:val="40"/>
  </w:num>
  <w:num w:numId="5">
    <w:abstractNumId w:val="7"/>
  </w:num>
  <w:num w:numId="6">
    <w:abstractNumId w:val="4"/>
  </w:num>
  <w:num w:numId="7">
    <w:abstractNumId w:val="41"/>
  </w:num>
  <w:num w:numId="8">
    <w:abstractNumId w:val="23"/>
  </w:num>
  <w:num w:numId="9">
    <w:abstractNumId w:val="8"/>
  </w:num>
  <w:num w:numId="10">
    <w:abstractNumId w:val="27"/>
  </w:num>
  <w:num w:numId="11">
    <w:abstractNumId w:val="9"/>
  </w:num>
  <w:num w:numId="12">
    <w:abstractNumId w:val="13"/>
  </w:num>
  <w:num w:numId="13">
    <w:abstractNumId w:val="37"/>
  </w:num>
  <w:num w:numId="14">
    <w:abstractNumId w:val="11"/>
  </w:num>
  <w:num w:numId="15">
    <w:abstractNumId w:val="39"/>
  </w:num>
  <w:num w:numId="16">
    <w:abstractNumId w:val="17"/>
  </w:num>
  <w:num w:numId="17">
    <w:abstractNumId w:val="5"/>
  </w:num>
  <w:num w:numId="18">
    <w:abstractNumId w:val="32"/>
  </w:num>
  <w:num w:numId="19">
    <w:abstractNumId w:val="43"/>
  </w:num>
  <w:num w:numId="20">
    <w:abstractNumId w:val="30"/>
  </w:num>
  <w:num w:numId="21">
    <w:abstractNumId w:val="42"/>
  </w:num>
  <w:num w:numId="22">
    <w:abstractNumId w:val="6"/>
  </w:num>
  <w:num w:numId="23">
    <w:abstractNumId w:val="2"/>
  </w:num>
  <w:num w:numId="24">
    <w:abstractNumId w:val="31"/>
  </w:num>
  <w:num w:numId="25">
    <w:abstractNumId w:val="34"/>
  </w:num>
  <w:num w:numId="26">
    <w:abstractNumId w:val="14"/>
  </w:num>
  <w:num w:numId="27">
    <w:abstractNumId w:val="29"/>
  </w:num>
  <w:num w:numId="28">
    <w:abstractNumId w:val="26"/>
  </w:num>
  <w:num w:numId="29">
    <w:abstractNumId w:val="45"/>
  </w:num>
  <w:num w:numId="30">
    <w:abstractNumId w:val="20"/>
  </w:num>
  <w:num w:numId="31">
    <w:abstractNumId w:val="24"/>
  </w:num>
  <w:num w:numId="32">
    <w:abstractNumId w:val="3"/>
  </w:num>
  <w:num w:numId="33">
    <w:abstractNumId w:val="10"/>
  </w:num>
  <w:num w:numId="34">
    <w:abstractNumId w:val="21"/>
  </w:num>
  <w:num w:numId="35">
    <w:abstractNumId w:val="44"/>
  </w:num>
  <w:num w:numId="36">
    <w:abstractNumId w:val="19"/>
  </w:num>
  <w:num w:numId="37">
    <w:abstractNumId w:val="35"/>
  </w:num>
  <w:num w:numId="38">
    <w:abstractNumId w:val="16"/>
  </w:num>
  <w:num w:numId="39">
    <w:abstractNumId w:val="38"/>
  </w:num>
  <w:num w:numId="40">
    <w:abstractNumId w:val="18"/>
  </w:num>
  <w:num w:numId="41">
    <w:abstractNumId w:val="22"/>
  </w:num>
  <w:num w:numId="42">
    <w:abstractNumId w:val="33"/>
  </w:num>
  <w:num w:numId="43">
    <w:abstractNumId w:val="12"/>
  </w:num>
  <w:num w:numId="44">
    <w:abstractNumId w:val="28"/>
  </w:num>
  <w:num w:numId="45">
    <w:abstractNumId w:val="36"/>
  </w:num>
  <w:num w:numId="46">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efaultTableStyle w:val="LightList-Accent1"/>
  <w:drawingGridHorizontalSpacing w:val="10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C7"/>
    <w:rsid w:val="0000308D"/>
    <w:rsid w:val="0000476D"/>
    <w:rsid w:val="000052E2"/>
    <w:rsid w:val="00007D4E"/>
    <w:rsid w:val="0001006B"/>
    <w:rsid w:val="00012189"/>
    <w:rsid w:val="00012951"/>
    <w:rsid w:val="00013561"/>
    <w:rsid w:val="000143C6"/>
    <w:rsid w:val="000153DF"/>
    <w:rsid w:val="00015C58"/>
    <w:rsid w:val="00020278"/>
    <w:rsid w:val="000202E1"/>
    <w:rsid w:val="00021405"/>
    <w:rsid w:val="000220D9"/>
    <w:rsid w:val="0002433D"/>
    <w:rsid w:val="00024B59"/>
    <w:rsid w:val="00024BBB"/>
    <w:rsid w:val="00024E29"/>
    <w:rsid w:val="000258AE"/>
    <w:rsid w:val="0002657F"/>
    <w:rsid w:val="00030E8F"/>
    <w:rsid w:val="00031593"/>
    <w:rsid w:val="00032BE7"/>
    <w:rsid w:val="00035AF2"/>
    <w:rsid w:val="0003695D"/>
    <w:rsid w:val="00036D50"/>
    <w:rsid w:val="00037AD8"/>
    <w:rsid w:val="0004079A"/>
    <w:rsid w:val="00040D06"/>
    <w:rsid w:val="00041916"/>
    <w:rsid w:val="00042943"/>
    <w:rsid w:val="00043F7B"/>
    <w:rsid w:val="00043FFD"/>
    <w:rsid w:val="00044053"/>
    <w:rsid w:val="00044BEF"/>
    <w:rsid w:val="00044C4E"/>
    <w:rsid w:val="00045D7D"/>
    <w:rsid w:val="0004680E"/>
    <w:rsid w:val="0004709B"/>
    <w:rsid w:val="0004746F"/>
    <w:rsid w:val="0004789D"/>
    <w:rsid w:val="0005322B"/>
    <w:rsid w:val="00054FD4"/>
    <w:rsid w:val="00055413"/>
    <w:rsid w:val="000576D8"/>
    <w:rsid w:val="00057934"/>
    <w:rsid w:val="000605F0"/>
    <w:rsid w:val="00061370"/>
    <w:rsid w:val="000621BC"/>
    <w:rsid w:val="00062F76"/>
    <w:rsid w:val="00063374"/>
    <w:rsid w:val="00063D90"/>
    <w:rsid w:val="0006416B"/>
    <w:rsid w:val="00064FA1"/>
    <w:rsid w:val="00065F46"/>
    <w:rsid w:val="00066586"/>
    <w:rsid w:val="00066B7A"/>
    <w:rsid w:val="00066DF5"/>
    <w:rsid w:val="00066F0F"/>
    <w:rsid w:val="00067142"/>
    <w:rsid w:val="00067261"/>
    <w:rsid w:val="000713E7"/>
    <w:rsid w:val="00073D9D"/>
    <w:rsid w:val="00074DD1"/>
    <w:rsid w:val="00075621"/>
    <w:rsid w:val="000757C1"/>
    <w:rsid w:val="000765F2"/>
    <w:rsid w:val="00080664"/>
    <w:rsid w:val="000807F9"/>
    <w:rsid w:val="00080D75"/>
    <w:rsid w:val="000810D1"/>
    <w:rsid w:val="00082342"/>
    <w:rsid w:val="00085270"/>
    <w:rsid w:val="00086236"/>
    <w:rsid w:val="00087687"/>
    <w:rsid w:val="000876AA"/>
    <w:rsid w:val="0008773F"/>
    <w:rsid w:val="000915F8"/>
    <w:rsid w:val="00092119"/>
    <w:rsid w:val="00092C36"/>
    <w:rsid w:val="00093288"/>
    <w:rsid w:val="00093346"/>
    <w:rsid w:val="00093B2B"/>
    <w:rsid w:val="00095281"/>
    <w:rsid w:val="00095EF2"/>
    <w:rsid w:val="00095F19"/>
    <w:rsid w:val="00097A7A"/>
    <w:rsid w:val="00097CE8"/>
    <w:rsid w:val="000A06C6"/>
    <w:rsid w:val="000A0C88"/>
    <w:rsid w:val="000A20D3"/>
    <w:rsid w:val="000A44CD"/>
    <w:rsid w:val="000A4CD1"/>
    <w:rsid w:val="000A4FF3"/>
    <w:rsid w:val="000A5044"/>
    <w:rsid w:val="000A5162"/>
    <w:rsid w:val="000A7111"/>
    <w:rsid w:val="000B0FD7"/>
    <w:rsid w:val="000B3143"/>
    <w:rsid w:val="000B318C"/>
    <w:rsid w:val="000B447D"/>
    <w:rsid w:val="000B5B31"/>
    <w:rsid w:val="000B61FA"/>
    <w:rsid w:val="000C208F"/>
    <w:rsid w:val="000C2879"/>
    <w:rsid w:val="000C30D1"/>
    <w:rsid w:val="000C4FA6"/>
    <w:rsid w:val="000C79E4"/>
    <w:rsid w:val="000D13C2"/>
    <w:rsid w:val="000D1E1E"/>
    <w:rsid w:val="000D1F2D"/>
    <w:rsid w:val="000D2EAC"/>
    <w:rsid w:val="000D40A6"/>
    <w:rsid w:val="000D5032"/>
    <w:rsid w:val="000D753A"/>
    <w:rsid w:val="000E0019"/>
    <w:rsid w:val="000E2ACB"/>
    <w:rsid w:val="000E3045"/>
    <w:rsid w:val="000E37B2"/>
    <w:rsid w:val="000E58D6"/>
    <w:rsid w:val="000F2553"/>
    <w:rsid w:val="000F379F"/>
    <w:rsid w:val="000F4567"/>
    <w:rsid w:val="000F4782"/>
    <w:rsid w:val="000F4AE7"/>
    <w:rsid w:val="000F510E"/>
    <w:rsid w:val="000F5AFB"/>
    <w:rsid w:val="000F7597"/>
    <w:rsid w:val="00100537"/>
    <w:rsid w:val="00100875"/>
    <w:rsid w:val="0010188A"/>
    <w:rsid w:val="00101AA9"/>
    <w:rsid w:val="0010231F"/>
    <w:rsid w:val="00102E6D"/>
    <w:rsid w:val="0010565F"/>
    <w:rsid w:val="00105EE1"/>
    <w:rsid w:val="001109AF"/>
    <w:rsid w:val="001109D6"/>
    <w:rsid w:val="0011337D"/>
    <w:rsid w:val="00113C44"/>
    <w:rsid w:val="001149C4"/>
    <w:rsid w:val="00115D78"/>
    <w:rsid w:val="0011623D"/>
    <w:rsid w:val="00117D5F"/>
    <w:rsid w:val="00121B4B"/>
    <w:rsid w:val="00122363"/>
    <w:rsid w:val="00122598"/>
    <w:rsid w:val="001226EA"/>
    <w:rsid w:val="00122799"/>
    <w:rsid w:val="001228B3"/>
    <w:rsid w:val="00123583"/>
    <w:rsid w:val="0012392D"/>
    <w:rsid w:val="0012419A"/>
    <w:rsid w:val="00125CF1"/>
    <w:rsid w:val="00125D8E"/>
    <w:rsid w:val="0012663F"/>
    <w:rsid w:val="00127678"/>
    <w:rsid w:val="00127B40"/>
    <w:rsid w:val="00127F13"/>
    <w:rsid w:val="001323CF"/>
    <w:rsid w:val="00133FF6"/>
    <w:rsid w:val="00134DE7"/>
    <w:rsid w:val="001363FE"/>
    <w:rsid w:val="001368A2"/>
    <w:rsid w:val="00136DFC"/>
    <w:rsid w:val="00140C70"/>
    <w:rsid w:val="00141099"/>
    <w:rsid w:val="0014130D"/>
    <w:rsid w:val="00143381"/>
    <w:rsid w:val="001435D0"/>
    <w:rsid w:val="001445BA"/>
    <w:rsid w:val="00145457"/>
    <w:rsid w:val="00146C8E"/>
    <w:rsid w:val="001475CC"/>
    <w:rsid w:val="0015311C"/>
    <w:rsid w:val="00153914"/>
    <w:rsid w:val="0015473C"/>
    <w:rsid w:val="00154EC1"/>
    <w:rsid w:val="0015571D"/>
    <w:rsid w:val="00155B35"/>
    <w:rsid w:val="00155B5C"/>
    <w:rsid w:val="001611F3"/>
    <w:rsid w:val="001612F8"/>
    <w:rsid w:val="00161577"/>
    <w:rsid w:val="001620F4"/>
    <w:rsid w:val="001623F7"/>
    <w:rsid w:val="001628B4"/>
    <w:rsid w:val="00163257"/>
    <w:rsid w:val="00163C46"/>
    <w:rsid w:val="00163ECA"/>
    <w:rsid w:val="00163F98"/>
    <w:rsid w:val="00165BF2"/>
    <w:rsid w:val="0016683F"/>
    <w:rsid w:val="00167300"/>
    <w:rsid w:val="00167EF7"/>
    <w:rsid w:val="00170647"/>
    <w:rsid w:val="00171B90"/>
    <w:rsid w:val="0017285C"/>
    <w:rsid w:val="00173D5C"/>
    <w:rsid w:val="00174610"/>
    <w:rsid w:val="00174CBE"/>
    <w:rsid w:val="001755D8"/>
    <w:rsid w:val="001758A7"/>
    <w:rsid w:val="00175CEF"/>
    <w:rsid w:val="001764A1"/>
    <w:rsid w:val="00180337"/>
    <w:rsid w:val="00181C2D"/>
    <w:rsid w:val="00181EC7"/>
    <w:rsid w:val="001827F1"/>
    <w:rsid w:val="001829F2"/>
    <w:rsid w:val="00183664"/>
    <w:rsid w:val="001838A9"/>
    <w:rsid w:val="00185097"/>
    <w:rsid w:val="001852A8"/>
    <w:rsid w:val="00185E76"/>
    <w:rsid w:val="00187750"/>
    <w:rsid w:val="00187BE2"/>
    <w:rsid w:val="00187ED9"/>
    <w:rsid w:val="00191338"/>
    <w:rsid w:val="00191DEC"/>
    <w:rsid w:val="00192AE9"/>
    <w:rsid w:val="00194014"/>
    <w:rsid w:val="001944E9"/>
    <w:rsid w:val="001960F3"/>
    <w:rsid w:val="00196C9C"/>
    <w:rsid w:val="001A06C1"/>
    <w:rsid w:val="001A2E3C"/>
    <w:rsid w:val="001A3564"/>
    <w:rsid w:val="001A4F25"/>
    <w:rsid w:val="001A5BAF"/>
    <w:rsid w:val="001A6350"/>
    <w:rsid w:val="001A6531"/>
    <w:rsid w:val="001A683B"/>
    <w:rsid w:val="001A6A04"/>
    <w:rsid w:val="001A6BD8"/>
    <w:rsid w:val="001A712D"/>
    <w:rsid w:val="001A72DC"/>
    <w:rsid w:val="001A7EEA"/>
    <w:rsid w:val="001B0256"/>
    <w:rsid w:val="001B0A79"/>
    <w:rsid w:val="001B1497"/>
    <w:rsid w:val="001B258B"/>
    <w:rsid w:val="001B280B"/>
    <w:rsid w:val="001B36F3"/>
    <w:rsid w:val="001B384C"/>
    <w:rsid w:val="001B3977"/>
    <w:rsid w:val="001B61AD"/>
    <w:rsid w:val="001B746F"/>
    <w:rsid w:val="001B7509"/>
    <w:rsid w:val="001B7A3E"/>
    <w:rsid w:val="001C0FC7"/>
    <w:rsid w:val="001C17D9"/>
    <w:rsid w:val="001C1F16"/>
    <w:rsid w:val="001C3C98"/>
    <w:rsid w:val="001C4291"/>
    <w:rsid w:val="001C45D2"/>
    <w:rsid w:val="001C50B4"/>
    <w:rsid w:val="001C5540"/>
    <w:rsid w:val="001C59FF"/>
    <w:rsid w:val="001C5F82"/>
    <w:rsid w:val="001D211C"/>
    <w:rsid w:val="001D36F4"/>
    <w:rsid w:val="001D3911"/>
    <w:rsid w:val="001D542F"/>
    <w:rsid w:val="001D5979"/>
    <w:rsid w:val="001D59B6"/>
    <w:rsid w:val="001D5A10"/>
    <w:rsid w:val="001D5B27"/>
    <w:rsid w:val="001D6012"/>
    <w:rsid w:val="001D6B32"/>
    <w:rsid w:val="001D6B82"/>
    <w:rsid w:val="001E03C4"/>
    <w:rsid w:val="001E1212"/>
    <w:rsid w:val="001E1BAF"/>
    <w:rsid w:val="001E1EBC"/>
    <w:rsid w:val="001E2E9C"/>
    <w:rsid w:val="001E3E9A"/>
    <w:rsid w:val="001E3EC7"/>
    <w:rsid w:val="001E583C"/>
    <w:rsid w:val="001E58D2"/>
    <w:rsid w:val="001E5A8D"/>
    <w:rsid w:val="001F01C6"/>
    <w:rsid w:val="001F1D28"/>
    <w:rsid w:val="001F3F4D"/>
    <w:rsid w:val="001F5881"/>
    <w:rsid w:val="001F6237"/>
    <w:rsid w:val="002001CC"/>
    <w:rsid w:val="00200270"/>
    <w:rsid w:val="00200D38"/>
    <w:rsid w:val="00201B0C"/>
    <w:rsid w:val="00201C96"/>
    <w:rsid w:val="0020511E"/>
    <w:rsid w:val="002058EE"/>
    <w:rsid w:val="00205A80"/>
    <w:rsid w:val="002066D7"/>
    <w:rsid w:val="0020684D"/>
    <w:rsid w:val="00207883"/>
    <w:rsid w:val="00207C0C"/>
    <w:rsid w:val="002111FE"/>
    <w:rsid w:val="00211C5A"/>
    <w:rsid w:val="002125CF"/>
    <w:rsid w:val="0021291F"/>
    <w:rsid w:val="002140A4"/>
    <w:rsid w:val="00214913"/>
    <w:rsid w:val="002155DB"/>
    <w:rsid w:val="00216400"/>
    <w:rsid w:val="002227D3"/>
    <w:rsid w:val="002236D8"/>
    <w:rsid w:val="002268B3"/>
    <w:rsid w:val="002272B1"/>
    <w:rsid w:val="0022775F"/>
    <w:rsid w:val="0023188D"/>
    <w:rsid w:val="002320AE"/>
    <w:rsid w:val="00232958"/>
    <w:rsid w:val="00234D8D"/>
    <w:rsid w:val="002360D1"/>
    <w:rsid w:val="002375B8"/>
    <w:rsid w:val="002407EF"/>
    <w:rsid w:val="00240A3C"/>
    <w:rsid w:val="002428C2"/>
    <w:rsid w:val="0024308B"/>
    <w:rsid w:val="00243F1D"/>
    <w:rsid w:val="00244637"/>
    <w:rsid w:val="00246D8E"/>
    <w:rsid w:val="00246E66"/>
    <w:rsid w:val="002470B0"/>
    <w:rsid w:val="002471EB"/>
    <w:rsid w:val="002473D7"/>
    <w:rsid w:val="00247560"/>
    <w:rsid w:val="002510B7"/>
    <w:rsid w:val="00251EDD"/>
    <w:rsid w:val="00252F88"/>
    <w:rsid w:val="00254A5B"/>
    <w:rsid w:val="00254AF6"/>
    <w:rsid w:val="00254D51"/>
    <w:rsid w:val="00255BD1"/>
    <w:rsid w:val="002574C1"/>
    <w:rsid w:val="0026064E"/>
    <w:rsid w:val="0026283D"/>
    <w:rsid w:val="00262DE7"/>
    <w:rsid w:val="002635C2"/>
    <w:rsid w:val="0026504B"/>
    <w:rsid w:val="00266167"/>
    <w:rsid w:val="002705F5"/>
    <w:rsid w:val="0027158F"/>
    <w:rsid w:val="0027221F"/>
    <w:rsid w:val="00272713"/>
    <w:rsid w:val="00273AC0"/>
    <w:rsid w:val="00273E0F"/>
    <w:rsid w:val="00275799"/>
    <w:rsid w:val="002759B8"/>
    <w:rsid w:val="00275FB2"/>
    <w:rsid w:val="00276AE7"/>
    <w:rsid w:val="00277434"/>
    <w:rsid w:val="0027744B"/>
    <w:rsid w:val="0028068F"/>
    <w:rsid w:val="002816D4"/>
    <w:rsid w:val="00281D56"/>
    <w:rsid w:val="00286C39"/>
    <w:rsid w:val="00286DD1"/>
    <w:rsid w:val="0028717B"/>
    <w:rsid w:val="0029077A"/>
    <w:rsid w:val="00290F2E"/>
    <w:rsid w:val="00293690"/>
    <w:rsid w:val="00294574"/>
    <w:rsid w:val="00294F0A"/>
    <w:rsid w:val="002950D9"/>
    <w:rsid w:val="00295506"/>
    <w:rsid w:val="00295545"/>
    <w:rsid w:val="00295E4E"/>
    <w:rsid w:val="00297987"/>
    <w:rsid w:val="002A1828"/>
    <w:rsid w:val="002A1860"/>
    <w:rsid w:val="002A2456"/>
    <w:rsid w:val="002A4046"/>
    <w:rsid w:val="002A4C21"/>
    <w:rsid w:val="002A5046"/>
    <w:rsid w:val="002A68D4"/>
    <w:rsid w:val="002A7531"/>
    <w:rsid w:val="002A7E8A"/>
    <w:rsid w:val="002B0DEA"/>
    <w:rsid w:val="002B0F38"/>
    <w:rsid w:val="002B2441"/>
    <w:rsid w:val="002B35AE"/>
    <w:rsid w:val="002B4EAB"/>
    <w:rsid w:val="002B4FC2"/>
    <w:rsid w:val="002B62E9"/>
    <w:rsid w:val="002C0F6B"/>
    <w:rsid w:val="002C10D2"/>
    <w:rsid w:val="002C1C7D"/>
    <w:rsid w:val="002C1E95"/>
    <w:rsid w:val="002C2BD5"/>
    <w:rsid w:val="002C3467"/>
    <w:rsid w:val="002C378D"/>
    <w:rsid w:val="002C3B2E"/>
    <w:rsid w:val="002C42A4"/>
    <w:rsid w:val="002C469E"/>
    <w:rsid w:val="002C47A3"/>
    <w:rsid w:val="002C52D0"/>
    <w:rsid w:val="002C5C27"/>
    <w:rsid w:val="002C5EB2"/>
    <w:rsid w:val="002C743D"/>
    <w:rsid w:val="002D0041"/>
    <w:rsid w:val="002D217D"/>
    <w:rsid w:val="002D2C15"/>
    <w:rsid w:val="002D538C"/>
    <w:rsid w:val="002D6664"/>
    <w:rsid w:val="002D76EE"/>
    <w:rsid w:val="002D774F"/>
    <w:rsid w:val="002D7866"/>
    <w:rsid w:val="002D7B82"/>
    <w:rsid w:val="002D7BA7"/>
    <w:rsid w:val="002E1126"/>
    <w:rsid w:val="002E128E"/>
    <w:rsid w:val="002E161B"/>
    <w:rsid w:val="002E2CA5"/>
    <w:rsid w:val="002E3119"/>
    <w:rsid w:val="002E3C7A"/>
    <w:rsid w:val="002E3F5A"/>
    <w:rsid w:val="002E4615"/>
    <w:rsid w:val="002E62BB"/>
    <w:rsid w:val="002F0738"/>
    <w:rsid w:val="002F0B03"/>
    <w:rsid w:val="002F1114"/>
    <w:rsid w:val="002F16D7"/>
    <w:rsid w:val="002F2982"/>
    <w:rsid w:val="002F3E9E"/>
    <w:rsid w:val="002F4B3E"/>
    <w:rsid w:val="002F655C"/>
    <w:rsid w:val="002F66B4"/>
    <w:rsid w:val="002F6D58"/>
    <w:rsid w:val="002F73FA"/>
    <w:rsid w:val="002F7BFC"/>
    <w:rsid w:val="00300726"/>
    <w:rsid w:val="003024B2"/>
    <w:rsid w:val="003028CC"/>
    <w:rsid w:val="0030295F"/>
    <w:rsid w:val="003044BC"/>
    <w:rsid w:val="00304A8A"/>
    <w:rsid w:val="00304B80"/>
    <w:rsid w:val="00305F61"/>
    <w:rsid w:val="0030630C"/>
    <w:rsid w:val="00306A87"/>
    <w:rsid w:val="00307050"/>
    <w:rsid w:val="00307955"/>
    <w:rsid w:val="00310836"/>
    <w:rsid w:val="00311476"/>
    <w:rsid w:val="0031278F"/>
    <w:rsid w:val="00312848"/>
    <w:rsid w:val="00313519"/>
    <w:rsid w:val="003136E5"/>
    <w:rsid w:val="00313B07"/>
    <w:rsid w:val="00313FCE"/>
    <w:rsid w:val="00314F9A"/>
    <w:rsid w:val="003162AA"/>
    <w:rsid w:val="003174D5"/>
    <w:rsid w:val="003200E0"/>
    <w:rsid w:val="00320969"/>
    <w:rsid w:val="003217A6"/>
    <w:rsid w:val="00323045"/>
    <w:rsid w:val="00323306"/>
    <w:rsid w:val="00324536"/>
    <w:rsid w:val="003254C4"/>
    <w:rsid w:val="00325791"/>
    <w:rsid w:val="003277D4"/>
    <w:rsid w:val="00327C57"/>
    <w:rsid w:val="003303CD"/>
    <w:rsid w:val="00331B4B"/>
    <w:rsid w:val="00333520"/>
    <w:rsid w:val="00333541"/>
    <w:rsid w:val="0033369A"/>
    <w:rsid w:val="00334C16"/>
    <w:rsid w:val="003355CC"/>
    <w:rsid w:val="00337420"/>
    <w:rsid w:val="0033747E"/>
    <w:rsid w:val="003405C0"/>
    <w:rsid w:val="003408E7"/>
    <w:rsid w:val="00340A1C"/>
    <w:rsid w:val="00342A04"/>
    <w:rsid w:val="00342E5C"/>
    <w:rsid w:val="00342F97"/>
    <w:rsid w:val="003443E5"/>
    <w:rsid w:val="003447EF"/>
    <w:rsid w:val="0034516E"/>
    <w:rsid w:val="003460A0"/>
    <w:rsid w:val="00347652"/>
    <w:rsid w:val="003479B7"/>
    <w:rsid w:val="003515B3"/>
    <w:rsid w:val="003515D5"/>
    <w:rsid w:val="003522B8"/>
    <w:rsid w:val="00352D6D"/>
    <w:rsid w:val="003531C4"/>
    <w:rsid w:val="003559BE"/>
    <w:rsid w:val="00355F9D"/>
    <w:rsid w:val="0035664B"/>
    <w:rsid w:val="00356A0C"/>
    <w:rsid w:val="00356E77"/>
    <w:rsid w:val="00360958"/>
    <w:rsid w:val="00363DB2"/>
    <w:rsid w:val="00364525"/>
    <w:rsid w:val="00364DB3"/>
    <w:rsid w:val="00364F28"/>
    <w:rsid w:val="00365EEB"/>
    <w:rsid w:val="00366AF5"/>
    <w:rsid w:val="00370F00"/>
    <w:rsid w:val="00371197"/>
    <w:rsid w:val="003717A4"/>
    <w:rsid w:val="003720B7"/>
    <w:rsid w:val="00373BF2"/>
    <w:rsid w:val="003746B1"/>
    <w:rsid w:val="003748B3"/>
    <w:rsid w:val="00375C0B"/>
    <w:rsid w:val="00376A8F"/>
    <w:rsid w:val="00377666"/>
    <w:rsid w:val="003813AA"/>
    <w:rsid w:val="00381458"/>
    <w:rsid w:val="00381827"/>
    <w:rsid w:val="00381D68"/>
    <w:rsid w:val="00382541"/>
    <w:rsid w:val="0038452A"/>
    <w:rsid w:val="00386F1F"/>
    <w:rsid w:val="00387D2F"/>
    <w:rsid w:val="00387DFD"/>
    <w:rsid w:val="00387F92"/>
    <w:rsid w:val="0039124A"/>
    <w:rsid w:val="003913EA"/>
    <w:rsid w:val="0039217D"/>
    <w:rsid w:val="0039232C"/>
    <w:rsid w:val="00392E43"/>
    <w:rsid w:val="00392FA0"/>
    <w:rsid w:val="003951FE"/>
    <w:rsid w:val="00395386"/>
    <w:rsid w:val="0039573B"/>
    <w:rsid w:val="00395F9F"/>
    <w:rsid w:val="00397898"/>
    <w:rsid w:val="003A11E1"/>
    <w:rsid w:val="003A147E"/>
    <w:rsid w:val="003A3365"/>
    <w:rsid w:val="003A3672"/>
    <w:rsid w:val="003A4E74"/>
    <w:rsid w:val="003A5421"/>
    <w:rsid w:val="003A56F3"/>
    <w:rsid w:val="003A612D"/>
    <w:rsid w:val="003A682B"/>
    <w:rsid w:val="003A7733"/>
    <w:rsid w:val="003B20FC"/>
    <w:rsid w:val="003B3070"/>
    <w:rsid w:val="003B522B"/>
    <w:rsid w:val="003B5FDB"/>
    <w:rsid w:val="003B7954"/>
    <w:rsid w:val="003C1708"/>
    <w:rsid w:val="003C1DB4"/>
    <w:rsid w:val="003C2FA9"/>
    <w:rsid w:val="003C310B"/>
    <w:rsid w:val="003C34B2"/>
    <w:rsid w:val="003C419E"/>
    <w:rsid w:val="003C4F4C"/>
    <w:rsid w:val="003C617F"/>
    <w:rsid w:val="003C6998"/>
    <w:rsid w:val="003C74B0"/>
    <w:rsid w:val="003D10FC"/>
    <w:rsid w:val="003D172D"/>
    <w:rsid w:val="003D1761"/>
    <w:rsid w:val="003D2662"/>
    <w:rsid w:val="003D2B1D"/>
    <w:rsid w:val="003D2B26"/>
    <w:rsid w:val="003D2DEB"/>
    <w:rsid w:val="003D4E09"/>
    <w:rsid w:val="003D55BD"/>
    <w:rsid w:val="003D57BF"/>
    <w:rsid w:val="003D6338"/>
    <w:rsid w:val="003D65F4"/>
    <w:rsid w:val="003D66C7"/>
    <w:rsid w:val="003D7139"/>
    <w:rsid w:val="003D7685"/>
    <w:rsid w:val="003E01F2"/>
    <w:rsid w:val="003E1120"/>
    <w:rsid w:val="003E1E1D"/>
    <w:rsid w:val="003E3E87"/>
    <w:rsid w:val="003E3FB5"/>
    <w:rsid w:val="003E44C1"/>
    <w:rsid w:val="003E5628"/>
    <w:rsid w:val="003E5D8D"/>
    <w:rsid w:val="003E5FAE"/>
    <w:rsid w:val="003E6D81"/>
    <w:rsid w:val="003F1096"/>
    <w:rsid w:val="004000BF"/>
    <w:rsid w:val="0040094B"/>
    <w:rsid w:val="00400AA8"/>
    <w:rsid w:val="004018A6"/>
    <w:rsid w:val="00401974"/>
    <w:rsid w:val="00401D68"/>
    <w:rsid w:val="00402609"/>
    <w:rsid w:val="00403AAB"/>
    <w:rsid w:val="00407566"/>
    <w:rsid w:val="0041027F"/>
    <w:rsid w:val="0041093B"/>
    <w:rsid w:val="00413557"/>
    <w:rsid w:val="0041408A"/>
    <w:rsid w:val="00414913"/>
    <w:rsid w:val="00414F68"/>
    <w:rsid w:val="0041555D"/>
    <w:rsid w:val="0041568F"/>
    <w:rsid w:val="00417561"/>
    <w:rsid w:val="00420594"/>
    <w:rsid w:val="00420B79"/>
    <w:rsid w:val="00420EFF"/>
    <w:rsid w:val="0042244C"/>
    <w:rsid w:val="0042259A"/>
    <w:rsid w:val="004226BD"/>
    <w:rsid w:val="00422ACB"/>
    <w:rsid w:val="004243DF"/>
    <w:rsid w:val="00424426"/>
    <w:rsid w:val="00424EB6"/>
    <w:rsid w:val="004257B5"/>
    <w:rsid w:val="00425E4E"/>
    <w:rsid w:val="00427EE4"/>
    <w:rsid w:val="004317FC"/>
    <w:rsid w:val="00431C0C"/>
    <w:rsid w:val="00432E30"/>
    <w:rsid w:val="004331D8"/>
    <w:rsid w:val="00433745"/>
    <w:rsid w:val="00433D0D"/>
    <w:rsid w:val="00433F91"/>
    <w:rsid w:val="004348C5"/>
    <w:rsid w:val="0043546A"/>
    <w:rsid w:val="00435994"/>
    <w:rsid w:val="0043676E"/>
    <w:rsid w:val="00437EE2"/>
    <w:rsid w:val="00440048"/>
    <w:rsid w:val="00440942"/>
    <w:rsid w:val="004412CD"/>
    <w:rsid w:val="004412DB"/>
    <w:rsid w:val="00442E35"/>
    <w:rsid w:val="00442FA6"/>
    <w:rsid w:val="004440EE"/>
    <w:rsid w:val="0044472C"/>
    <w:rsid w:val="00444F66"/>
    <w:rsid w:val="00445B99"/>
    <w:rsid w:val="00445EE6"/>
    <w:rsid w:val="004478F5"/>
    <w:rsid w:val="0044797C"/>
    <w:rsid w:val="00450361"/>
    <w:rsid w:val="0045103E"/>
    <w:rsid w:val="004514D8"/>
    <w:rsid w:val="004518A1"/>
    <w:rsid w:val="00451ED3"/>
    <w:rsid w:val="00452444"/>
    <w:rsid w:val="0045290D"/>
    <w:rsid w:val="00453262"/>
    <w:rsid w:val="00453856"/>
    <w:rsid w:val="00453E0D"/>
    <w:rsid w:val="00457272"/>
    <w:rsid w:val="00457640"/>
    <w:rsid w:val="00457C1A"/>
    <w:rsid w:val="00460296"/>
    <w:rsid w:val="004609B4"/>
    <w:rsid w:val="00460F39"/>
    <w:rsid w:val="00461F1A"/>
    <w:rsid w:val="00462A6B"/>
    <w:rsid w:val="00464E37"/>
    <w:rsid w:val="00465F71"/>
    <w:rsid w:val="004667C3"/>
    <w:rsid w:val="00467433"/>
    <w:rsid w:val="004677CE"/>
    <w:rsid w:val="00470178"/>
    <w:rsid w:val="0047222C"/>
    <w:rsid w:val="00472E09"/>
    <w:rsid w:val="004737CF"/>
    <w:rsid w:val="0047513A"/>
    <w:rsid w:val="004751CF"/>
    <w:rsid w:val="00475719"/>
    <w:rsid w:val="004759A3"/>
    <w:rsid w:val="00476807"/>
    <w:rsid w:val="00476B5F"/>
    <w:rsid w:val="00477081"/>
    <w:rsid w:val="00477343"/>
    <w:rsid w:val="004778B5"/>
    <w:rsid w:val="004803BE"/>
    <w:rsid w:val="00482429"/>
    <w:rsid w:val="00482677"/>
    <w:rsid w:val="00483A28"/>
    <w:rsid w:val="00484010"/>
    <w:rsid w:val="004848ED"/>
    <w:rsid w:val="00484E7F"/>
    <w:rsid w:val="00487218"/>
    <w:rsid w:val="00490607"/>
    <w:rsid w:val="0049246B"/>
    <w:rsid w:val="004964F6"/>
    <w:rsid w:val="00496629"/>
    <w:rsid w:val="00497128"/>
    <w:rsid w:val="00497C8A"/>
    <w:rsid w:val="00497F9F"/>
    <w:rsid w:val="004A0715"/>
    <w:rsid w:val="004A1414"/>
    <w:rsid w:val="004A1C61"/>
    <w:rsid w:val="004A258F"/>
    <w:rsid w:val="004A28DB"/>
    <w:rsid w:val="004A2990"/>
    <w:rsid w:val="004A2DB2"/>
    <w:rsid w:val="004A46F9"/>
    <w:rsid w:val="004A4E56"/>
    <w:rsid w:val="004A5C04"/>
    <w:rsid w:val="004A63FF"/>
    <w:rsid w:val="004A6607"/>
    <w:rsid w:val="004A6C04"/>
    <w:rsid w:val="004B1E42"/>
    <w:rsid w:val="004B2F7F"/>
    <w:rsid w:val="004B3AD9"/>
    <w:rsid w:val="004B4420"/>
    <w:rsid w:val="004B4ED2"/>
    <w:rsid w:val="004B73F5"/>
    <w:rsid w:val="004C0DA2"/>
    <w:rsid w:val="004C2642"/>
    <w:rsid w:val="004C2CE9"/>
    <w:rsid w:val="004C3427"/>
    <w:rsid w:val="004C3D93"/>
    <w:rsid w:val="004C3E39"/>
    <w:rsid w:val="004C4897"/>
    <w:rsid w:val="004C7682"/>
    <w:rsid w:val="004D05AF"/>
    <w:rsid w:val="004D1EA5"/>
    <w:rsid w:val="004D21C4"/>
    <w:rsid w:val="004D2702"/>
    <w:rsid w:val="004D358A"/>
    <w:rsid w:val="004D4671"/>
    <w:rsid w:val="004D5424"/>
    <w:rsid w:val="004D639F"/>
    <w:rsid w:val="004D67BD"/>
    <w:rsid w:val="004E0678"/>
    <w:rsid w:val="004E0AAB"/>
    <w:rsid w:val="004E0C45"/>
    <w:rsid w:val="004E0CA6"/>
    <w:rsid w:val="004E2685"/>
    <w:rsid w:val="004E2D5D"/>
    <w:rsid w:val="004E2F23"/>
    <w:rsid w:val="004E3225"/>
    <w:rsid w:val="004E4945"/>
    <w:rsid w:val="004E4B85"/>
    <w:rsid w:val="004E4DDA"/>
    <w:rsid w:val="004E5A0E"/>
    <w:rsid w:val="004E613E"/>
    <w:rsid w:val="004F0061"/>
    <w:rsid w:val="004F118F"/>
    <w:rsid w:val="004F26AA"/>
    <w:rsid w:val="004F3FFC"/>
    <w:rsid w:val="004F4794"/>
    <w:rsid w:val="004F4B72"/>
    <w:rsid w:val="004F5503"/>
    <w:rsid w:val="004F606F"/>
    <w:rsid w:val="004F6FD0"/>
    <w:rsid w:val="004F778D"/>
    <w:rsid w:val="0050082F"/>
    <w:rsid w:val="00501180"/>
    <w:rsid w:val="0050138B"/>
    <w:rsid w:val="005016F8"/>
    <w:rsid w:val="00503145"/>
    <w:rsid w:val="0050339F"/>
    <w:rsid w:val="00503667"/>
    <w:rsid w:val="00504C24"/>
    <w:rsid w:val="00506337"/>
    <w:rsid w:val="00510A11"/>
    <w:rsid w:val="00511153"/>
    <w:rsid w:val="00511BC5"/>
    <w:rsid w:val="005121DD"/>
    <w:rsid w:val="00512796"/>
    <w:rsid w:val="005133F6"/>
    <w:rsid w:val="00513DF6"/>
    <w:rsid w:val="005154CC"/>
    <w:rsid w:val="00515A11"/>
    <w:rsid w:val="00515C0C"/>
    <w:rsid w:val="00515E25"/>
    <w:rsid w:val="00516E18"/>
    <w:rsid w:val="005175B7"/>
    <w:rsid w:val="005178B1"/>
    <w:rsid w:val="00517CBD"/>
    <w:rsid w:val="00517F64"/>
    <w:rsid w:val="0052109F"/>
    <w:rsid w:val="005210ED"/>
    <w:rsid w:val="00521647"/>
    <w:rsid w:val="005217B0"/>
    <w:rsid w:val="00521AC4"/>
    <w:rsid w:val="00523651"/>
    <w:rsid w:val="00524F84"/>
    <w:rsid w:val="00526152"/>
    <w:rsid w:val="00526C4D"/>
    <w:rsid w:val="00526E5D"/>
    <w:rsid w:val="005313E7"/>
    <w:rsid w:val="005314E4"/>
    <w:rsid w:val="00531830"/>
    <w:rsid w:val="00531C9F"/>
    <w:rsid w:val="005341FE"/>
    <w:rsid w:val="00534B2D"/>
    <w:rsid w:val="0053600C"/>
    <w:rsid w:val="00537C9F"/>
    <w:rsid w:val="00541981"/>
    <w:rsid w:val="005420EE"/>
    <w:rsid w:val="005423DF"/>
    <w:rsid w:val="00542C20"/>
    <w:rsid w:val="00543251"/>
    <w:rsid w:val="00545BC3"/>
    <w:rsid w:val="00545D04"/>
    <w:rsid w:val="00547E0E"/>
    <w:rsid w:val="0055041F"/>
    <w:rsid w:val="00550545"/>
    <w:rsid w:val="00551528"/>
    <w:rsid w:val="005536BA"/>
    <w:rsid w:val="0055529E"/>
    <w:rsid w:val="00555551"/>
    <w:rsid w:val="0055606C"/>
    <w:rsid w:val="0055639A"/>
    <w:rsid w:val="005563DD"/>
    <w:rsid w:val="00557481"/>
    <w:rsid w:val="00560150"/>
    <w:rsid w:val="005613A6"/>
    <w:rsid w:val="005617E0"/>
    <w:rsid w:val="00562681"/>
    <w:rsid w:val="00563060"/>
    <w:rsid w:val="005636E1"/>
    <w:rsid w:val="00563808"/>
    <w:rsid w:val="00563FBC"/>
    <w:rsid w:val="00564BCA"/>
    <w:rsid w:val="00565241"/>
    <w:rsid w:val="005658A5"/>
    <w:rsid w:val="00566486"/>
    <w:rsid w:val="00570C8F"/>
    <w:rsid w:val="00571871"/>
    <w:rsid w:val="00571F09"/>
    <w:rsid w:val="00574DC3"/>
    <w:rsid w:val="0057509B"/>
    <w:rsid w:val="0057569C"/>
    <w:rsid w:val="00575CB2"/>
    <w:rsid w:val="005762E3"/>
    <w:rsid w:val="00580BF3"/>
    <w:rsid w:val="0058148E"/>
    <w:rsid w:val="00582C4C"/>
    <w:rsid w:val="00583711"/>
    <w:rsid w:val="00583D1E"/>
    <w:rsid w:val="005873CB"/>
    <w:rsid w:val="005900F8"/>
    <w:rsid w:val="00591856"/>
    <w:rsid w:val="00591EBD"/>
    <w:rsid w:val="00592783"/>
    <w:rsid w:val="005928D7"/>
    <w:rsid w:val="0059425C"/>
    <w:rsid w:val="00594A89"/>
    <w:rsid w:val="00594D01"/>
    <w:rsid w:val="00595092"/>
    <w:rsid w:val="00595145"/>
    <w:rsid w:val="005952D5"/>
    <w:rsid w:val="00595AFB"/>
    <w:rsid w:val="00596BFF"/>
    <w:rsid w:val="00596F51"/>
    <w:rsid w:val="005973D4"/>
    <w:rsid w:val="005976F7"/>
    <w:rsid w:val="00597C61"/>
    <w:rsid w:val="005A005C"/>
    <w:rsid w:val="005A00E4"/>
    <w:rsid w:val="005A1D49"/>
    <w:rsid w:val="005A275A"/>
    <w:rsid w:val="005A2854"/>
    <w:rsid w:val="005A355A"/>
    <w:rsid w:val="005A4385"/>
    <w:rsid w:val="005A697C"/>
    <w:rsid w:val="005A77F2"/>
    <w:rsid w:val="005B0DE8"/>
    <w:rsid w:val="005B21BE"/>
    <w:rsid w:val="005B2830"/>
    <w:rsid w:val="005B2B15"/>
    <w:rsid w:val="005B424F"/>
    <w:rsid w:val="005B4292"/>
    <w:rsid w:val="005B4A6D"/>
    <w:rsid w:val="005B609F"/>
    <w:rsid w:val="005B7440"/>
    <w:rsid w:val="005B76E4"/>
    <w:rsid w:val="005C011B"/>
    <w:rsid w:val="005C1E23"/>
    <w:rsid w:val="005C254E"/>
    <w:rsid w:val="005C2E7D"/>
    <w:rsid w:val="005C3202"/>
    <w:rsid w:val="005C3C64"/>
    <w:rsid w:val="005C52FC"/>
    <w:rsid w:val="005C57FA"/>
    <w:rsid w:val="005D0019"/>
    <w:rsid w:val="005D0FCF"/>
    <w:rsid w:val="005D1338"/>
    <w:rsid w:val="005D1640"/>
    <w:rsid w:val="005D2282"/>
    <w:rsid w:val="005D4F33"/>
    <w:rsid w:val="005D50E4"/>
    <w:rsid w:val="005D61AE"/>
    <w:rsid w:val="005D626D"/>
    <w:rsid w:val="005D6673"/>
    <w:rsid w:val="005D6CA3"/>
    <w:rsid w:val="005D70CB"/>
    <w:rsid w:val="005D71A1"/>
    <w:rsid w:val="005D71B4"/>
    <w:rsid w:val="005D780B"/>
    <w:rsid w:val="005D7ABA"/>
    <w:rsid w:val="005D7EE9"/>
    <w:rsid w:val="005E028F"/>
    <w:rsid w:val="005E04D5"/>
    <w:rsid w:val="005E1472"/>
    <w:rsid w:val="005E26EE"/>
    <w:rsid w:val="005E33A0"/>
    <w:rsid w:val="005E3967"/>
    <w:rsid w:val="005E5602"/>
    <w:rsid w:val="005E6276"/>
    <w:rsid w:val="005E687B"/>
    <w:rsid w:val="005E7B58"/>
    <w:rsid w:val="005F07E5"/>
    <w:rsid w:val="005F1AD0"/>
    <w:rsid w:val="005F1BC8"/>
    <w:rsid w:val="005F23E6"/>
    <w:rsid w:val="005F28D8"/>
    <w:rsid w:val="005F2BA1"/>
    <w:rsid w:val="005F2BE7"/>
    <w:rsid w:val="005F3C8B"/>
    <w:rsid w:val="005F64B0"/>
    <w:rsid w:val="00600CFA"/>
    <w:rsid w:val="00600F37"/>
    <w:rsid w:val="00601079"/>
    <w:rsid w:val="0060122C"/>
    <w:rsid w:val="006013EC"/>
    <w:rsid w:val="00604E3C"/>
    <w:rsid w:val="00605294"/>
    <w:rsid w:val="00605439"/>
    <w:rsid w:val="006066E4"/>
    <w:rsid w:val="00610CC9"/>
    <w:rsid w:val="00610E8A"/>
    <w:rsid w:val="006123F2"/>
    <w:rsid w:val="0061434C"/>
    <w:rsid w:val="006147E8"/>
    <w:rsid w:val="00615245"/>
    <w:rsid w:val="006164DB"/>
    <w:rsid w:val="006179A8"/>
    <w:rsid w:val="00617EA4"/>
    <w:rsid w:val="00622C56"/>
    <w:rsid w:val="006238F2"/>
    <w:rsid w:val="00626070"/>
    <w:rsid w:val="006260AB"/>
    <w:rsid w:val="006266DE"/>
    <w:rsid w:val="00626B32"/>
    <w:rsid w:val="00626F41"/>
    <w:rsid w:val="006301EA"/>
    <w:rsid w:val="00630A13"/>
    <w:rsid w:val="00632C91"/>
    <w:rsid w:val="00634135"/>
    <w:rsid w:val="006341F4"/>
    <w:rsid w:val="00634B21"/>
    <w:rsid w:val="00635764"/>
    <w:rsid w:val="00635E46"/>
    <w:rsid w:val="00635E7F"/>
    <w:rsid w:val="006360CD"/>
    <w:rsid w:val="00637D32"/>
    <w:rsid w:val="006414AC"/>
    <w:rsid w:val="0064172E"/>
    <w:rsid w:val="00642156"/>
    <w:rsid w:val="00642EE8"/>
    <w:rsid w:val="00644317"/>
    <w:rsid w:val="00644A1A"/>
    <w:rsid w:val="006452FB"/>
    <w:rsid w:val="00645DE7"/>
    <w:rsid w:val="00646A54"/>
    <w:rsid w:val="006474D3"/>
    <w:rsid w:val="00650D9F"/>
    <w:rsid w:val="00651093"/>
    <w:rsid w:val="00651A0A"/>
    <w:rsid w:val="0065219B"/>
    <w:rsid w:val="00654F4E"/>
    <w:rsid w:val="00656267"/>
    <w:rsid w:val="006602BB"/>
    <w:rsid w:val="006605A1"/>
    <w:rsid w:val="00660671"/>
    <w:rsid w:val="00660F42"/>
    <w:rsid w:val="006612B6"/>
    <w:rsid w:val="00661BCF"/>
    <w:rsid w:val="00661DFD"/>
    <w:rsid w:val="00666535"/>
    <w:rsid w:val="0066776B"/>
    <w:rsid w:val="006678DF"/>
    <w:rsid w:val="00670E25"/>
    <w:rsid w:val="006710F6"/>
    <w:rsid w:val="0067126F"/>
    <w:rsid w:val="00673E3B"/>
    <w:rsid w:val="0067475A"/>
    <w:rsid w:val="006757FD"/>
    <w:rsid w:val="00675C4C"/>
    <w:rsid w:val="0067614C"/>
    <w:rsid w:val="00676BA6"/>
    <w:rsid w:val="006772F0"/>
    <w:rsid w:val="00680092"/>
    <w:rsid w:val="00680120"/>
    <w:rsid w:val="00680871"/>
    <w:rsid w:val="006813F6"/>
    <w:rsid w:val="0068327A"/>
    <w:rsid w:val="00683290"/>
    <w:rsid w:val="00684C9C"/>
    <w:rsid w:val="00685288"/>
    <w:rsid w:val="00685667"/>
    <w:rsid w:val="00685B43"/>
    <w:rsid w:val="006869CB"/>
    <w:rsid w:val="006877D7"/>
    <w:rsid w:val="00687C06"/>
    <w:rsid w:val="006911FB"/>
    <w:rsid w:val="00691E97"/>
    <w:rsid w:val="00692641"/>
    <w:rsid w:val="00694551"/>
    <w:rsid w:val="00694AB4"/>
    <w:rsid w:val="00694D59"/>
    <w:rsid w:val="00695488"/>
    <w:rsid w:val="00695ACB"/>
    <w:rsid w:val="006979BF"/>
    <w:rsid w:val="00697F29"/>
    <w:rsid w:val="006A21C2"/>
    <w:rsid w:val="006A22EB"/>
    <w:rsid w:val="006A2A5F"/>
    <w:rsid w:val="006A30F6"/>
    <w:rsid w:val="006A366D"/>
    <w:rsid w:val="006A3F60"/>
    <w:rsid w:val="006A44C8"/>
    <w:rsid w:val="006A5AEE"/>
    <w:rsid w:val="006A6627"/>
    <w:rsid w:val="006A7791"/>
    <w:rsid w:val="006A788A"/>
    <w:rsid w:val="006B058C"/>
    <w:rsid w:val="006B0B2E"/>
    <w:rsid w:val="006B1121"/>
    <w:rsid w:val="006B1BB9"/>
    <w:rsid w:val="006B1DDB"/>
    <w:rsid w:val="006B20A8"/>
    <w:rsid w:val="006B260C"/>
    <w:rsid w:val="006B3825"/>
    <w:rsid w:val="006B5175"/>
    <w:rsid w:val="006B640A"/>
    <w:rsid w:val="006B6DB4"/>
    <w:rsid w:val="006B6E5B"/>
    <w:rsid w:val="006B7361"/>
    <w:rsid w:val="006B7BF0"/>
    <w:rsid w:val="006C0141"/>
    <w:rsid w:val="006C0B9B"/>
    <w:rsid w:val="006C2472"/>
    <w:rsid w:val="006C31A6"/>
    <w:rsid w:val="006C460F"/>
    <w:rsid w:val="006C6431"/>
    <w:rsid w:val="006D10A6"/>
    <w:rsid w:val="006D1F5C"/>
    <w:rsid w:val="006D3E26"/>
    <w:rsid w:val="006D400A"/>
    <w:rsid w:val="006D5B04"/>
    <w:rsid w:val="006D64B9"/>
    <w:rsid w:val="006E0E9B"/>
    <w:rsid w:val="006E11D1"/>
    <w:rsid w:val="006E1606"/>
    <w:rsid w:val="006E22E5"/>
    <w:rsid w:val="006E3236"/>
    <w:rsid w:val="006E7561"/>
    <w:rsid w:val="006E7E2D"/>
    <w:rsid w:val="006F011F"/>
    <w:rsid w:val="006F02C5"/>
    <w:rsid w:val="006F0913"/>
    <w:rsid w:val="006F1DA0"/>
    <w:rsid w:val="006F20DB"/>
    <w:rsid w:val="006F2272"/>
    <w:rsid w:val="006F2D94"/>
    <w:rsid w:val="006F4349"/>
    <w:rsid w:val="006F6525"/>
    <w:rsid w:val="006F764B"/>
    <w:rsid w:val="006F7934"/>
    <w:rsid w:val="006F7CD8"/>
    <w:rsid w:val="006F7DAF"/>
    <w:rsid w:val="007012AA"/>
    <w:rsid w:val="007016E5"/>
    <w:rsid w:val="00701F4A"/>
    <w:rsid w:val="007020C8"/>
    <w:rsid w:val="007021C1"/>
    <w:rsid w:val="00703F05"/>
    <w:rsid w:val="007047EE"/>
    <w:rsid w:val="00705791"/>
    <w:rsid w:val="00706423"/>
    <w:rsid w:val="0071158C"/>
    <w:rsid w:val="007116DE"/>
    <w:rsid w:val="007119E1"/>
    <w:rsid w:val="0071243C"/>
    <w:rsid w:val="00713F86"/>
    <w:rsid w:val="00714866"/>
    <w:rsid w:val="00716A2E"/>
    <w:rsid w:val="007174BB"/>
    <w:rsid w:val="00720F72"/>
    <w:rsid w:val="00721203"/>
    <w:rsid w:val="0072270B"/>
    <w:rsid w:val="00724634"/>
    <w:rsid w:val="00725419"/>
    <w:rsid w:val="007256AB"/>
    <w:rsid w:val="007257F7"/>
    <w:rsid w:val="00726F55"/>
    <w:rsid w:val="0073037A"/>
    <w:rsid w:val="0073064E"/>
    <w:rsid w:val="007315B9"/>
    <w:rsid w:val="00731D92"/>
    <w:rsid w:val="00731F39"/>
    <w:rsid w:val="0073274A"/>
    <w:rsid w:val="007329A5"/>
    <w:rsid w:val="00732C82"/>
    <w:rsid w:val="00733F00"/>
    <w:rsid w:val="00734B19"/>
    <w:rsid w:val="00734C3D"/>
    <w:rsid w:val="0073699F"/>
    <w:rsid w:val="00736E2E"/>
    <w:rsid w:val="007370CB"/>
    <w:rsid w:val="00737671"/>
    <w:rsid w:val="007411F1"/>
    <w:rsid w:val="007425D3"/>
    <w:rsid w:val="00742818"/>
    <w:rsid w:val="00743BD3"/>
    <w:rsid w:val="0074645A"/>
    <w:rsid w:val="007515C3"/>
    <w:rsid w:val="00752242"/>
    <w:rsid w:val="007531B7"/>
    <w:rsid w:val="0075345E"/>
    <w:rsid w:val="007538A5"/>
    <w:rsid w:val="007544C5"/>
    <w:rsid w:val="007544D7"/>
    <w:rsid w:val="007547C0"/>
    <w:rsid w:val="007554E8"/>
    <w:rsid w:val="0075594A"/>
    <w:rsid w:val="007601EF"/>
    <w:rsid w:val="00760E15"/>
    <w:rsid w:val="0076164E"/>
    <w:rsid w:val="007619E7"/>
    <w:rsid w:val="00763586"/>
    <w:rsid w:val="00763E1E"/>
    <w:rsid w:val="00763E63"/>
    <w:rsid w:val="00764847"/>
    <w:rsid w:val="007651E0"/>
    <w:rsid w:val="00765CBE"/>
    <w:rsid w:val="00766729"/>
    <w:rsid w:val="00770117"/>
    <w:rsid w:val="00770206"/>
    <w:rsid w:val="007715B5"/>
    <w:rsid w:val="0077162B"/>
    <w:rsid w:val="00771A2F"/>
    <w:rsid w:val="00773F21"/>
    <w:rsid w:val="00774AA4"/>
    <w:rsid w:val="00774ACF"/>
    <w:rsid w:val="00774B38"/>
    <w:rsid w:val="00774E81"/>
    <w:rsid w:val="00776B2E"/>
    <w:rsid w:val="007770A9"/>
    <w:rsid w:val="007803FA"/>
    <w:rsid w:val="00780572"/>
    <w:rsid w:val="007812F4"/>
    <w:rsid w:val="00781A4E"/>
    <w:rsid w:val="00782318"/>
    <w:rsid w:val="00782BA4"/>
    <w:rsid w:val="00784739"/>
    <w:rsid w:val="00786F4A"/>
    <w:rsid w:val="007876EB"/>
    <w:rsid w:val="0078785C"/>
    <w:rsid w:val="00790A18"/>
    <w:rsid w:val="00790C03"/>
    <w:rsid w:val="007912B0"/>
    <w:rsid w:val="007916D5"/>
    <w:rsid w:val="00791D8F"/>
    <w:rsid w:val="00792816"/>
    <w:rsid w:val="00792D6A"/>
    <w:rsid w:val="007939BC"/>
    <w:rsid w:val="00794A0C"/>
    <w:rsid w:val="00794EBD"/>
    <w:rsid w:val="0079554B"/>
    <w:rsid w:val="00796183"/>
    <w:rsid w:val="00797135"/>
    <w:rsid w:val="007979A3"/>
    <w:rsid w:val="007A0E7B"/>
    <w:rsid w:val="007A2866"/>
    <w:rsid w:val="007A2EA4"/>
    <w:rsid w:val="007A3952"/>
    <w:rsid w:val="007A4421"/>
    <w:rsid w:val="007A4761"/>
    <w:rsid w:val="007A485C"/>
    <w:rsid w:val="007A4A12"/>
    <w:rsid w:val="007A535B"/>
    <w:rsid w:val="007A57C8"/>
    <w:rsid w:val="007A7679"/>
    <w:rsid w:val="007A77D0"/>
    <w:rsid w:val="007A7E8C"/>
    <w:rsid w:val="007A7EC3"/>
    <w:rsid w:val="007B04A3"/>
    <w:rsid w:val="007B115C"/>
    <w:rsid w:val="007B2F9B"/>
    <w:rsid w:val="007B31C1"/>
    <w:rsid w:val="007B4741"/>
    <w:rsid w:val="007B5735"/>
    <w:rsid w:val="007B64D1"/>
    <w:rsid w:val="007B6724"/>
    <w:rsid w:val="007B73C1"/>
    <w:rsid w:val="007B7647"/>
    <w:rsid w:val="007B7747"/>
    <w:rsid w:val="007B7E92"/>
    <w:rsid w:val="007C0DEB"/>
    <w:rsid w:val="007C0E6A"/>
    <w:rsid w:val="007C137A"/>
    <w:rsid w:val="007C1C44"/>
    <w:rsid w:val="007C1CDC"/>
    <w:rsid w:val="007C21AC"/>
    <w:rsid w:val="007C27ED"/>
    <w:rsid w:val="007C3CE7"/>
    <w:rsid w:val="007C555B"/>
    <w:rsid w:val="007C7493"/>
    <w:rsid w:val="007C759E"/>
    <w:rsid w:val="007C7AE1"/>
    <w:rsid w:val="007C7BF3"/>
    <w:rsid w:val="007D08A7"/>
    <w:rsid w:val="007D34E0"/>
    <w:rsid w:val="007D5840"/>
    <w:rsid w:val="007D6730"/>
    <w:rsid w:val="007E16A4"/>
    <w:rsid w:val="007E19FE"/>
    <w:rsid w:val="007E2804"/>
    <w:rsid w:val="007E39C8"/>
    <w:rsid w:val="007E3DCB"/>
    <w:rsid w:val="007E4B70"/>
    <w:rsid w:val="007E4DB8"/>
    <w:rsid w:val="007E5DF9"/>
    <w:rsid w:val="007E6A45"/>
    <w:rsid w:val="007F161E"/>
    <w:rsid w:val="007F19B1"/>
    <w:rsid w:val="007F25CF"/>
    <w:rsid w:val="007F3570"/>
    <w:rsid w:val="007F3B57"/>
    <w:rsid w:val="007F4D75"/>
    <w:rsid w:val="007F650E"/>
    <w:rsid w:val="007F67C4"/>
    <w:rsid w:val="007F750A"/>
    <w:rsid w:val="007F7575"/>
    <w:rsid w:val="007F7AA3"/>
    <w:rsid w:val="007F7F51"/>
    <w:rsid w:val="00800B14"/>
    <w:rsid w:val="0080116B"/>
    <w:rsid w:val="008032AA"/>
    <w:rsid w:val="00803459"/>
    <w:rsid w:val="00803A81"/>
    <w:rsid w:val="00804979"/>
    <w:rsid w:val="008050B7"/>
    <w:rsid w:val="008051E7"/>
    <w:rsid w:val="00805455"/>
    <w:rsid w:val="008054BD"/>
    <w:rsid w:val="00805C66"/>
    <w:rsid w:val="00805FE3"/>
    <w:rsid w:val="00806D48"/>
    <w:rsid w:val="008070DD"/>
    <w:rsid w:val="0080750D"/>
    <w:rsid w:val="00810836"/>
    <w:rsid w:val="008110B1"/>
    <w:rsid w:val="008122C1"/>
    <w:rsid w:val="00814231"/>
    <w:rsid w:val="0081423A"/>
    <w:rsid w:val="00815332"/>
    <w:rsid w:val="008156C3"/>
    <w:rsid w:val="0081679A"/>
    <w:rsid w:val="008167B4"/>
    <w:rsid w:val="00817666"/>
    <w:rsid w:val="008179F4"/>
    <w:rsid w:val="00824088"/>
    <w:rsid w:val="00825042"/>
    <w:rsid w:val="00825BDB"/>
    <w:rsid w:val="00826432"/>
    <w:rsid w:val="008308E0"/>
    <w:rsid w:val="0083164D"/>
    <w:rsid w:val="00831D13"/>
    <w:rsid w:val="00831F89"/>
    <w:rsid w:val="00831FD1"/>
    <w:rsid w:val="008328A7"/>
    <w:rsid w:val="0083346D"/>
    <w:rsid w:val="00833517"/>
    <w:rsid w:val="00834369"/>
    <w:rsid w:val="00834FB8"/>
    <w:rsid w:val="00835E74"/>
    <w:rsid w:val="00836014"/>
    <w:rsid w:val="0083653C"/>
    <w:rsid w:val="008375C5"/>
    <w:rsid w:val="00837738"/>
    <w:rsid w:val="00837A61"/>
    <w:rsid w:val="00841DEA"/>
    <w:rsid w:val="00842717"/>
    <w:rsid w:val="00843234"/>
    <w:rsid w:val="008437BC"/>
    <w:rsid w:val="00843826"/>
    <w:rsid w:val="00843CA2"/>
    <w:rsid w:val="008443E4"/>
    <w:rsid w:val="00844C91"/>
    <w:rsid w:val="00844CBE"/>
    <w:rsid w:val="00845359"/>
    <w:rsid w:val="00845CB2"/>
    <w:rsid w:val="00846290"/>
    <w:rsid w:val="00846D77"/>
    <w:rsid w:val="008472FC"/>
    <w:rsid w:val="00850F5C"/>
    <w:rsid w:val="0085112F"/>
    <w:rsid w:val="00852428"/>
    <w:rsid w:val="008541C3"/>
    <w:rsid w:val="008541FB"/>
    <w:rsid w:val="0085491B"/>
    <w:rsid w:val="00854BC3"/>
    <w:rsid w:val="00854E18"/>
    <w:rsid w:val="00856466"/>
    <w:rsid w:val="00857A87"/>
    <w:rsid w:val="0086089D"/>
    <w:rsid w:val="008608C7"/>
    <w:rsid w:val="00860951"/>
    <w:rsid w:val="00860B98"/>
    <w:rsid w:val="00860E7F"/>
    <w:rsid w:val="00861D17"/>
    <w:rsid w:val="00862434"/>
    <w:rsid w:val="00862687"/>
    <w:rsid w:val="00862AA1"/>
    <w:rsid w:val="008639DF"/>
    <w:rsid w:val="00864FE2"/>
    <w:rsid w:val="008651B3"/>
    <w:rsid w:val="00865CFE"/>
    <w:rsid w:val="00866856"/>
    <w:rsid w:val="00866D47"/>
    <w:rsid w:val="008677FF"/>
    <w:rsid w:val="0086785E"/>
    <w:rsid w:val="00867A2D"/>
    <w:rsid w:val="00870401"/>
    <w:rsid w:val="00870826"/>
    <w:rsid w:val="008712E1"/>
    <w:rsid w:val="00872292"/>
    <w:rsid w:val="00873796"/>
    <w:rsid w:val="00873A4F"/>
    <w:rsid w:val="00873E35"/>
    <w:rsid w:val="0087499A"/>
    <w:rsid w:val="008751E5"/>
    <w:rsid w:val="008757CD"/>
    <w:rsid w:val="00875D5D"/>
    <w:rsid w:val="008765CD"/>
    <w:rsid w:val="00877959"/>
    <w:rsid w:val="00877F87"/>
    <w:rsid w:val="008804EA"/>
    <w:rsid w:val="0088267F"/>
    <w:rsid w:val="00883121"/>
    <w:rsid w:val="00883934"/>
    <w:rsid w:val="00883CE6"/>
    <w:rsid w:val="00885C1A"/>
    <w:rsid w:val="0088683B"/>
    <w:rsid w:val="00891A5D"/>
    <w:rsid w:val="0089439B"/>
    <w:rsid w:val="00894E32"/>
    <w:rsid w:val="008955C3"/>
    <w:rsid w:val="00896DCB"/>
    <w:rsid w:val="00896FC0"/>
    <w:rsid w:val="00897B07"/>
    <w:rsid w:val="00897D83"/>
    <w:rsid w:val="008A064C"/>
    <w:rsid w:val="008A14BF"/>
    <w:rsid w:val="008A153F"/>
    <w:rsid w:val="008A1690"/>
    <w:rsid w:val="008A17F5"/>
    <w:rsid w:val="008A1FB6"/>
    <w:rsid w:val="008A2190"/>
    <w:rsid w:val="008A300E"/>
    <w:rsid w:val="008A3E87"/>
    <w:rsid w:val="008A3F09"/>
    <w:rsid w:val="008A40AD"/>
    <w:rsid w:val="008A4A98"/>
    <w:rsid w:val="008A5237"/>
    <w:rsid w:val="008A5C3C"/>
    <w:rsid w:val="008B0827"/>
    <w:rsid w:val="008B113B"/>
    <w:rsid w:val="008B13D1"/>
    <w:rsid w:val="008B168B"/>
    <w:rsid w:val="008B1C6B"/>
    <w:rsid w:val="008B233C"/>
    <w:rsid w:val="008B2E74"/>
    <w:rsid w:val="008B4557"/>
    <w:rsid w:val="008B69BD"/>
    <w:rsid w:val="008B6F50"/>
    <w:rsid w:val="008C1372"/>
    <w:rsid w:val="008C32C7"/>
    <w:rsid w:val="008C3751"/>
    <w:rsid w:val="008C3A43"/>
    <w:rsid w:val="008C42E7"/>
    <w:rsid w:val="008C4A86"/>
    <w:rsid w:val="008C4AFF"/>
    <w:rsid w:val="008C5CA8"/>
    <w:rsid w:val="008C5DED"/>
    <w:rsid w:val="008C64D7"/>
    <w:rsid w:val="008C6647"/>
    <w:rsid w:val="008C6902"/>
    <w:rsid w:val="008D0D03"/>
    <w:rsid w:val="008D0D20"/>
    <w:rsid w:val="008D2469"/>
    <w:rsid w:val="008D2663"/>
    <w:rsid w:val="008D352E"/>
    <w:rsid w:val="008D43DE"/>
    <w:rsid w:val="008D44C3"/>
    <w:rsid w:val="008D714E"/>
    <w:rsid w:val="008D7902"/>
    <w:rsid w:val="008E00CE"/>
    <w:rsid w:val="008E1205"/>
    <w:rsid w:val="008E3C2E"/>
    <w:rsid w:val="008E50A2"/>
    <w:rsid w:val="008E6E92"/>
    <w:rsid w:val="008F1A34"/>
    <w:rsid w:val="008F20CF"/>
    <w:rsid w:val="008F4F48"/>
    <w:rsid w:val="008F5B3C"/>
    <w:rsid w:val="008F73B7"/>
    <w:rsid w:val="00901117"/>
    <w:rsid w:val="009019BF"/>
    <w:rsid w:val="009027A7"/>
    <w:rsid w:val="00902FEF"/>
    <w:rsid w:val="00904027"/>
    <w:rsid w:val="00904089"/>
    <w:rsid w:val="00904399"/>
    <w:rsid w:val="00905DDB"/>
    <w:rsid w:val="00906184"/>
    <w:rsid w:val="009063A6"/>
    <w:rsid w:val="0090657D"/>
    <w:rsid w:val="00910057"/>
    <w:rsid w:val="009106F6"/>
    <w:rsid w:val="00911C2D"/>
    <w:rsid w:val="00911D04"/>
    <w:rsid w:val="00912528"/>
    <w:rsid w:val="00913920"/>
    <w:rsid w:val="00913A73"/>
    <w:rsid w:val="009145F6"/>
    <w:rsid w:val="009151A4"/>
    <w:rsid w:val="0091556D"/>
    <w:rsid w:val="0091695D"/>
    <w:rsid w:val="00916E42"/>
    <w:rsid w:val="00917265"/>
    <w:rsid w:val="00917894"/>
    <w:rsid w:val="00917AC7"/>
    <w:rsid w:val="00920315"/>
    <w:rsid w:val="00920C73"/>
    <w:rsid w:val="0092326A"/>
    <w:rsid w:val="009233A5"/>
    <w:rsid w:val="00924C38"/>
    <w:rsid w:val="00927498"/>
    <w:rsid w:val="009311C9"/>
    <w:rsid w:val="00931779"/>
    <w:rsid w:val="00933E02"/>
    <w:rsid w:val="0093510E"/>
    <w:rsid w:val="009357F4"/>
    <w:rsid w:val="00936E82"/>
    <w:rsid w:val="00941E39"/>
    <w:rsid w:val="009430F7"/>
    <w:rsid w:val="00943110"/>
    <w:rsid w:val="00943F3D"/>
    <w:rsid w:val="00944B6D"/>
    <w:rsid w:val="00944DBD"/>
    <w:rsid w:val="00945FE6"/>
    <w:rsid w:val="009460BC"/>
    <w:rsid w:val="00947D80"/>
    <w:rsid w:val="00950469"/>
    <w:rsid w:val="0095125F"/>
    <w:rsid w:val="00952D90"/>
    <w:rsid w:val="00953012"/>
    <w:rsid w:val="00953EA4"/>
    <w:rsid w:val="00954745"/>
    <w:rsid w:val="00954D61"/>
    <w:rsid w:val="00954F82"/>
    <w:rsid w:val="009564A2"/>
    <w:rsid w:val="009571BD"/>
    <w:rsid w:val="00957FCF"/>
    <w:rsid w:val="00961EE5"/>
    <w:rsid w:val="0096200B"/>
    <w:rsid w:val="00962B96"/>
    <w:rsid w:val="0096320E"/>
    <w:rsid w:val="00964C3C"/>
    <w:rsid w:val="009650D2"/>
    <w:rsid w:val="00966077"/>
    <w:rsid w:val="009669C9"/>
    <w:rsid w:val="00967017"/>
    <w:rsid w:val="009677D6"/>
    <w:rsid w:val="00970D85"/>
    <w:rsid w:val="009722D2"/>
    <w:rsid w:val="0097235F"/>
    <w:rsid w:val="00972655"/>
    <w:rsid w:val="009726AE"/>
    <w:rsid w:val="009726DD"/>
    <w:rsid w:val="009733D8"/>
    <w:rsid w:val="009741B8"/>
    <w:rsid w:val="00977B9F"/>
    <w:rsid w:val="00981381"/>
    <w:rsid w:val="00981FC6"/>
    <w:rsid w:val="0098201E"/>
    <w:rsid w:val="0098226F"/>
    <w:rsid w:val="00982E17"/>
    <w:rsid w:val="009840C9"/>
    <w:rsid w:val="009842AB"/>
    <w:rsid w:val="00985C0C"/>
    <w:rsid w:val="00991732"/>
    <w:rsid w:val="009919A6"/>
    <w:rsid w:val="00991E9D"/>
    <w:rsid w:val="00992471"/>
    <w:rsid w:val="00992F3F"/>
    <w:rsid w:val="0099432E"/>
    <w:rsid w:val="00994CED"/>
    <w:rsid w:val="0099597F"/>
    <w:rsid w:val="0099795D"/>
    <w:rsid w:val="009A09A6"/>
    <w:rsid w:val="009A107E"/>
    <w:rsid w:val="009A16CD"/>
    <w:rsid w:val="009A1E86"/>
    <w:rsid w:val="009A27F3"/>
    <w:rsid w:val="009A30CE"/>
    <w:rsid w:val="009A3993"/>
    <w:rsid w:val="009A4245"/>
    <w:rsid w:val="009A470E"/>
    <w:rsid w:val="009A4C75"/>
    <w:rsid w:val="009A554D"/>
    <w:rsid w:val="009A61C0"/>
    <w:rsid w:val="009A66C5"/>
    <w:rsid w:val="009A7AE8"/>
    <w:rsid w:val="009B1863"/>
    <w:rsid w:val="009B2BA2"/>
    <w:rsid w:val="009B5C02"/>
    <w:rsid w:val="009B7787"/>
    <w:rsid w:val="009B7AC0"/>
    <w:rsid w:val="009C1648"/>
    <w:rsid w:val="009C24DC"/>
    <w:rsid w:val="009C27C2"/>
    <w:rsid w:val="009C3048"/>
    <w:rsid w:val="009C480C"/>
    <w:rsid w:val="009C587D"/>
    <w:rsid w:val="009C6585"/>
    <w:rsid w:val="009C6BA3"/>
    <w:rsid w:val="009C7AD6"/>
    <w:rsid w:val="009C7BD6"/>
    <w:rsid w:val="009D0373"/>
    <w:rsid w:val="009D07EE"/>
    <w:rsid w:val="009D0B28"/>
    <w:rsid w:val="009D1801"/>
    <w:rsid w:val="009D1A2C"/>
    <w:rsid w:val="009D1C38"/>
    <w:rsid w:val="009D43E8"/>
    <w:rsid w:val="009D6DFA"/>
    <w:rsid w:val="009D6FB4"/>
    <w:rsid w:val="009D727B"/>
    <w:rsid w:val="009D7C46"/>
    <w:rsid w:val="009D7DD9"/>
    <w:rsid w:val="009E0211"/>
    <w:rsid w:val="009E08B8"/>
    <w:rsid w:val="009E200D"/>
    <w:rsid w:val="009E28AC"/>
    <w:rsid w:val="009E29E5"/>
    <w:rsid w:val="009E3025"/>
    <w:rsid w:val="009F051F"/>
    <w:rsid w:val="009F0D21"/>
    <w:rsid w:val="009F1C8D"/>
    <w:rsid w:val="009F2378"/>
    <w:rsid w:val="009F2FF2"/>
    <w:rsid w:val="009F37AE"/>
    <w:rsid w:val="009F3821"/>
    <w:rsid w:val="009F4990"/>
    <w:rsid w:val="009F68C3"/>
    <w:rsid w:val="00A01696"/>
    <w:rsid w:val="00A017E0"/>
    <w:rsid w:val="00A02173"/>
    <w:rsid w:val="00A02A33"/>
    <w:rsid w:val="00A03452"/>
    <w:rsid w:val="00A03DC5"/>
    <w:rsid w:val="00A052C8"/>
    <w:rsid w:val="00A058F2"/>
    <w:rsid w:val="00A05C44"/>
    <w:rsid w:val="00A05C58"/>
    <w:rsid w:val="00A05C6A"/>
    <w:rsid w:val="00A064E5"/>
    <w:rsid w:val="00A06F20"/>
    <w:rsid w:val="00A107AB"/>
    <w:rsid w:val="00A11483"/>
    <w:rsid w:val="00A117F6"/>
    <w:rsid w:val="00A12A1D"/>
    <w:rsid w:val="00A12BD6"/>
    <w:rsid w:val="00A1347F"/>
    <w:rsid w:val="00A1593D"/>
    <w:rsid w:val="00A17B91"/>
    <w:rsid w:val="00A200E9"/>
    <w:rsid w:val="00A20801"/>
    <w:rsid w:val="00A22249"/>
    <w:rsid w:val="00A22A79"/>
    <w:rsid w:val="00A2338F"/>
    <w:rsid w:val="00A2353D"/>
    <w:rsid w:val="00A24C12"/>
    <w:rsid w:val="00A24E6F"/>
    <w:rsid w:val="00A279D2"/>
    <w:rsid w:val="00A27BAC"/>
    <w:rsid w:val="00A30982"/>
    <w:rsid w:val="00A312D5"/>
    <w:rsid w:val="00A31EF5"/>
    <w:rsid w:val="00A32D51"/>
    <w:rsid w:val="00A33F46"/>
    <w:rsid w:val="00A348DB"/>
    <w:rsid w:val="00A35B9B"/>
    <w:rsid w:val="00A35EE9"/>
    <w:rsid w:val="00A36B4B"/>
    <w:rsid w:val="00A36C13"/>
    <w:rsid w:val="00A3726D"/>
    <w:rsid w:val="00A37D6F"/>
    <w:rsid w:val="00A37E01"/>
    <w:rsid w:val="00A4028A"/>
    <w:rsid w:val="00A428CB"/>
    <w:rsid w:val="00A431F4"/>
    <w:rsid w:val="00A4339C"/>
    <w:rsid w:val="00A436B6"/>
    <w:rsid w:val="00A44089"/>
    <w:rsid w:val="00A441D5"/>
    <w:rsid w:val="00A450B5"/>
    <w:rsid w:val="00A45CF8"/>
    <w:rsid w:val="00A469F6"/>
    <w:rsid w:val="00A474C7"/>
    <w:rsid w:val="00A474E8"/>
    <w:rsid w:val="00A477FF"/>
    <w:rsid w:val="00A50D05"/>
    <w:rsid w:val="00A51E0B"/>
    <w:rsid w:val="00A52DC3"/>
    <w:rsid w:val="00A5386A"/>
    <w:rsid w:val="00A5431E"/>
    <w:rsid w:val="00A54F64"/>
    <w:rsid w:val="00A55FD0"/>
    <w:rsid w:val="00A56231"/>
    <w:rsid w:val="00A57089"/>
    <w:rsid w:val="00A57791"/>
    <w:rsid w:val="00A62702"/>
    <w:rsid w:val="00A62944"/>
    <w:rsid w:val="00A63220"/>
    <w:rsid w:val="00A63F20"/>
    <w:rsid w:val="00A65B93"/>
    <w:rsid w:val="00A6681A"/>
    <w:rsid w:val="00A67A84"/>
    <w:rsid w:val="00A67E58"/>
    <w:rsid w:val="00A70552"/>
    <w:rsid w:val="00A71011"/>
    <w:rsid w:val="00A71236"/>
    <w:rsid w:val="00A71292"/>
    <w:rsid w:val="00A71F08"/>
    <w:rsid w:val="00A73478"/>
    <w:rsid w:val="00A75518"/>
    <w:rsid w:val="00A75A36"/>
    <w:rsid w:val="00A75C0F"/>
    <w:rsid w:val="00A75EEA"/>
    <w:rsid w:val="00A76B44"/>
    <w:rsid w:val="00A805C3"/>
    <w:rsid w:val="00A805E1"/>
    <w:rsid w:val="00A806E2"/>
    <w:rsid w:val="00A80940"/>
    <w:rsid w:val="00A80B76"/>
    <w:rsid w:val="00A8159A"/>
    <w:rsid w:val="00A82CCB"/>
    <w:rsid w:val="00A82F5B"/>
    <w:rsid w:val="00A847F2"/>
    <w:rsid w:val="00A859ED"/>
    <w:rsid w:val="00A85A8A"/>
    <w:rsid w:val="00A85C29"/>
    <w:rsid w:val="00A8639F"/>
    <w:rsid w:val="00A872DC"/>
    <w:rsid w:val="00A8776C"/>
    <w:rsid w:val="00A91435"/>
    <w:rsid w:val="00A91D41"/>
    <w:rsid w:val="00A921A2"/>
    <w:rsid w:val="00A9431D"/>
    <w:rsid w:val="00A94E32"/>
    <w:rsid w:val="00A95646"/>
    <w:rsid w:val="00A95872"/>
    <w:rsid w:val="00A958CF"/>
    <w:rsid w:val="00A9777E"/>
    <w:rsid w:val="00A97A68"/>
    <w:rsid w:val="00AA01A4"/>
    <w:rsid w:val="00AA0B00"/>
    <w:rsid w:val="00AA0DC2"/>
    <w:rsid w:val="00AA161A"/>
    <w:rsid w:val="00AA325E"/>
    <w:rsid w:val="00AA6480"/>
    <w:rsid w:val="00AA7A0D"/>
    <w:rsid w:val="00AA7CF9"/>
    <w:rsid w:val="00AB017F"/>
    <w:rsid w:val="00AB1094"/>
    <w:rsid w:val="00AB3B25"/>
    <w:rsid w:val="00AB3E0C"/>
    <w:rsid w:val="00AB43CC"/>
    <w:rsid w:val="00AB556F"/>
    <w:rsid w:val="00AB5D04"/>
    <w:rsid w:val="00AB7875"/>
    <w:rsid w:val="00AC1356"/>
    <w:rsid w:val="00AC38F2"/>
    <w:rsid w:val="00AC4023"/>
    <w:rsid w:val="00AC4DB8"/>
    <w:rsid w:val="00AC52EE"/>
    <w:rsid w:val="00AC5B51"/>
    <w:rsid w:val="00AC6E6B"/>
    <w:rsid w:val="00AC782C"/>
    <w:rsid w:val="00AD1557"/>
    <w:rsid w:val="00AD15AE"/>
    <w:rsid w:val="00AD2808"/>
    <w:rsid w:val="00AD338C"/>
    <w:rsid w:val="00AD42D8"/>
    <w:rsid w:val="00AD54B1"/>
    <w:rsid w:val="00AD5A37"/>
    <w:rsid w:val="00AD5E2F"/>
    <w:rsid w:val="00AD64A6"/>
    <w:rsid w:val="00AD6DD5"/>
    <w:rsid w:val="00AD6FCD"/>
    <w:rsid w:val="00AD738C"/>
    <w:rsid w:val="00AE01A9"/>
    <w:rsid w:val="00AE3942"/>
    <w:rsid w:val="00AE3D55"/>
    <w:rsid w:val="00AE41A4"/>
    <w:rsid w:val="00AE4D08"/>
    <w:rsid w:val="00AE5B4A"/>
    <w:rsid w:val="00AE5F67"/>
    <w:rsid w:val="00AE609E"/>
    <w:rsid w:val="00AE6304"/>
    <w:rsid w:val="00AE64AF"/>
    <w:rsid w:val="00AE662E"/>
    <w:rsid w:val="00AE6773"/>
    <w:rsid w:val="00AE6B3C"/>
    <w:rsid w:val="00AE75A2"/>
    <w:rsid w:val="00AF0683"/>
    <w:rsid w:val="00AF21C9"/>
    <w:rsid w:val="00AF3BC9"/>
    <w:rsid w:val="00AF41F9"/>
    <w:rsid w:val="00AF4936"/>
    <w:rsid w:val="00AF5BF6"/>
    <w:rsid w:val="00AF6393"/>
    <w:rsid w:val="00AF72BB"/>
    <w:rsid w:val="00AF7A59"/>
    <w:rsid w:val="00B00752"/>
    <w:rsid w:val="00B011EA"/>
    <w:rsid w:val="00B0124E"/>
    <w:rsid w:val="00B019A5"/>
    <w:rsid w:val="00B01F36"/>
    <w:rsid w:val="00B02533"/>
    <w:rsid w:val="00B025D7"/>
    <w:rsid w:val="00B035BB"/>
    <w:rsid w:val="00B05198"/>
    <w:rsid w:val="00B05526"/>
    <w:rsid w:val="00B057D7"/>
    <w:rsid w:val="00B0640E"/>
    <w:rsid w:val="00B07AF8"/>
    <w:rsid w:val="00B10B65"/>
    <w:rsid w:val="00B120C5"/>
    <w:rsid w:val="00B1294B"/>
    <w:rsid w:val="00B145CA"/>
    <w:rsid w:val="00B149A2"/>
    <w:rsid w:val="00B167EC"/>
    <w:rsid w:val="00B16A1A"/>
    <w:rsid w:val="00B2036A"/>
    <w:rsid w:val="00B20F53"/>
    <w:rsid w:val="00B21220"/>
    <w:rsid w:val="00B222A9"/>
    <w:rsid w:val="00B23E2B"/>
    <w:rsid w:val="00B2435A"/>
    <w:rsid w:val="00B24E2A"/>
    <w:rsid w:val="00B260B7"/>
    <w:rsid w:val="00B309AC"/>
    <w:rsid w:val="00B30B53"/>
    <w:rsid w:val="00B31251"/>
    <w:rsid w:val="00B322C4"/>
    <w:rsid w:val="00B32655"/>
    <w:rsid w:val="00B327DA"/>
    <w:rsid w:val="00B342E7"/>
    <w:rsid w:val="00B355CB"/>
    <w:rsid w:val="00B360E4"/>
    <w:rsid w:val="00B37090"/>
    <w:rsid w:val="00B40570"/>
    <w:rsid w:val="00B40843"/>
    <w:rsid w:val="00B412D7"/>
    <w:rsid w:val="00B4144A"/>
    <w:rsid w:val="00B4175C"/>
    <w:rsid w:val="00B439F0"/>
    <w:rsid w:val="00B4425B"/>
    <w:rsid w:val="00B44B7F"/>
    <w:rsid w:val="00B46AC5"/>
    <w:rsid w:val="00B46D95"/>
    <w:rsid w:val="00B509E2"/>
    <w:rsid w:val="00B50CB4"/>
    <w:rsid w:val="00B51902"/>
    <w:rsid w:val="00B51D98"/>
    <w:rsid w:val="00B52D8D"/>
    <w:rsid w:val="00B53EE0"/>
    <w:rsid w:val="00B541DF"/>
    <w:rsid w:val="00B54982"/>
    <w:rsid w:val="00B561A7"/>
    <w:rsid w:val="00B562CB"/>
    <w:rsid w:val="00B56714"/>
    <w:rsid w:val="00B57471"/>
    <w:rsid w:val="00B57584"/>
    <w:rsid w:val="00B602B0"/>
    <w:rsid w:val="00B61152"/>
    <w:rsid w:val="00B638C7"/>
    <w:rsid w:val="00B63CFF"/>
    <w:rsid w:val="00B63FD9"/>
    <w:rsid w:val="00B64199"/>
    <w:rsid w:val="00B64C37"/>
    <w:rsid w:val="00B65080"/>
    <w:rsid w:val="00B657C9"/>
    <w:rsid w:val="00B65CFE"/>
    <w:rsid w:val="00B66262"/>
    <w:rsid w:val="00B66804"/>
    <w:rsid w:val="00B67C10"/>
    <w:rsid w:val="00B7012C"/>
    <w:rsid w:val="00B70755"/>
    <w:rsid w:val="00B716CD"/>
    <w:rsid w:val="00B723CA"/>
    <w:rsid w:val="00B73638"/>
    <w:rsid w:val="00B74289"/>
    <w:rsid w:val="00B74D12"/>
    <w:rsid w:val="00B759CD"/>
    <w:rsid w:val="00B76DDB"/>
    <w:rsid w:val="00B773AE"/>
    <w:rsid w:val="00B77928"/>
    <w:rsid w:val="00B80059"/>
    <w:rsid w:val="00B8060D"/>
    <w:rsid w:val="00B81E96"/>
    <w:rsid w:val="00B82ACC"/>
    <w:rsid w:val="00B8308D"/>
    <w:rsid w:val="00B8427E"/>
    <w:rsid w:val="00B86C71"/>
    <w:rsid w:val="00B87299"/>
    <w:rsid w:val="00B90687"/>
    <w:rsid w:val="00B90E9E"/>
    <w:rsid w:val="00B9173C"/>
    <w:rsid w:val="00B92513"/>
    <w:rsid w:val="00B929A0"/>
    <w:rsid w:val="00B944A3"/>
    <w:rsid w:val="00B94F79"/>
    <w:rsid w:val="00B9509F"/>
    <w:rsid w:val="00B979E5"/>
    <w:rsid w:val="00BA0C21"/>
    <w:rsid w:val="00BA1968"/>
    <w:rsid w:val="00BA1D22"/>
    <w:rsid w:val="00BA2D91"/>
    <w:rsid w:val="00BA410F"/>
    <w:rsid w:val="00BA4445"/>
    <w:rsid w:val="00BA5B21"/>
    <w:rsid w:val="00BA64B1"/>
    <w:rsid w:val="00BA78B2"/>
    <w:rsid w:val="00BB0942"/>
    <w:rsid w:val="00BB225E"/>
    <w:rsid w:val="00BB22B3"/>
    <w:rsid w:val="00BB37CF"/>
    <w:rsid w:val="00BB4FBD"/>
    <w:rsid w:val="00BB52B6"/>
    <w:rsid w:val="00BB550C"/>
    <w:rsid w:val="00BC11B4"/>
    <w:rsid w:val="00BC5D0A"/>
    <w:rsid w:val="00BC5D9D"/>
    <w:rsid w:val="00BC6313"/>
    <w:rsid w:val="00BC71ED"/>
    <w:rsid w:val="00BD02FE"/>
    <w:rsid w:val="00BD03AD"/>
    <w:rsid w:val="00BD08CC"/>
    <w:rsid w:val="00BD2009"/>
    <w:rsid w:val="00BD6AE2"/>
    <w:rsid w:val="00BD6CFE"/>
    <w:rsid w:val="00BD6F9B"/>
    <w:rsid w:val="00BD73AD"/>
    <w:rsid w:val="00BE03FD"/>
    <w:rsid w:val="00BE04BD"/>
    <w:rsid w:val="00BE0E4E"/>
    <w:rsid w:val="00BE4982"/>
    <w:rsid w:val="00BE4E1B"/>
    <w:rsid w:val="00BE5188"/>
    <w:rsid w:val="00BE5E66"/>
    <w:rsid w:val="00BE5F0E"/>
    <w:rsid w:val="00BE627C"/>
    <w:rsid w:val="00BE652D"/>
    <w:rsid w:val="00BE6ECF"/>
    <w:rsid w:val="00BE7052"/>
    <w:rsid w:val="00BE782A"/>
    <w:rsid w:val="00BF00A6"/>
    <w:rsid w:val="00BF293E"/>
    <w:rsid w:val="00BF3019"/>
    <w:rsid w:val="00BF4722"/>
    <w:rsid w:val="00BF51D3"/>
    <w:rsid w:val="00BF6B0D"/>
    <w:rsid w:val="00BF72E8"/>
    <w:rsid w:val="00C00107"/>
    <w:rsid w:val="00C024FA"/>
    <w:rsid w:val="00C02D06"/>
    <w:rsid w:val="00C02E89"/>
    <w:rsid w:val="00C03CD6"/>
    <w:rsid w:val="00C04321"/>
    <w:rsid w:val="00C049F5"/>
    <w:rsid w:val="00C071C1"/>
    <w:rsid w:val="00C07BAD"/>
    <w:rsid w:val="00C10986"/>
    <w:rsid w:val="00C10B51"/>
    <w:rsid w:val="00C10E86"/>
    <w:rsid w:val="00C11EDA"/>
    <w:rsid w:val="00C12F55"/>
    <w:rsid w:val="00C135AD"/>
    <w:rsid w:val="00C13EE0"/>
    <w:rsid w:val="00C17741"/>
    <w:rsid w:val="00C20143"/>
    <w:rsid w:val="00C20272"/>
    <w:rsid w:val="00C20D77"/>
    <w:rsid w:val="00C21E10"/>
    <w:rsid w:val="00C221C6"/>
    <w:rsid w:val="00C22824"/>
    <w:rsid w:val="00C22848"/>
    <w:rsid w:val="00C22C86"/>
    <w:rsid w:val="00C22DAB"/>
    <w:rsid w:val="00C23537"/>
    <w:rsid w:val="00C23D4B"/>
    <w:rsid w:val="00C240C4"/>
    <w:rsid w:val="00C26D22"/>
    <w:rsid w:val="00C27AFD"/>
    <w:rsid w:val="00C27CA5"/>
    <w:rsid w:val="00C27D8C"/>
    <w:rsid w:val="00C30E8F"/>
    <w:rsid w:val="00C32290"/>
    <w:rsid w:val="00C32DE4"/>
    <w:rsid w:val="00C33039"/>
    <w:rsid w:val="00C3308C"/>
    <w:rsid w:val="00C33F09"/>
    <w:rsid w:val="00C35D1E"/>
    <w:rsid w:val="00C37CAA"/>
    <w:rsid w:val="00C406BF"/>
    <w:rsid w:val="00C42AF7"/>
    <w:rsid w:val="00C4329A"/>
    <w:rsid w:val="00C43F2A"/>
    <w:rsid w:val="00C44AF4"/>
    <w:rsid w:val="00C45E5A"/>
    <w:rsid w:val="00C471B7"/>
    <w:rsid w:val="00C476AA"/>
    <w:rsid w:val="00C47BD7"/>
    <w:rsid w:val="00C47EBA"/>
    <w:rsid w:val="00C47F40"/>
    <w:rsid w:val="00C50657"/>
    <w:rsid w:val="00C51703"/>
    <w:rsid w:val="00C51B60"/>
    <w:rsid w:val="00C53070"/>
    <w:rsid w:val="00C539CB"/>
    <w:rsid w:val="00C5446F"/>
    <w:rsid w:val="00C54C4F"/>
    <w:rsid w:val="00C555CB"/>
    <w:rsid w:val="00C60C32"/>
    <w:rsid w:val="00C61555"/>
    <w:rsid w:val="00C6160A"/>
    <w:rsid w:val="00C61671"/>
    <w:rsid w:val="00C62ADA"/>
    <w:rsid w:val="00C63100"/>
    <w:rsid w:val="00C633A6"/>
    <w:rsid w:val="00C64374"/>
    <w:rsid w:val="00C65181"/>
    <w:rsid w:val="00C652F2"/>
    <w:rsid w:val="00C65523"/>
    <w:rsid w:val="00C6607E"/>
    <w:rsid w:val="00C66989"/>
    <w:rsid w:val="00C66D4D"/>
    <w:rsid w:val="00C67C9B"/>
    <w:rsid w:val="00C70EC1"/>
    <w:rsid w:val="00C711FE"/>
    <w:rsid w:val="00C71495"/>
    <w:rsid w:val="00C72548"/>
    <w:rsid w:val="00C72BF0"/>
    <w:rsid w:val="00C73235"/>
    <w:rsid w:val="00C73749"/>
    <w:rsid w:val="00C73CEF"/>
    <w:rsid w:val="00C7570C"/>
    <w:rsid w:val="00C75B8E"/>
    <w:rsid w:val="00C7770F"/>
    <w:rsid w:val="00C77840"/>
    <w:rsid w:val="00C77871"/>
    <w:rsid w:val="00C804EA"/>
    <w:rsid w:val="00C80817"/>
    <w:rsid w:val="00C80896"/>
    <w:rsid w:val="00C80B27"/>
    <w:rsid w:val="00C825FC"/>
    <w:rsid w:val="00C839C7"/>
    <w:rsid w:val="00C85107"/>
    <w:rsid w:val="00C8510B"/>
    <w:rsid w:val="00C8539F"/>
    <w:rsid w:val="00C866F7"/>
    <w:rsid w:val="00C900E4"/>
    <w:rsid w:val="00C9065B"/>
    <w:rsid w:val="00C9190D"/>
    <w:rsid w:val="00C91E12"/>
    <w:rsid w:val="00C91FAB"/>
    <w:rsid w:val="00C9224F"/>
    <w:rsid w:val="00C929F2"/>
    <w:rsid w:val="00C93379"/>
    <w:rsid w:val="00C93AF0"/>
    <w:rsid w:val="00C93DFF"/>
    <w:rsid w:val="00C945B3"/>
    <w:rsid w:val="00C94B0C"/>
    <w:rsid w:val="00C962C0"/>
    <w:rsid w:val="00C96806"/>
    <w:rsid w:val="00CA0BBD"/>
    <w:rsid w:val="00CA168B"/>
    <w:rsid w:val="00CA217B"/>
    <w:rsid w:val="00CA2721"/>
    <w:rsid w:val="00CA2A07"/>
    <w:rsid w:val="00CA3D26"/>
    <w:rsid w:val="00CA3E9B"/>
    <w:rsid w:val="00CA3F0E"/>
    <w:rsid w:val="00CA4685"/>
    <w:rsid w:val="00CA49FF"/>
    <w:rsid w:val="00CA4AEC"/>
    <w:rsid w:val="00CA4DC8"/>
    <w:rsid w:val="00CA4F24"/>
    <w:rsid w:val="00CA65BE"/>
    <w:rsid w:val="00CA667B"/>
    <w:rsid w:val="00CA6FEF"/>
    <w:rsid w:val="00CB1A04"/>
    <w:rsid w:val="00CB2545"/>
    <w:rsid w:val="00CB26D6"/>
    <w:rsid w:val="00CB3022"/>
    <w:rsid w:val="00CB3274"/>
    <w:rsid w:val="00CB41B9"/>
    <w:rsid w:val="00CB47EF"/>
    <w:rsid w:val="00CB4F53"/>
    <w:rsid w:val="00CB74A1"/>
    <w:rsid w:val="00CB74D5"/>
    <w:rsid w:val="00CB75F9"/>
    <w:rsid w:val="00CC1337"/>
    <w:rsid w:val="00CC2191"/>
    <w:rsid w:val="00CC2652"/>
    <w:rsid w:val="00CC2929"/>
    <w:rsid w:val="00CC292C"/>
    <w:rsid w:val="00CC2CDF"/>
    <w:rsid w:val="00CC2F2A"/>
    <w:rsid w:val="00CC496F"/>
    <w:rsid w:val="00CC565B"/>
    <w:rsid w:val="00CC5C8C"/>
    <w:rsid w:val="00CD05CA"/>
    <w:rsid w:val="00CD100E"/>
    <w:rsid w:val="00CD163F"/>
    <w:rsid w:val="00CD1AA3"/>
    <w:rsid w:val="00CD1D67"/>
    <w:rsid w:val="00CD3CC3"/>
    <w:rsid w:val="00CD5568"/>
    <w:rsid w:val="00CD7510"/>
    <w:rsid w:val="00CE049B"/>
    <w:rsid w:val="00CE0599"/>
    <w:rsid w:val="00CE0D14"/>
    <w:rsid w:val="00CE1A32"/>
    <w:rsid w:val="00CE2046"/>
    <w:rsid w:val="00CE4486"/>
    <w:rsid w:val="00CE492D"/>
    <w:rsid w:val="00CE5380"/>
    <w:rsid w:val="00CE59DF"/>
    <w:rsid w:val="00CE5AF5"/>
    <w:rsid w:val="00CE5BBF"/>
    <w:rsid w:val="00CE6C5F"/>
    <w:rsid w:val="00CE79B2"/>
    <w:rsid w:val="00CF0417"/>
    <w:rsid w:val="00CF136A"/>
    <w:rsid w:val="00CF1CE1"/>
    <w:rsid w:val="00CF3341"/>
    <w:rsid w:val="00CF34EC"/>
    <w:rsid w:val="00CF4AB4"/>
    <w:rsid w:val="00CF5C70"/>
    <w:rsid w:val="00CF650F"/>
    <w:rsid w:val="00CF70C6"/>
    <w:rsid w:val="00CF7E8C"/>
    <w:rsid w:val="00D00017"/>
    <w:rsid w:val="00D00AB2"/>
    <w:rsid w:val="00D04C5B"/>
    <w:rsid w:val="00D05F5A"/>
    <w:rsid w:val="00D06110"/>
    <w:rsid w:val="00D07A37"/>
    <w:rsid w:val="00D1096E"/>
    <w:rsid w:val="00D11FC2"/>
    <w:rsid w:val="00D127D9"/>
    <w:rsid w:val="00D12A4F"/>
    <w:rsid w:val="00D16115"/>
    <w:rsid w:val="00D16451"/>
    <w:rsid w:val="00D16DEB"/>
    <w:rsid w:val="00D16F05"/>
    <w:rsid w:val="00D17359"/>
    <w:rsid w:val="00D17F23"/>
    <w:rsid w:val="00D2049F"/>
    <w:rsid w:val="00D20735"/>
    <w:rsid w:val="00D20FE1"/>
    <w:rsid w:val="00D211B4"/>
    <w:rsid w:val="00D22AA2"/>
    <w:rsid w:val="00D24476"/>
    <w:rsid w:val="00D24558"/>
    <w:rsid w:val="00D24B3E"/>
    <w:rsid w:val="00D2546B"/>
    <w:rsid w:val="00D268C5"/>
    <w:rsid w:val="00D270B4"/>
    <w:rsid w:val="00D273FE"/>
    <w:rsid w:val="00D276B3"/>
    <w:rsid w:val="00D3100B"/>
    <w:rsid w:val="00D31389"/>
    <w:rsid w:val="00D324A0"/>
    <w:rsid w:val="00D32779"/>
    <w:rsid w:val="00D32F85"/>
    <w:rsid w:val="00D330A5"/>
    <w:rsid w:val="00D333B2"/>
    <w:rsid w:val="00D336E3"/>
    <w:rsid w:val="00D338CA"/>
    <w:rsid w:val="00D33FF9"/>
    <w:rsid w:val="00D34603"/>
    <w:rsid w:val="00D34822"/>
    <w:rsid w:val="00D35077"/>
    <w:rsid w:val="00D35139"/>
    <w:rsid w:val="00D36CAB"/>
    <w:rsid w:val="00D37A05"/>
    <w:rsid w:val="00D447F2"/>
    <w:rsid w:val="00D4517C"/>
    <w:rsid w:val="00D45956"/>
    <w:rsid w:val="00D46B17"/>
    <w:rsid w:val="00D5116E"/>
    <w:rsid w:val="00D51209"/>
    <w:rsid w:val="00D5186A"/>
    <w:rsid w:val="00D51967"/>
    <w:rsid w:val="00D5211B"/>
    <w:rsid w:val="00D53068"/>
    <w:rsid w:val="00D54362"/>
    <w:rsid w:val="00D548FA"/>
    <w:rsid w:val="00D54AF8"/>
    <w:rsid w:val="00D54F30"/>
    <w:rsid w:val="00D57516"/>
    <w:rsid w:val="00D57E8E"/>
    <w:rsid w:val="00D57EE2"/>
    <w:rsid w:val="00D611E7"/>
    <w:rsid w:val="00D61AA7"/>
    <w:rsid w:val="00D62335"/>
    <w:rsid w:val="00D632CA"/>
    <w:rsid w:val="00D6383F"/>
    <w:rsid w:val="00D6462F"/>
    <w:rsid w:val="00D66271"/>
    <w:rsid w:val="00D676C1"/>
    <w:rsid w:val="00D701CA"/>
    <w:rsid w:val="00D71D80"/>
    <w:rsid w:val="00D721C9"/>
    <w:rsid w:val="00D721CC"/>
    <w:rsid w:val="00D73BB5"/>
    <w:rsid w:val="00D740EA"/>
    <w:rsid w:val="00D7562A"/>
    <w:rsid w:val="00D75790"/>
    <w:rsid w:val="00D7586F"/>
    <w:rsid w:val="00D75F20"/>
    <w:rsid w:val="00D769DC"/>
    <w:rsid w:val="00D76B3F"/>
    <w:rsid w:val="00D77151"/>
    <w:rsid w:val="00D80324"/>
    <w:rsid w:val="00D80EB5"/>
    <w:rsid w:val="00D8142E"/>
    <w:rsid w:val="00D8154F"/>
    <w:rsid w:val="00D81EDB"/>
    <w:rsid w:val="00D82705"/>
    <w:rsid w:val="00D84B3D"/>
    <w:rsid w:val="00D858D5"/>
    <w:rsid w:val="00D85C72"/>
    <w:rsid w:val="00D86122"/>
    <w:rsid w:val="00D8620A"/>
    <w:rsid w:val="00D869C3"/>
    <w:rsid w:val="00D86A6E"/>
    <w:rsid w:val="00D900A9"/>
    <w:rsid w:val="00D91068"/>
    <w:rsid w:val="00D91E32"/>
    <w:rsid w:val="00D92DFE"/>
    <w:rsid w:val="00D92E99"/>
    <w:rsid w:val="00D9483E"/>
    <w:rsid w:val="00D954DA"/>
    <w:rsid w:val="00D9556F"/>
    <w:rsid w:val="00D95CD0"/>
    <w:rsid w:val="00D96DE3"/>
    <w:rsid w:val="00D97954"/>
    <w:rsid w:val="00D97DE4"/>
    <w:rsid w:val="00DA039A"/>
    <w:rsid w:val="00DA06E6"/>
    <w:rsid w:val="00DA0921"/>
    <w:rsid w:val="00DA0A05"/>
    <w:rsid w:val="00DA2200"/>
    <w:rsid w:val="00DA35D2"/>
    <w:rsid w:val="00DA5E66"/>
    <w:rsid w:val="00DA6048"/>
    <w:rsid w:val="00DA6F61"/>
    <w:rsid w:val="00DB20B3"/>
    <w:rsid w:val="00DB543C"/>
    <w:rsid w:val="00DB5A59"/>
    <w:rsid w:val="00DB7133"/>
    <w:rsid w:val="00DB7A59"/>
    <w:rsid w:val="00DC10A6"/>
    <w:rsid w:val="00DC1528"/>
    <w:rsid w:val="00DC2336"/>
    <w:rsid w:val="00DC2551"/>
    <w:rsid w:val="00DC3D76"/>
    <w:rsid w:val="00DC3D7A"/>
    <w:rsid w:val="00DD06FB"/>
    <w:rsid w:val="00DD0F28"/>
    <w:rsid w:val="00DD1860"/>
    <w:rsid w:val="00DD2CB2"/>
    <w:rsid w:val="00DD2EC3"/>
    <w:rsid w:val="00DD36C6"/>
    <w:rsid w:val="00DD39E7"/>
    <w:rsid w:val="00DD3FEF"/>
    <w:rsid w:val="00DD44B4"/>
    <w:rsid w:val="00DD56E4"/>
    <w:rsid w:val="00DD5A52"/>
    <w:rsid w:val="00DE073E"/>
    <w:rsid w:val="00DE1374"/>
    <w:rsid w:val="00DE1FBA"/>
    <w:rsid w:val="00DE2127"/>
    <w:rsid w:val="00DE59F8"/>
    <w:rsid w:val="00DE62B5"/>
    <w:rsid w:val="00DE7A86"/>
    <w:rsid w:val="00DE7CA2"/>
    <w:rsid w:val="00DF061B"/>
    <w:rsid w:val="00DF0631"/>
    <w:rsid w:val="00DF1D50"/>
    <w:rsid w:val="00DF20C7"/>
    <w:rsid w:val="00DF3A2D"/>
    <w:rsid w:val="00DF3E69"/>
    <w:rsid w:val="00DF4F33"/>
    <w:rsid w:val="00DF6D23"/>
    <w:rsid w:val="00DF71FB"/>
    <w:rsid w:val="00DF7D7E"/>
    <w:rsid w:val="00DF7EC2"/>
    <w:rsid w:val="00E00232"/>
    <w:rsid w:val="00E002B7"/>
    <w:rsid w:val="00E013CB"/>
    <w:rsid w:val="00E016B7"/>
    <w:rsid w:val="00E029F9"/>
    <w:rsid w:val="00E03792"/>
    <w:rsid w:val="00E04133"/>
    <w:rsid w:val="00E053FA"/>
    <w:rsid w:val="00E0541D"/>
    <w:rsid w:val="00E06243"/>
    <w:rsid w:val="00E1119A"/>
    <w:rsid w:val="00E11234"/>
    <w:rsid w:val="00E115F2"/>
    <w:rsid w:val="00E13100"/>
    <w:rsid w:val="00E132AC"/>
    <w:rsid w:val="00E1346C"/>
    <w:rsid w:val="00E1393C"/>
    <w:rsid w:val="00E14061"/>
    <w:rsid w:val="00E15644"/>
    <w:rsid w:val="00E15996"/>
    <w:rsid w:val="00E15DDA"/>
    <w:rsid w:val="00E162F7"/>
    <w:rsid w:val="00E16ED3"/>
    <w:rsid w:val="00E17F74"/>
    <w:rsid w:val="00E204E7"/>
    <w:rsid w:val="00E2088D"/>
    <w:rsid w:val="00E20916"/>
    <w:rsid w:val="00E21563"/>
    <w:rsid w:val="00E239FD"/>
    <w:rsid w:val="00E24F11"/>
    <w:rsid w:val="00E25A48"/>
    <w:rsid w:val="00E266E2"/>
    <w:rsid w:val="00E267BA"/>
    <w:rsid w:val="00E268DB"/>
    <w:rsid w:val="00E30253"/>
    <w:rsid w:val="00E30414"/>
    <w:rsid w:val="00E30517"/>
    <w:rsid w:val="00E30943"/>
    <w:rsid w:val="00E30A2B"/>
    <w:rsid w:val="00E31A58"/>
    <w:rsid w:val="00E324CE"/>
    <w:rsid w:val="00E32A9E"/>
    <w:rsid w:val="00E344A5"/>
    <w:rsid w:val="00E376B9"/>
    <w:rsid w:val="00E41170"/>
    <w:rsid w:val="00E41FAD"/>
    <w:rsid w:val="00E4265B"/>
    <w:rsid w:val="00E42B64"/>
    <w:rsid w:val="00E42DCD"/>
    <w:rsid w:val="00E4317F"/>
    <w:rsid w:val="00E4567E"/>
    <w:rsid w:val="00E45F99"/>
    <w:rsid w:val="00E463A3"/>
    <w:rsid w:val="00E46441"/>
    <w:rsid w:val="00E46620"/>
    <w:rsid w:val="00E46E81"/>
    <w:rsid w:val="00E50291"/>
    <w:rsid w:val="00E50BFB"/>
    <w:rsid w:val="00E51836"/>
    <w:rsid w:val="00E51B6D"/>
    <w:rsid w:val="00E52241"/>
    <w:rsid w:val="00E53AE7"/>
    <w:rsid w:val="00E542A6"/>
    <w:rsid w:val="00E54AF9"/>
    <w:rsid w:val="00E54D43"/>
    <w:rsid w:val="00E61123"/>
    <w:rsid w:val="00E611D4"/>
    <w:rsid w:val="00E6212C"/>
    <w:rsid w:val="00E6272F"/>
    <w:rsid w:val="00E63ED1"/>
    <w:rsid w:val="00E63FA2"/>
    <w:rsid w:val="00E656C5"/>
    <w:rsid w:val="00E66991"/>
    <w:rsid w:val="00E704A6"/>
    <w:rsid w:val="00E71405"/>
    <w:rsid w:val="00E717F4"/>
    <w:rsid w:val="00E71CB1"/>
    <w:rsid w:val="00E71F58"/>
    <w:rsid w:val="00E72644"/>
    <w:rsid w:val="00E75707"/>
    <w:rsid w:val="00E76AA0"/>
    <w:rsid w:val="00E770F5"/>
    <w:rsid w:val="00E805DE"/>
    <w:rsid w:val="00E807CD"/>
    <w:rsid w:val="00E80EAC"/>
    <w:rsid w:val="00E81243"/>
    <w:rsid w:val="00E83DC0"/>
    <w:rsid w:val="00E84152"/>
    <w:rsid w:val="00E848A9"/>
    <w:rsid w:val="00E901C4"/>
    <w:rsid w:val="00E90C20"/>
    <w:rsid w:val="00E91756"/>
    <w:rsid w:val="00E927AB"/>
    <w:rsid w:val="00E92C84"/>
    <w:rsid w:val="00E92D09"/>
    <w:rsid w:val="00E93954"/>
    <w:rsid w:val="00E94EDC"/>
    <w:rsid w:val="00E957F1"/>
    <w:rsid w:val="00E9599B"/>
    <w:rsid w:val="00E95B31"/>
    <w:rsid w:val="00E95BEA"/>
    <w:rsid w:val="00E96792"/>
    <w:rsid w:val="00EA2E6C"/>
    <w:rsid w:val="00EA41FD"/>
    <w:rsid w:val="00EA44F3"/>
    <w:rsid w:val="00EA4E3F"/>
    <w:rsid w:val="00EA4F17"/>
    <w:rsid w:val="00EA57A8"/>
    <w:rsid w:val="00EA592A"/>
    <w:rsid w:val="00EA6CF0"/>
    <w:rsid w:val="00EA7B4A"/>
    <w:rsid w:val="00EA7BF6"/>
    <w:rsid w:val="00EB39DB"/>
    <w:rsid w:val="00EB535F"/>
    <w:rsid w:val="00EB7DA5"/>
    <w:rsid w:val="00EC3034"/>
    <w:rsid w:val="00EC30CB"/>
    <w:rsid w:val="00EC3964"/>
    <w:rsid w:val="00EC3F72"/>
    <w:rsid w:val="00EC464E"/>
    <w:rsid w:val="00EC4E12"/>
    <w:rsid w:val="00EC5669"/>
    <w:rsid w:val="00EC5817"/>
    <w:rsid w:val="00EC6879"/>
    <w:rsid w:val="00EC6CB4"/>
    <w:rsid w:val="00EC6EFB"/>
    <w:rsid w:val="00ED0016"/>
    <w:rsid w:val="00ED0BED"/>
    <w:rsid w:val="00ED1BB7"/>
    <w:rsid w:val="00ED240D"/>
    <w:rsid w:val="00ED273F"/>
    <w:rsid w:val="00ED2923"/>
    <w:rsid w:val="00ED4A24"/>
    <w:rsid w:val="00ED4F09"/>
    <w:rsid w:val="00ED5A97"/>
    <w:rsid w:val="00ED67B1"/>
    <w:rsid w:val="00ED6D08"/>
    <w:rsid w:val="00ED6DB0"/>
    <w:rsid w:val="00ED7233"/>
    <w:rsid w:val="00ED7C88"/>
    <w:rsid w:val="00EE00C6"/>
    <w:rsid w:val="00EE1C8F"/>
    <w:rsid w:val="00EE1F0F"/>
    <w:rsid w:val="00EE26C8"/>
    <w:rsid w:val="00EE27E5"/>
    <w:rsid w:val="00EE31E1"/>
    <w:rsid w:val="00EE4AC3"/>
    <w:rsid w:val="00EE5516"/>
    <w:rsid w:val="00EE57E6"/>
    <w:rsid w:val="00EE6457"/>
    <w:rsid w:val="00EE71AD"/>
    <w:rsid w:val="00EF06DA"/>
    <w:rsid w:val="00EF24FD"/>
    <w:rsid w:val="00EF2A01"/>
    <w:rsid w:val="00EF2A29"/>
    <w:rsid w:val="00EF77C4"/>
    <w:rsid w:val="00F009F4"/>
    <w:rsid w:val="00F01007"/>
    <w:rsid w:val="00F0158F"/>
    <w:rsid w:val="00F02B75"/>
    <w:rsid w:val="00F02D97"/>
    <w:rsid w:val="00F0430F"/>
    <w:rsid w:val="00F04503"/>
    <w:rsid w:val="00F05217"/>
    <w:rsid w:val="00F05343"/>
    <w:rsid w:val="00F0689F"/>
    <w:rsid w:val="00F06CFD"/>
    <w:rsid w:val="00F071B7"/>
    <w:rsid w:val="00F103BD"/>
    <w:rsid w:val="00F10AB6"/>
    <w:rsid w:val="00F10EC7"/>
    <w:rsid w:val="00F1243B"/>
    <w:rsid w:val="00F17CC1"/>
    <w:rsid w:val="00F215FB"/>
    <w:rsid w:val="00F219F2"/>
    <w:rsid w:val="00F22061"/>
    <w:rsid w:val="00F22565"/>
    <w:rsid w:val="00F22CC3"/>
    <w:rsid w:val="00F23055"/>
    <w:rsid w:val="00F23648"/>
    <w:rsid w:val="00F23703"/>
    <w:rsid w:val="00F24D12"/>
    <w:rsid w:val="00F24F1C"/>
    <w:rsid w:val="00F25557"/>
    <w:rsid w:val="00F25602"/>
    <w:rsid w:val="00F25D97"/>
    <w:rsid w:val="00F26F3D"/>
    <w:rsid w:val="00F27396"/>
    <w:rsid w:val="00F277BA"/>
    <w:rsid w:val="00F3118A"/>
    <w:rsid w:val="00F31402"/>
    <w:rsid w:val="00F31DB2"/>
    <w:rsid w:val="00F32531"/>
    <w:rsid w:val="00F32A08"/>
    <w:rsid w:val="00F35629"/>
    <w:rsid w:val="00F35F8C"/>
    <w:rsid w:val="00F366D4"/>
    <w:rsid w:val="00F36EF9"/>
    <w:rsid w:val="00F42B47"/>
    <w:rsid w:val="00F4320C"/>
    <w:rsid w:val="00F43EA0"/>
    <w:rsid w:val="00F4731C"/>
    <w:rsid w:val="00F50415"/>
    <w:rsid w:val="00F506AA"/>
    <w:rsid w:val="00F507D9"/>
    <w:rsid w:val="00F509FD"/>
    <w:rsid w:val="00F50FC9"/>
    <w:rsid w:val="00F515DF"/>
    <w:rsid w:val="00F51849"/>
    <w:rsid w:val="00F51BF9"/>
    <w:rsid w:val="00F5228C"/>
    <w:rsid w:val="00F522FA"/>
    <w:rsid w:val="00F527B5"/>
    <w:rsid w:val="00F53730"/>
    <w:rsid w:val="00F53A8D"/>
    <w:rsid w:val="00F54EAA"/>
    <w:rsid w:val="00F5688C"/>
    <w:rsid w:val="00F56A16"/>
    <w:rsid w:val="00F571B2"/>
    <w:rsid w:val="00F57A86"/>
    <w:rsid w:val="00F60520"/>
    <w:rsid w:val="00F60676"/>
    <w:rsid w:val="00F61D04"/>
    <w:rsid w:val="00F6318D"/>
    <w:rsid w:val="00F636BC"/>
    <w:rsid w:val="00F648A7"/>
    <w:rsid w:val="00F6761C"/>
    <w:rsid w:val="00F67BB7"/>
    <w:rsid w:val="00F70189"/>
    <w:rsid w:val="00F70221"/>
    <w:rsid w:val="00F707A3"/>
    <w:rsid w:val="00F72843"/>
    <w:rsid w:val="00F728A7"/>
    <w:rsid w:val="00F728FB"/>
    <w:rsid w:val="00F72D35"/>
    <w:rsid w:val="00F756DB"/>
    <w:rsid w:val="00F75D34"/>
    <w:rsid w:val="00F77F0C"/>
    <w:rsid w:val="00F8024D"/>
    <w:rsid w:val="00F81742"/>
    <w:rsid w:val="00F81910"/>
    <w:rsid w:val="00F828D1"/>
    <w:rsid w:val="00F828F0"/>
    <w:rsid w:val="00F82CC6"/>
    <w:rsid w:val="00F8348B"/>
    <w:rsid w:val="00F84B86"/>
    <w:rsid w:val="00F85173"/>
    <w:rsid w:val="00F86A40"/>
    <w:rsid w:val="00F9019D"/>
    <w:rsid w:val="00F9042F"/>
    <w:rsid w:val="00F914C8"/>
    <w:rsid w:val="00F927BB"/>
    <w:rsid w:val="00F93423"/>
    <w:rsid w:val="00F969A7"/>
    <w:rsid w:val="00F96AB2"/>
    <w:rsid w:val="00F96FFB"/>
    <w:rsid w:val="00F970A0"/>
    <w:rsid w:val="00F97305"/>
    <w:rsid w:val="00F9746D"/>
    <w:rsid w:val="00FA2D71"/>
    <w:rsid w:val="00FA358B"/>
    <w:rsid w:val="00FA397B"/>
    <w:rsid w:val="00FA45AD"/>
    <w:rsid w:val="00FA48CF"/>
    <w:rsid w:val="00FA54E8"/>
    <w:rsid w:val="00FA57DC"/>
    <w:rsid w:val="00FA6318"/>
    <w:rsid w:val="00FB00FB"/>
    <w:rsid w:val="00FB0366"/>
    <w:rsid w:val="00FB0808"/>
    <w:rsid w:val="00FB11A9"/>
    <w:rsid w:val="00FB248C"/>
    <w:rsid w:val="00FB28DD"/>
    <w:rsid w:val="00FB3A6F"/>
    <w:rsid w:val="00FB3FEE"/>
    <w:rsid w:val="00FB7173"/>
    <w:rsid w:val="00FB772A"/>
    <w:rsid w:val="00FC14CD"/>
    <w:rsid w:val="00FC1B22"/>
    <w:rsid w:val="00FC2131"/>
    <w:rsid w:val="00FC2505"/>
    <w:rsid w:val="00FC3EEC"/>
    <w:rsid w:val="00FC3FB5"/>
    <w:rsid w:val="00FC3FC9"/>
    <w:rsid w:val="00FC5274"/>
    <w:rsid w:val="00FC64E4"/>
    <w:rsid w:val="00FC7078"/>
    <w:rsid w:val="00FC71CC"/>
    <w:rsid w:val="00FD11A3"/>
    <w:rsid w:val="00FD3E0C"/>
    <w:rsid w:val="00FD58A1"/>
    <w:rsid w:val="00FD5F16"/>
    <w:rsid w:val="00FD613C"/>
    <w:rsid w:val="00FD73A5"/>
    <w:rsid w:val="00FE37EA"/>
    <w:rsid w:val="00FE386E"/>
    <w:rsid w:val="00FE4808"/>
    <w:rsid w:val="00FE4D4B"/>
    <w:rsid w:val="00FE625B"/>
    <w:rsid w:val="00FE65DD"/>
    <w:rsid w:val="00FE7130"/>
    <w:rsid w:val="00FE7BE1"/>
    <w:rsid w:val="00FE7D7E"/>
    <w:rsid w:val="00FF0BE7"/>
    <w:rsid w:val="00FF26F9"/>
    <w:rsid w:val="00FF2E50"/>
    <w:rsid w:val="00FF2EA7"/>
    <w:rsid w:val="00FF314A"/>
    <w:rsid w:val="00FF31D5"/>
    <w:rsid w:val="00FF329E"/>
    <w:rsid w:val="00FF384F"/>
    <w:rsid w:val="00FF4EFA"/>
    <w:rsid w:val="00FF52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34FB8"/>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D77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FF4E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6FEF"/>
    <w:pPr>
      <w:keepNext/>
      <w:spacing w:before="240" w:after="60" w:line="240" w:lineRule="auto"/>
      <w:outlineLvl w:val="2"/>
    </w:pPr>
    <w:rPr>
      <w:rFonts w:ascii="Corbel" w:eastAsia="Times New Roman" w:hAnsi="Corbel"/>
      <w:b/>
      <w:bCs/>
      <w:color w:val="262626" w:themeColor="text1" w:themeTint="D9"/>
      <w:sz w:val="28"/>
      <w:szCs w:val="26"/>
    </w:rPr>
  </w:style>
  <w:style w:type="paragraph" w:styleId="Heading4">
    <w:name w:val="heading 4"/>
    <w:basedOn w:val="Normal"/>
    <w:next w:val="Normal"/>
    <w:link w:val="Heading4Char"/>
    <w:uiPriority w:val="9"/>
    <w:unhideWhenUsed/>
    <w:qFormat/>
    <w:rsid w:val="009D07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D0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5C"/>
    <w:pPr>
      <w:tabs>
        <w:tab w:val="center" w:pos="4513"/>
        <w:tab w:val="right" w:pos="9026"/>
      </w:tabs>
      <w:spacing w:after="0" w:line="240" w:lineRule="auto"/>
    </w:pPr>
  </w:style>
  <w:style w:type="character" w:customStyle="1" w:styleId="HeaderChar">
    <w:name w:val="Header Char"/>
    <w:link w:val="Header"/>
    <w:uiPriority w:val="99"/>
    <w:rsid w:val="00173D5C"/>
    <w:rPr>
      <w:rFonts w:ascii="Arial" w:hAnsi="Arial"/>
      <w:sz w:val="20"/>
    </w:rPr>
  </w:style>
  <w:style w:type="paragraph" w:styleId="Footer">
    <w:name w:val="footer"/>
    <w:basedOn w:val="Normal"/>
    <w:link w:val="FooterChar"/>
    <w:uiPriority w:val="99"/>
    <w:unhideWhenUsed/>
    <w:rsid w:val="00173D5C"/>
    <w:pPr>
      <w:tabs>
        <w:tab w:val="center" w:pos="4513"/>
        <w:tab w:val="right" w:pos="9026"/>
      </w:tabs>
      <w:spacing w:after="0" w:line="240" w:lineRule="auto"/>
    </w:pPr>
  </w:style>
  <w:style w:type="character" w:customStyle="1" w:styleId="FooterChar">
    <w:name w:val="Footer Char"/>
    <w:link w:val="Footer"/>
    <w:uiPriority w:val="99"/>
    <w:rsid w:val="00173D5C"/>
    <w:rPr>
      <w:rFonts w:ascii="Arial" w:hAnsi="Arial"/>
      <w:sz w:val="20"/>
    </w:rPr>
  </w:style>
  <w:style w:type="paragraph" w:styleId="BalloonText">
    <w:name w:val="Balloon Text"/>
    <w:basedOn w:val="Normal"/>
    <w:link w:val="BalloonTextChar"/>
    <w:uiPriority w:val="99"/>
    <w:semiHidden/>
    <w:unhideWhenUsed/>
    <w:rsid w:val="00173D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3D5C"/>
    <w:rPr>
      <w:rFonts w:ascii="Tahoma" w:hAnsi="Tahoma" w:cs="Tahoma"/>
      <w:sz w:val="16"/>
      <w:szCs w:val="16"/>
    </w:rPr>
  </w:style>
  <w:style w:type="paragraph" w:customStyle="1" w:styleId="BasicParagraph">
    <w:name w:val="[Basic Paragraph]"/>
    <w:basedOn w:val="Normal"/>
    <w:link w:val="BasicParagraphChar"/>
    <w:uiPriority w:val="99"/>
    <w:rsid w:val="008712E1"/>
    <w:pPr>
      <w:suppressAutoHyphens/>
      <w:autoSpaceDE w:val="0"/>
      <w:autoSpaceDN w:val="0"/>
      <w:adjustRightInd w:val="0"/>
      <w:spacing w:after="0" w:line="288" w:lineRule="auto"/>
      <w:textAlignment w:val="center"/>
    </w:pPr>
    <w:rPr>
      <w:rFonts w:ascii="Arial (T1) MT Light" w:hAnsi="Arial (T1) MT Light" w:cs="Arial (T1) MT Light"/>
      <w:color w:val="000000"/>
      <w:sz w:val="24"/>
      <w:szCs w:val="24"/>
    </w:rPr>
  </w:style>
  <w:style w:type="paragraph" w:customStyle="1" w:styleId="Coverdate">
    <w:name w:val="Cover date"/>
    <w:basedOn w:val="Normal"/>
    <w:link w:val="CoverdateChar"/>
    <w:rsid w:val="008712E1"/>
    <w:rPr>
      <w:rFonts w:ascii="Rockwell" w:hAnsi="Rockwell"/>
      <w:color w:val="FFFFFF"/>
      <w:sz w:val="36"/>
      <w:szCs w:val="36"/>
    </w:rPr>
  </w:style>
  <w:style w:type="paragraph" w:customStyle="1" w:styleId="Strapline">
    <w:name w:val="Strapline"/>
    <w:basedOn w:val="Normal"/>
    <w:link w:val="StraplineChar"/>
    <w:rsid w:val="000B61FA"/>
    <w:rPr>
      <w:color w:val="4F8F99"/>
      <w:sz w:val="36"/>
      <w:szCs w:val="36"/>
    </w:rPr>
  </w:style>
  <w:style w:type="character" w:customStyle="1" w:styleId="CoverdateChar">
    <w:name w:val="Cover date Char"/>
    <w:link w:val="Coverdate"/>
    <w:rsid w:val="008712E1"/>
    <w:rPr>
      <w:rFonts w:ascii="Rockwell" w:hAnsi="Rockwell"/>
      <w:color w:val="FFFFFF"/>
      <w:sz w:val="36"/>
      <w:szCs w:val="36"/>
    </w:rPr>
  </w:style>
  <w:style w:type="paragraph" w:customStyle="1" w:styleId="Sectionheading">
    <w:name w:val="Section heading"/>
    <w:basedOn w:val="BasicParagraph"/>
    <w:link w:val="SectionheadingChar"/>
    <w:qFormat/>
    <w:rsid w:val="001E1EBC"/>
    <w:rPr>
      <w:rFonts w:ascii="Rockwell" w:hAnsi="Rockwell" w:cs="Calibri"/>
      <w:b/>
      <w:bCs/>
      <w:color w:val="595959" w:themeColor="text1" w:themeTint="A6"/>
      <w:spacing w:val="-20"/>
      <w:sz w:val="44"/>
      <w:szCs w:val="72"/>
    </w:rPr>
  </w:style>
  <w:style w:type="character" w:customStyle="1" w:styleId="StraplineChar">
    <w:name w:val="Strapline Char"/>
    <w:link w:val="Strapline"/>
    <w:rsid w:val="000B61FA"/>
    <w:rPr>
      <w:rFonts w:ascii="Arial" w:hAnsi="Arial"/>
      <w:color w:val="4F8F99"/>
      <w:sz w:val="36"/>
      <w:szCs w:val="36"/>
      <w:lang w:eastAsia="en-US"/>
    </w:rPr>
  </w:style>
  <w:style w:type="paragraph" w:customStyle="1" w:styleId="Sub-heading">
    <w:name w:val="Sub-heading"/>
    <w:basedOn w:val="BasicParagraph"/>
    <w:link w:val="Sub-headingChar"/>
    <w:qFormat/>
    <w:rsid w:val="001E1EBC"/>
    <w:pPr>
      <w:spacing w:before="360" w:after="120"/>
    </w:pPr>
    <w:rPr>
      <w:rFonts w:ascii="Rockwell" w:hAnsi="Rockwell" w:cs="Calibri"/>
      <w:bCs/>
      <w:color w:val="595959" w:themeColor="text1" w:themeTint="A6"/>
      <w:sz w:val="32"/>
      <w:szCs w:val="40"/>
      <w:lang w:eastAsia="en-GB"/>
    </w:rPr>
  </w:style>
  <w:style w:type="character" w:customStyle="1" w:styleId="BasicParagraphChar">
    <w:name w:val="[Basic Paragraph] Char"/>
    <w:link w:val="BasicParagraph"/>
    <w:uiPriority w:val="99"/>
    <w:rsid w:val="003B20FC"/>
    <w:rPr>
      <w:rFonts w:ascii="Arial (T1) MT Light" w:hAnsi="Arial (T1) MT Light" w:cs="Arial (T1) MT Light"/>
      <w:color w:val="000000"/>
      <w:sz w:val="24"/>
      <w:szCs w:val="24"/>
    </w:rPr>
  </w:style>
  <w:style w:type="character" w:customStyle="1" w:styleId="SectionheadingChar">
    <w:name w:val="Section heading Char"/>
    <w:link w:val="Sectionheading"/>
    <w:rsid w:val="001E1EBC"/>
    <w:rPr>
      <w:rFonts w:ascii="Rockwell" w:hAnsi="Rockwell" w:cs="Calibri"/>
      <w:b/>
      <w:bCs/>
      <w:color w:val="595959" w:themeColor="text1" w:themeTint="A6"/>
      <w:spacing w:val="-20"/>
      <w:sz w:val="44"/>
      <w:szCs w:val="72"/>
      <w:lang w:eastAsia="en-US"/>
    </w:rPr>
  </w:style>
  <w:style w:type="paragraph" w:customStyle="1" w:styleId="Body">
    <w:name w:val="Body"/>
    <w:basedOn w:val="BasicParagraph"/>
    <w:link w:val="BodyChar"/>
    <w:qFormat/>
    <w:rsid w:val="00306A87"/>
    <w:pPr>
      <w:spacing w:after="240"/>
    </w:pPr>
    <w:rPr>
      <w:rFonts w:ascii="Arial" w:hAnsi="Arial" w:cs="Calibri"/>
      <w:color w:val="auto"/>
    </w:rPr>
  </w:style>
  <w:style w:type="character" w:customStyle="1" w:styleId="Sub-headingChar">
    <w:name w:val="Sub-heading Char"/>
    <w:link w:val="Sub-heading"/>
    <w:rsid w:val="001E1EBC"/>
    <w:rPr>
      <w:rFonts w:ascii="Rockwell" w:hAnsi="Rockwell" w:cs="Calibri"/>
      <w:bCs/>
      <w:color w:val="595959" w:themeColor="text1" w:themeTint="A6"/>
      <w:sz w:val="32"/>
      <w:szCs w:val="40"/>
    </w:rPr>
  </w:style>
  <w:style w:type="paragraph" w:customStyle="1" w:styleId="Bullets">
    <w:name w:val="Bullets"/>
    <w:basedOn w:val="Body"/>
    <w:link w:val="BulletsChar"/>
    <w:qFormat/>
    <w:rsid w:val="00A450B5"/>
    <w:pPr>
      <w:numPr>
        <w:numId w:val="1"/>
      </w:numPr>
    </w:pPr>
  </w:style>
  <w:style w:type="character" w:customStyle="1" w:styleId="BodyChar">
    <w:name w:val="Body Char"/>
    <w:link w:val="Body"/>
    <w:rsid w:val="00306A87"/>
    <w:rPr>
      <w:rFonts w:ascii="Arial" w:hAnsi="Arial" w:cs="Calibri"/>
      <w:sz w:val="24"/>
      <w:szCs w:val="24"/>
      <w:lang w:eastAsia="en-US"/>
    </w:rPr>
  </w:style>
  <w:style w:type="paragraph" w:customStyle="1" w:styleId="Coverheader">
    <w:name w:val="Cover header"/>
    <w:basedOn w:val="Strapline"/>
    <w:link w:val="CoverheaderChar"/>
    <w:qFormat/>
    <w:rsid w:val="008C64D7"/>
    <w:pPr>
      <w:spacing w:after="0" w:line="240" w:lineRule="auto"/>
      <w:contextualSpacing/>
    </w:pPr>
    <w:rPr>
      <w:rFonts w:asciiTheme="minorHAnsi" w:hAnsiTheme="minorHAnsi"/>
      <w:b/>
      <w:bCs/>
      <w:color w:val="FFFFFF" w:themeColor="background1"/>
      <w:spacing w:val="-20"/>
      <w:sz w:val="112"/>
      <w:szCs w:val="112"/>
    </w:rPr>
  </w:style>
  <w:style w:type="character" w:customStyle="1" w:styleId="BulletsChar">
    <w:name w:val="Bullets Char"/>
    <w:link w:val="Bullets"/>
    <w:rsid w:val="00A450B5"/>
    <w:rPr>
      <w:rFonts w:ascii="Arial" w:hAnsi="Arial" w:cs="Calibri"/>
      <w:sz w:val="24"/>
      <w:szCs w:val="24"/>
      <w:lang w:eastAsia="en-US"/>
    </w:rPr>
  </w:style>
  <w:style w:type="character" w:customStyle="1" w:styleId="CoverheaderChar">
    <w:name w:val="Cover header Char"/>
    <w:link w:val="Coverheader"/>
    <w:rsid w:val="008C64D7"/>
    <w:rPr>
      <w:rFonts w:asciiTheme="minorHAnsi" w:hAnsiTheme="minorHAnsi"/>
      <w:b/>
      <w:bCs/>
      <w:color w:val="FFFFFF" w:themeColor="background1"/>
      <w:spacing w:val="-20"/>
      <w:sz w:val="112"/>
      <w:szCs w:val="112"/>
      <w:lang w:eastAsia="en-US"/>
    </w:rPr>
  </w:style>
  <w:style w:type="character" w:styleId="Hyperlink">
    <w:name w:val="Hyperlink"/>
    <w:uiPriority w:val="99"/>
    <w:rsid w:val="00F22CC3"/>
    <w:rPr>
      <w:color w:val="0000FF"/>
      <w:u w:val="single"/>
    </w:rPr>
  </w:style>
  <w:style w:type="paragraph" w:styleId="ListParagraph">
    <w:name w:val="List Paragraph"/>
    <w:basedOn w:val="Normal"/>
    <w:uiPriority w:val="99"/>
    <w:qFormat/>
    <w:rsid w:val="003136E5"/>
    <w:pPr>
      <w:ind w:left="720"/>
      <w:contextualSpacing/>
    </w:pPr>
  </w:style>
  <w:style w:type="table" w:styleId="TableGrid">
    <w:name w:val="Table Grid"/>
    <w:basedOn w:val="TableNormal"/>
    <w:uiPriority w:val="59"/>
    <w:rsid w:val="00B76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aliases w:val="Char Char Char Char Char Char Char Char"/>
    <w:basedOn w:val="Normal"/>
    <w:link w:val="PlainTextChar"/>
    <w:uiPriority w:val="99"/>
    <w:unhideWhenUsed/>
    <w:rsid w:val="001C5540"/>
    <w:pPr>
      <w:spacing w:after="0" w:line="240" w:lineRule="auto"/>
    </w:pPr>
    <w:rPr>
      <w:rFonts w:eastAsiaTheme="minorHAnsi" w:cs="Arial"/>
      <w:szCs w:val="20"/>
    </w:rPr>
  </w:style>
  <w:style w:type="character" w:customStyle="1" w:styleId="PlainTextChar">
    <w:name w:val="Plain Text Char"/>
    <w:aliases w:val="Char Char Char Char Char Char Char Char Char"/>
    <w:basedOn w:val="DefaultParagraphFont"/>
    <w:link w:val="PlainText"/>
    <w:uiPriority w:val="99"/>
    <w:rsid w:val="001C5540"/>
    <w:rPr>
      <w:rFonts w:ascii="Arial" w:eastAsiaTheme="minorHAnsi" w:hAnsi="Arial" w:cs="Arial"/>
      <w:lang w:eastAsia="en-US"/>
    </w:rPr>
  </w:style>
  <w:style w:type="character" w:styleId="Strong">
    <w:name w:val="Strong"/>
    <w:basedOn w:val="DefaultParagraphFont"/>
    <w:uiPriority w:val="22"/>
    <w:qFormat/>
    <w:rsid w:val="00860B98"/>
    <w:rPr>
      <w:b/>
      <w:bCs/>
    </w:rPr>
  </w:style>
  <w:style w:type="character" w:customStyle="1" w:styleId="st1">
    <w:name w:val="st1"/>
    <w:basedOn w:val="DefaultParagraphFont"/>
    <w:rsid w:val="00D12A4F"/>
  </w:style>
  <w:style w:type="character" w:customStyle="1" w:styleId="Heading3Char">
    <w:name w:val="Heading 3 Char"/>
    <w:basedOn w:val="DefaultParagraphFont"/>
    <w:link w:val="Heading3"/>
    <w:uiPriority w:val="9"/>
    <w:rsid w:val="00CA6FEF"/>
    <w:rPr>
      <w:rFonts w:ascii="Corbel" w:eastAsia="Times New Roman" w:hAnsi="Corbel"/>
      <w:b/>
      <w:bCs/>
      <w:color w:val="262626" w:themeColor="text1" w:themeTint="D9"/>
      <w:sz w:val="28"/>
      <w:szCs w:val="26"/>
      <w:lang w:eastAsia="en-US"/>
    </w:rPr>
  </w:style>
  <w:style w:type="character" w:styleId="PageNumber">
    <w:name w:val="page number"/>
    <w:basedOn w:val="DefaultParagraphFont"/>
    <w:uiPriority w:val="99"/>
    <w:semiHidden/>
    <w:unhideWhenUsed/>
    <w:rsid w:val="00E25A48"/>
  </w:style>
  <w:style w:type="character" w:customStyle="1" w:styleId="Heading4Char">
    <w:name w:val="Heading 4 Char"/>
    <w:basedOn w:val="DefaultParagraphFont"/>
    <w:link w:val="Heading4"/>
    <w:uiPriority w:val="9"/>
    <w:rsid w:val="009D07EE"/>
    <w:rPr>
      <w:rFonts w:asciiTheme="majorHAnsi" w:eastAsiaTheme="majorEastAsia" w:hAnsiTheme="majorHAnsi" w:cstheme="majorBidi"/>
      <w:b/>
      <w:bCs/>
      <w:i/>
      <w:iCs/>
      <w:color w:val="4F81BD" w:themeColor="accent1"/>
      <w:szCs w:val="22"/>
      <w:lang w:eastAsia="en-US"/>
    </w:rPr>
  </w:style>
  <w:style w:type="character" w:customStyle="1" w:styleId="Heading5Char">
    <w:name w:val="Heading 5 Char"/>
    <w:basedOn w:val="DefaultParagraphFont"/>
    <w:link w:val="Heading5"/>
    <w:uiPriority w:val="9"/>
    <w:rsid w:val="009D07EE"/>
    <w:rPr>
      <w:rFonts w:asciiTheme="majorHAnsi" w:eastAsiaTheme="majorEastAsia" w:hAnsiTheme="majorHAnsi" w:cstheme="majorBidi"/>
      <w:color w:val="243F60" w:themeColor="accent1" w:themeShade="7F"/>
      <w:szCs w:val="22"/>
      <w:lang w:eastAsia="en-US"/>
    </w:rPr>
  </w:style>
  <w:style w:type="table" w:styleId="LightShading">
    <w:name w:val="Light Shading"/>
    <w:basedOn w:val="TableNormal"/>
    <w:uiPriority w:val="60"/>
    <w:rsid w:val="00C51B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1B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51B6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aliases w:val="Table style"/>
    <w:basedOn w:val="TableNormal"/>
    <w:uiPriority w:val="61"/>
    <w:rsid w:val="00306A87"/>
    <w:rPr>
      <w:rFonts w:ascii="Arial" w:hAnsi="Arial"/>
      <w:sz w:val="22"/>
      <w:szCs w:val="22"/>
    </w:rPr>
    <w:tblPr>
      <w:tblInd w:w="0" w:type="dxa"/>
      <w:tblBorders>
        <w:top w:val="single" w:sz="6" w:space="0" w:color="4F8F99"/>
        <w:left w:val="single" w:sz="6" w:space="0" w:color="4F8F99"/>
        <w:bottom w:val="single" w:sz="6" w:space="0" w:color="4F8F99"/>
        <w:right w:val="single" w:sz="6" w:space="0" w:color="4F8F99"/>
        <w:insideH w:val="single" w:sz="6" w:space="0" w:color="4F8F99"/>
        <w:insideV w:val="single" w:sz="6" w:space="0" w:color="4F8F99"/>
      </w:tblBorders>
      <w:tblCellMar>
        <w:top w:w="108" w:type="dxa"/>
        <w:left w:w="108" w:type="dxa"/>
        <w:bottom w:w="0" w:type="dxa"/>
        <w:right w:w="108" w:type="dxa"/>
      </w:tblCellMar>
    </w:tblPr>
    <w:tcPr>
      <w:shd w:val="clear" w:color="auto" w:fill="auto"/>
    </w:tcPr>
    <w:tblStylePr w:type="firstRow">
      <w:pPr>
        <w:spacing w:before="0" w:after="0" w:line="240" w:lineRule="auto"/>
      </w:pPr>
      <w:rPr>
        <w:rFonts w:ascii="Arial" w:hAnsi="Arial"/>
        <w:b/>
        <w:bCs/>
        <w:i w:val="0"/>
        <w:iCs w:val="0"/>
        <w:color w:val="FFFFFF" w:themeColor="background1"/>
        <w:sz w:val="22"/>
      </w:rPr>
      <w:tblPr/>
      <w:tcPr>
        <w:shd w:val="clear" w:color="auto" w:fill="4F8F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tblStylePr>
    <w:tblStylePr w:type="firstCol">
      <w:rPr>
        <w:b w:val="0"/>
        <w:bCs/>
      </w:rPr>
    </w:tblStylePr>
    <w:tblStylePr w:type="lastCol">
      <w:rPr>
        <w:b w:val="0"/>
        <w:bCs/>
      </w:rPr>
    </w:tblStylePr>
  </w:style>
  <w:style w:type="character" w:customStyle="1" w:styleId="Heading1Char">
    <w:name w:val="Heading 1 Char"/>
    <w:basedOn w:val="DefaultParagraphFont"/>
    <w:link w:val="Heading1"/>
    <w:uiPriority w:val="9"/>
    <w:rsid w:val="00D77151"/>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77151"/>
    <w:pPr>
      <w:outlineLvl w:val="9"/>
    </w:pPr>
    <w:rPr>
      <w:lang w:val="en-US" w:eastAsia="ja-JP"/>
    </w:rPr>
  </w:style>
  <w:style w:type="paragraph" w:styleId="TOC1">
    <w:name w:val="toc 1"/>
    <w:basedOn w:val="Normal"/>
    <w:next w:val="Normal"/>
    <w:autoRedefine/>
    <w:uiPriority w:val="39"/>
    <w:unhideWhenUsed/>
    <w:rsid w:val="00D77151"/>
    <w:pPr>
      <w:tabs>
        <w:tab w:val="left" w:pos="660"/>
        <w:tab w:val="right" w:leader="dot" w:pos="9016"/>
      </w:tabs>
      <w:spacing w:after="100"/>
    </w:pPr>
    <w:rPr>
      <w:rFonts w:eastAsiaTheme="minorHAnsi" w:cs="Arial"/>
      <w:noProof/>
      <w:sz w:val="22"/>
    </w:rPr>
  </w:style>
  <w:style w:type="paragraph" w:styleId="TOC3">
    <w:name w:val="toc 3"/>
    <w:basedOn w:val="Normal"/>
    <w:next w:val="Normal"/>
    <w:autoRedefine/>
    <w:uiPriority w:val="39"/>
    <w:rsid w:val="00D77151"/>
    <w:pPr>
      <w:tabs>
        <w:tab w:val="right" w:leader="dot" w:pos="9016"/>
      </w:tabs>
      <w:spacing w:after="0" w:line="240" w:lineRule="auto"/>
      <w:ind w:left="480"/>
    </w:pPr>
    <w:rPr>
      <w:rFonts w:eastAsia="Times New Roman"/>
      <w:noProof/>
      <w:szCs w:val="20"/>
    </w:rPr>
  </w:style>
  <w:style w:type="paragraph" w:styleId="Subtitle">
    <w:name w:val="Subtitle"/>
    <w:basedOn w:val="Normal"/>
    <w:next w:val="Normal"/>
    <w:link w:val="SubtitleChar"/>
    <w:uiPriority w:val="11"/>
    <w:qFormat/>
    <w:rsid w:val="00D77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7151"/>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uiPriority w:val="99"/>
    <w:rsid w:val="00EC5817"/>
    <w:pPr>
      <w:autoSpaceDE w:val="0"/>
      <w:autoSpaceDN w:val="0"/>
      <w:adjustRightInd w:val="0"/>
    </w:pPr>
    <w:rPr>
      <w:rFonts w:ascii="Arial" w:eastAsia="Times New Roman" w:hAnsi="Arial" w:cs="Arial"/>
      <w:color w:val="000000"/>
      <w:sz w:val="24"/>
      <w:szCs w:val="24"/>
      <w:lang w:val="en-US" w:eastAsia="en-US"/>
    </w:rPr>
  </w:style>
  <w:style w:type="paragraph" w:customStyle="1" w:styleId="ITTnormal">
    <w:name w:val="ITT normal"/>
    <w:basedOn w:val="Normal"/>
    <w:uiPriority w:val="99"/>
    <w:rsid w:val="00C30E8F"/>
    <w:pPr>
      <w:autoSpaceDE w:val="0"/>
      <w:autoSpaceDN w:val="0"/>
      <w:adjustRightInd w:val="0"/>
      <w:spacing w:before="60" w:after="60" w:line="240" w:lineRule="auto"/>
      <w:ind w:left="720"/>
      <w:jc w:val="both"/>
    </w:pPr>
    <w:rPr>
      <w:rFonts w:eastAsia="Times New Roman" w:cs="Arial"/>
      <w:sz w:val="22"/>
      <w:lang w:eastAsia="en-GB"/>
    </w:rPr>
  </w:style>
  <w:style w:type="character" w:styleId="IntenseEmphasis">
    <w:name w:val="Intense Emphasis"/>
    <w:basedOn w:val="DefaultParagraphFont"/>
    <w:uiPriority w:val="99"/>
    <w:qFormat/>
    <w:rsid w:val="00C30E8F"/>
    <w:rPr>
      <w:rFonts w:cs="Times New Roman"/>
      <w:b/>
      <w:bCs/>
      <w:i/>
      <w:iCs/>
      <w:color w:val="4F81BD"/>
    </w:rPr>
  </w:style>
  <w:style w:type="character" w:customStyle="1" w:styleId="Heading2Char">
    <w:name w:val="Heading 2 Char"/>
    <w:basedOn w:val="DefaultParagraphFont"/>
    <w:link w:val="Heading2"/>
    <w:uiPriority w:val="9"/>
    <w:semiHidden/>
    <w:rsid w:val="00FF4EFA"/>
    <w:rPr>
      <w:rFonts w:asciiTheme="majorHAnsi" w:eastAsiaTheme="majorEastAsia" w:hAnsiTheme="majorHAnsi" w:cstheme="majorBidi"/>
      <w:b/>
      <w:bCs/>
      <w:color w:val="4F81BD" w:themeColor="accent1"/>
      <w:sz w:val="26"/>
      <w:szCs w:val="26"/>
      <w:lang w:eastAsia="en-US"/>
    </w:rPr>
  </w:style>
  <w:style w:type="character" w:customStyle="1" w:styleId="Style11pt">
    <w:name w:val="Style 11 pt"/>
    <w:basedOn w:val="DefaultParagraphFont"/>
    <w:uiPriority w:val="99"/>
    <w:rsid w:val="00FF4EFA"/>
    <w:rPr>
      <w:rFonts w:cs="Times New Roman"/>
      <w:bCs/>
    </w:rPr>
  </w:style>
  <w:style w:type="paragraph" w:styleId="CommentText">
    <w:name w:val="annotation text"/>
    <w:basedOn w:val="Normal"/>
    <w:link w:val="CommentTextChar"/>
    <w:uiPriority w:val="99"/>
    <w:rsid w:val="00685288"/>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CommentTextChar">
    <w:name w:val="Comment Text Char"/>
    <w:basedOn w:val="DefaultParagraphFont"/>
    <w:link w:val="CommentText"/>
    <w:uiPriority w:val="99"/>
    <w:rsid w:val="00685288"/>
    <w:rPr>
      <w:rFonts w:ascii="Times New Roman" w:eastAsia="Times New Roman" w:hAnsi="Times New Roman"/>
      <w:lang w:eastAsia="en-US"/>
    </w:rPr>
  </w:style>
  <w:style w:type="paragraph" w:styleId="BodyText2">
    <w:name w:val="Body Text 2"/>
    <w:basedOn w:val="Normal"/>
    <w:link w:val="BodyText2Char"/>
    <w:uiPriority w:val="99"/>
    <w:semiHidden/>
    <w:rsid w:val="00B23E2B"/>
    <w:pPr>
      <w:spacing w:after="0" w:line="240" w:lineRule="auto"/>
      <w:jc w:val="both"/>
    </w:pPr>
    <w:rPr>
      <w:rFonts w:ascii="Calibri" w:eastAsia="Times New Roman" w:hAnsi="Calibri"/>
      <w:sz w:val="24"/>
      <w:szCs w:val="24"/>
      <w:lang w:val="en-US" w:eastAsia="en-GB"/>
    </w:rPr>
  </w:style>
  <w:style w:type="character" w:customStyle="1" w:styleId="BodyText2Char">
    <w:name w:val="Body Text 2 Char"/>
    <w:basedOn w:val="DefaultParagraphFont"/>
    <w:link w:val="BodyText2"/>
    <w:uiPriority w:val="99"/>
    <w:semiHidden/>
    <w:rsid w:val="00B23E2B"/>
    <w:rPr>
      <w:rFonts w:eastAsia="Times New Roman"/>
      <w:sz w:val="24"/>
      <w:szCs w:val="24"/>
      <w:lang w:val="en-US"/>
    </w:rPr>
  </w:style>
  <w:style w:type="paragraph" w:styleId="TOC2">
    <w:name w:val="toc 2"/>
    <w:basedOn w:val="Normal"/>
    <w:next w:val="Normal"/>
    <w:autoRedefine/>
    <w:uiPriority w:val="39"/>
    <w:unhideWhenUsed/>
    <w:rsid w:val="00024E29"/>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834FB8"/>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D77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FF4E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A6FEF"/>
    <w:pPr>
      <w:keepNext/>
      <w:spacing w:before="240" w:after="60" w:line="240" w:lineRule="auto"/>
      <w:outlineLvl w:val="2"/>
    </w:pPr>
    <w:rPr>
      <w:rFonts w:ascii="Corbel" w:eastAsia="Times New Roman" w:hAnsi="Corbel"/>
      <w:b/>
      <w:bCs/>
      <w:color w:val="262626" w:themeColor="text1" w:themeTint="D9"/>
      <w:sz w:val="28"/>
      <w:szCs w:val="26"/>
    </w:rPr>
  </w:style>
  <w:style w:type="paragraph" w:styleId="Heading4">
    <w:name w:val="heading 4"/>
    <w:basedOn w:val="Normal"/>
    <w:next w:val="Normal"/>
    <w:link w:val="Heading4Char"/>
    <w:uiPriority w:val="9"/>
    <w:unhideWhenUsed/>
    <w:qFormat/>
    <w:rsid w:val="009D07E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D0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D5C"/>
    <w:pPr>
      <w:tabs>
        <w:tab w:val="center" w:pos="4513"/>
        <w:tab w:val="right" w:pos="9026"/>
      </w:tabs>
      <w:spacing w:after="0" w:line="240" w:lineRule="auto"/>
    </w:pPr>
  </w:style>
  <w:style w:type="character" w:customStyle="1" w:styleId="HeaderChar">
    <w:name w:val="Header Char"/>
    <w:link w:val="Header"/>
    <w:uiPriority w:val="99"/>
    <w:rsid w:val="00173D5C"/>
    <w:rPr>
      <w:rFonts w:ascii="Arial" w:hAnsi="Arial"/>
      <w:sz w:val="20"/>
    </w:rPr>
  </w:style>
  <w:style w:type="paragraph" w:styleId="Footer">
    <w:name w:val="footer"/>
    <w:basedOn w:val="Normal"/>
    <w:link w:val="FooterChar"/>
    <w:uiPriority w:val="99"/>
    <w:unhideWhenUsed/>
    <w:rsid w:val="00173D5C"/>
    <w:pPr>
      <w:tabs>
        <w:tab w:val="center" w:pos="4513"/>
        <w:tab w:val="right" w:pos="9026"/>
      </w:tabs>
      <w:spacing w:after="0" w:line="240" w:lineRule="auto"/>
    </w:pPr>
  </w:style>
  <w:style w:type="character" w:customStyle="1" w:styleId="FooterChar">
    <w:name w:val="Footer Char"/>
    <w:link w:val="Footer"/>
    <w:uiPriority w:val="99"/>
    <w:rsid w:val="00173D5C"/>
    <w:rPr>
      <w:rFonts w:ascii="Arial" w:hAnsi="Arial"/>
      <w:sz w:val="20"/>
    </w:rPr>
  </w:style>
  <w:style w:type="paragraph" w:styleId="BalloonText">
    <w:name w:val="Balloon Text"/>
    <w:basedOn w:val="Normal"/>
    <w:link w:val="BalloonTextChar"/>
    <w:uiPriority w:val="99"/>
    <w:semiHidden/>
    <w:unhideWhenUsed/>
    <w:rsid w:val="00173D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3D5C"/>
    <w:rPr>
      <w:rFonts w:ascii="Tahoma" w:hAnsi="Tahoma" w:cs="Tahoma"/>
      <w:sz w:val="16"/>
      <w:szCs w:val="16"/>
    </w:rPr>
  </w:style>
  <w:style w:type="paragraph" w:customStyle="1" w:styleId="BasicParagraph">
    <w:name w:val="[Basic Paragraph]"/>
    <w:basedOn w:val="Normal"/>
    <w:link w:val="BasicParagraphChar"/>
    <w:uiPriority w:val="99"/>
    <w:rsid w:val="008712E1"/>
    <w:pPr>
      <w:suppressAutoHyphens/>
      <w:autoSpaceDE w:val="0"/>
      <w:autoSpaceDN w:val="0"/>
      <w:adjustRightInd w:val="0"/>
      <w:spacing w:after="0" w:line="288" w:lineRule="auto"/>
      <w:textAlignment w:val="center"/>
    </w:pPr>
    <w:rPr>
      <w:rFonts w:ascii="Arial (T1) MT Light" w:hAnsi="Arial (T1) MT Light" w:cs="Arial (T1) MT Light"/>
      <w:color w:val="000000"/>
      <w:sz w:val="24"/>
      <w:szCs w:val="24"/>
    </w:rPr>
  </w:style>
  <w:style w:type="paragraph" w:customStyle="1" w:styleId="Coverdate">
    <w:name w:val="Cover date"/>
    <w:basedOn w:val="Normal"/>
    <w:link w:val="CoverdateChar"/>
    <w:rsid w:val="008712E1"/>
    <w:rPr>
      <w:rFonts w:ascii="Rockwell" w:hAnsi="Rockwell"/>
      <w:color w:val="FFFFFF"/>
      <w:sz w:val="36"/>
      <w:szCs w:val="36"/>
    </w:rPr>
  </w:style>
  <w:style w:type="paragraph" w:customStyle="1" w:styleId="Strapline">
    <w:name w:val="Strapline"/>
    <w:basedOn w:val="Normal"/>
    <w:link w:val="StraplineChar"/>
    <w:rsid w:val="000B61FA"/>
    <w:rPr>
      <w:color w:val="4F8F99"/>
      <w:sz w:val="36"/>
      <w:szCs w:val="36"/>
    </w:rPr>
  </w:style>
  <w:style w:type="character" w:customStyle="1" w:styleId="CoverdateChar">
    <w:name w:val="Cover date Char"/>
    <w:link w:val="Coverdate"/>
    <w:rsid w:val="008712E1"/>
    <w:rPr>
      <w:rFonts w:ascii="Rockwell" w:hAnsi="Rockwell"/>
      <w:color w:val="FFFFFF"/>
      <w:sz w:val="36"/>
      <w:szCs w:val="36"/>
    </w:rPr>
  </w:style>
  <w:style w:type="paragraph" w:customStyle="1" w:styleId="Sectionheading">
    <w:name w:val="Section heading"/>
    <w:basedOn w:val="BasicParagraph"/>
    <w:link w:val="SectionheadingChar"/>
    <w:qFormat/>
    <w:rsid w:val="001E1EBC"/>
    <w:rPr>
      <w:rFonts w:ascii="Rockwell" w:hAnsi="Rockwell" w:cs="Calibri"/>
      <w:b/>
      <w:bCs/>
      <w:color w:val="595959" w:themeColor="text1" w:themeTint="A6"/>
      <w:spacing w:val="-20"/>
      <w:sz w:val="44"/>
      <w:szCs w:val="72"/>
    </w:rPr>
  </w:style>
  <w:style w:type="character" w:customStyle="1" w:styleId="StraplineChar">
    <w:name w:val="Strapline Char"/>
    <w:link w:val="Strapline"/>
    <w:rsid w:val="000B61FA"/>
    <w:rPr>
      <w:rFonts w:ascii="Arial" w:hAnsi="Arial"/>
      <w:color w:val="4F8F99"/>
      <w:sz w:val="36"/>
      <w:szCs w:val="36"/>
      <w:lang w:eastAsia="en-US"/>
    </w:rPr>
  </w:style>
  <w:style w:type="paragraph" w:customStyle="1" w:styleId="Sub-heading">
    <w:name w:val="Sub-heading"/>
    <w:basedOn w:val="BasicParagraph"/>
    <w:link w:val="Sub-headingChar"/>
    <w:qFormat/>
    <w:rsid w:val="001E1EBC"/>
    <w:pPr>
      <w:spacing w:before="360" w:after="120"/>
    </w:pPr>
    <w:rPr>
      <w:rFonts w:ascii="Rockwell" w:hAnsi="Rockwell" w:cs="Calibri"/>
      <w:bCs/>
      <w:color w:val="595959" w:themeColor="text1" w:themeTint="A6"/>
      <w:sz w:val="32"/>
      <w:szCs w:val="40"/>
      <w:lang w:eastAsia="en-GB"/>
    </w:rPr>
  </w:style>
  <w:style w:type="character" w:customStyle="1" w:styleId="BasicParagraphChar">
    <w:name w:val="[Basic Paragraph] Char"/>
    <w:link w:val="BasicParagraph"/>
    <w:uiPriority w:val="99"/>
    <w:rsid w:val="003B20FC"/>
    <w:rPr>
      <w:rFonts w:ascii="Arial (T1) MT Light" w:hAnsi="Arial (T1) MT Light" w:cs="Arial (T1) MT Light"/>
      <w:color w:val="000000"/>
      <w:sz w:val="24"/>
      <w:szCs w:val="24"/>
    </w:rPr>
  </w:style>
  <w:style w:type="character" w:customStyle="1" w:styleId="SectionheadingChar">
    <w:name w:val="Section heading Char"/>
    <w:link w:val="Sectionheading"/>
    <w:rsid w:val="001E1EBC"/>
    <w:rPr>
      <w:rFonts w:ascii="Rockwell" w:hAnsi="Rockwell" w:cs="Calibri"/>
      <w:b/>
      <w:bCs/>
      <w:color w:val="595959" w:themeColor="text1" w:themeTint="A6"/>
      <w:spacing w:val="-20"/>
      <w:sz w:val="44"/>
      <w:szCs w:val="72"/>
      <w:lang w:eastAsia="en-US"/>
    </w:rPr>
  </w:style>
  <w:style w:type="paragraph" w:customStyle="1" w:styleId="Body">
    <w:name w:val="Body"/>
    <w:basedOn w:val="BasicParagraph"/>
    <w:link w:val="BodyChar"/>
    <w:qFormat/>
    <w:rsid w:val="00306A87"/>
    <w:pPr>
      <w:spacing w:after="240"/>
    </w:pPr>
    <w:rPr>
      <w:rFonts w:ascii="Arial" w:hAnsi="Arial" w:cs="Calibri"/>
      <w:color w:val="auto"/>
    </w:rPr>
  </w:style>
  <w:style w:type="character" w:customStyle="1" w:styleId="Sub-headingChar">
    <w:name w:val="Sub-heading Char"/>
    <w:link w:val="Sub-heading"/>
    <w:rsid w:val="001E1EBC"/>
    <w:rPr>
      <w:rFonts w:ascii="Rockwell" w:hAnsi="Rockwell" w:cs="Calibri"/>
      <w:bCs/>
      <w:color w:val="595959" w:themeColor="text1" w:themeTint="A6"/>
      <w:sz w:val="32"/>
      <w:szCs w:val="40"/>
    </w:rPr>
  </w:style>
  <w:style w:type="paragraph" w:customStyle="1" w:styleId="Bullets">
    <w:name w:val="Bullets"/>
    <w:basedOn w:val="Body"/>
    <w:link w:val="BulletsChar"/>
    <w:qFormat/>
    <w:rsid w:val="00A450B5"/>
    <w:pPr>
      <w:numPr>
        <w:numId w:val="1"/>
      </w:numPr>
    </w:pPr>
  </w:style>
  <w:style w:type="character" w:customStyle="1" w:styleId="BodyChar">
    <w:name w:val="Body Char"/>
    <w:link w:val="Body"/>
    <w:rsid w:val="00306A87"/>
    <w:rPr>
      <w:rFonts w:ascii="Arial" w:hAnsi="Arial" w:cs="Calibri"/>
      <w:sz w:val="24"/>
      <w:szCs w:val="24"/>
      <w:lang w:eastAsia="en-US"/>
    </w:rPr>
  </w:style>
  <w:style w:type="paragraph" w:customStyle="1" w:styleId="Coverheader">
    <w:name w:val="Cover header"/>
    <w:basedOn w:val="Strapline"/>
    <w:link w:val="CoverheaderChar"/>
    <w:qFormat/>
    <w:rsid w:val="008C64D7"/>
    <w:pPr>
      <w:spacing w:after="0" w:line="240" w:lineRule="auto"/>
      <w:contextualSpacing/>
    </w:pPr>
    <w:rPr>
      <w:rFonts w:asciiTheme="minorHAnsi" w:hAnsiTheme="minorHAnsi"/>
      <w:b/>
      <w:bCs/>
      <w:color w:val="FFFFFF" w:themeColor="background1"/>
      <w:spacing w:val="-20"/>
      <w:sz w:val="112"/>
      <w:szCs w:val="112"/>
    </w:rPr>
  </w:style>
  <w:style w:type="character" w:customStyle="1" w:styleId="BulletsChar">
    <w:name w:val="Bullets Char"/>
    <w:link w:val="Bullets"/>
    <w:rsid w:val="00A450B5"/>
    <w:rPr>
      <w:rFonts w:ascii="Arial" w:hAnsi="Arial" w:cs="Calibri"/>
      <w:sz w:val="24"/>
      <w:szCs w:val="24"/>
      <w:lang w:eastAsia="en-US"/>
    </w:rPr>
  </w:style>
  <w:style w:type="character" w:customStyle="1" w:styleId="CoverheaderChar">
    <w:name w:val="Cover header Char"/>
    <w:link w:val="Coverheader"/>
    <w:rsid w:val="008C64D7"/>
    <w:rPr>
      <w:rFonts w:asciiTheme="minorHAnsi" w:hAnsiTheme="minorHAnsi"/>
      <w:b/>
      <w:bCs/>
      <w:color w:val="FFFFFF" w:themeColor="background1"/>
      <w:spacing w:val="-20"/>
      <w:sz w:val="112"/>
      <w:szCs w:val="112"/>
      <w:lang w:eastAsia="en-US"/>
    </w:rPr>
  </w:style>
  <w:style w:type="character" w:styleId="Hyperlink">
    <w:name w:val="Hyperlink"/>
    <w:uiPriority w:val="99"/>
    <w:rsid w:val="00F22CC3"/>
    <w:rPr>
      <w:color w:val="0000FF"/>
      <w:u w:val="single"/>
    </w:rPr>
  </w:style>
  <w:style w:type="paragraph" w:styleId="ListParagraph">
    <w:name w:val="List Paragraph"/>
    <w:basedOn w:val="Normal"/>
    <w:uiPriority w:val="99"/>
    <w:qFormat/>
    <w:rsid w:val="003136E5"/>
    <w:pPr>
      <w:ind w:left="720"/>
      <w:contextualSpacing/>
    </w:pPr>
  </w:style>
  <w:style w:type="table" w:styleId="TableGrid">
    <w:name w:val="Table Grid"/>
    <w:basedOn w:val="TableNormal"/>
    <w:uiPriority w:val="59"/>
    <w:rsid w:val="00B76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aliases w:val="Char Char Char Char Char Char Char Char"/>
    <w:basedOn w:val="Normal"/>
    <w:link w:val="PlainTextChar"/>
    <w:uiPriority w:val="99"/>
    <w:unhideWhenUsed/>
    <w:rsid w:val="001C5540"/>
    <w:pPr>
      <w:spacing w:after="0" w:line="240" w:lineRule="auto"/>
    </w:pPr>
    <w:rPr>
      <w:rFonts w:eastAsiaTheme="minorHAnsi" w:cs="Arial"/>
      <w:szCs w:val="20"/>
    </w:rPr>
  </w:style>
  <w:style w:type="character" w:customStyle="1" w:styleId="PlainTextChar">
    <w:name w:val="Plain Text Char"/>
    <w:aliases w:val="Char Char Char Char Char Char Char Char Char"/>
    <w:basedOn w:val="DefaultParagraphFont"/>
    <w:link w:val="PlainText"/>
    <w:uiPriority w:val="99"/>
    <w:rsid w:val="001C5540"/>
    <w:rPr>
      <w:rFonts w:ascii="Arial" w:eastAsiaTheme="minorHAnsi" w:hAnsi="Arial" w:cs="Arial"/>
      <w:lang w:eastAsia="en-US"/>
    </w:rPr>
  </w:style>
  <w:style w:type="character" w:styleId="Strong">
    <w:name w:val="Strong"/>
    <w:basedOn w:val="DefaultParagraphFont"/>
    <w:uiPriority w:val="22"/>
    <w:qFormat/>
    <w:rsid w:val="00860B98"/>
    <w:rPr>
      <w:b/>
      <w:bCs/>
    </w:rPr>
  </w:style>
  <w:style w:type="character" w:customStyle="1" w:styleId="st1">
    <w:name w:val="st1"/>
    <w:basedOn w:val="DefaultParagraphFont"/>
    <w:rsid w:val="00D12A4F"/>
  </w:style>
  <w:style w:type="character" w:customStyle="1" w:styleId="Heading3Char">
    <w:name w:val="Heading 3 Char"/>
    <w:basedOn w:val="DefaultParagraphFont"/>
    <w:link w:val="Heading3"/>
    <w:uiPriority w:val="9"/>
    <w:rsid w:val="00CA6FEF"/>
    <w:rPr>
      <w:rFonts w:ascii="Corbel" w:eastAsia="Times New Roman" w:hAnsi="Corbel"/>
      <w:b/>
      <w:bCs/>
      <w:color w:val="262626" w:themeColor="text1" w:themeTint="D9"/>
      <w:sz w:val="28"/>
      <w:szCs w:val="26"/>
      <w:lang w:eastAsia="en-US"/>
    </w:rPr>
  </w:style>
  <w:style w:type="character" w:styleId="PageNumber">
    <w:name w:val="page number"/>
    <w:basedOn w:val="DefaultParagraphFont"/>
    <w:uiPriority w:val="99"/>
    <w:semiHidden/>
    <w:unhideWhenUsed/>
    <w:rsid w:val="00E25A48"/>
  </w:style>
  <w:style w:type="character" w:customStyle="1" w:styleId="Heading4Char">
    <w:name w:val="Heading 4 Char"/>
    <w:basedOn w:val="DefaultParagraphFont"/>
    <w:link w:val="Heading4"/>
    <w:uiPriority w:val="9"/>
    <w:rsid w:val="009D07EE"/>
    <w:rPr>
      <w:rFonts w:asciiTheme="majorHAnsi" w:eastAsiaTheme="majorEastAsia" w:hAnsiTheme="majorHAnsi" w:cstheme="majorBidi"/>
      <w:b/>
      <w:bCs/>
      <w:i/>
      <w:iCs/>
      <w:color w:val="4F81BD" w:themeColor="accent1"/>
      <w:szCs w:val="22"/>
      <w:lang w:eastAsia="en-US"/>
    </w:rPr>
  </w:style>
  <w:style w:type="character" w:customStyle="1" w:styleId="Heading5Char">
    <w:name w:val="Heading 5 Char"/>
    <w:basedOn w:val="DefaultParagraphFont"/>
    <w:link w:val="Heading5"/>
    <w:uiPriority w:val="9"/>
    <w:rsid w:val="009D07EE"/>
    <w:rPr>
      <w:rFonts w:asciiTheme="majorHAnsi" w:eastAsiaTheme="majorEastAsia" w:hAnsiTheme="majorHAnsi" w:cstheme="majorBidi"/>
      <w:color w:val="243F60" w:themeColor="accent1" w:themeShade="7F"/>
      <w:szCs w:val="22"/>
      <w:lang w:eastAsia="en-US"/>
    </w:rPr>
  </w:style>
  <w:style w:type="table" w:styleId="LightShading">
    <w:name w:val="Light Shading"/>
    <w:basedOn w:val="TableNormal"/>
    <w:uiPriority w:val="60"/>
    <w:rsid w:val="00C51B6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1B6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51B60"/>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aliases w:val="Table style"/>
    <w:basedOn w:val="TableNormal"/>
    <w:uiPriority w:val="61"/>
    <w:rsid w:val="00306A87"/>
    <w:rPr>
      <w:rFonts w:ascii="Arial" w:hAnsi="Arial"/>
      <w:sz w:val="22"/>
      <w:szCs w:val="22"/>
    </w:rPr>
    <w:tblPr>
      <w:tblInd w:w="0" w:type="dxa"/>
      <w:tblBorders>
        <w:top w:val="single" w:sz="6" w:space="0" w:color="4F8F99"/>
        <w:left w:val="single" w:sz="6" w:space="0" w:color="4F8F99"/>
        <w:bottom w:val="single" w:sz="6" w:space="0" w:color="4F8F99"/>
        <w:right w:val="single" w:sz="6" w:space="0" w:color="4F8F99"/>
        <w:insideH w:val="single" w:sz="6" w:space="0" w:color="4F8F99"/>
        <w:insideV w:val="single" w:sz="6" w:space="0" w:color="4F8F99"/>
      </w:tblBorders>
      <w:tblCellMar>
        <w:top w:w="108" w:type="dxa"/>
        <w:left w:w="108" w:type="dxa"/>
        <w:bottom w:w="0" w:type="dxa"/>
        <w:right w:w="108" w:type="dxa"/>
      </w:tblCellMar>
    </w:tblPr>
    <w:tcPr>
      <w:shd w:val="clear" w:color="auto" w:fill="auto"/>
    </w:tcPr>
    <w:tblStylePr w:type="firstRow">
      <w:pPr>
        <w:spacing w:before="0" w:after="0" w:line="240" w:lineRule="auto"/>
      </w:pPr>
      <w:rPr>
        <w:rFonts w:ascii="Arial" w:hAnsi="Arial"/>
        <w:b/>
        <w:bCs/>
        <w:i w:val="0"/>
        <w:iCs w:val="0"/>
        <w:color w:val="FFFFFF" w:themeColor="background1"/>
        <w:sz w:val="22"/>
      </w:rPr>
      <w:tblPr/>
      <w:tcPr>
        <w:shd w:val="clear" w:color="auto" w:fill="4F8F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shd w:val="clear" w:color="auto" w:fill="auto"/>
      </w:tcPr>
    </w:tblStylePr>
    <w:tblStylePr w:type="firstCol">
      <w:rPr>
        <w:b w:val="0"/>
        <w:bCs/>
      </w:rPr>
    </w:tblStylePr>
    <w:tblStylePr w:type="lastCol">
      <w:rPr>
        <w:b w:val="0"/>
        <w:bCs/>
      </w:rPr>
    </w:tblStylePr>
  </w:style>
  <w:style w:type="character" w:customStyle="1" w:styleId="Heading1Char">
    <w:name w:val="Heading 1 Char"/>
    <w:basedOn w:val="DefaultParagraphFont"/>
    <w:link w:val="Heading1"/>
    <w:uiPriority w:val="9"/>
    <w:rsid w:val="00D77151"/>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77151"/>
    <w:pPr>
      <w:outlineLvl w:val="9"/>
    </w:pPr>
    <w:rPr>
      <w:lang w:val="en-US" w:eastAsia="ja-JP"/>
    </w:rPr>
  </w:style>
  <w:style w:type="paragraph" w:styleId="TOC1">
    <w:name w:val="toc 1"/>
    <w:basedOn w:val="Normal"/>
    <w:next w:val="Normal"/>
    <w:autoRedefine/>
    <w:uiPriority w:val="39"/>
    <w:unhideWhenUsed/>
    <w:rsid w:val="00D77151"/>
    <w:pPr>
      <w:tabs>
        <w:tab w:val="left" w:pos="660"/>
        <w:tab w:val="right" w:leader="dot" w:pos="9016"/>
      </w:tabs>
      <w:spacing w:after="100"/>
    </w:pPr>
    <w:rPr>
      <w:rFonts w:eastAsiaTheme="minorHAnsi" w:cs="Arial"/>
      <w:noProof/>
      <w:sz w:val="22"/>
    </w:rPr>
  </w:style>
  <w:style w:type="paragraph" w:styleId="TOC3">
    <w:name w:val="toc 3"/>
    <w:basedOn w:val="Normal"/>
    <w:next w:val="Normal"/>
    <w:autoRedefine/>
    <w:uiPriority w:val="39"/>
    <w:rsid w:val="00D77151"/>
    <w:pPr>
      <w:tabs>
        <w:tab w:val="right" w:leader="dot" w:pos="9016"/>
      </w:tabs>
      <w:spacing w:after="0" w:line="240" w:lineRule="auto"/>
      <w:ind w:left="480"/>
    </w:pPr>
    <w:rPr>
      <w:rFonts w:eastAsia="Times New Roman"/>
      <w:noProof/>
      <w:szCs w:val="20"/>
    </w:rPr>
  </w:style>
  <w:style w:type="paragraph" w:styleId="Subtitle">
    <w:name w:val="Subtitle"/>
    <w:basedOn w:val="Normal"/>
    <w:next w:val="Normal"/>
    <w:link w:val="SubtitleChar"/>
    <w:uiPriority w:val="11"/>
    <w:qFormat/>
    <w:rsid w:val="00D77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7151"/>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uiPriority w:val="99"/>
    <w:rsid w:val="00EC5817"/>
    <w:pPr>
      <w:autoSpaceDE w:val="0"/>
      <w:autoSpaceDN w:val="0"/>
      <w:adjustRightInd w:val="0"/>
    </w:pPr>
    <w:rPr>
      <w:rFonts w:ascii="Arial" w:eastAsia="Times New Roman" w:hAnsi="Arial" w:cs="Arial"/>
      <w:color w:val="000000"/>
      <w:sz w:val="24"/>
      <w:szCs w:val="24"/>
      <w:lang w:val="en-US" w:eastAsia="en-US"/>
    </w:rPr>
  </w:style>
  <w:style w:type="paragraph" w:customStyle="1" w:styleId="ITTnormal">
    <w:name w:val="ITT normal"/>
    <w:basedOn w:val="Normal"/>
    <w:uiPriority w:val="99"/>
    <w:rsid w:val="00C30E8F"/>
    <w:pPr>
      <w:autoSpaceDE w:val="0"/>
      <w:autoSpaceDN w:val="0"/>
      <w:adjustRightInd w:val="0"/>
      <w:spacing w:before="60" w:after="60" w:line="240" w:lineRule="auto"/>
      <w:ind w:left="720"/>
      <w:jc w:val="both"/>
    </w:pPr>
    <w:rPr>
      <w:rFonts w:eastAsia="Times New Roman" w:cs="Arial"/>
      <w:sz w:val="22"/>
      <w:lang w:eastAsia="en-GB"/>
    </w:rPr>
  </w:style>
  <w:style w:type="character" w:styleId="IntenseEmphasis">
    <w:name w:val="Intense Emphasis"/>
    <w:basedOn w:val="DefaultParagraphFont"/>
    <w:uiPriority w:val="99"/>
    <w:qFormat/>
    <w:rsid w:val="00C30E8F"/>
    <w:rPr>
      <w:rFonts w:cs="Times New Roman"/>
      <w:b/>
      <w:bCs/>
      <w:i/>
      <w:iCs/>
      <w:color w:val="4F81BD"/>
    </w:rPr>
  </w:style>
  <w:style w:type="character" w:customStyle="1" w:styleId="Heading2Char">
    <w:name w:val="Heading 2 Char"/>
    <w:basedOn w:val="DefaultParagraphFont"/>
    <w:link w:val="Heading2"/>
    <w:uiPriority w:val="9"/>
    <w:semiHidden/>
    <w:rsid w:val="00FF4EFA"/>
    <w:rPr>
      <w:rFonts w:asciiTheme="majorHAnsi" w:eastAsiaTheme="majorEastAsia" w:hAnsiTheme="majorHAnsi" w:cstheme="majorBidi"/>
      <w:b/>
      <w:bCs/>
      <w:color w:val="4F81BD" w:themeColor="accent1"/>
      <w:sz w:val="26"/>
      <w:szCs w:val="26"/>
      <w:lang w:eastAsia="en-US"/>
    </w:rPr>
  </w:style>
  <w:style w:type="character" w:customStyle="1" w:styleId="Style11pt">
    <w:name w:val="Style 11 pt"/>
    <w:basedOn w:val="DefaultParagraphFont"/>
    <w:uiPriority w:val="99"/>
    <w:rsid w:val="00FF4EFA"/>
    <w:rPr>
      <w:rFonts w:cs="Times New Roman"/>
      <w:bCs/>
    </w:rPr>
  </w:style>
  <w:style w:type="paragraph" w:styleId="CommentText">
    <w:name w:val="annotation text"/>
    <w:basedOn w:val="Normal"/>
    <w:link w:val="CommentTextChar"/>
    <w:uiPriority w:val="99"/>
    <w:rsid w:val="00685288"/>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CommentTextChar">
    <w:name w:val="Comment Text Char"/>
    <w:basedOn w:val="DefaultParagraphFont"/>
    <w:link w:val="CommentText"/>
    <w:uiPriority w:val="99"/>
    <w:rsid w:val="00685288"/>
    <w:rPr>
      <w:rFonts w:ascii="Times New Roman" w:eastAsia="Times New Roman" w:hAnsi="Times New Roman"/>
      <w:lang w:eastAsia="en-US"/>
    </w:rPr>
  </w:style>
  <w:style w:type="paragraph" w:styleId="BodyText2">
    <w:name w:val="Body Text 2"/>
    <w:basedOn w:val="Normal"/>
    <w:link w:val="BodyText2Char"/>
    <w:uiPriority w:val="99"/>
    <w:semiHidden/>
    <w:rsid w:val="00B23E2B"/>
    <w:pPr>
      <w:spacing w:after="0" w:line="240" w:lineRule="auto"/>
      <w:jc w:val="both"/>
    </w:pPr>
    <w:rPr>
      <w:rFonts w:ascii="Calibri" w:eastAsia="Times New Roman" w:hAnsi="Calibri"/>
      <w:sz w:val="24"/>
      <w:szCs w:val="24"/>
      <w:lang w:val="en-US" w:eastAsia="en-GB"/>
    </w:rPr>
  </w:style>
  <w:style w:type="character" w:customStyle="1" w:styleId="BodyText2Char">
    <w:name w:val="Body Text 2 Char"/>
    <w:basedOn w:val="DefaultParagraphFont"/>
    <w:link w:val="BodyText2"/>
    <w:uiPriority w:val="99"/>
    <w:semiHidden/>
    <w:rsid w:val="00B23E2B"/>
    <w:rPr>
      <w:rFonts w:eastAsia="Times New Roman"/>
      <w:sz w:val="24"/>
      <w:szCs w:val="24"/>
      <w:lang w:val="en-US"/>
    </w:rPr>
  </w:style>
  <w:style w:type="paragraph" w:styleId="TOC2">
    <w:name w:val="toc 2"/>
    <w:basedOn w:val="Normal"/>
    <w:next w:val="Normal"/>
    <w:autoRedefine/>
    <w:uiPriority w:val="39"/>
    <w:unhideWhenUsed/>
    <w:rsid w:val="00024E2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47355">
      <w:bodyDiv w:val="1"/>
      <w:marLeft w:val="0"/>
      <w:marRight w:val="0"/>
      <w:marTop w:val="0"/>
      <w:marBottom w:val="0"/>
      <w:divBdr>
        <w:top w:val="none" w:sz="0" w:space="0" w:color="auto"/>
        <w:left w:val="none" w:sz="0" w:space="0" w:color="auto"/>
        <w:bottom w:val="none" w:sz="0" w:space="0" w:color="auto"/>
        <w:right w:val="none" w:sz="0" w:space="0" w:color="auto"/>
      </w:divBdr>
    </w:div>
    <w:div w:id="486898153">
      <w:bodyDiv w:val="1"/>
      <w:marLeft w:val="0"/>
      <w:marRight w:val="0"/>
      <w:marTop w:val="0"/>
      <w:marBottom w:val="0"/>
      <w:divBdr>
        <w:top w:val="none" w:sz="0" w:space="0" w:color="auto"/>
        <w:left w:val="none" w:sz="0" w:space="0" w:color="auto"/>
        <w:bottom w:val="none" w:sz="0" w:space="0" w:color="auto"/>
        <w:right w:val="none" w:sz="0" w:space="0" w:color="auto"/>
      </w:divBdr>
    </w:div>
    <w:div w:id="624506830">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921987987">
      <w:bodyDiv w:val="1"/>
      <w:marLeft w:val="0"/>
      <w:marRight w:val="0"/>
      <w:marTop w:val="0"/>
      <w:marBottom w:val="0"/>
      <w:divBdr>
        <w:top w:val="none" w:sz="0" w:space="0" w:color="auto"/>
        <w:left w:val="none" w:sz="0" w:space="0" w:color="auto"/>
        <w:bottom w:val="none" w:sz="0" w:space="0" w:color="auto"/>
        <w:right w:val="none" w:sz="0" w:space="0" w:color="auto"/>
      </w:divBdr>
    </w:div>
    <w:div w:id="996154440">
      <w:bodyDiv w:val="1"/>
      <w:marLeft w:val="0"/>
      <w:marRight w:val="0"/>
      <w:marTop w:val="0"/>
      <w:marBottom w:val="0"/>
      <w:divBdr>
        <w:top w:val="none" w:sz="0" w:space="0" w:color="auto"/>
        <w:left w:val="none" w:sz="0" w:space="0" w:color="auto"/>
        <w:bottom w:val="none" w:sz="0" w:space="0" w:color="auto"/>
        <w:right w:val="none" w:sz="0" w:space="0" w:color="auto"/>
      </w:divBdr>
    </w:div>
    <w:div w:id="1067339413">
      <w:bodyDiv w:val="1"/>
      <w:marLeft w:val="0"/>
      <w:marRight w:val="0"/>
      <w:marTop w:val="0"/>
      <w:marBottom w:val="0"/>
      <w:divBdr>
        <w:top w:val="none" w:sz="0" w:space="0" w:color="auto"/>
        <w:left w:val="none" w:sz="0" w:space="0" w:color="auto"/>
        <w:bottom w:val="none" w:sz="0" w:space="0" w:color="auto"/>
        <w:right w:val="none" w:sz="0" w:space="0" w:color="auto"/>
      </w:divBdr>
      <w:divsChild>
        <w:div w:id="1083140526">
          <w:marLeft w:val="547"/>
          <w:marRight w:val="0"/>
          <w:marTop w:val="154"/>
          <w:marBottom w:val="0"/>
          <w:divBdr>
            <w:top w:val="none" w:sz="0" w:space="0" w:color="auto"/>
            <w:left w:val="none" w:sz="0" w:space="0" w:color="auto"/>
            <w:bottom w:val="none" w:sz="0" w:space="0" w:color="auto"/>
            <w:right w:val="none" w:sz="0" w:space="0" w:color="auto"/>
          </w:divBdr>
        </w:div>
        <w:div w:id="1609778539">
          <w:marLeft w:val="547"/>
          <w:marRight w:val="0"/>
          <w:marTop w:val="154"/>
          <w:marBottom w:val="0"/>
          <w:divBdr>
            <w:top w:val="none" w:sz="0" w:space="0" w:color="auto"/>
            <w:left w:val="none" w:sz="0" w:space="0" w:color="auto"/>
            <w:bottom w:val="none" w:sz="0" w:space="0" w:color="auto"/>
            <w:right w:val="none" w:sz="0" w:space="0" w:color="auto"/>
          </w:divBdr>
        </w:div>
      </w:divsChild>
    </w:div>
    <w:div w:id="1173295723">
      <w:bodyDiv w:val="1"/>
      <w:marLeft w:val="0"/>
      <w:marRight w:val="0"/>
      <w:marTop w:val="0"/>
      <w:marBottom w:val="0"/>
      <w:divBdr>
        <w:top w:val="none" w:sz="0" w:space="0" w:color="auto"/>
        <w:left w:val="none" w:sz="0" w:space="0" w:color="auto"/>
        <w:bottom w:val="none" w:sz="0" w:space="0" w:color="auto"/>
        <w:right w:val="none" w:sz="0" w:space="0" w:color="auto"/>
      </w:divBdr>
      <w:divsChild>
        <w:div w:id="1853883334">
          <w:marLeft w:val="0"/>
          <w:marRight w:val="0"/>
          <w:marTop w:val="0"/>
          <w:marBottom w:val="0"/>
          <w:divBdr>
            <w:top w:val="none" w:sz="0" w:space="0" w:color="auto"/>
            <w:left w:val="single" w:sz="6" w:space="9" w:color="666666"/>
            <w:bottom w:val="none" w:sz="0" w:space="0" w:color="auto"/>
            <w:right w:val="single" w:sz="6" w:space="9" w:color="666666"/>
          </w:divBdr>
          <w:divsChild>
            <w:div w:id="91511210">
              <w:marLeft w:val="0"/>
              <w:marRight w:val="0"/>
              <w:marTop w:val="0"/>
              <w:marBottom w:val="0"/>
              <w:divBdr>
                <w:top w:val="none" w:sz="0" w:space="0" w:color="auto"/>
                <w:left w:val="none" w:sz="0" w:space="0" w:color="auto"/>
                <w:bottom w:val="none" w:sz="0" w:space="0" w:color="auto"/>
                <w:right w:val="none" w:sz="0" w:space="0" w:color="auto"/>
              </w:divBdr>
              <w:divsChild>
                <w:div w:id="1231768284">
                  <w:marLeft w:val="0"/>
                  <w:marRight w:val="0"/>
                  <w:marTop w:val="0"/>
                  <w:marBottom w:val="0"/>
                  <w:divBdr>
                    <w:top w:val="none" w:sz="0" w:space="0" w:color="auto"/>
                    <w:left w:val="none" w:sz="0" w:space="0" w:color="auto"/>
                    <w:bottom w:val="none" w:sz="0" w:space="0" w:color="auto"/>
                    <w:right w:val="none" w:sz="0" w:space="0" w:color="auto"/>
                  </w:divBdr>
                  <w:divsChild>
                    <w:div w:id="737553530">
                      <w:marLeft w:val="0"/>
                      <w:marRight w:val="600"/>
                      <w:marTop w:val="0"/>
                      <w:marBottom w:val="0"/>
                      <w:divBdr>
                        <w:top w:val="none" w:sz="0" w:space="0" w:color="auto"/>
                        <w:left w:val="none" w:sz="0" w:space="0" w:color="auto"/>
                        <w:bottom w:val="none" w:sz="0" w:space="0" w:color="auto"/>
                        <w:right w:val="none" w:sz="0" w:space="0" w:color="auto"/>
                      </w:divBdr>
                      <w:divsChild>
                        <w:div w:id="1964849731">
                          <w:marLeft w:val="0"/>
                          <w:marRight w:val="0"/>
                          <w:marTop w:val="0"/>
                          <w:marBottom w:val="0"/>
                          <w:divBdr>
                            <w:top w:val="none" w:sz="0" w:space="0" w:color="auto"/>
                            <w:left w:val="none" w:sz="0" w:space="0" w:color="auto"/>
                            <w:bottom w:val="none" w:sz="0" w:space="0" w:color="auto"/>
                            <w:right w:val="none" w:sz="0" w:space="0" w:color="auto"/>
                          </w:divBdr>
                          <w:divsChild>
                            <w:div w:id="202447670">
                              <w:marLeft w:val="0"/>
                              <w:marRight w:val="0"/>
                              <w:marTop w:val="0"/>
                              <w:marBottom w:val="0"/>
                              <w:divBdr>
                                <w:top w:val="none" w:sz="0" w:space="0" w:color="auto"/>
                                <w:left w:val="none" w:sz="0" w:space="0" w:color="auto"/>
                                <w:bottom w:val="none" w:sz="0" w:space="0" w:color="auto"/>
                                <w:right w:val="none" w:sz="0" w:space="0" w:color="auto"/>
                              </w:divBdr>
                              <w:divsChild>
                                <w:div w:id="16899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507355">
      <w:bodyDiv w:val="1"/>
      <w:marLeft w:val="0"/>
      <w:marRight w:val="0"/>
      <w:marTop w:val="0"/>
      <w:marBottom w:val="0"/>
      <w:divBdr>
        <w:top w:val="none" w:sz="0" w:space="0" w:color="auto"/>
        <w:left w:val="none" w:sz="0" w:space="0" w:color="auto"/>
        <w:bottom w:val="none" w:sz="0" w:space="0" w:color="auto"/>
        <w:right w:val="none" w:sz="0" w:space="0" w:color="auto"/>
      </w:divBdr>
    </w:div>
    <w:div w:id="1255556359">
      <w:bodyDiv w:val="1"/>
      <w:marLeft w:val="0"/>
      <w:marRight w:val="0"/>
      <w:marTop w:val="0"/>
      <w:marBottom w:val="0"/>
      <w:divBdr>
        <w:top w:val="none" w:sz="0" w:space="0" w:color="auto"/>
        <w:left w:val="none" w:sz="0" w:space="0" w:color="auto"/>
        <w:bottom w:val="none" w:sz="0" w:space="0" w:color="auto"/>
        <w:right w:val="none" w:sz="0" w:space="0" w:color="auto"/>
      </w:divBdr>
      <w:divsChild>
        <w:div w:id="1992128812">
          <w:marLeft w:val="547"/>
          <w:marRight w:val="0"/>
          <w:marTop w:val="154"/>
          <w:marBottom w:val="0"/>
          <w:divBdr>
            <w:top w:val="none" w:sz="0" w:space="0" w:color="auto"/>
            <w:left w:val="none" w:sz="0" w:space="0" w:color="auto"/>
            <w:bottom w:val="none" w:sz="0" w:space="0" w:color="auto"/>
            <w:right w:val="none" w:sz="0" w:space="0" w:color="auto"/>
          </w:divBdr>
        </w:div>
      </w:divsChild>
    </w:div>
    <w:div w:id="1355040621">
      <w:bodyDiv w:val="1"/>
      <w:marLeft w:val="0"/>
      <w:marRight w:val="0"/>
      <w:marTop w:val="0"/>
      <w:marBottom w:val="0"/>
      <w:divBdr>
        <w:top w:val="none" w:sz="0" w:space="0" w:color="auto"/>
        <w:left w:val="none" w:sz="0" w:space="0" w:color="auto"/>
        <w:bottom w:val="none" w:sz="0" w:space="0" w:color="auto"/>
        <w:right w:val="none" w:sz="0" w:space="0" w:color="auto"/>
      </w:divBdr>
      <w:divsChild>
        <w:div w:id="10107500">
          <w:marLeft w:val="547"/>
          <w:marRight w:val="0"/>
          <w:marTop w:val="154"/>
          <w:marBottom w:val="0"/>
          <w:divBdr>
            <w:top w:val="none" w:sz="0" w:space="0" w:color="auto"/>
            <w:left w:val="none" w:sz="0" w:space="0" w:color="auto"/>
            <w:bottom w:val="none" w:sz="0" w:space="0" w:color="auto"/>
            <w:right w:val="none" w:sz="0" w:space="0" w:color="auto"/>
          </w:divBdr>
        </w:div>
      </w:divsChild>
    </w:div>
    <w:div w:id="1383677888">
      <w:bodyDiv w:val="1"/>
      <w:marLeft w:val="0"/>
      <w:marRight w:val="0"/>
      <w:marTop w:val="0"/>
      <w:marBottom w:val="0"/>
      <w:divBdr>
        <w:top w:val="none" w:sz="0" w:space="0" w:color="auto"/>
        <w:left w:val="none" w:sz="0" w:space="0" w:color="auto"/>
        <w:bottom w:val="none" w:sz="0" w:space="0" w:color="auto"/>
        <w:right w:val="none" w:sz="0" w:space="0" w:color="auto"/>
      </w:divBdr>
    </w:div>
    <w:div w:id="1501430543">
      <w:bodyDiv w:val="1"/>
      <w:marLeft w:val="0"/>
      <w:marRight w:val="0"/>
      <w:marTop w:val="0"/>
      <w:marBottom w:val="0"/>
      <w:divBdr>
        <w:top w:val="none" w:sz="0" w:space="0" w:color="auto"/>
        <w:left w:val="none" w:sz="0" w:space="0" w:color="auto"/>
        <w:bottom w:val="none" w:sz="0" w:space="0" w:color="auto"/>
        <w:right w:val="none" w:sz="0" w:space="0" w:color="auto"/>
      </w:divBdr>
    </w:div>
    <w:div w:id="1521819551">
      <w:bodyDiv w:val="1"/>
      <w:marLeft w:val="0"/>
      <w:marRight w:val="0"/>
      <w:marTop w:val="0"/>
      <w:marBottom w:val="0"/>
      <w:divBdr>
        <w:top w:val="none" w:sz="0" w:space="0" w:color="auto"/>
        <w:left w:val="none" w:sz="0" w:space="0" w:color="auto"/>
        <w:bottom w:val="none" w:sz="0" w:space="0" w:color="auto"/>
        <w:right w:val="none" w:sz="0" w:space="0" w:color="auto"/>
      </w:divBdr>
    </w:div>
    <w:div w:id="1561869257">
      <w:bodyDiv w:val="1"/>
      <w:marLeft w:val="0"/>
      <w:marRight w:val="0"/>
      <w:marTop w:val="0"/>
      <w:marBottom w:val="0"/>
      <w:divBdr>
        <w:top w:val="none" w:sz="0" w:space="0" w:color="auto"/>
        <w:left w:val="none" w:sz="0" w:space="0" w:color="auto"/>
        <w:bottom w:val="none" w:sz="0" w:space="0" w:color="auto"/>
        <w:right w:val="none" w:sz="0" w:space="0" w:color="auto"/>
      </w:divBdr>
      <w:divsChild>
        <w:div w:id="2087876725">
          <w:marLeft w:val="1166"/>
          <w:marRight w:val="0"/>
          <w:marTop w:val="125"/>
          <w:marBottom w:val="0"/>
          <w:divBdr>
            <w:top w:val="none" w:sz="0" w:space="0" w:color="auto"/>
            <w:left w:val="none" w:sz="0" w:space="0" w:color="auto"/>
            <w:bottom w:val="none" w:sz="0" w:space="0" w:color="auto"/>
            <w:right w:val="none" w:sz="0" w:space="0" w:color="auto"/>
          </w:divBdr>
        </w:div>
      </w:divsChild>
    </w:div>
    <w:div w:id="1873837128">
      <w:bodyDiv w:val="1"/>
      <w:marLeft w:val="0"/>
      <w:marRight w:val="0"/>
      <w:marTop w:val="0"/>
      <w:marBottom w:val="0"/>
      <w:divBdr>
        <w:top w:val="none" w:sz="0" w:space="0" w:color="auto"/>
        <w:left w:val="none" w:sz="0" w:space="0" w:color="auto"/>
        <w:bottom w:val="none" w:sz="0" w:space="0" w:color="auto"/>
        <w:right w:val="none" w:sz="0" w:space="0" w:color="auto"/>
      </w:divBdr>
    </w:div>
    <w:div w:id="2080589623">
      <w:bodyDiv w:val="1"/>
      <w:marLeft w:val="0"/>
      <w:marRight w:val="0"/>
      <w:marTop w:val="0"/>
      <w:marBottom w:val="0"/>
      <w:divBdr>
        <w:top w:val="none" w:sz="0" w:space="0" w:color="auto"/>
        <w:left w:val="none" w:sz="0" w:space="0" w:color="auto"/>
        <w:bottom w:val="none" w:sz="0" w:space="0" w:color="auto"/>
        <w:right w:val="none" w:sz="0" w:space="0" w:color="auto"/>
      </w:divBdr>
      <w:divsChild>
        <w:div w:id="677780151">
          <w:marLeft w:val="547"/>
          <w:marRight w:val="0"/>
          <w:marTop w:val="96"/>
          <w:marBottom w:val="0"/>
          <w:divBdr>
            <w:top w:val="none" w:sz="0" w:space="0" w:color="auto"/>
            <w:left w:val="none" w:sz="0" w:space="0" w:color="auto"/>
            <w:bottom w:val="none" w:sz="0" w:space="0" w:color="auto"/>
            <w:right w:val="none" w:sz="0" w:space="0" w:color="auto"/>
          </w:divBdr>
        </w:div>
      </w:divsChild>
    </w:div>
    <w:div w:id="2103335244">
      <w:bodyDiv w:val="1"/>
      <w:marLeft w:val="0"/>
      <w:marRight w:val="0"/>
      <w:marTop w:val="0"/>
      <w:marBottom w:val="0"/>
      <w:divBdr>
        <w:top w:val="none" w:sz="0" w:space="0" w:color="auto"/>
        <w:left w:val="none" w:sz="0" w:space="0" w:color="auto"/>
        <w:bottom w:val="none" w:sz="0" w:space="0" w:color="auto"/>
        <w:right w:val="none" w:sz="0" w:space="0" w:color="auto"/>
      </w:divBdr>
      <w:divsChild>
        <w:div w:id="199336573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land.nhs.uk/nhs-standard-contract" TargetMode="External"/><Relationship Id="rId18" Type="http://schemas.openxmlformats.org/officeDocument/2006/relationships/hyperlink" Target="mailto:igsoc@nhs.ne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sb.nhs.uk/library/standard/162" TargetMode="External"/><Relationship Id="rId7" Type="http://schemas.openxmlformats.org/officeDocument/2006/relationships/footnotes" Target="footnotes.xml"/><Relationship Id="rId12" Type="http://schemas.openxmlformats.org/officeDocument/2006/relationships/hyperlink" Target="http://www.england.nhs.uk" TargetMode="External"/><Relationship Id="rId17" Type="http://schemas.openxmlformats.org/officeDocument/2006/relationships/hyperlink" Target="http://www.england.nhs.uk/wp-content/uploads/2013/03/eprr-core-standard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oastalwestsussexccg.nhs.uk/whos-who?item=910" TargetMode="External"/><Relationship Id="rId20" Type="http://schemas.openxmlformats.org/officeDocument/2006/relationships/hyperlink" Target="https://nww.igt.hscic.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V:\USF\West\NWSCA\General\Planned%20Care%20(PC)%20and%20Long%20Term%20Condition%20(LTC)%20Programme\PC\ENT\2015-16%20service\Specifications\Specifications%20for%202016-17\draft%20ENT%20specification%2019.3.15%20v0.1.doc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orshamandmidsussexccg.nhs.uk/intranet/resources/?categoryesctl9901866=12421"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file:///V:\USF\West\NWSCA\General\Planned%20Care%20(PC)%20and%20Long%20Term%20Condition%20(LTC)%20Programme\PC\ENT\2015-16%20service\Specifications\Specifications%20for%202016-17\draft%20ENT%20specification%2019.3.15%20v0.1.docx" TargetMode="External"/><Relationship Id="rId19" Type="http://schemas.openxmlformats.org/officeDocument/2006/relationships/hyperlink" Target="http://www.connectingforhealth.nhs.uk/systemsandservices/infogov/igs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d-commission.org.uk/pages/health.html"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9A56-95AA-4B6D-B62C-D95B3299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AB5D20C.dotm</Template>
  <TotalTime>1</TotalTime>
  <Pages>33</Pages>
  <Words>13410</Words>
  <Characters>76438</Characters>
  <Application>Microsoft Office Word</Application>
  <DocSecurity>4</DocSecurity>
  <Lines>636</Lines>
  <Paragraphs>179</Paragraphs>
  <ScaleCrop>false</ScaleCrop>
  <HeadingPairs>
    <vt:vector size="2" baseType="variant">
      <vt:variant>
        <vt:lpstr>Title</vt:lpstr>
      </vt:variant>
      <vt:variant>
        <vt:i4>1</vt:i4>
      </vt:variant>
    </vt:vector>
  </HeadingPairs>
  <TitlesOfParts>
    <vt:vector size="1" baseType="lpstr">
      <vt:lpstr>Ear, Nose and Throat Specification</vt:lpstr>
    </vt:vector>
  </TitlesOfParts>
  <Company>NHS Eastern and Coastal Kent</Company>
  <LinksUpToDate>false</LinksUpToDate>
  <CharactersWithSpaces>89669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 Nose and Throat Specification</dc:title>
  <dc:creator>JACOBS Natalie</dc:creator>
  <cp:lastModifiedBy>NHS</cp:lastModifiedBy>
  <cp:revision>2</cp:revision>
  <cp:lastPrinted>2015-03-23T12:03:00Z</cp:lastPrinted>
  <dcterms:created xsi:type="dcterms:W3CDTF">2015-04-09T10:50:00Z</dcterms:created>
  <dcterms:modified xsi:type="dcterms:W3CDTF">2015-04-09T10:50:00Z</dcterms:modified>
</cp:coreProperties>
</file>