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13498F3D"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cs="Arial"/>
          <w:b/>
          <w:sz w:val="20"/>
          <w:szCs w:val="20"/>
        </w:rPr>
        <w:t xml:space="preserve">Specification for </w:t>
      </w:r>
      <w:r w:rsidR="00CE6497">
        <w:rPr>
          <w:rFonts w:ascii="Century Gothic" w:hAnsi="Century Gothic" w:cs="Arial"/>
          <w:b/>
          <w:sz w:val="20"/>
          <w:szCs w:val="20"/>
        </w:rPr>
        <w:t>“Tracking progress in non-residential buildings decarbonisation”</w:t>
      </w: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322255A1"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EC63DC" w:rsidRPr="00EC63DC">
        <w:rPr>
          <w:rFonts w:ascii="Century Gothic" w:hAnsi="Century Gothic" w:cs="Arial"/>
          <w:sz w:val="20"/>
          <w:szCs w:val="20"/>
        </w:rPr>
        <w:t>BN/0422</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lastRenderedPageBreak/>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69C7AAEA" w14:textId="6C97D50A" w:rsidR="003A05B7" w:rsidRPr="003A05B7" w:rsidRDefault="003A05B7" w:rsidP="00EC63DC">
      <w:pPr>
        <w:pStyle w:val="Norma"/>
        <w:ind w:left="1440"/>
        <w:jc w:val="both"/>
        <w:rPr>
          <w:rFonts w:ascii="Century Gothic" w:hAnsi="Century Gothic" w:cs="Arial"/>
          <w:color w:val="FF0000"/>
          <w:sz w:val="20"/>
          <w:szCs w:val="20"/>
        </w:rPr>
      </w:pPr>
      <w:r w:rsidRPr="003A05B7">
        <w:rPr>
          <w:rFonts w:ascii="Century Gothic" w:hAnsi="Century Gothic" w:cs="Arial"/>
          <w:sz w:val="20"/>
          <w:szCs w:val="20"/>
        </w:rPr>
        <w:t xml:space="preserve">Invitation to Tender for </w:t>
      </w:r>
      <w:r w:rsidR="00CE6497">
        <w:rPr>
          <w:rFonts w:ascii="Century Gothic" w:hAnsi="Century Gothic" w:cs="Arial"/>
          <w:b/>
          <w:sz w:val="20"/>
          <w:szCs w:val="20"/>
        </w:rPr>
        <w:t>Tracking progress in non-residential buildings decarbonisation</w:t>
      </w:r>
    </w:p>
    <w:p w14:paraId="2BF4D589" w14:textId="3AC6CDB5"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EC63DC" w:rsidRPr="00EC63DC">
        <w:rPr>
          <w:rFonts w:ascii="Century Gothic" w:hAnsi="Century Gothic" w:cs="Arial"/>
          <w:sz w:val="20"/>
          <w:szCs w:val="20"/>
        </w:rPr>
        <w:t>BN/0422</w:t>
      </w:r>
    </w:p>
    <w:p w14:paraId="6AB0AC47" w14:textId="38D03217" w:rsidR="003A05B7" w:rsidRPr="008541C3"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Deadline for Tender Responses</w:t>
      </w:r>
      <w:r w:rsidRPr="008541C3">
        <w:rPr>
          <w:rFonts w:ascii="Century Gothic" w:hAnsi="Century Gothic" w:cs="Arial"/>
          <w:sz w:val="20"/>
          <w:szCs w:val="20"/>
        </w:rPr>
        <w:t xml:space="preserve">: </w:t>
      </w:r>
      <w:r w:rsidR="00EC63DC">
        <w:rPr>
          <w:rFonts w:ascii="Century Gothic" w:hAnsi="Century Gothic" w:cs="Arial"/>
          <w:sz w:val="20"/>
          <w:szCs w:val="20"/>
        </w:rPr>
        <w:t xml:space="preserve">11pm </w:t>
      </w:r>
      <w:r w:rsidR="002B42D2" w:rsidRPr="008541C3">
        <w:rPr>
          <w:rFonts w:ascii="Century Gothic" w:hAnsi="Century Gothic" w:cs="Arial"/>
          <w:sz w:val="20"/>
          <w:szCs w:val="20"/>
        </w:rPr>
        <w:t>2</w:t>
      </w:r>
      <w:r w:rsidR="008541C3">
        <w:rPr>
          <w:rFonts w:ascii="Century Gothic" w:hAnsi="Century Gothic" w:cs="Arial"/>
          <w:sz w:val="20"/>
          <w:szCs w:val="20"/>
        </w:rPr>
        <w:t>8</w:t>
      </w:r>
      <w:r w:rsidR="002B42D2" w:rsidRPr="008541C3">
        <w:rPr>
          <w:rFonts w:ascii="Century Gothic" w:hAnsi="Century Gothic" w:cs="Arial"/>
          <w:sz w:val="20"/>
          <w:szCs w:val="20"/>
          <w:vertAlign w:val="superscript"/>
        </w:rPr>
        <w:t>th</w:t>
      </w:r>
      <w:r w:rsidR="00DC4A67" w:rsidRPr="008541C3">
        <w:rPr>
          <w:rFonts w:ascii="Century Gothic" w:hAnsi="Century Gothic" w:cs="Arial"/>
          <w:sz w:val="20"/>
          <w:szCs w:val="20"/>
        </w:rPr>
        <w:t xml:space="preserve"> February</w:t>
      </w:r>
      <w:r w:rsidR="00EC63DC">
        <w:rPr>
          <w:rFonts w:ascii="Century Gothic" w:hAnsi="Century Gothic" w:cs="Arial"/>
          <w:sz w:val="20"/>
          <w:szCs w:val="20"/>
        </w:rPr>
        <w:t xml:space="preserve"> 2022</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3A05B7">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36A5EF3C" w14:textId="77777777" w:rsidR="003A05B7" w:rsidRPr="003A05B7" w:rsidRDefault="003A05B7" w:rsidP="003A05B7">
      <w:pPr>
        <w:pStyle w:val="Norma"/>
        <w:rPr>
          <w:rFonts w:asciiTheme="minorHAnsi" w:hAnsiTheme="minorHAnsi"/>
          <w:sz w:val="20"/>
          <w:szCs w:val="20"/>
          <w:lang w:val="en-US" w:eastAsia="ja-JP"/>
        </w:rPr>
      </w:pPr>
    </w:p>
    <w:p w14:paraId="16D79D87"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Mangal"/>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s="Mangal"/>
          <w:color w:val="000000"/>
          <w:sz w:val="20"/>
          <w:szCs w:val="20"/>
        </w:rPr>
        <w:fldChar w:fldCharType="separate"/>
      </w:r>
      <w:r w:rsidRPr="003A05B7">
        <w:rPr>
          <w:rFonts w:asciiTheme="minorHAnsi" w:hAnsiTheme="minorHAnsi" w:cs="Arial"/>
          <w:noProof/>
          <w:sz w:val="20"/>
          <w:szCs w:val="20"/>
        </w:rPr>
        <w:t>1.</w:t>
      </w:r>
      <w:r w:rsidRPr="003A05B7">
        <w:rPr>
          <w:rFonts w:asciiTheme="minorHAnsi" w:hAnsiTheme="minorHAnsi"/>
          <w:noProof/>
          <w:sz w:val="20"/>
          <w:szCs w:val="20"/>
        </w:rPr>
        <w:tab/>
      </w:r>
      <w:r w:rsidRPr="003A05B7">
        <w:rPr>
          <w:rFonts w:asciiTheme="minorHAnsi" w:hAnsiTheme="minorHAnsi" w:cs="Arial"/>
          <w:noProof/>
          <w:sz w:val="20"/>
          <w:szCs w:val="20"/>
        </w:rPr>
        <w:t>Introduction and summary of requirements / Preamble</w:t>
      </w:r>
      <w:r w:rsidRPr="003A05B7">
        <w:rPr>
          <w:rFonts w:asciiTheme="minorHAnsi" w:hAnsiTheme="minorHAnsi"/>
          <w:noProof/>
          <w:sz w:val="20"/>
          <w:szCs w:val="20"/>
        </w:rPr>
        <w:tab/>
      </w:r>
    </w:p>
    <w:p w14:paraId="68C2F784"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2.</w:t>
      </w:r>
      <w:r w:rsidRPr="003A05B7">
        <w:rPr>
          <w:rFonts w:asciiTheme="minorHAnsi" w:hAnsiTheme="minorHAnsi"/>
          <w:noProof/>
          <w:sz w:val="20"/>
          <w:szCs w:val="20"/>
        </w:rPr>
        <w:tab/>
      </w:r>
      <w:r w:rsidRPr="003A05B7">
        <w:rPr>
          <w:rFonts w:asciiTheme="minorHAnsi" w:hAnsiTheme="minorHAnsi" w:cs="Arial"/>
          <w:noProof/>
          <w:sz w:val="20"/>
          <w:szCs w:val="20"/>
        </w:rPr>
        <w:t>Background</w:t>
      </w:r>
      <w:r w:rsidRPr="003A05B7">
        <w:rPr>
          <w:rFonts w:asciiTheme="minorHAnsi" w:hAnsiTheme="minorHAnsi"/>
          <w:noProof/>
          <w:sz w:val="20"/>
          <w:szCs w:val="20"/>
        </w:rPr>
        <w:tab/>
      </w:r>
    </w:p>
    <w:p w14:paraId="1A9E7AFE"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3.</w:t>
      </w:r>
      <w:r w:rsidRPr="003A05B7">
        <w:rPr>
          <w:rFonts w:asciiTheme="minorHAnsi" w:hAnsiTheme="minorHAnsi"/>
          <w:noProof/>
          <w:sz w:val="20"/>
          <w:szCs w:val="20"/>
        </w:rPr>
        <w:tab/>
      </w:r>
      <w:r w:rsidRPr="003A05B7">
        <w:rPr>
          <w:rFonts w:asciiTheme="minorHAnsi" w:hAnsiTheme="minorHAnsi" w:cs="Arial"/>
          <w:noProof/>
          <w:sz w:val="20"/>
          <w:szCs w:val="20"/>
        </w:rPr>
        <w:t>Aims and Objectives</w:t>
      </w:r>
      <w:r w:rsidRPr="003A05B7">
        <w:rPr>
          <w:rFonts w:asciiTheme="minorHAnsi" w:hAnsiTheme="minorHAnsi"/>
          <w:noProof/>
          <w:sz w:val="20"/>
          <w:szCs w:val="20"/>
        </w:rPr>
        <w:tab/>
      </w:r>
    </w:p>
    <w:p w14:paraId="4CE1154D"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4.</w:t>
      </w:r>
      <w:r w:rsidRPr="003A05B7">
        <w:rPr>
          <w:rFonts w:asciiTheme="minorHAnsi" w:hAnsiTheme="minorHAnsi"/>
          <w:noProof/>
          <w:sz w:val="20"/>
          <w:szCs w:val="20"/>
        </w:rPr>
        <w:tab/>
      </w:r>
      <w:r w:rsidRPr="003A05B7">
        <w:rPr>
          <w:rFonts w:asciiTheme="minorHAnsi" w:hAnsiTheme="minorHAnsi" w:cs="Arial"/>
          <w:noProof/>
          <w:sz w:val="20"/>
          <w:szCs w:val="20"/>
        </w:rPr>
        <w:t>Methodology</w:t>
      </w:r>
      <w:r w:rsidRPr="003A05B7">
        <w:rPr>
          <w:rFonts w:asciiTheme="minorHAnsi" w:hAnsiTheme="minorHAnsi"/>
          <w:noProof/>
          <w:sz w:val="20"/>
          <w:szCs w:val="20"/>
        </w:rPr>
        <w:tab/>
      </w:r>
    </w:p>
    <w:p w14:paraId="71FAF932"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5.</w:t>
      </w:r>
      <w:r w:rsidRPr="003A05B7">
        <w:rPr>
          <w:rFonts w:asciiTheme="minorHAnsi" w:hAnsiTheme="minorHAnsi"/>
          <w:noProof/>
          <w:sz w:val="20"/>
          <w:szCs w:val="20"/>
        </w:rPr>
        <w:tab/>
      </w:r>
      <w:r w:rsidRPr="003A05B7">
        <w:rPr>
          <w:rFonts w:asciiTheme="minorHAnsi" w:hAnsiTheme="minorHAnsi" w:cs="Arial"/>
          <w:noProof/>
          <w:sz w:val="20"/>
          <w:szCs w:val="20"/>
        </w:rPr>
        <w:t>Outputs Required</w:t>
      </w:r>
      <w:r w:rsidRPr="003A05B7">
        <w:rPr>
          <w:rFonts w:asciiTheme="minorHAnsi" w:hAnsiTheme="minorHAnsi"/>
          <w:noProof/>
          <w:sz w:val="20"/>
          <w:szCs w:val="20"/>
        </w:rPr>
        <w:tab/>
      </w:r>
    </w:p>
    <w:p w14:paraId="4436E548"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6.</w:t>
      </w:r>
      <w:r w:rsidRPr="003A05B7">
        <w:rPr>
          <w:rFonts w:asciiTheme="minorHAnsi" w:hAnsiTheme="minorHAnsi"/>
          <w:noProof/>
          <w:sz w:val="20"/>
          <w:szCs w:val="20"/>
        </w:rPr>
        <w:tab/>
      </w:r>
      <w:r w:rsidRPr="003A05B7">
        <w:rPr>
          <w:rFonts w:asciiTheme="minorHAnsi" w:hAnsiTheme="minorHAnsi" w:cs="Arial"/>
          <w:noProof/>
          <w:sz w:val="20"/>
          <w:szCs w:val="20"/>
        </w:rPr>
        <w:t>Ownership and Publication</w:t>
      </w:r>
      <w:r w:rsidRPr="003A05B7">
        <w:rPr>
          <w:rFonts w:asciiTheme="minorHAnsi" w:hAnsiTheme="minorHAnsi"/>
          <w:noProof/>
          <w:sz w:val="20"/>
          <w:szCs w:val="20"/>
        </w:rPr>
        <w:tab/>
      </w:r>
    </w:p>
    <w:p w14:paraId="0906C7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7.</w:t>
      </w:r>
      <w:r w:rsidRPr="003A05B7">
        <w:rPr>
          <w:rFonts w:asciiTheme="minorHAnsi" w:hAnsiTheme="minorHAnsi"/>
          <w:noProof/>
          <w:sz w:val="20"/>
          <w:szCs w:val="20"/>
        </w:rPr>
        <w:tab/>
      </w:r>
      <w:r w:rsidRPr="003A05B7">
        <w:rPr>
          <w:rFonts w:asciiTheme="minorHAnsi" w:hAnsiTheme="minorHAnsi" w:cs="Arial"/>
          <w:noProof/>
          <w:sz w:val="20"/>
          <w:szCs w:val="20"/>
        </w:rPr>
        <w:t>Quality Assurance</w:t>
      </w:r>
      <w:r w:rsidRPr="003A05B7">
        <w:rPr>
          <w:rFonts w:asciiTheme="minorHAnsi" w:hAnsiTheme="minorHAnsi"/>
          <w:noProof/>
          <w:sz w:val="20"/>
          <w:szCs w:val="20"/>
        </w:rPr>
        <w:tab/>
      </w:r>
    </w:p>
    <w:p w14:paraId="6415241A"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8.</w:t>
      </w:r>
      <w:r w:rsidRPr="003A05B7">
        <w:rPr>
          <w:rFonts w:asciiTheme="minorHAnsi" w:hAnsiTheme="minorHAnsi"/>
          <w:noProof/>
          <w:sz w:val="20"/>
          <w:szCs w:val="20"/>
        </w:rPr>
        <w:tab/>
      </w:r>
      <w:r w:rsidRPr="003A05B7">
        <w:rPr>
          <w:rFonts w:asciiTheme="minorHAnsi" w:hAnsiTheme="minorHAnsi" w:cs="Arial"/>
          <w:noProof/>
          <w:sz w:val="20"/>
          <w:szCs w:val="20"/>
        </w:rPr>
        <w:t>Timetable</w:t>
      </w:r>
      <w:r w:rsidRPr="003A05B7">
        <w:rPr>
          <w:rFonts w:asciiTheme="minorHAnsi" w:hAnsiTheme="minorHAnsi"/>
          <w:noProof/>
          <w:sz w:val="20"/>
          <w:szCs w:val="20"/>
        </w:rPr>
        <w:tab/>
      </w:r>
    </w:p>
    <w:p w14:paraId="1A16F0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9.</w:t>
      </w:r>
      <w:r w:rsidRPr="003A05B7">
        <w:rPr>
          <w:rFonts w:asciiTheme="minorHAnsi" w:hAnsiTheme="minorHAnsi"/>
          <w:noProof/>
          <w:sz w:val="20"/>
          <w:szCs w:val="20"/>
        </w:rPr>
        <w:tab/>
      </w:r>
      <w:r w:rsidRPr="003A05B7">
        <w:rPr>
          <w:rFonts w:asciiTheme="minorHAnsi" w:hAnsiTheme="minorHAnsi" w:cs="Arial"/>
          <w:noProof/>
          <w:sz w:val="20"/>
          <w:szCs w:val="20"/>
        </w:rPr>
        <w:t>Challenges</w:t>
      </w:r>
      <w:r w:rsidRPr="003A05B7">
        <w:rPr>
          <w:rFonts w:asciiTheme="minorHAnsi" w:hAnsiTheme="minorHAnsi"/>
          <w:noProof/>
          <w:sz w:val="20"/>
          <w:szCs w:val="20"/>
        </w:rPr>
        <w:tab/>
      </w:r>
    </w:p>
    <w:p w14:paraId="7D09F745"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10.</w:t>
      </w:r>
      <w:r w:rsidRPr="003A05B7">
        <w:rPr>
          <w:rFonts w:asciiTheme="minorHAnsi" w:hAnsiTheme="minorHAnsi"/>
          <w:noProof/>
          <w:sz w:val="20"/>
          <w:szCs w:val="20"/>
        </w:rPr>
        <w:tab/>
      </w:r>
      <w:r w:rsidRPr="003A05B7">
        <w:rPr>
          <w:rFonts w:asciiTheme="minorHAnsi" w:hAnsiTheme="minorHAnsi" w:cs="Arial"/>
          <w:noProof/>
          <w:sz w:val="20"/>
          <w:szCs w:val="20"/>
        </w:rPr>
        <w:t>Ethics</w:t>
      </w:r>
      <w:r w:rsidRPr="003A05B7">
        <w:rPr>
          <w:rFonts w:asciiTheme="minorHAnsi" w:hAnsiTheme="minorHAnsi"/>
          <w:noProof/>
          <w:sz w:val="20"/>
          <w:szCs w:val="20"/>
        </w:rPr>
        <w:tab/>
      </w:r>
    </w:p>
    <w:p w14:paraId="025FFFFE"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11.</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12.</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13.</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14.</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15.</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137A7E3" w14:textId="77777777" w:rsidR="003A05B7" w:rsidRDefault="003A05B7" w:rsidP="003A05B7">
      <w:pPr>
        <w:pStyle w:val="BodyText"/>
        <w:rPr>
          <w:rFonts w:cs="Arial"/>
          <w:color w:val="000000"/>
          <w:szCs w:val="20"/>
        </w:rPr>
      </w:pPr>
      <w:r w:rsidRPr="003A05B7">
        <w:rPr>
          <w:rFonts w:cs="Arial"/>
          <w:color w:val="000000"/>
          <w:szCs w:val="20"/>
        </w:rPr>
        <w:fldChar w:fldCharType="end"/>
      </w: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2C7D6A91" w:rsidR="003A05B7" w:rsidRDefault="003A05B7" w:rsidP="003A05B7">
      <w:pPr>
        <w:pStyle w:val="BodyText"/>
        <w:rPr>
          <w:rFonts w:cs="Arial"/>
          <w:color w:val="000000"/>
          <w:szCs w:val="20"/>
        </w:rPr>
      </w:pPr>
    </w:p>
    <w:p w14:paraId="626DFB2A" w14:textId="77777777" w:rsidR="00DC4A67" w:rsidRDefault="00DC4A6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64B1F8C4" w14:textId="77777777" w:rsidR="003A05B7" w:rsidRDefault="003A05B7" w:rsidP="003A05B7">
      <w:pPr>
        <w:pStyle w:val="BodyText"/>
        <w:rPr>
          <w:rFonts w:cs="Arial"/>
          <w:color w:val="000000"/>
          <w:szCs w:val="20"/>
        </w:rPr>
      </w:pPr>
    </w:p>
    <w:p w14:paraId="1AA15C49" w14:textId="77777777" w:rsidR="003A05B7" w:rsidRDefault="003A05B7" w:rsidP="003A05B7">
      <w:pPr>
        <w:pStyle w:val="BodyText"/>
        <w:rPr>
          <w:rFonts w:cs="Arial"/>
          <w:color w:val="000000"/>
          <w:szCs w:val="20"/>
        </w:rPr>
      </w:pPr>
    </w:p>
    <w:p w14:paraId="3B5E1145" w14:textId="77777777" w:rsidR="003A05B7" w:rsidRDefault="003A05B7" w:rsidP="003A05B7">
      <w:pPr>
        <w:pStyle w:val="BodyText"/>
        <w:rPr>
          <w:rFonts w:cs="Arial"/>
          <w:color w:val="000000"/>
          <w:szCs w:val="20"/>
        </w:rPr>
      </w:pPr>
    </w:p>
    <w:p w14:paraId="22C9591D" w14:textId="7DC47645" w:rsidR="003A05B7" w:rsidRPr="008541C3" w:rsidRDefault="003A05B7" w:rsidP="008541C3">
      <w:pPr>
        <w:pStyle w:val="Heading1"/>
        <w:numPr>
          <w:ilvl w:val="0"/>
          <w:numId w:val="23"/>
        </w:numPr>
        <w:jc w:val="both"/>
        <w:rPr>
          <w:rFonts w:asciiTheme="majorHAnsi" w:hAnsiTheme="majorHAnsi"/>
          <w:color w:val="auto"/>
          <w:sz w:val="20"/>
          <w:szCs w:val="20"/>
        </w:rPr>
      </w:pPr>
      <w:bookmarkStart w:id="0" w:name="_Ref357535594"/>
      <w:bookmarkStart w:id="1" w:name="_Ref373505096"/>
      <w:bookmarkStart w:id="2" w:name="_Toc381969506"/>
      <w:bookmarkStart w:id="3" w:name="_Toc405888455"/>
      <w:r w:rsidRPr="008541C3">
        <w:rPr>
          <w:rFonts w:asciiTheme="majorHAnsi" w:hAnsiTheme="majorHAnsi"/>
          <w:color w:val="auto"/>
          <w:sz w:val="20"/>
          <w:szCs w:val="20"/>
        </w:rPr>
        <w:lastRenderedPageBreak/>
        <w:t>Introduction</w:t>
      </w:r>
      <w:bookmarkEnd w:id="0"/>
      <w:r w:rsidRPr="008541C3">
        <w:rPr>
          <w:rFonts w:asciiTheme="majorHAnsi" w:hAnsiTheme="majorHAnsi"/>
          <w:color w:val="auto"/>
          <w:sz w:val="20"/>
          <w:szCs w:val="20"/>
        </w:rPr>
        <w:t xml:space="preserve"> and summary of requirements</w:t>
      </w:r>
      <w:bookmarkEnd w:id="1"/>
      <w:bookmarkEnd w:id="2"/>
      <w:bookmarkEnd w:id="3"/>
      <w:r w:rsidRPr="008541C3">
        <w:rPr>
          <w:rFonts w:asciiTheme="majorHAnsi" w:hAnsiTheme="majorHAnsi"/>
          <w:color w:val="auto"/>
          <w:sz w:val="20"/>
          <w:szCs w:val="20"/>
        </w:rPr>
        <w:t xml:space="preserve"> / Preamble</w:t>
      </w:r>
    </w:p>
    <w:p w14:paraId="1BE4AB9D" w14:textId="346C08BD" w:rsidR="0054678A" w:rsidRPr="0054678A" w:rsidRDefault="0054678A" w:rsidP="0054678A">
      <w:pPr>
        <w:pStyle w:val="Norma"/>
        <w:ind w:left="720"/>
        <w:rPr>
          <w:rFonts w:asciiTheme="majorHAnsi" w:hAnsiTheme="majorHAnsi"/>
          <w:sz w:val="20"/>
          <w:szCs w:val="20"/>
        </w:rPr>
      </w:pPr>
      <w:r w:rsidRPr="0054678A">
        <w:rPr>
          <w:rFonts w:asciiTheme="majorHAnsi" w:hAnsiTheme="majorHAnsi"/>
          <w:sz w:val="20"/>
          <w:szCs w:val="20"/>
        </w:rPr>
        <w:t xml:space="preserve">The </w:t>
      </w:r>
      <w:hyperlink r:id="rId8" w:history="1">
        <w:r w:rsidRPr="007A67D2">
          <w:rPr>
            <w:rStyle w:val="Hyperlink"/>
            <w:rFonts w:asciiTheme="majorHAnsi" w:hAnsiTheme="majorHAnsi"/>
            <w:sz w:val="20"/>
            <w:szCs w:val="20"/>
          </w:rPr>
          <w:t>Climate Change Committee (CCC)</w:t>
        </w:r>
      </w:hyperlink>
      <w:r w:rsidRPr="0054678A">
        <w:rPr>
          <w:rFonts w:asciiTheme="majorHAnsi" w:hAnsiTheme="majorHAnsi"/>
          <w:sz w:val="20"/>
          <w:szCs w:val="20"/>
        </w:rPr>
        <w:t xml:space="preserve"> is an independent, statutory body established under the Climate Change Act 2008. Our purpose is to advise the UK and devolved governments on emissions targets and to report to Parliament on progress made in reducing greenhouse gas emissions and preparing for and adapting to the impacts of climate change.</w:t>
      </w:r>
    </w:p>
    <w:p w14:paraId="489D4427" w14:textId="3E01E721" w:rsidR="003A05B7" w:rsidRPr="008541C3" w:rsidRDefault="003A05B7" w:rsidP="008541C3">
      <w:pPr>
        <w:pStyle w:val="Heading1"/>
        <w:widowControl w:val="0"/>
        <w:numPr>
          <w:ilvl w:val="0"/>
          <w:numId w:val="23"/>
        </w:numPr>
        <w:overflowPunct w:val="0"/>
        <w:autoSpaceDE w:val="0"/>
        <w:autoSpaceDN w:val="0"/>
        <w:adjustRightInd w:val="0"/>
        <w:spacing w:before="240" w:after="60"/>
        <w:textAlignment w:val="baseline"/>
        <w:rPr>
          <w:rFonts w:asciiTheme="minorHAnsi" w:hAnsiTheme="minorHAnsi"/>
          <w:color w:val="auto"/>
          <w:sz w:val="20"/>
          <w:szCs w:val="20"/>
        </w:rPr>
      </w:pPr>
      <w:bookmarkStart w:id="4" w:name="_Ref357535668"/>
      <w:bookmarkStart w:id="5" w:name="_Toc381969507"/>
      <w:bookmarkStart w:id="6" w:name="_Toc405888456"/>
      <w:r w:rsidRPr="008541C3">
        <w:rPr>
          <w:rFonts w:asciiTheme="minorHAnsi" w:hAnsiTheme="minorHAnsi" w:cs="Arial"/>
          <w:color w:val="auto"/>
          <w:sz w:val="20"/>
          <w:szCs w:val="20"/>
        </w:rPr>
        <w:t>Background</w:t>
      </w:r>
      <w:bookmarkEnd w:id="4"/>
      <w:bookmarkEnd w:id="5"/>
      <w:bookmarkEnd w:id="6"/>
    </w:p>
    <w:p w14:paraId="14DD8AC7" w14:textId="66A55E6C" w:rsidR="003A05B7" w:rsidRDefault="003A05B7" w:rsidP="003A05B7">
      <w:pPr>
        <w:pStyle w:val="Norma"/>
        <w:ind w:left="720"/>
        <w:rPr>
          <w:rFonts w:asciiTheme="minorHAnsi" w:hAnsiTheme="minorHAnsi"/>
          <w:b/>
          <w:color w:val="FF0000"/>
          <w:sz w:val="20"/>
          <w:szCs w:val="20"/>
        </w:rPr>
      </w:pPr>
    </w:p>
    <w:p w14:paraId="712431C5" w14:textId="7D8DCD9E" w:rsidR="0054678A" w:rsidRDefault="0054678A" w:rsidP="003A05B7">
      <w:pPr>
        <w:pStyle w:val="Norma"/>
        <w:ind w:left="720"/>
        <w:rPr>
          <w:rFonts w:asciiTheme="minorHAnsi" w:hAnsiTheme="minorHAnsi"/>
          <w:bCs/>
          <w:sz w:val="20"/>
          <w:szCs w:val="20"/>
        </w:rPr>
      </w:pPr>
      <w:r>
        <w:rPr>
          <w:rFonts w:asciiTheme="minorHAnsi" w:hAnsiTheme="minorHAnsi"/>
          <w:bCs/>
          <w:sz w:val="20"/>
          <w:szCs w:val="20"/>
        </w:rPr>
        <w:t>Every summer, t</w:t>
      </w:r>
      <w:r w:rsidRPr="0054678A">
        <w:rPr>
          <w:rFonts w:asciiTheme="minorHAnsi" w:hAnsiTheme="minorHAnsi"/>
          <w:bCs/>
          <w:sz w:val="20"/>
          <w:szCs w:val="20"/>
        </w:rPr>
        <w:t>he CCC</w:t>
      </w:r>
      <w:r>
        <w:rPr>
          <w:rFonts w:asciiTheme="minorHAnsi" w:hAnsiTheme="minorHAnsi"/>
          <w:bCs/>
          <w:sz w:val="20"/>
          <w:szCs w:val="20"/>
        </w:rPr>
        <w:t xml:space="preserve"> publishes the UK Progress Report, assessing UK progress towards Net Zero. For each key sector, we publish a set of indicators to monitor progress. We are currently refreshing our</w:t>
      </w:r>
      <w:r w:rsidR="00793BE6">
        <w:rPr>
          <w:rFonts w:asciiTheme="minorHAnsi" w:hAnsiTheme="minorHAnsi"/>
          <w:bCs/>
          <w:sz w:val="20"/>
          <w:szCs w:val="20"/>
        </w:rPr>
        <w:t xml:space="preserve"> progress monitoring framework, including our</w:t>
      </w:r>
      <w:r>
        <w:rPr>
          <w:rFonts w:asciiTheme="minorHAnsi" w:hAnsiTheme="minorHAnsi"/>
          <w:bCs/>
          <w:sz w:val="20"/>
          <w:szCs w:val="20"/>
        </w:rPr>
        <w:t xml:space="preserve"> indicators for buildings. </w:t>
      </w:r>
    </w:p>
    <w:p w14:paraId="286EE9A3" w14:textId="4205D3B4" w:rsidR="0054678A" w:rsidRDefault="0054678A" w:rsidP="003A05B7">
      <w:pPr>
        <w:pStyle w:val="Norma"/>
        <w:ind w:left="720"/>
        <w:rPr>
          <w:rFonts w:asciiTheme="minorHAnsi" w:hAnsiTheme="minorHAnsi"/>
          <w:bCs/>
          <w:sz w:val="20"/>
          <w:szCs w:val="20"/>
        </w:rPr>
      </w:pPr>
    </w:p>
    <w:p w14:paraId="0E256AEC" w14:textId="77777777" w:rsidR="00AD7D33" w:rsidRDefault="0054678A" w:rsidP="003A05B7">
      <w:pPr>
        <w:pStyle w:val="Norma"/>
        <w:ind w:left="720"/>
        <w:rPr>
          <w:rFonts w:asciiTheme="minorHAnsi" w:hAnsiTheme="minorHAnsi"/>
          <w:bCs/>
          <w:sz w:val="20"/>
          <w:szCs w:val="20"/>
        </w:rPr>
      </w:pPr>
      <w:r>
        <w:rPr>
          <w:rFonts w:asciiTheme="minorHAnsi" w:hAnsiTheme="minorHAnsi"/>
          <w:bCs/>
          <w:sz w:val="20"/>
          <w:szCs w:val="20"/>
        </w:rPr>
        <w:t xml:space="preserve">In recent years, CCC’s indicators for buildings have focussed on residential buildings. Residential buildings comprise a more significant component of buildings emissions, and data is more readily available to track progress. Given the heterogeneous stock of non-residential buildings, indicators counting roll-out of low carbon heating technologies or insulation measures are less robust than for residential buildings. </w:t>
      </w:r>
    </w:p>
    <w:p w14:paraId="6CD345E2" w14:textId="77777777" w:rsidR="00AD7D33" w:rsidRDefault="00AD7D33" w:rsidP="003A05B7">
      <w:pPr>
        <w:pStyle w:val="Norma"/>
        <w:ind w:left="720"/>
        <w:rPr>
          <w:rFonts w:asciiTheme="minorHAnsi" w:hAnsiTheme="minorHAnsi"/>
          <w:bCs/>
          <w:sz w:val="20"/>
          <w:szCs w:val="20"/>
        </w:rPr>
      </w:pPr>
    </w:p>
    <w:p w14:paraId="749770C9" w14:textId="4EDB9AA9" w:rsidR="0054678A" w:rsidRDefault="0054678A" w:rsidP="003A05B7">
      <w:pPr>
        <w:pStyle w:val="Norma"/>
        <w:ind w:left="720"/>
        <w:rPr>
          <w:rFonts w:asciiTheme="minorHAnsi" w:hAnsiTheme="minorHAnsi"/>
          <w:bCs/>
          <w:sz w:val="20"/>
          <w:szCs w:val="20"/>
        </w:rPr>
      </w:pPr>
      <w:r>
        <w:rPr>
          <w:rFonts w:asciiTheme="minorHAnsi" w:hAnsiTheme="minorHAnsi"/>
          <w:bCs/>
          <w:sz w:val="20"/>
          <w:szCs w:val="20"/>
        </w:rPr>
        <w:t xml:space="preserve">Despite these challenges, the CCC plans to develop indicator(s) on non-residential building decarbonisation for the 2022 Progress Report. </w:t>
      </w:r>
      <w:r w:rsidR="00AD7D33">
        <w:rPr>
          <w:rFonts w:asciiTheme="minorHAnsi" w:hAnsiTheme="minorHAnsi"/>
          <w:bCs/>
          <w:sz w:val="20"/>
          <w:szCs w:val="20"/>
        </w:rPr>
        <w:t xml:space="preserve">CCC typically divides non-residential buildings into public and commercial buildings, mirroring classifications in datasets such as </w:t>
      </w:r>
      <w:hyperlink r:id="rId9" w:history="1">
        <w:r w:rsidR="00AD7D33" w:rsidRPr="007A67D2">
          <w:rPr>
            <w:rStyle w:val="Hyperlink"/>
            <w:rFonts w:asciiTheme="minorHAnsi" w:hAnsiTheme="minorHAnsi"/>
            <w:bCs/>
            <w:sz w:val="20"/>
            <w:szCs w:val="20"/>
          </w:rPr>
          <w:t>DUKES</w:t>
        </w:r>
      </w:hyperlink>
      <w:r w:rsidR="00AD7D33">
        <w:rPr>
          <w:rFonts w:asciiTheme="minorHAnsi" w:hAnsiTheme="minorHAnsi"/>
          <w:bCs/>
          <w:sz w:val="20"/>
          <w:szCs w:val="20"/>
        </w:rPr>
        <w:t xml:space="preserve">.  </w:t>
      </w:r>
    </w:p>
    <w:p w14:paraId="6F7EEA88" w14:textId="72F85A8A" w:rsidR="0054678A" w:rsidRDefault="0054678A" w:rsidP="003A05B7">
      <w:pPr>
        <w:pStyle w:val="Norma"/>
        <w:ind w:left="720"/>
        <w:rPr>
          <w:rFonts w:asciiTheme="minorHAnsi" w:hAnsiTheme="minorHAnsi"/>
          <w:bCs/>
          <w:sz w:val="20"/>
          <w:szCs w:val="20"/>
        </w:rPr>
      </w:pPr>
    </w:p>
    <w:p w14:paraId="3CB65924" w14:textId="40909713" w:rsidR="0054678A" w:rsidRDefault="00AD7D33" w:rsidP="003A05B7">
      <w:pPr>
        <w:pStyle w:val="Norma"/>
        <w:ind w:left="720"/>
        <w:rPr>
          <w:rFonts w:asciiTheme="minorHAnsi" w:hAnsiTheme="minorHAnsi"/>
          <w:bCs/>
          <w:sz w:val="20"/>
          <w:szCs w:val="20"/>
        </w:rPr>
      </w:pPr>
      <w:r>
        <w:rPr>
          <w:rFonts w:asciiTheme="minorHAnsi" w:hAnsiTheme="minorHAnsi"/>
          <w:bCs/>
          <w:sz w:val="20"/>
          <w:szCs w:val="20"/>
        </w:rPr>
        <w:t>The main areas of progress we would like to track are:</w:t>
      </w:r>
    </w:p>
    <w:p w14:paraId="06009157" w14:textId="5ED47D7C" w:rsidR="00AD7D33" w:rsidRDefault="00AD7D33" w:rsidP="003A05B7">
      <w:pPr>
        <w:pStyle w:val="Norma"/>
        <w:ind w:left="720"/>
        <w:rPr>
          <w:rFonts w:asciiTheme="minorHAnsi" w:hAnsiTheme="minorHAnsi"/>
          <w:bCs/>
          <w:sz w:val="20"/>
          <w:szCs w:val="20"/>
        </w:rPr>
      </w:pPr>
    </w:p>
    <w:p w14:paraId="18DEF7CF" w14:textId="77541FBF" w:rsidR="00AD7D33" w:rsidRDefault="00AD7D33" w:rsidP="00AD7D33">
      <w:pPr>
        <w:pStyle w:val="Norma"/>
        <w:numPr>
          <w:ilvl w:val="0"/>
          <w:numId w:val="4"/>
        </w:numPr>
        <w:rPr>
          <w:rFonts w:asciiTheme="minorHAnsi" w:hAnsiTheme="minorHAnsi"/>
          <w:bCs/>
          <w:sz w:val="20"/>
          <w:szCs w:val="20"/>
        </w:rPr>
      </w:pPr>
      <w:r>
        <w:rPr>
          <w:rFonts w:asciiTheme="minorHAnsi" w:hAnsiTheme="minorHAnsi"/>
          <w:bCs/>
          <w:sz w:val="20"/>
          <w:szCs w:val="20"/>
        </w:rPr>
        <w:t xml:space="preserve">Energy demand reduction due to energy efficiency and behaviour change measures </w:t>
      </w:r>
    </w:p>
    <w:p w14:paraId="7152EAAE" w14:textId="01A48688" w:rsidR="00AD7D33" w:rsidRDefault="00AD7D33" w:rsidP="00AD7D33">
      <w:pPr>
        <w:pStyle w:val="Norma"/>
        <w:numPr>
          <w:ilvl w:val="0"/>
          <w:numId w:val="4"/>
        </w:numPr>
        <w:rPr>
          <w:rFonts w:asciiTheme="minorHAnsi" w:hAnsiTheme="minorHAnsi"/>
          <w:bCs/>
          <w:sz w:val="20"/>
          <w:szCs w:val="20"/>
        </w:rPr>
      </w:pPr>
      <w:r>
        <w:rPr>
          <w:rFonts w:asciiTheme="minorHAnsi" w:hAnsiTheme="minorHAnsi"/>
          <w:bCs/>
          <w:sz w:val="20"/>
          <w:szCs w:val="20"/>
        </w:rPr>
        <w:t xml:space="preserve">Shifts towards a reliance on low-carbon heating for space and water heating </w:t>
      </w:r>
      <w:r w:rsidR="00772CC4">
        <w:rPr>
          <w:rFonts w:asciiTheme="minorHAnsi" w:hAnsiTheme="minorHAnsi"/>
          <w:bCs/>
          <w:sz w:val="20"/>
          <w:szCs w:val="20"/>
        </w:rPr>
        <w:t xml:space="preserve">in non-domestic buildings </w:t>
      </w:r>
    </w:p>
    <w:p w14:paraId="0D192D00" w14:textId="19E00762" w:rsidR="00AD7D33" w:rsidRDefault="00AD7D33" w:rsidP="00AD7D33">
      <w:pPr>
        <w:pStyle w:val="Norma"/>
        <w:rPr>
          <w:rFonts w:asciiTheme="minorHAnsi" w:hAnsiTheme="minorHAnsi"/>
          <w:bCs/>
          <w:sz w:val="20"/>
          <w:szCs w:val="20"/>
        </w:rPr>
      </w:pPr>
    </w:p>
    <w:p w14:paraId="12FF7B23" w14:textId="0CFFAB4C" w:rsidR="007A67D2" w:rsidRPr="007A67D2" w:rsidRDefault="007A67D2" w:rsidP="00AD7D33">
      <w:pPr>
        <w:pStyle w:val="Norma"/>
        <w:ind w:left="720"/>
        <w:rPr>
          <w:rFonts w:asciiTheme="minorHAnsi" w:hAnsiTheme="minorHAnsi"/>
          <w:bCs/>
          <w:sz w:val="20"/>
          <w:szCs w:val="20"/>
        </w:rPr>
      </w:pPr>
      <w:r>
        <w:rPr>
          <w:rFonts w:asciiTheme="minorHAnsi" w:hAnsiTheme="minorHAnsi"/>
          <w:bCs/>
          <w:sz w:val="20"/>
          <w:szCs w:val="20"/>
        </w:rPr>
        <w:t>Given the heterogeneous nature of non-residential buildings, in particular their varying size, we have assessed that tracking energy intensity (kWh/m</w:t>
      </w:r>
      <w:r>
        <w:rPr>
          <w:rFonts w:asciiTheme="minorHAnsi" w:hAnsiTheme="minorHAnsi"/>
          <w:bCs/>
          <w:sz w:val="20"/>
          <w:szCs w:val="20"/>
          <w:vertAlign w:val="superscript"/>
        </w:rPr>
        <w:t>2</w:t>
      </w:r>
      <w:r>
        <w:rPr>
          <w:rFonts w:asciiTheme="minorHAnsi" w:hAnsiTheme="minorHAnsi"/>
          <w:bCs/>
          <w:sz w:val="20"/>
          <w:szCs w:val="20"/>
        </w:rPr>
        <w:t xml:space="preserve">) would be a useful indicator of progress in energy efficiency measures in non-residential buildings.  </w:t>
      </w:r>
    </w:p>
    <w:p w14:paraId="68FCBA2F" w14:textId="77777777" w:rsidR="007A67D2" w:rsidRDefault="007A67D2" w:rsidP="00AD7D33">
      <w:pPr>
        <w:pStyle w:val="Norma"/>
        <w:ind w:left="720"/>
        <w:rPr>
          <w:rFonts w:asciiTheme="minorHAnsi" w:hAnsiTheme="minorHAnsi"/>
          <w:bCs/>
          <w:sz w:val="20"/>
          <w:szCs w:val="20"/>
        </w:rPr>
      </w:pPr>
    </w:p>
    <w:p w14:paraId="2F289AEE" w14:textId="5BACEBD9" w:rsidR="00DC4A67" w:rsidRDefault="00AD7D33" w:rsidP="00AD7D33">
      <w:pPr>
        <w:pStyle w:val="Norma"/>
        <w:ind w:left="720"/>
        <w:rPr>
          <w:rFonts w:asciiTheme="minorHAnsi" w:hAnsiTheme="minorHAnsi"/>
          <w:bCs/>
          <w:sz w:val="20"/>
          <w:szCs w:val="20"/>
        </w:rPr>
      </w:pPr>
      <w:r>
        <w:rPr>
          <w:rFonts w:asciiTheme="minorHAnsi" w:hAnsiTheme="minorHAnsi"/>
          <w:bCs/>
          <w:sz w:val="20"/>
          <w:szCs w:val="20"/>
        </w:rPr>
        <w:t xml:space="preserve">Our internal scoping has identified the </w:t>
      </w:r>
      <w:hyperlink r:id="rId10" w:history="1">
        <w:r w:rsidRPr="007A67D2">
          <w:rPr>
            <w:rStyle w:val="Hyperlink"/>
            <w:rFonts w:asciiTheme="minorHAnsi" w:hAnsiTheme="minorHAnsi"/>
            <w:bCs/>
            <w:sz w:val="20"/>
            <w:szCs w:val="20"/>
          </w:rPr>
          <w:t>ND-NEED dataset</w:t>
        </w:r>
      </w:hyperlink>
      <w:r>
        <w:rPr>
          <w:rFonts w:asciiTheme="minorHAnsi" w:hAnsiTheme="minorHAnsi"/>
          <w:bCs/>
          <w:sz w:val="20"/>
          <w:szCs w:val="20"/>
        </w:rPr>
        <w:t xml:space="preserve"> as a potential new source of data for an </w:t>
      </w:r>
      <w:r w:rsidR="007A67D2">
        <w:rPr>
          <w:rFonts w:asciiTheme="minorHAnsi" w:hAnsiTheme="minorHAnsi"/>
          <w:bCs/>
          <w:sz w:val="20"/>
          <w:szCs w:val="20"/>
        </w:rPr>
        <w:t xml:space="preserve">energy intensity </w:t>
      </w:r>
      <w:r>
        <w:rPr>
          <w:rFonts w:asciiTheme="minorHAnsi" w:hAnsiTheme="minorHAnsi"/>
          <w:bCs/>
          <w:sz w:val="20"/>
          <w:szCs w:val="20"/>
        </w:rPr>
        <w:t>indicator. The ND-NEED dataset will be published annually and includes the gas and electricity energy intensity (</w:t>
      </w:r>
      <w:r w:rsidR="00464BA0">
        <w:rPr>
          <w:rFonts w:asciiTheme="minorHAnsi" w:hAnsiTheme="minorHAnsi"/>
          <w:bCs/>
          <w:sz w:val="20"/>
          <w:szCs w:val="20"/>
        </w:rPr>
        <w:t>kWh</w:t>
      </w:r>
      <w:r>
        <w:rPr>
          <w:rFonts w:asciiTheme="minorHAnsi" w:hAnsiTheme="minorHAnsi"/>
          <w:bCs/>
          <w:sz w:val="20"/>
          <w:szCs w:val="20"/>
        </w:rPr>
        <w:t>/m</w:t>
      </w:r>
      <w:r>
        <w:rPr>
          <w:rFonts w:asciiTheme="minorHAnsi" w:hAnsiTheme="minorHAnsi"/>
          <w:bCs/>
          <w:sz w:val="20"/>
          <w:szCs w:val="20"/>
          <w:vertAlign w:val="superscript"/>
        </w:rPr>
        <w:t>2</w:t>
      </w:r>
      <w:r>
        <w:rPr>
          <w:rFonts w:asciiTheme="minorHAnsi" w:hAnsiTheme="minorHAnsi"/>
          <w:bCs/>
          <w:sz w:val="20"/>
          <w:szCs w:val="20"/>
        </w:rPr>
        <w:t xml:space="preserve">/year) of non-domestic buildings, broken down into building types (education, health etc). Gas energy intensity is a promising metric for tracking the impact of energy efficiency measures </w:t>
      </w:r>
      <w:r w:rsidR="00DC4A67">
        <w:rPr>
          <w:rFonts w:asciiTheme="minorHAnsi" w:hAnsiTheme="minorHAnsi"/>
          <w:bCs/>
          <w:sz w:val="20"/>
          <w:szCs w:val="20"/>
        </w:rPr>
        <w:t xml:space="preserve">as it addresses the different sizes of non-domestic buildings by </w:t>
      </w:r>
      <w:proofErr w:type="gramStart"/>
      <w:r w:rsidR="00DC4A67">
        <w:rPr>
          <w:rFonts w:asciiTheme="minorHAnsi" w:hAnsiTheme="minorHAnsi"/>
          <w:bCs/>
          <w:sz w:val="20"/>
          <w:szCs w:val="20"/>
        </w:rPr>
        <w:t>taking into account</w:t>
      </w:r>
      <w:proofErr w:type="gramEnd"/>
      <w:r w:rsidR="00DC4A67">
        <w:rPr>
          <w:rFonts w:asciiTheme="minorHAnsi" w:hAnsiTheme="minorHAnsi"/>
          <w:bCs/>
          <w:sz w:val="20"/>
          <w:szCs w:val="20"/>
        </w:rPr>
        <w:t xml:space="preserve"> floorspace. </w:t>
      </w:r>
    </w:p>
    <w:p w14:paraId="141A3C99" w14:textId="77777777" w:rsidR="00DC4A67" w:rsidRDefault="00DC4A67" w:rsidP="00AD7D33">
      <w:pPr>
        <w:pStyle w:val="Norma"/>
        <w:ind w:left="720"/>
        <w:rPr>
          <w:rFonts w:asciiTheme="minorHAnsi" w:hAnsiTheme="minorHAnsi"/>
          <w:bCs/>
          <w:sz w:val="20"/>
          <w:szCs w:val="20"/>
        </w:rPr>
      </w:pPr>
    </w:p>
    <w:p w14:paraId="4287FEC9" w14:textId="4AB84980" w:rsidR="00AD7D33" w:rsidRPr="0054678A" w:rsidRDefault="00DC4A67" w:rsidP="00AD7D33">
      <w:pPr>
        <w:pStyle w:val="Norma"/>
        <w:ind w:left="720"/>
        <w:rPr>
          <w:rFonts w:asciiTheme="minorHAnsi" w:hAnsiTheme="minorHAnsi"/>
          <w:bCs/>
          <w:sz w:val="20"/>
          <w:szCs w:val="20"/>
        </w:rPr>
      </w:pPr>
      <w:r>
        <w:rPr>
          <w:rFonts w:asciiTheme="minorHAnsi" w:hAnsiTheme="minorHAnsi"/>
          <w:bCs/>
          <w:sz w:val="20"/>
          <w:szCs w:val="20"/>
        </w:rPr>
        <w:t xml:space="preserve">However, the total gas consumption recorded in ND-NEED differs significantly from the total gas consumption in CCC </w:t>
      </w:r>
      <w:r w:rsidR="00EC7A0E">
        <w:rPr>
          <w:rFonts w:asciiTheme="minorHAnsi" w:hAnsiTheme="minorHAnsi"/>
          <w:bCs/>
          <w:sz w:val="20"/>
          <w:szCs w:val="20"/>
        </w:rPr>
        <w:t xml:space="preserve">Sixth Carbon Budget </w:t>
      </w:r>
      <w:r w:rsidR="000600F0">
        <w:rPr>
          <w:rFonts w:asciiTheme="minorHAnsi" w:hAnsiTheme="minorHAnsi"/>
          <w:bCs/>
          <w:sz w:val="20"/>
          <w:szCs w:val="20"/>
        </w:rPr>
        <w:t xml:space="preserve">(6CB) </w:t>
      </w:r>
      <w:r>
        <w:rPr>
          <w:rFonts w:asciiTheme="minorHAnsi" w:hAnsiTheme="minorHAnsi"/>
          <w:bCs/>
          <w:sz w:val="20"/>
          <w:szCs w:val="20"/>
        </w:rPr>
        <w:t>modelling</w:t>
      </w:r>
      <w:r w:rsidR="009D4971">
        <w:rPr>
          <w:rFonts w:asciiTheme="minorHAnsi" w:hAnsiTheme="minorHAnsi"/>
          <w:bCs/>
          <w:sz w:val="20"/>
          <w:szCs w:val="20"/>
        </w:rPr>
        <w:t>, even when factories (which aren’t considered within buildings in the 6CB modelling) are removed.</w:t>
      </w:r>
      <w:r>
        <w:rPr>
          <w:rFonts w:asciiTheme="minorHAnsi" w:hAnsiTheme="minorHAnsi"/>
          <w:bCs/>
          <w:sz w:val="20"/>
          <w:szCs w:val="20"/>
        </w:rPr>
        <w:t xml:space="preserve"> </w:t>
      </w:r>
      <w:r w:rsidR="007A67D2">
        <w:rPr>
          <w:rFonts w:asciiTheme="minorHAnsi" w:hAnsiTheme="minorHAnsi"/>
          <w:bCs/>
          <w:sz w:val="20"/>
          <w:szCs w:val="20"/>
        </w:rPr>
        <w:t xml:space="preserve">This makes it challenging to develop milestones for energy intensity based on ND-NEED data. </w:t>
      </w:r>
      <w:r>
        <w:rPr>
          <w:rFonts w:asciiTheme="minorHAnsi" w:hAnsiTheme="minorHAnsi"/>
          <w:bCs/>
          <w:sz w:val="20"/>
          <w:szCs w:val="20"/>
        </w:rPr>
        <w:t>Unless this difference can be addressed, we will need to identify a different indicator source, or ta</w:t>
      </w:r>
      <w:r w:rsidR="00973D71">
        <w:rPr>
          <w:rFonts w:asciiTheme="minorHAnsi" w:hAnsiTheme="minorHAnsi"/>
          <w:bCs/>
          <w:sz w:val="20"/>
          <w:szCs w:val="20"/>
        </w:rPr>
        <w:t xml:space="preserve">ke an alternative </w:t>
      </w:r>
      <w:r>
        <w:rPr>
          <w:rFonts w:asciiTheme="minorHAnsi" w:hAnsiTheme="minorHAnsi"/>
          <w:bCs/>
          <w:sz w:val="20"/>
          <w:szCs w:val="20"/>
        </w:rPr>
        <w:t>approach to</w:t>
      </w:r>
      <w:r w:rsidR="00973D71">
        <w:rPr>
          <w:rFonts w:asciiTheme="minorHAnsi" w:hAnsiTheme="minorHAnsi"/>
          <w:bCs/>
          <w:sz w:val="20"/>
          <w:szCs w:val="20"/>
        </w:rPr>
        <w:t xml:space="preserve"> setting annual milestones for energy intensity </w:t>
      </w:r>
      <w:r>
        <w:rPr>
          <w:rFonts w:asciiTheme="minorHAnsi" w:hAnsiTheme="minorHAnsi"/>
          <w:bCs/>
          <w:sz w:val="20"/>
          <w:szCs w:val="20"/>
        </w:rPr>
        <w:t>(e</w:t>
      </w:r>
      <w:r w:rsidR="00992925">
        <w:rPr>
          <w:rFonts w:asciiTheme="minorHAnsi" w:hAnsiTheme="minorHAnsi"/>
          <w:bCs/>
          <w:sz w:val="20"/>
          <w:szCs w:val="20"/>
        </w:rPr>
        <w:t>.</w:t>
      </w:r>
      <w:r>
        <w:rPr>
          <w:rFonts w:asciiTheme="minorHAnsi" w:hAnsiTheme="minorHAnsi"/>
          <w:bCs/>
          <w:sz w:val="20"/>
          <w:szCs w:val="20"/>
        </w:rPr>
        <w:t>g</w:t>
      </w:r>
      <w:r w:rsidR="00992925">
        <w:rPr>
          <w:rFonts w:asciiTheme="minorHAnsi" w:hAnsiTheme="minorHAnsi"/>
          <w:bCs/>
          <w:sz w:val="20"/>
          <w:szCs w:val="20"/>
        </w:rPr>
        <w:t>.</w:t>
      </w:r>
      <w:r>
        <w:rPr>
          <w:rFonts w:asciiTheme="minorHAnsi" w:hAnsiTheme="minorHAnsi"/>
          <w:bCs/>
          <w:sz w:val="20"/>
          <w:szCs w:val="20"/>
        </w:rPr>
        <w:t xml:space="preserve"> - have milestones tracking the </w:t>
      </w:r>
      <w:r w:rsidR="00973D71">
        <w:rPr>
          <w:rFonts w:asciiTheme="minorHAnsi" w:hAnsiTheme="minorHAnsi"/>
          <w:bCs/>
          <w:sz w:val="20"/>
          <w:szCs w:val="20"/>
        </w:rPr>
        <w:t xml:space="preserve">% </w:t>
      </w:r>
      <w:r>
        <w:rPr>
          <w:rFonts w:asciiTheme="minorHAnsi" w:hAnsiTheme="minorHAnsi"/>
          <w:bCs/>
          <w:sz w:val="20"/>
          <w:szCs w:val="20"/>
        </w:rPr>
        <w:t>change in energy intensity, or only track certain building types which match up with CCC</w:t>
      </w:r>
      <w:r w:rsidR="00973D71">
        <w:rPr>
          <w:rFonts w:asciiTheme="minorHAnsi" w:hAnsiTheme="minorHAnsi"/>
          <w:bCs/>
          <w:sz w:val="20"/>
          <w:szCs w:val="20"/>
        </w:rPr>
        <w:t xml:space="preserve"> modelling</w:t>
      </w:r>
      <w:r>
        <w:rPr>
          <w:rFonts w:asciiTheme="minorHAnsi" w:hAnsiTheme="minorHAnsi"/>
          <w:bCs/>
          <w:sz w:val="20"/>
          <w:szCs w:val="20"/>
        </w:rPr>
        <w:t xml:space="preserve">).  </w:t>
      </w:r>
    </w:p>
    <w:p w14:paraId="1221AA05" w14:textId="78CDA327" w:rsidR="003A05B7" w:rsidRPr="008541C3" w:rsidRDefault="003A05B7" w:rsidP="008541C3">
      <w:pPr>
        <w:pStyle w:val="Heading1"/>
        <w:widowControl w:val="0"/>
        <w:numPr>
          <w:ilvl w:val="0"/>
          <w:numId w:val="23"/>
        </w:numPr>
        <w:overflowPunct w:val="0"/>
        <w:autoSpaceDE w:val="0"/>
        <w:autoSpaceDN w:val="0"/>
        <w:adjustRightInd w:val="0"/>
        <w:spacing w:before="240" w:after="60"/>
        <w:jc w:val="both"/>
        <w:textAlignment w:val="baseline"/>
        <w:rPr>
          <w:rFonts w:asciiTheme="minorHAnsi" w:hAnsiTheme="minorHAnsi"/>
          <w:color w:val="auto"/>
          <w:sz w:val="20"/>
          <w:szCs w:val="20"/>
        </w:rPr>
      </w:pPr>
      <w:bookmarkStart w:id="7" w:name="_Ref357535689"/>
      <w:bookmarkStart w:id="8" w:name="_Toc381969508"/>
      <w:bookmarkStart w:id="9" w:name="_Toc405888457"/>
      <w:r w:rsidRPr="008541C3">
        <w:rPr>
          <w:rFonts w:asciiTheme="minorHAnsi" w:hAnsiTheme="minorHAnsi" w:cs="Arial"/>
          <w:color w:val="auto"/>
          <w:sz w:val="20"/>
          <w:szCs w:val="20"/>
        </w:rPr>
        <w:t>Aims and Objectives</w:t>
      </w:r>
      <w:bookmarkEnd w:id="7"/>
      <w:bookmarkEnd w:id="8"/>
      <w:bookmarkEnd w:id="9"/>
    </w:p>
    <w:p w14:paraId="08A17A04" w14:textId="77777777" w:rsidR="00DC4A67" w:rsidRDefault="00DC4A67" w:rsidP="003A05B7">
      <w:pPr>
        <w:pStyle w:val="Norma"/>
        <w:ind w:left="720"/>
        <w:rPr>
          <w:rFonts w:asciiTheme="minorHAnsi" w:hAnsiTheme="minorHAnsi"/>
          <w:bCs/>
          <w:sz w:val="20"/>
          <w:szCs w:val="20"/>
        </w:rPr>
      </w:pPr>
    </w:p>
    <w:p w14:paraId="3F1015E9" w14:textId="122FC679" w:rsidR="00D23BBB" w:rsidRDefault="00772CC4" w:rsidP="00772CC4">
      <w:pPr>
        <w:pStyle w:val="ListParagraph"/>
        <w:spacing w:after="160" w:line="259" w:lineRule="auto"/>
        <w:rPr>
          <w:rFonts w:asciiTheme="majorHAnsi" w:hAnsiTheme="majorHAnsi"/>
          <w:sz w:val="20"/>
          <w:szCs w:val="20"/>
        </w:rPr>
      </w:pPr>
      <w:r w:rsidRPr="00772CC4">
        <w:rPr>
          <w:rFonts w:asciiTheme="majorHAnsi" w:hAnsiTheme="majorHAnsi"/>
          <w:sz w:val="20"/>
          <w:szCs w:val="20"/>
        </w:rPr>
        <w:t>The key aims of this project will be to help the CCC to decide how to construct an indicator on energy intensity for non-domestic buildings.</w:t>
      </w:r>
      <w:r w:rsidR="00D23BBB">
        <w:rPr>
          <w:rFonts w:asciiTheme="majorHAnsi" w:hAnsiTheme="majorHAnsi"/>
          <w:sz w:val="20"/>
          <w:szCs w:val="20"/>
        </w:rPr>
        <w:t xml:space="preserve"> </w:t>
      </w:r>
    </w:p>
    <w:p w14:paraId="1ED8CD0F" w14:textId="77777777" w:rsidR="00D23BBB" w:rsidRDefault="00D23BBB" w:rsidP="00772CC4">
      <w:pPr>
        <w:pStyle w:val="ListParagraph"/>
        <w:spacing w:after="160" w:line="259" w:lineRule="auto"/>
        <w:rPr>
          <w:rFonts w:asciiTheme="majorHAnsi" w:hAnsiTheme="majorHAnsi"/>
          <w:sz w:val="20"/>
          <w:szCs w:val="20"/>
        </w:rPr>
      </w:pPr>
    </w:p>
    <w:p w14:paraId="66356590" w14:textId="0267B5DA" w:rsidR="00D23BBB" w:rsidRDefault="00D23BBB" w:rsidP="00772CC4">
      <w:pPr>
        <w:pStyle w:val="ListParagraph"/>
        <w:spacing w:after="160" w:line="259" w:lineRule="auto"/>
        <w:rPr>
          <w:rFonts w:asciiTheme="majorHAnsi" w:hAnsiTheme="majorHAnsi"/>
          <w:sz w:val="20"/>
          <w:szCs w:val="20"/>
        </w:rPr>
      </w:pPr>
      <w:r>
        <w:rPr>
          <w:rFonts w:asciiTheme="majorHAnsi" w:hAnsiTheme="majorHAnsi"/>
          <w:sz w:val="20"/>
          <w:szCs w:val="20"/>
        </w:rPr>
        <w:t xml:space="preserve">Specifically we envisage this </w:t>
      </w:r>
      <w:r w:rsidR="00012050">
        <w:rPr>
          <w:rFonts w:asciiTheme="majorHAnsi" w:hAnsiTheme="majorHAnsi"/>
          <w:sz w:val="20"/>
          <w:szCs w:val="20"/>
        </w:rPr>
        <w:t xml:space="preserve">involving </w:t>
      </w:r>
      <w:r w:rsidR="00012050" w:rsidRPr="00012050">
        <w:rPr>
          <w:rFonts w:asciiTheme="majorHAnsi" w:hAnsiTheme="majorHAnsi"/>
          <w:b/>
          <w:bCs/>
          <w:sz w:val="20"/>
          <w:szCs w:val="20"/>
        </w:rPr>
        <w:t xml:space="preserve">focussing on </w:t>
      </w:r>
      <w:r w:rsidR="00012050" w:rsidRPr="007A67D2">
        <w:rPr>
          <w:rFonts w:asciiTheme="majorHAnsi" w:hAnsiTheme="majorHAnsi"/>
          <w:b/>
          <w:bCs/>
          <w:sz w:val="20"/>
          <w:szCs w:val="20"/>
          <w:u w:val="single"/>
        </w:rPr>
        <w:t>one of the two</w:t>
      </w:r>
      <w:r w:rsidR="00012050" w:rsidRPr="00012050">
        <w:rPr>
          <w:rFonts w:asciiTheme="majorHAnsi" w:hAnsiTheme="majorHAnsi"/>
          <w:b/>
          <w:bCs/>
          <w:sz w:val="20"/>
          <w:szCs w:val="20"/>
        </w:rPr>
        <w:t xml:space="preserve"> following research questions:</w:t>
      </w:r>
      <w:r w:rsidR="00012050">
        <w:rPr>
          <w:rFonts w:asciiTheme="majorHAnsi" w:hAnsiTheme="majorHAnsi"/>
          <w:sz w:val="20"/>
          <w:szCs w:val="20"/>
        </w:rPr>
        <w:t xml:space="preserve"> </w:t>
      </w:r>
      <w:r>
        <w:rPr>
          <w:rFonts w:asciiTheme="majorHAnsi" w:hAnsiTheme="majorHAnsi"/>
          <w:sz w:val="20"/>
          <w:szCs w:val="20"/>
        </w:rPr>
        <w:t>(</w:t>
      </w:r>
      <w:r w:rsidR="001D6095">
        <w:rPr>
          <w:rFonts w:asciiTheme="majorHAnsi" w:hAnsiTheme="majorHAnsi"/>
          <w:sz w:val="20"/>
          <w:szCs w:val="20"/>
        </w:rPr>
        <w:t>A</w:t>
      </w:r>
      <w:r>
        <w:rPr>
          <w:rFonts w:asciiTheme="majorHAnsi" w:hAnsiTheme="majorHAnsi"/>
          <w:sz w:val="20"/>
          <w:szCs w:val="20"/>
        </w:rPr>
        <w:t>)</w:t>
      </w:r>
      <w:r w:rsidR="007A67D2">
        <w:rPr>
          <w:rFonts w:asciiTheme="majorHAnsi" w:hAnsiTheme="majorHAnsi"/>
          <w:sz w:val="20"/>
          <w:szCs w:val="20"/>
        </w:rPr>
        <w:t xml:space="preserve"> assessing</w:t>
      </w:r>
      <w:r w:rsidR="00012050">
        <w:rPr>
          <w:rFonts w:asciiTheme="majorHAnsi" w:hAnsiTheme="majorHAnsi"/>
          <w:sz w:val="20"/>
          <w:szCs w:val="20"/>
        </w:rPr>
        <w:t xml:space="preserve"> the possible data sources/approaches for constructing and tracking an energy intensity indicator, and advising on the best available approach for the CCC</w:t>
      </w:r>
      <w:r w:rsidR="001D6095">
        <w:rPr>
          <w:rFonts w:asciiTheme="majorHAnsi" w:hAnsiTheme="majorHAnsi"/>
          <w:sz w:val="20"/>
          <w:szCs w:val="20"/>
        </w:rPr>
        <w:t xml:space="preserve"> (B) assessing the causes for the difference in total gas consumption in ND-NEED and 6CB and advising on implications for construction of an indicato</w:t>
      </w:r>
      <w:r w:rsidR="007A67D2">
        <w:rPr>
          <w:rFonts w:asciiTheme="majorHAnsi" w:hAnsiTheme="majorHAnsi"/>
          <w:sz w:val="20"/>
          <w:szCs w:val="20"/>
        </w:rPr>
        <w:t>r using ND-NEED data</w:t>
      </w:r>
      <w:r w:rsidR="001D6095">
        <w:rPr>
          <w:rFonts w:asciiTheme="majorHAnsi" w:hAnsiTheme="majorHAnsi"/>
          <w:sz w:val="20"/>
          <w:szCs w:val="20"/>
        </w:rPr>
        <w:t>.</w:t>
      </w:r>
    </w:p>
    <w:p w14:paraId="5FB80B10" w14:textId="328D5EB9" w:rsidR="00992925" w:rsidRDefault="00992925" w:rsidP="00772CC4">
      <w:pPr>
        <w:pStyle w:val="ListParagraph"/>
        <w:spacing w:after="160" w:line="259" w:lineRule="auto"/>
        <w:rPr>
          <w:rFonts w:asciiTheme="majorHAnsi" w:hAnsiTheme="majorHAnsi"/>
          <w:sz w:val="20"/>
          <w:szCs w:val="20"/>
        </w:rPr>
      </w:pPr>
    </w:p>
    <w:p w14:paraId="7477BDFD" w14:textId="22F48359" w:rsidR="00992925" w:rsidRDefault="00992925" w:rsidP="00772CC4">
      <w:pPr>
        <w:pStyle w:val="ListParagraph"/>
        <w:spacing w:after="160" w:line="259" w:lineRule="auto"/>
        <w:rPr>
          <w:rFonts w:asciiTheme="majorHAnsi" w:hAnsiTheme="majorHAnsi"/>
          <w:sz w:val="20"/>
          <w:szCs w:val="20"/>
        </w:rPr>
      </w:pPr>
      <w:r>
        <w:rPr>
          <w:rFonts w:asciiTheme="majorHAnsi" w:hAnsiTheme="majorHAnsi"/>
          <w:sz w:val="20"/>
          <w:szCs w:val="20"/>
        </w:rPr>
        <w:t>We only require suppliers to address one of the two tasks, as we recognise:</w:t>
      </w:r>
    </w:p>
    <w:p w14:paraId="062A258C" w14:textId="0AE5D3F4" w:rsidR="00992925" w:rsidRDefault="00992925" w:rsidP="00992925">
      <w:pPr>
        <w:pStyle w:val="ListParagraph"/>
        <w:numPr>
          <w:ilvl w:val="0"/>
          <w:numId w:val="15"/>
        </w:numPr>
        <w:spacing w:after="160" w:line="259" w:lineRule="auto"/>
        <w:rPr>
          <w:rFonts w:asciiTheme="majorHAnsi" w:hAnsiTheme="majorHAnsi"/>
          <w:sz w:val="20"/>
          <w:szCs w:val="20"/>
        </w:rPr>
      </w:pPr>
      <w:r>
        <w:rPr>
          <w:rFonts w:asciiTheme="majorHAnsi" w:hAnsiTheme="majorHAnsi"/>
          <w:sz w:val="20"/>
          <w:szCs w:val="20"/>
        </w:rPr>
        <w:t>a supplier may assess it is unlikely to be possible to align baseline energy demand between ND-NEED and 6CB, and so focusses solely on Task A</w:t>
      </w:r>
    </w:p>
    <w:p w14:paraId="19EF0FC1" w14:textId="4CED07D3" w:rsidR="00992925" w:rsidRPr="00772CC4" w:rsidRDefault="00992925" w:rsidP="00992925">
      <w:pPr>
        <w:pStyle w:val="ListParagraph"/>
        <w:numPr>
          <w:ilvl w:val="0"/>
          <w:numId w:val="15"/>
        </w:numPr>
        <w:spacing w:after="160" w:line="259" w:lineRule="auto"/>
        <w:rPr>
          <w:rFonts w:asciiTheme="majorHAnsi" w:hAnsiTheme="majorHAnsi"/>
          <w:sz w:val="20"/>
          <w:szCs w:val="20"/>
        </w:rPr>
      </w:pPr>
      <w:r>
        <w:rPr>
          <w:rFonts w:asciiTheme="majorHAnsi" w:hAnsiTheme="majorHAnsi"/>
          <w:sz w:val="20"/>
          <w:szCs w:val="20"/>
        </w:rPr>
        <w:t>a supplier may consider there is a better indicator that can be constructed without using ND-NEED data, and so focus solely on Task A</w:t>
      </w:r>
    </w:p>
    <w:p w14:paraId="195FAADA" w14:textId="77777777" w:rsidR="00992925" w:rsidRDefault="00992925" w:rsidP="00772CC4">
      <w:pPr>
        <w:pStyle w:val="ListParagraph"/>
        <w:spacing w:after="160" w:line="259" w:lineRule="auto"/>
        <w:rPr>
          <w:rFonts w:asciiTheme="majorHAnsi" w:hAnsiTheme="majorHAnsi"/>
          <w:sz w:val="20"/>
          <w:szCs w:val="20"/>
        </w:rPr>
      </w:pPr>
    </w:p>
    <w:p w14:paraId="492E086A" w14:textId="77777777" w:rsidR="00992925" w:rsidRDefault="00D23BBB" w:rsidP="00992925">
      <w:pPr>
        <w:pStyle w:val="ListParagraph"/>
        <w:spacing w:after="160" w:line="259" w:lineRule="auto"/>
        <w:rPr>
          <w:rFonts w:asciiTheme="majorHAnsi" w:hAnsiTheme="majorHAnsi"/>
          <w:sz w:val="20"/>
          <w:szCs w:val="20"/>
        </w:rPr>
      </w:pPr>
      <w:r>
        <w:rPr>
          <w:rFonts w:asciiTheme="majorHAnsi" w:hAnsiTheme="majorHAnsi"/>
          <w:sz w:val="20"/>
          <w:szCs w:val="20"/>
        </w:rPr>
        <w:t xml:space="preserve">Our </w:t>
      </w:r>
      <w:r w:rsidRPr="00992925">
        <w:rPr>
          <w:rFonts w:asciiTheme="majorHAnsi" w:hAnsiTheme="majorHAnsi"/>
          <w:b/>
          <w:bCs/>
          <w:sz w:val="20"/>
          <w:szCs w:val="20"/>
        </w:rPr>
        <w:t>suggested approach</w:t>
      </w:r>
      <w:r>
        <w:rPr>
          <w:rFonts w:asciiTheme="majorHAnsi" w:hAnsiTheme="majorHAnsi"/>
          <w:sz w:val="20"/>
          <w:szCs w:val="20"/>
        </w:rPr>
        <w:t xml:space="preserve"> for these </w:t>
      </w:r>
      <w:r w:rsidR="007A67D2">
        <w:rPr>
          <w:rFonts w:asciiTheme="majorHAnsi" w:hAnsiTheme="majorHAnsi"/>
          <w:sz w:val="20"/>
          <w:szCs w:val="20"/>
        </w:rPr>
        <w:t>two</w:t>
      </w:r>
      <w:r w:rsidR="00772CC4" w:rsidRPr="00772CC4">
        <w:rPr>
          <w:rFonts w:asciiTheme="majorHAnsi" w:hAnsiTheme="majorHAnsi"/>
          <w:sz w:val="20"/>
          <w:szCs w:val="20"/>
        </w:rPr>
        <w:t xml:space="preserve"> tasks </w:t>
      </w:r>
      <w:r w:rsidR="00464BA0">
        <w:rPr>
          <w:rFonts w:asciiTheme="majorHAnsi" w:hAnsiTheme="majorHAnsi"/>
          <w:sz w:val="20"/>
          <w:szCs w:val="20"/>
        </w:rPr>
        <w:t>is</w:t>
      </w:r>
      <w:r w:rsidR="00464BA0" w:rsidRPr="00772CC4">
        <w:rPr>
          <w:rFonts w:asciiTheme="majorHAnsi" w:hAnsiTheme="majorHAnsi"/>
          <w:sz w:val="20"/>
          <w:szCs w:val="20"/>
        </w:rPr>
        <w:t xml:space="preserve"> </w:t>
      </w:r>
      <w:r w:rsidR="00772CC4" w:rsidRPr="00772CC4">
        <w:rPr>
          <w:rFonts w:asciiTheme="majorHAnsi" w:hAnsiTheme="majorHAnsi"/>
          <w:sz w:val="20"/>
          <w:szCs w:val="20"/>
        </w:rPr>
        <w:t>set out below</w:t>
      </w:r>
      <w:r w:rsidR="00772CC4">
        <w:rPr>
          <w:rFonts w:asciiTheme="majorHAnsi" w:hAnsiTheme="majorHAnsi"/>
          <w:sz w:val="20"/>
          <w:szCs w:val="20"/>
        </w:rPr>
        <w:t>.</w:t>
      </w:r>
      <w:r>
        <w:rPr>
          <w:rFonts w:asciiTheme="majorHAnsi" w:hAnsiTheme="majorHAnsi"/>
          <w:sz w:val="20"/>
          <w:szCs w:val="20"/>
        </w:rPr>
        <w:t xml:space="preserve"> </w:t>
      </w:r>
    </w:p>
    <w:p w14:paraId="228FCFB8" w14:textId="77777777" w:rsidR="00992925" w:rsidRDefault="00992925" w:rsidP="00992925">
      <w:pPr>
        <w:pStyle w:val="ListParagraph"/>
        <w:spacing w:after="160" w:line="259" w:lineRule="auto"/>
        <w:rPr>
          <w:rFonts w:asciiTheme="majorHAnsi" w:hAnsiTheme="majorHAnsi"/>
          <w:sz w:val="20"/>
          <w:szCs w:val="20"/>
        </w:rPr>
      </w:pPr>
    </w:p>
    <w:p w14:paraId="38EA2D17" w14:textId="298767FB" w:rsidR="00012050" w:rsidRPr="00992925" w:rsidRDefault="00992925" w:rsidP="00992925">
      <w:pPr>
        <w:pStyle w:val="ListParagraph"/>
        <w:spacing w:after="160" w:line="259" w:lineRule="auto"/>
        <w:rPr>
          <w:rFonts w:asciiTheme="majorHAnsi" w:hAnsiTheme="majorHAnsi"/>
          <w:sz w:val="20"/>
          <w:szCs w:val="20"/>
        </w:rPr>
      </w:pPr>
      <w:r>
        <w:rPr>
          <w:rFonts w:asciiTheme="majorHAnsi" w:hAnsiTheme="majorHAnsi"/>
          <w:sz w:val="20"/>
          <w:szCs w:val="20"/>
        </w:rPr>
        <w:t>We</w:t>
      </w:r>
      <w:r w:rsidR="00D23BBB" w:rsidRPr="00992925">
        <w:rPr>
          <w:rFonts w:asciiTheme="majorHAnsi" w:hAnsiTheme="majorHAnsi"/>
          <w:sz w:val="20"/>
          <w:szCs w:val="20"/>
        </w:rPr>
        <w:t xml:space="preserve"> welcome bids from suppliers with an alternative approach to answering</w:t>
      </w:r>
      <w:r>
        <w:rPr>
          <w:rFonts w:asciiTheme="majorHAnsi" w:hAnsiTheme="majorHAnsi"/>
          <w:sz w:val="20"/>
          <w:szCs w:val="20"/>
        </w:rPr>
        <w:t xml:space="preserve"> either of</w:t>
      </w:r>
      <w:r w:rsidR="00D23BBB" w:rsidRPr="00992925">
        <w:rPr>
          <w:rFonts w:asciiTheme="majorHAnsi" w:hAnsiTheme="majorHAnsi"/>
          <w:sz w:val="20"/>
          <w:szCs w:val="20"/>
        </w:rPr>
        <w:t xml:space="preserve"> the two tasks, </w:t>
      </w:r>
      <w:r w:rsidR="007A67D2" w:rsidRPr="00992925">
        <w:rPr>
          <w:rFonts w:asciiTheme="majorHAnsi" w:hAnsiTheme="majorHAnsi"/>
          <w:sz w:val="20"/>
          <w:szCs w:val="20"/>
        </w:rPr>
        <w:t>including where</w:t>
      </w:r>
      <w:r w:rsidR="00012050" w:rsidRPr="00992925">
        <w:rPr>
          <w:rFonts w:asciiTheme="majorHAnsi" w:hAnsiTheme="majorHAnsi"/>
          <w:sz w:val="20"/>
          <w:szCs w:val="20"/>
        </w:rPr>
        <w:t>:</w:t>
      </w:r>
    </w:p>
    <w:p w14:paraId="13B0B09D" w14:textId="77777777" w:rsidR="00992925" w:rsidRPr="00992925" w:rsidRDefault="00992925" w:rsidP="00992925">
      <w:pPr>
        <w:pStyle w:val="ListParagraph"/>
        <w:numPr>
          <w:ilvl w:val="0"/>
          <w:numId w:val="15"/>
        </w:numPr>
        <w:spacing w:after="160" w:line="259" w:lineRule="auto"/>
        <w:rPr>
          <w:rFonts w:asciiTheme="majorHAnsi" w:hAnsiTheme="majorHAnsi"/>
          <w:sz w:val="20"/>
          <w:szCs w:val="20"/>
        </w:rPr>
      </w:pPr>
      <w:r>
        <w:rPr>
          <w:rFonts w:asciiTheme="majorHAnsi" w:hAnsiTheme="majorHAnsi"/>
          <w:sz w:val="20"/>
          <w:szCs w:val="20"/>
        </w:rPr>
        <w:t xml:space="preserve">a supplier has identified a methodology for Task A or Task B which is robust and swifter (given the tight timelines for this work) than what we have outlined below </w:t>
      </w:r>
    </w:p>
    <w:p w14:paraId="127DF383" w14:textId="77777777" w:rsidR="00992925" w:rsidRDefault="00992925" w:rsidP="00992925">
      <w:pPr>
        <w:pStyle w:val="ListParagraph"/>
        <w:numPr>
          <w:ilvl w:val="0"/>
          <w:numId w:val="15"/>
        </w:numPr>
        <w:spacing w:after="160" w:line="259" w:lineRule="auto"/>
        <w:rPr>
          <w:rFonts w:asciiTheme="majorHAnsi" w:hAnsiTheme="majorHAnsi"/>
          <w:sz w:val="20"/>
          <w:szCs w:val="20"/>
        </w:rPr>
      </w:pPr>
      <w:r>
        <w:rPr>
          <w:rFonts w:asciiTheme="majorHAnsi" w:hAnsiTheme="majorHAnsi"/>
          <w:sz w:val="20"/>
          <w:szCs w:val="20"/>
        </w:rPr>
        <w:t>a supplier focussing on Task B focusses on only a few of the particular causes of the different energy consumption baselines listed below</w:t>
      </w:r>
    </w:p>
    <w:p w14:paraId="4180A201" w14:textId="77777777" w:rsidR="00992925" w:rsidRDefault="00992925" w:rsidP="00992925">
      <w:pPr>
        <w:pStyle w:val="ListParagraph"/>
        <w:spacing w:after="160" w:line="259" w:lineRule="auto"/>
        <w:rPr>
          <w:rFonts w:asciiTheme="majorHAnsi" w:hAnsiTheme="majorHAnsi"/>
          <w:b/>
          <w:bCs/>
          <w:sz w:val="20"/>
          <w:szCs w:val="20"/>
        </w:rPr>
      </w:pPr>
    </w:p>
    <w:p w14:paraId="1E0AC1C7" w14:textId="29872AC5" w:rsidR="001D6095" w:rsidRDefault="001D6095" w:rsidP="001D6095">
      <w:pPr>
        <w:pStyle w:val="ListParagraph"/>
        <w:numPr>
          <w:ilvl w:val="0"/>
          <w:numId w:val="16"/>
        </w:numPr>
        <w:spacing w:after="160" w:line="259" w:lineRule="auto"/>
        <w:rPr>
          <w:rFonts w:asciiTheme="majorHAnsi" w:hAnsiTheme="majorHAnsi"/>
          <w:b/>
          <w:bCs/>
          <w:sz w:val="20"/>
          <w:szCs w:val="20"/>
        </w:rPr>
      </w:pPr>
      <w:r>
        <w:rPr>
          <w:rFonts w:asciiTheme="majorHAnsi" w:hAnsiTheme="majorHAnsi"/>
          <w:b/>
          <w:bCs/>
          <w:sz w:val="20"/>
          <w:szCs w:val="20"/>
        </w:rPr>
        <w:t>Advise on an approach the CCC can take to setting milestones for, and tracking</w:t>
      </w:r>
      <w:r w:rsidR="00BE1F19">
        <w:rPr>
          <w:rFonts w:asciiTheme="majorHAnsi" w:hAnsiTheme="majorHAnsi"/>
          <w:b/>
          <w:bCs/>
          <w:sz w:val="20"/>
          <w:szCs w:val="20"/>
        </w:rPr>
        <w:t xml:space="preserve"> energy efficiency roll-out </w:t>
      </w:r>
      <w:r>
        <w:rPr>
          <w:rFonts w:asciiTheme="majorHAnsi" w:hAnsiTheme="majorHAnsi"/>
          <w:b/>
          <w:bCs/>
          <w:sz w:val="20"/>
          <w:szCs w:val="20"/>
        </w:rPr>
        <w:t xml:space="preserve">in non-residential buildings  </w:t>
      </w:r>
    </w:p>
    <w:p w14:paraId="20CDD4D4" w14:textId="5ED63CBA" w:rsidR="000600F0" w:rsidRDefault="000600F0" w:rsidP="001D6095">
      <w:pPr>
        <w:pStyle w:val="ListParagraph"/>
        <w:numPr>
          <w:ilvl w:val="0"/>
          <w:numId w:val="6"/>
        </w:numPr>
        <w:spacing w:after="160" w:line="259" w:lineRule="auto"/>
        <w:rPr>
          <w:rFonts w:asciiTheme="majorHAnsi" w:hAnsiTheme="majorHAnsi"/>
          <w:sz w:val="20"/>
          <w:szCs w:val="20"/>
        </w:rPr>
      </w:pPr>
      <w:r>
        <w:rPr>
          <w:rFonts w:asciiTheme="majorHAnsi" w:hAnsiTheme="majorHAnsi"/>
          <w:sz w:val="20"/>
          <w:szCs w:val="20"/>
        </w:rPr>
        <w:t xml:space="preserve">CCC indicators are typically made up of two components: the ‘milestones’ (annual figures which would be reached if progress was on track) and the ‘out-turn’ (annual measurement of actual performance/progress, which is compared against the milestone). </w:t>
      </w:r>
    </w:p>
    <w:p w14:paraId="1DB8C217" w14:textId="6407F84F" w:rsidR="001D6095" w:rsidRDefault="001D6095" w:rsidP="001D6095">
      <w:pPr>
        <w:pStyle w:val="ListParagraph"/>
        <w:numPr>
          <w:ilvl w:val="0"/>
          <w:numId w:val="6"/>
        </w:numPr>
        <w:spacing w:after="160" w:line="259" w:lineRule="auto"/>
        <w:rPr>
          <w:rFonts w:asciiTheme="majorHAnsi" w:hAnsiTheme="majorHAnsi"/>
          <w:sz w:val="20"/>
          <w:szCs w:val="20"/>
        </w:rPr>
      </w:pPr>
      <w:r>
        <w:rPr>
          <w:rFonts w:asciiTheme="majorHAnsi" w:hAnsiTheme="majorHAnsi"/>
          <w:sz w:val="20"/>
          <w:szCs w:val="20"/>
        </w:rPr>
        <w:t>The work should include:</w:t>
      </w:r>
    </w:p>
    <w:p w14:paraId="53FABB2E" w14:textId="0D901661" w:rsidR="001D6095" w:rsidRPr="00DE6686" w:rsidRDefault="007A67D2" w:rsidP="001D6095">
      <w:pPr>
        <w:pStyle w:val="ListParagraph"/>
        <w:numPr>
          <w:ilvl w:val="1"/>
          <w:numId w:val="6"/>
        </w:numPr>
        <w:spacing w:after="160" w:line="259" w:lineRule="auto"/>
        <w:rPr>
          <w:rFonts w:asciiTheme="majorHAnsi" w:hAnsiTheme="majorHAnsi"/>
          <w:sz w:val="20"/>
          <w:szCs w:val="20"/>
        </w:rPr>
      </w:pPr>
      <w:r>
        <w:rPr>
          <w:rFonts w:asciiTheme="majorHAnsi" w:hAnsiTheme="majorHAnsi"/>
          <w:sz w:val="20"/>
          <w:szCs w:val="20"/>
        </w:rPr>
        <w:t xml:space="preserve">A justified decision to focus on specific source(s) of data for </w:t>
      </w:r>
      <w:r w:rsidR="000600F0">
        <w:rPr>
          <w:rFonts w:asciiTheme="majorHAnsi" w:hAnsiTheme="majorHAnsi"/>
          <w:sz w:val="20"/>
          <w:szCs w:val="20"/>
        </w:rPr>
        <w:t xml:space="preserve">the </w:t>
      </w:r>
      <w:r>
        <w:rPr>
          <w:rFonts w:asciiTheme="majorHAnsi" w:hAnsiTheme="majorHAnsi"/>
          <w:sz w:val="20"/>
          <w:szCs w:val="20"/>
        </w:rPr>
        <w:t>indicator (possibly based on a mapping of existing public and private data sources)</w:t>
      </w:r>
    </w:p>
    <w:p w14:paraId="54EBB0D9" w14:textId="5F660630" w:rsidR="001D6095" w:rsidRDefault="001D6095" w:rsidP="001D6095">
      <w:pPr>
        <w:pStyle w:val="ListParagraph"/>
        <w:numPr>
          <w:ilvl w:val="1"/>
          <w:numId w:val="6"/>
        </w:numPr>
        <w:spacing w:after="160" w:line="259" w:lineRule="auto"/>
        <w:rPr>
          <w:rFonts w:asciiTheme="majorHAnsi" w:hAnsiTheme="majorHAnsi"/>
          <w:sz w:val="20"/>
          <w:szCs w:val="20"/>
        </w:rPr>
      </w:pPr>
      <w:r>
        <w:rPr>
          <w:rFonts w:asciiTheme="majorHAnsi" w:hAnsiTheme="majorHAnsi"/>
          <w:sz w:val="20"/>
          <w:szCs w:val="20"/>
        </w:rPr>
        <w:t xml:space="preserve">An assessment of the robustness of the </w:t>
      </w:r>
      <w:r w:rsidR="007A67D2">
        <w:rPr>
          <w:rFonts w:asciiTheme="majorHAnsi" w:hAnsiTheme="majorHAnsi"/>
          <w:sz w:val="20"/>
          <w:szCs w:val="20"/>
        </w:rPr>
        <w:t>chosen source(s)</w:t>
      </w:r>
      <w:r>
        <w:rPr>
          <w:rFonts w:asciiTheme="majorHAnsi" w:hAnsiTheme="majorHAnsi"/>
          <w:sz w:val="20"/>
          <w:szCs w:val="20"/>
        </w:rPr>
        <w:t xml:space="preserve">, including the key assumptions that </w:t>
      </w:r>
      <w:r w:rsidR="007A67D2">
        <w:rPr>
          <w:rFonts w:asciiTheme="majorHAnsi" w:hAnsiTheme="majorHAnsi"/>
          <w:sz w:val="20"/>
          <w:szCs w:val="20"/>
        </w:rPr>
        <w:t xml:space="preserve">need to </w:t>
      </w:r>
      <w:r>
        <w:rPr>
          <w:rFonts w:asciiTheme="majorHAnsi" w:hAnsiTheme="majorHAnsi"/>
          <w:sz w:val="20"/>
          <w:szCs w:val="20"/>
        </w:rPr>
        <w:t xml:space="preserve">be made </w:t>
      </w:r>
      <w:r w:rsidR="007A67D2">
        <w:rPr>
          <w:rFonts w:asciiTheme="majorHAnsi" w:hAnsiTheme="majorHAnsi"/>
          <w:sz w:val="20"/>
          <w:szCs w:val="20"/>
        </w:rPr>
        <w:t xml:space="preserve">for </w:t>
      </w:r>
      <w:r w:rsidR="00992925">
        <w:rPr>
          <w:rFonts w:asciiTheme="majorHAnsi" w:hAnsiTheme="majorHAnsi"/>
          <w:sz w:val="20"/>
          <w:szCs w:val="20"/>
        </w:rPr>
        <w:t>the source</w:t>
      </w:r>
      <w:r w:rsidR="007A67D2">
        <w:rPr>
          <w:rFonts w:asciiTheme="majorHAnsi" w:hAnsiTheme="majorHAnsi"/>
          <w:sz w:val="20"/>
          <w:szCs w:val="20"/>
        </w:rPr>
        <w:t xml:space="preserve"> to be </w:t>
      </w:r>
      <w:r>
        <w:rPr>
          <w:rFonts w:asciiTheme="majorHAnsi" w:hAnsiTheme="majorHAnsi"/>
          <w:sz w:val="20"/>
          <w:szCs w:val="20"/>
        </w:rPr>
        <w:t>used to track non-residential building energy intensity</w:t>
      </w:r>
      <w:r w:rsidR="00BE1F19">
        <w:rPr>
          <w:rFonts w:asciiTheme="majorHAnsi" w:hAnsiTheme="majorHAnsi"/>
          <w:sz w:val="20"/>
          <w:szCs w:val="20"/>
        </w:rPr>
        <w:t>/energy efficiency roll-out</w:t>
      </w:r>
    </w:p>
    <w:p w14:paraId="70EC4634" w14:textId="01E4BAAA" w:rsidR="001D6095" w:rsidRDefault="001D6095" w:rsidP="001D6095">
      <w:pPr>
        <w:pStyle w:val="ListParagraph"/>
        <w:numPr>
          <w:ilvl w:val="1"/>
          <w:numId w:val="6"/>
        </w:numPr>
        <w:spacing w:after="160" w:line="259" w:lineRule="auto"/>
        <w:rPr>
          <w:rFonts w:asciiTheme="majorHAnsi" w:hAnsiTheme="majorHAnsi"/>
          <w:sz w:val="20"/>
          <w:szCs w:val="20"/>
        </w:rPr>
      </w:pPr>
      <w:r>
        <w:rPr>
          <w:rFonts w:asciiTheme="majorHAnsi" w:hAnsiTheme="majorHAnsi"/>
          <w:sz w:val="20"/>
          <w:szCs w:val="20"/>
        </w:rPr>
        <w:t>An outline of how the data</w:t>
      </w:r>
      <w:r w:rsidR="007A67D2">
        <w:rPr>
          <w:rFonts w:asciiTheme="majorHAnsi" w:hAnsiTheme="majorHAnsi"/>
          <w:sz w:val="20"/>
          <w:szCs w:val="20"/>
        </w:rPr>
        <w:t>/source</w:t>
      </w:r>
      <w:r>
        <w:rPr>
          <w:rFonts w:asciiTheme="majorHAnsi" w:hAnsiTheme="majorHAnsi"/>
          <w:sz w:val="20"/>
          <w:szCs w:val="20"/>
        </w:rPr>
        <w:t xml:space="preserve"> would be tracked/collected annually </w:t>
      </w:r>
      <w:r w:rsidR="000600F0">
        <w:rPr>
          <w:rFonts w:asciiTheme="majorHAnsi" w:hAnsiTheme="majorHAnsi"/>
          <w:sz w:val="20"/>
          <w:szCs w:val="20"/>
        </w:rPr>
        <w:t>to measure out-turn</w:t>
      </w:r>
    </w:p>
    <w:p w14:paraId="334E1CC5" w14:textId="304DC3C7" w:rsidR="001D6095" w:rsidRDefault="001D6095" w:rsidP="001D6095">
      <w:pPr>
        <w:pStyle w:val="ListParagraph"/>
        <w:numPr>
          <w:ilvl w:val="1"/>
          <w:numId w:val="6"/>
        </w:numPr>
        <w:spacing w:after="160" w:line="259" w:lineRule="auto"/>
        <w:rPr>
          <w:rFonts w:asciiTheme="majorHAnsi" w:hAnsiTheme="majorHAnsi"/>
          <w:sz w:val="20"/>
          <w:szCs w:val="20"/>
        </w:rPr>
      </w:pPr>
      <w:r>
        <w:rPr>
          <w:rFonts w:asciiTheme="majorHAnsi" w:hAnsiTheme="majorHAnsi"/>
          <w:sz w:val="20"/>
          <w:szCs w:val="20"/>
        </w:rPr>
        <w:t xml:space="preserve">An outline of how data and </w:t>
      </w:r>
      <w:r w:rsidR="00EC7A0E">
        <w:rPr>
          <w:rFonts w:asciiTheme="majorHAnsi" w:hAnsiTheme="majorHAnsi"/>
          <w:sz w:val="20"/>
          <w:szCs w:val="20"/>
        </w:rPr>
        <w:t xml:space="preserve">Sixth Carbon Budget </w:t>
      </w:r>
      <w:r>
        <w:rPr>
          <w:rFonts w:asciiTheme="majorHAnsi" w:hAnsiTheme="majorHAnsi"/>
          <w:sz w:val="20"/>
          <w:szCs w:val="20"/>
        </w:rPr>
        <w:t>data could be drawn on to construct a set of milestone/expected pathway for the indicator</w:t>
      </w:r>
      <w:r w:rsidR="007A67D2">
        <w:rPr>
          <w:rFonts w:asciiTheme="majorHAnsi" w:hAnsiTheme="majorHAnsi"/>
          <w:sz w:val="20"/>
          <w:szCs w:val="20"/>
        </w:rPr>
        <w:t xml:space="preserve">. If possible, this </w:t>
      </w:r>
      <w:r w:rsidR="00992925">
        <w:rPr>
          <w:rFonts w:asciiTheme="majorHAnsi" w:hAnsiTheme="majorHAnsi"/>
          <w:sz w:val="20"/>
          <w:szCs w:val="20"/>
        </w:rPr>
        <w:t xml:space="preserve">construction </w:t>
      </w:r>
      <w:r w:rsidR="007A67D2">
        <w:rPr>
          <w:rFonts w:asciiTheme="majorHAnsi" w:hAnsiTheme="majorHAnsi"/>
          <w:sz w:val="20"/>
          <w:szCs w:val="20"/>
        </w:rPr>
        <w:t>should be carried out by the supplier.</w:t>
      </w:r>
      <w:r>
        <w:rPr>
          <w:rFonts w:asciiTheme="majorHAnsi" w:hAnsiTheme="majorHAnsi"/>
          <w:sz w:val="20"/>
          <w:szCs w:val="20"/>
        </w:rPr>
        <w:t xml:space="preserve"> </w:t>
      </w:r>
    </w:p>
    <w:p w14:paraId="56B2905A" w14:textId="6F2F8533" w:rsidR="001D6095" w:rsidRDefault="001D6095" w:rsidP="001D6095">
      <w:pPr>
        <w:pStyle w:val="ListParagraph"/>
        <w:numPr>
          <w:ilvl w:val="1"/>
          <w:numId w:val="6"/>
        </w:numPr>
        <w:spacing w:after="160" w:line="259" w:lineRule="auto"/>
        <w:rPr>
          <w:rFonts w:asciiTheme="majorHAnsi" w:hAnsiTheme="majorHAnsi"/>
          <w:sz w:val="20"/>
          <w:szCs w:val="20"/>
        </w:rPr>
      </w:pPr>
      <w:r>
        <w:rPr>
          <w:rFonts w:asciiTheme="majorHAnsi" w:hAnsiTheme="majorHAnsi"/>
          <w:sz w:val="20"/>
          <w:szCs w:val="20"/>
        </w:rPr>
        <w:t>A</w:t>
      </w:r>
      <w:r w:rsidR="000600F0">
        <w:rPr>
          <w:rFonts w:asciiTheme="majorHAnsi" w:hAnsiTheme="majorHAnsi"/>
          <w:sz w:val="20"/>
          <w:szCs w:val="20"/>
        </w:rPr>
        <w:t xml:space="preserve">n </w:t>
      </w:r>
      <w:r>
        <w:rPr>
          <w:rFonts w:asciiTheme="majorHAnsi" w:hAnsiTheme="majorHAnsi"/>
          <w:sz w:val="20"/>
          <w:szCs w:val="20"/>
        </w:rPr>
        <w:t xml:space="preserve">outline of any methodologies/data cleaning etc that will need to be taken each year in order to track </w:t>
      </w:r>
      <w:r w:rsidR="000600F0">
        <w:rPr>
          <w:rFonts w:asciiTheme="majorHAnsi" w:hAnsiTheme="majorHAnsi"/>
          <w:sz w:val="20"/>
          <w:szCs w:val="20"/>
        </w:rPr>
        <w:t xml:space="preserve">the out-turn/progress against </w:t>
      </w:r>
      <w:r>
        <w:rPr>
          <w:rFonts w:asciiTheme="majorHAnsi" w:hAnsiTheme="majorHAnsi"/>
          <w:sz w:val="20"/>
          <w:szCs w:val="20"/>
        </w:rPr>
        <w:t xml:space="preserve">the </w:t>
      </w:r>
      <w:r w:rsidR="000600F0">
        <w:rPr>
          <w:rFonts w:asciiTheme="majorHAnsi" w:hAnsiTheme="majorHAnsi"/>
          <w:sz w:val="20"/>
          <w:szCs w:val="20"/>
        </w:rPr>
        <w:t>milestone</w:t>
      </w:r>
    </w:p>
    <w:p w14:paraId="31AF1651" w14:textId="5AB1DC45" w:rsidR="001D6095" w:rsidRDefault="007A67D2" w:rsidP="001D6095">
      <w:pPr>
        <w:pStyle w:val="ListParagraph"/>
        <w:numPr>
          <w:ilvl w:val="0"/>
          <w:numId w:val="6"/>
        </w:numPr>
        <w:spacing w:after="160" w:line="259" w:lineRule="auto"/>
        <w:rPr>
          <w:rFonts w:asciiTheme="majorHAnsi" w:hAnsiTheme="majorHAnsi"/>
          <w:sz w:val="20"/>
          <w:szCs w:val="20"/>
        </w:rPr>
      </w:pPr>
      <w:r>
        <w:rPr>
          <w:rFonts w:asciiTheme="majorHAnsi" w:hAnsiTheme="majorHAnsi"/>
          <w:sz w:val="20"/>
          <w:szCs w:val="20"/>
        </w:rPr>
        <w:t>Given the limitations of comprehensive data on non-residential buildings decarbonisation</w:t>
      </w:r>
      <w:r w:rsidR="001D6095">
        <w:rPr>
          <w:rFonts w:asciiTheme="majorHAnsi" w:hAnsiTheme="majorHAnsi"/>
          <w:sz w:val="20"/>
          <w:szCs w:val="20"/>
        </w:rPr>
        <w:t xml:space="preserve">, </w:t>
      </w:r>
      <w:r w:rsidR="000600F0">
        <w:rPr>
          <w:rFonts w:asciiTheme="majorHAnsi" w:hAnsiTheme="majorHAnsi"/>
          <w:sz w:val="20"/>
          <w:szCs w:val="20"/>
        </w:rPr>
        <w:t>the recommended approach</w:t>
      </w:r>
      <w:r w:rsidR="001D6095">
        <w:rPr>
          <w:rFonts w:asciiTheme="majorHAnsi" w:hAnsiTheme="majorHAnsi"/>
          <w:sz w:val="20"/>
          <w:szCs w:val="20"/>
        </w:rPr>
        <w:t xml:space="preserve"> may involve drawing on proxy indicators, small datasets or qualitative data</w:t>
      </w:r>
    </w:p>
    <w:p w14:paraId="0C242996" w14:textId="0426F218" w:rsidR="00BE1F19" w:rsidRDefault="00BE1F19" w:rsidP="00BE1F19">
      <w:pPr>
        <w:pStyle w:val="ListParagraph"/>
        <w:numPr>
          <w:ilvl w:val="0"/>
          <w:numId w:val="6"/>
        </w:numPr>
        <w:spacing w:after="160" w:line="259" w:lineRule="auto"/>
        <w:rPr>
          <w:rFonts w:asciiTheme="majorHAnsi" w:hAnsiTheme="majorHAnsi"/>
          <w:sz w:val="20"/>
          <w:szCs w:val="20"/>
        </w:rPr>
      </w:pPr>
      <w:r>
        <w:rPr>
          <w:rFonts w:asciiTheme="majorHAnsi" w:hAnsiTheme="majorHAnsi"/>
          <w:sz w:val="20"/>
          <w:szCs w:val="20"/>
        </w:rPr>
        <w:lastRenderedPageBreak/>
        <w:t>Ideally this indicator would focus on energy intensity, but given limited data we are open to alternative proposals</w:t>
      </w:r>
      <w:r w:rsidR="00992925">
        <w:rPr>
          <w:rFonts w:asciiTheme="majorHAnsi" w:hAnsiTheme="majorHAnsi"/>
          <w:sz w:val="20"/>
          <w:szCs w:val="20"/>
        </w:rPr>
        <w:t xml:space="preserve"> to tracking energy efficiency </w:t>
      </w:r>
    </w:p>
    <w:p w14:paraId="7928672A" w14:textId="77777777" w:rsidR="001D6095" w:rsidRPr="001D6095" w:rsidRDefault="001D6095" w:rsidP="001D6095">
      <w:pPr>
        <w:pStyle w:val="ListParagraph"/>
        <w:spacing w:after="160" w:line="259" w:lineRule="auto"/>
        <w:rPr>
          <w:rFonts w:asciiTheme="majorHAnsi" w:hAnsiTheme="majorHAnsi"/>
          <w:sz w:val="20"/>
          <w:szCs w:val="20"/>
        </w:rPr>
      </w:pPr>
    </w:p>
    <w:p w14:paraId="23F8E89F" w14:textId="6522367E" w:rsidR="00772CC4" w:rsidRPr="00DE6686" w:rsidRDefault="000600F0" w:rsidP="00DE6686">
      <w:pPr>
        <w:pStyle w:val="ListParagraph"/>
        <w:numPr>
          <w:ilvl w:val="0"/>
          <w:numId w:val="16"/>
        </w:numPr>
        <w:spacing w:after="160" w:line="259" w:lineRule="auto"/>
        <w:rPr>
          <w:rFonts w:asciiTheme="majorHAnsi" w:hAnsiTheme="majorHAnsi"/>
          <w:sz w:val="20"/>
          <w:szCs w:val="20"/>
        </w:rPr>
      </w:pPr>
      <w:r>
        <w:rPr>
          <w:rFonts w:asciiTheme="majorHAnsi" w:hAnsiTheme="majorHAnsi"/>
          <w:b/>
          <w:bCs/>
          <w:sz w:val="20"/>
          <w:szCs w:val="20"/>
        </w:rPr>
        <w:t>(</w:t>
      </w:r>
      <w:proofErr w:type="spellStart"/>
      <w:r>
        <w:rPr>
          <w:rFonts w:asciiTheme="majorHAnsi" w:hAnsiTheme="majorHAnsi"/>
          <w:b/>
          <w:bCs/>
          <w:sz w:val="20"/>
          <w:szCs w:val="20"/>
        </w:rPr>
        <w:t>i</w:t>
      </w:r>
      <w:proofErr w:type="spellEnd"/>
      <w:r>
        <w:rPr>
          <w:rFonts w:asciiTheme="majorHAnsi" w:hAnsiTheme="majorHAnsi"/>
          <w:b/>
          <w:bCs/>
          <w:sz w:val="20"/>
          <w:szCs w:val="20"/>
        </w:rPr>
        <w:t xml:space="preserve">) </w:t>
      </w:r>
      <w:r w:rsidR="00772CC4" w:rsidRPr="00DE6686">
        <w:rPr>
          <w:rFonts w:asciiTheme="majorHAnsi" w:hAnsiTheme="majorHAnsi"/>
          <w:b/>
          <w:bCs/>
          <w:sz w:val="20"/>
          <w:szCs w:val="20"/>
        </w:rPr>
        <w:t>Clarify and quantify the drivers of differences between ND-NEED and 6CB baseline energy demand</w:t>
      </w:r>
      <w:r w:rsidR="00673120" w:rsidRPr="00DE6686">
        <w:rPr>
          <w:rFonts w:asciiTheme="majorHAnsi" w:hAnsiTheme="majorHAnsi"/>
          <w:b/>
          <w:bCs/>
          <w:sz w:val="20"/>
          <w:szCs w:val="20"/>
        </w:rPr>
        <w:t xml:space="preserve"> and energy intensity</w:t>
      </w:r>
    </w:p>
    <w:p w14:paraId="003DA231" w14:textId="77777777" w:rsidR="00673120" w:rsidRPr="00772CC4" w:rsidRDefault="00673120" w:rsidP="00673120">
      <w:pPr>
        <w:pStyle w:val="ListParagraph"/>
        <w:spacing w:after="160" w:line="259" w:lineRule="auto"/>
        <w:rPr>
          <w:rFonts w:asciiTheme="majorHAnsi" w:hAnsiTheme="majorHAnsi"/>
          <w:sz w:val="20"/>
          <w:szCs w:val="20"/>
        </w:rPr>
      </w:pPr>
    </w:p>
    <w:p w14:paraId="59CB34C8" w14:textId="67405E75" w:rsidR="00973D71" w:rsidRDefault="00973D71" w:rsidP="00772CC4">
      <w:pPr>
        <w:pStyle w:val="ListParagraph"/>
        <w:numPr>
          <w:ilvl w:val="0"/>
          <w:numId w:val="8"/>
        </w:numPr>
        <w:spacing w:after="160" w:line="259" w:lineRule="auto"/>
        <w:rPr>
          <w:rFonts w:asciiTheme="majorHAnsi" w:hAnsiTheme="majorHAnsi"/>
          <w:sz w:val="20"/>
          <w:szCs w:val="20"/>
        </w:rPr>
      </w:pPr>
      <w:r>
        <w:rPr>
          <w:rFonts w:asciiTheme="majorHAnsi" w:hAnsiTheme="majorHAnsi"/>
          <w:sz w:val="20"/>
          <w:szCs w:val="20"/>
        </w:rPr>
        <w:t xml:space="preserve">Drawing on the list below, list the main possible causes for the difference between ND-NEED and 6CB gas and electricity consumption, overall, and for specific building types. </w:t>
      </w:r>
    </w:p>
    <w:p w14:paraId="46A4C790" w14:textId="77777777" w:rsidR="00973D71" w:rsidRDefault="00973D71" w:rsidP="00772CC4">
      <w:pPr>
        <w:pStyle w:val="ListParagraph"/>
        <w:numPr>
          <w:ilvl w:val="0"/>
          <w:numId w:val="8"/>
        </w:numPr>
        <w:spacing w:after="160" w:line="259" w:lineRule="auto"/>
        <w:rPr>
          <w:rFonts w:asciiTheme="majorHAnsi" w:hAnsiTheme="majorHAnsi"/>
          <w:sz w:val="20"/>
          <w:szCs w:val="20"/>
        </w:rPr>
      </w:pPr>
      <w:r w:rsidRPr="00772CC4">
        <w:rPr>
          <w:rFonts w:asciiTheme="majorHAnsi" w:hAnsiTheme="majorHAnsi"/>
          <w:sz w:val="20"/>
          <w:szCs w:val="20"/>
        </w:rPr>
        <w:t>For each</w:t>
      </w:r>
      <w:r>
        <w:rPr>
          <w:rFonts w:asciiTheme="majorHAnsi" w:hAnsiTheme="majorHAnsi"/>
          <w:sz w:val="20"/>
          <w:szCs w:val="20"/>
        </w:rPr>
        <w:t xml:space="preserve"> possible cause</w:t>
      </w:r>
      <w:r w:rsidRPr="00772CC4">
        <w:rPr>
          <w:rFonts w:asciiTheme="majorHAnsi" w:hAnsiTheme="majorHAnsi"/>
          <w:sz w:val="20"/>
          <w:szCs w:val="20"/>
        </w:rPr>
        <w:t xml:space="preserve">, </w:t>
      </w:r>
      <w:r>
        <w:rPr>
          <w:rFonts w:asciiTheme="majorHAnsi" w:hAnsiTheme="majorHAnsi"/>
          <w:sz w:val="20"/>
          <w:szCs w:val="20"/>
        </w:rPr>
        <w:t>assess the</w:t>
      </w:r>
      <w:r w:rsidRPr="00772CC4">
        <w:rPr>
          <w:rFonts w:asciiTheme="majorHAnsi" w:hAnsiTheme="majorHAnsi"/>
          <w:sz w:val="20"/>
          <w:szCs w:val="20"/>
        </w:rPr>
        <w:t xml:space="preserve"> significance in driving the differences in baselines</w:t>
      </w:r>
      <w:r>
        <w:rPr>
          <w:rFonts w:asciiTheme="majorHAnsi" w:hAnsiTheme="majorHAnsi"/>
          <w:sz w:val="20"/>
          <w:szCs w:val="20"/>
        </w:rPr>
        <w:t xml:space="preserve">. </w:t>
      </w:r>
    </w:p>
    <w:p w14:paraId="1A4BBF35" w14:textId="6758ED3D" w:rsidR="00973D71" w:rsidRDefault="00973D71" w:rsidP="00772CC4">
      <w:pPr>
        <w:pStyle w:val="ListParagraph"/>
        <w:numPr>
          <w:ilvl w:val="0"/>
          <w:numId w:val="8"/>
        </w:numPr>
        <w:spacing w:after="160" w:line="259" w:lineRule="auto"/>
        <w:rPr>
          <w:rFonts w:asciiTheme="majorHAnsi" w:hAnsiTheme="majorHAnsi"/>
          <w:sz w:val="20"/>
          <w:szCs w:val="20"/>
        </w:rPr>
      </w:pPr>
      <w:r>
        <w:rPr>
          <w:rFonts w:asciiTheme="majorHAnsi" w:hAnsiTheme="majorHAnsi"/>
          <w:sz w:val="20"/>
          <w:szCs w:val="20"/>
        </w:rPr>
        <w:t xml:space="preserve">For each possible cause, assess whether </w:t>
      </w:r>
      <w:r w:rsidRPr="00973D71">
        <w:rPr>
          <w:rFonts w:asciiTheme="majorHAnsi" w:hAnsiTheme="majorHAnsi"/>
          <w:sz w:val="20"/>
          <w:szCs w:val="20"/>
        </w:rPr>
        <w:t xml:space="preserve">this is likely to </w:t>
      </w:r>
      <w:r>
        <w:rPr>
          <w:rFonts w:asciiTheme="majorHAnsi" w:hAnsiTheme="majorHAnsi"/>
          <w:sz w:val="20"/>
          <w:szCs w:val="20"/>
        </w:rPr>
        <w:t xml:space="preserve">overinflate or underinflate </w:t>
      </w:r>
      <w:r w:rsidRPr="00973D71">
        <w:rPr>
          <w:rFonts w:asciiTheme="majorHAnsi" w:hAnsiTheme="majorHAnsi"/>
          <w:sz w:val="20"/>
          <w:szCs w:val="20"/>
        </w:rPr>
        <w:t>(1) total gas consumption (2) total gas consumption minus factories (3) total gas intensity minus factories (4) if possible</w:t>
      </w:r>
      <w:r w:rsidR="00EC7A0E">
        <w:rPr>
          <w:rFonts w:asciiTheme="majorHAnsi" w:hAnsiTheme="majorHAnsi"/>
          <w:sz w:val="20"/>
          <w:szCs w:val="20"/>
        </w:rPr>
        <w:t>,</w:t>
      </w:r>
      <w:r w:rsidRPr="00973D71">
        <w:rPr>
          <w:rFonts w:asciiTheme="majorHAnsi" w:hAnsiTheme="majorHAnsi"/>
          <w:sz w:val="20"/>
          <w:szCs w:val="20"/>
        </w:rPr>
        <w:t xml:space="preserve"> gas intensity for each building type (public/commercial buildings at a minimum).</w:t>
      </w:r>
    </w:p>
    <w:p w14:paraId="257EAAC1" w14:textId="19A4E77D" w:rsidR="00973D71" w:rsidRPr="00673120" w:rsidRDefault="00973D71" w:rsidP="00673120">
      <w:pPr>
        <w:pStyle w:val="ListParagraph"/>
        <w:numPr>
          <w:ilvl w:val="0"/>
          <w:numId w:val="8"/>
        </w:numPr>
        <w:spacing w:after="160" w:line="259" w:lineRule="auto"/>
        <w:rPr>
          <w:rFonts w:asciiTheme="majorHAnsi" w:hAnsiTheme="majorHAnsi"/>
          <w:sz w:val="20"/>
          <w:szCs w:val="20"/>
        </w:rPr>
      </w:pPr>
      <w:r w:rsidRPr="00973D71">
        <w:rPr>
          <w:rFonts w:asciiTheme="majorHAnsi" w:hAnsiTheme="majorHAnsi"/>
          <w:sz w:val="20"/>
          <w:szCs w:val="20"/>
        </w:rPr>
        <w:t>For some</w:t>
      </w:r>
      <w:r>
        <w:rPr>
          <w:rFonts w:asciiTheme="majorHAnsi" w:hAnsiTheme="majorHAnsi"/>
          <w:sz w:val="20"/>
          <w:szCs w:val="20"/>
        </w:rPr>
        <w:t xml:space="preserve"> causes</w:t>
      </w:r>
      <w:r w:rsidRPr="00973D71">
        <w:rPr>
          <w:rFonts w:asciiTheme="majorHAnsi" w:hAnsiTheme="majorHAnsi"/>
          <w:sz w:val="20"/>
          <w:szCs w:val="20"/>
        </w:rPr>
        <w:t xml:space="preserve">, it may be possible to </w:t>
      </w:r>
      <w:r>
        <w:rPr>
          <w:rFonts w:asciiTheme="majorHAnsi" w:hAnsiTheme="majorHAnsi"/>
          <w:sz w:val="20"/>
          <w:szCs w:val="20"/>
        </w:rPr>
        <w:t>e</w:t>
      </w:r>
      <w:r w:rsidR="00772CC4" w:rsidRPr="00973D71">
        <w:rPr>
          <w:rFonts w:asciiTheme="majorHAnsi" w:hAnsiTheme="majorHAnsi"/>
          <w:sz w:val="20"/>
          <w:szCs w:val="20"/>
        </w:rPr>
        <w:t xml:space="preserve">stimate the size (in a range) of impact on non-domestic gas demand found in ND-NEED </w:t>
      </w:r>
      <w:r>
        <w:rPr>
          <w:rFonts w:asciiTheme="majorHAnsi" w:hAnsiTheme="majorHAnsi"/>
          <w:sz w:val="20"/>
          <w:szCs w:val="20"/>
        </w:rPr>
        <w:t>as compared to reality/</w:t>
      </w:r>
      <w:r w:rsidR="00EC7A0E">
        <w:rPr>
          <w:rFonts w:asciiTheme="majorHAnsi" w:hAnsiTheme="majorHAnsi"/>
          <w:sz w:val="20"/>
          <w:szCs w:val="20"/>
        </w:rPr>
        <w:t>Sixth Carbon Budget</w:t>
      </w:r>
      <w:r w:rsidR="00673120">
        <w:rPr>
          <w:rFonts w:asciiTheme="majorHAnsi" w:hAnsiTheme="majorHAnsi"/>
          <w:sz w:val="20"/>
          <w:szCs w:val="20"/>
        </w:rPr>
        <w:t xml:space="preserve">. </w:t>
      </w:r>
      <w:r w:rsidR="00673120" w:rsidRPr="00673120">
        <w:rPr>
          <w:rFonts w:asciiTheme="majorHAnsi" w:hAnsiTheme="majorHAnsi"/>
          <w:sz w:val="20"/>
          <w:szCs w:val="20"/>
        </w:rPr>
        <w:t>A</w:t>
      </w:r>
      <w:r w:rsidR="00772CC4" w:rsidRPr="00673120">
        <w:rPr>
          <w:rFonts w:asciiTheme="majorHAnsi" w:hAnsiTheme="majorHAnsi"/>
          <w:sz w:val="20"/>
          <w:szCs w:val="20"/>
        </w:rPr>
        <w:t xml:space="preserve">ttach a level of uncertainty to this estimation. </w:t>
      </w:r>
    </w:p>
    <w:p w14:paraId="250623B2" w14:textId="665171DC" w:rsidR="00973D71" w:rsidRDefault="005E485B" w:rsidP="00973D71">
      <w:pPr>
        <w:spacing w:after="160" w:line="259" w:lineRule="auto"/>
        <w:ind w:left="720"/>
        <w:rPr>
          <w:rFonts w:asciiTheme="majorHAnsi" w:hAnsiTheme="majorHAnsi"/>
          <w:sz w:val="20"/>
          <w:szCs w:val="20"/>
        </w:rPr>
      </w:pPr>
      <w:r w:rsidRPr="00973D71">
        <w:rPr>
          <w:rFonts w:asciiTheme="majorHAnsi" w:hAnsiTheme="majorHAnsi"/>
          <w:sz w:val="20"/>
          <w:szCs w:val="20"/>
        </w:rPr>
        <w:t xml:space="preserve">Some of the </w:t>
      </w:r>
      <w:r w:rsidR="00973D71">
        <w:rPr>
          <w:rFonts w:asciiTheme="majorHAnsi" w:hAnsiTheme="majorHAnsi"/>
          <w:sz w:val="20"/>
          <w:szCs w:val="20"/>
        </w:rPr>
        <w:t>possible causes considered are listed below</w:t>
      </w:r>
      <w:r w:rsidR="00EC7A0E">
        <w:rPr>
          <w:rFonts w:asciiTheme="majorHAnsi" w:hAnsiTheme="majorHAnsi"/>
          <w:sz w:val="20"/>
          <w:szCs w:val="20"/>
        </w:rPr>
        <w:t>:</w:t>
      </w:r>
    </w:p>
    <w:p w14:paraId="01FAB0B5" w14:textId="0FAEBABD" w:rsidR="00772CC4" w:rsidRPr="00772CC4" w:rsidRDefault="00973D71" w:rsidP="00772CC4">
      <w:pPr>
        <w:pStyle w:val="ListParagraph"/>
        <w:numPr>
          <w:ilvl w:val="0"/>
          <w:numId w:val="9"/>
        </w:numPr>
        <w:spacing w:after="160" w:line="259" w:lineRule="auto"/>
        <w:rPr>
          <w:rFonts w:asciiTheme="majorHAnsi" w:hAnsiTheme="majorHAnsi"/>
          <w:sz w:val="20"/>
          <w:szCs w:val="20"/>
        </w:rPr>
      </w:pPr>
      <w:r>
        <w:rPr>
          <w:rFonts w:asciiTheme="majorHAnsi" w:hAnsiTheme="majorHAnsi"/>
          <w:sz w:val="20"/>
          <w:szCs w:val="20"/>
        </w:rPr>
        <w:t>In ND-NEED, b</w:t>
      </w:r>
      <w:r w:rsidR="00772CC4" w:rsidRPr="00772CC4">
        <w:rPr>
          <w:rFonts w:asciiTheme="majorHAnsi" w:hAnsiTheme="majorHAnsi"/>
          <w:sz w:val="20"/>
          <w:szCs w:val="20"/>
        </w:rPr>
        <w:t>uildings that are missing floorspace data in the VOA data are removed. If certain types of buildings (</w:t>
      </w:r>
      <w:proofErr w:type="spellStart"/>
      <w:r w:rsidR="00772CC4" w:rsidRPr="00772CC4">
        <w:rPr>
          <w:rFonts w:asciiTheme="majorHAnsi" w:hAnsiTheme="majorHAnsi"/>
          <w:sz w:val="20"/>
          <w:szCs w:val="20"/>
        </w:rPr>
        <w:t>eg</w:t>
      </w:r>
      <w:proofErr w:type="spellEnd"/>
      <w:r w:rsidR="00772CC4" w:rsidRPr="00772CC4">
        <w:rPr>
          <w:rFonts w:asciiTheme="majorHAnsi" w:hAnsiTheme="majorHAnsi"/>
          <w:sz w:val="20"/>
          <w:szCs w:val="20"/>
        </w:rPr>
        <w:t xml:space="preserve"> – ones with lower energy consumption/intensity) are likely to fall in this category, this could skew the data.  </w:t>
      </w:r>
    </w:p>
    <w:p w14:paraId="0959D152" w14:textId="68F56F99" w:rsidR="00772CC4" w:rsidRPr="00772CC4" w:rsidRDefault="00973D71" w:rsidP="00772CC4">
      <w:pPr>
        <w:pStyle w:val="ListParagraph"/>
        <w:numPr>
          <w:ilvl w:val="0"/>
          <w:numId w:val="9"/>
        </w:numPr>
        <w:spacing w:after="160" w:line="259" w:lineRule="auto"/>
        <w:rPr>
          <w:rFonts w:asciiTheme="majorHAnsi" w:hAnsiTheme="majorHAnsi"/>
          <w:sz w:val="20"/>
          <w:szCs w:val="20"/>
        </w:rPr>
      </w:pPr>
      <w:r>
        <w:rPr>
          <w:rFonts w:asciiTheme="majorHAnsi" w:hAnsiTheme="majorHAnsi"/>
          <w:sz w:val="20"/>
          <w:szCs w:val="20"/>
        </w:rPr>
        <w:t>In ND-NEED, b</w:t>
      </w:r>
      <w:r w:rsidR="00772CC4" w:rsidRPr="00772CC4">
        <w:rPr>
          <w:rFonts w:asciiTheme="majorHAnsi" w:hAnsiTheme="majorHAnsi"/>
          <w:sz w:val="20"/>
          <w:szCs w:val="20"/>
        </w:rPr>
        <w:t>uildings that are considered unreliable in their floorspace data, due to not being used for business rates have their floorspace removed from the ND-NEED dataset. If certain types of buildings (</w:t>
      </w:r>
      <w:proofErr w:type="spellStart"/>
      <w:r w:rsidR="00772CC4" w:rsidRPr="00772CC4">
        <w:rPr>
          <w:rFonts w:asciiTheme="majorHAnsi" w:hAnsiTheme="majorHAnsi"/>
          <w:sz w:val="20"/>
          <w:szCs w:val="20"/>
        </w:rPr>
        <w:t>eg</w:t>
      </w:r>
      <w:proofErr w:type="spellEnd"/>
      <w:r w:rsidR="00772CC4" w:rsidRPr="00772CC4">
        <w:rPr>
          <w:rFonts w:asciiTheme="majorHAnsi" w:hAnsiTheme="majorHAnsi"/>
          <w:sz w:val="20"/>
          <w:szCs w:val="20"/>
        </w:rPr>
        <w:t xml:space="preserve"> – ones with lower energy consumption/intensity) are likely to fall in this category, this could skew the data.  </w:t>
      </w:r>
    </w:p>
    <w:p w14:paraId="55BFE7CB" w14:textId="514F99EF" w:rsidR="00772CC4" w:rsidRDefault="00973D71" w:rsidP="00772CC4">
      <w:pPr>
        <w:pStyle w:val="ListParagraph"/>
        <w:numPr>
          <w:ilvl w:val="0"/>
          <w:numId w:val="9"/>
        </w:numPr>
        <w:spacing w:after="160" w:line="259" w:lineRule="auto"/>
        <w:rPr>
          <w:rFonts w:asciiTheme="majorHAnsi" w:hAnsiTheme="majorHAnsi"/>
          <w:sz w:val="20"/>
          <w:szCs w:val="20"/>
        </w:rPr>
      </w:pPr>
      <w:r>
        <w:rPr>
          <w:rFonts w:asciiTheme="majorHAnsi" w:hAnsiTheme="majorHAnsi"/>
          <w:sz w:val="20"/>
          <w:szCs w:val="20"/>
        </w:rPr>
        <w:t>In ND-NEED, a</w:t>
      </w:r>
      <w:r w:rsidR="00772CC4" w:rsidRPr="00772CC4">
        <w:rPr>
          <w:rFonts w:asciiTheme="majorHAnsi" w:hAnsiTheme="majorHAnsi"/>
          <w:sz w:val="20"/>
          <w:szCs w:val="20"/>
        </w:rPr>
        <w:t xml:space="preserve"> proportion of the 47,000 </w:t>
      </w:r>
      <w:r w:rsidR="008541C3">
        <w:rPr>
          <w:rFonts w:asciiTheme="majorHAnsi" w:hAnsiTheme="majorHAnsi"/>
          <w:sz w:val="20"/>
          <w:szCs w:val="20"/>
        </w:rPr>
        <w:t>Unique Property Reference Numbers (</w:t>
      </w:r>
      <w:r w:rsidR="00772CC4" w:rsidRPr="00772CC4">
        <w:rPr>
          <w:rFonts w:asciiTheme="majorHAnsi" w:hAnsiTheme="majorHAnsi"/>
          <w:sz w:val="20"/>
          <w:szCs w:val="20"/>
        </w:rPr>
        <w:t>UPRNs</w:t>
      </w:r>
      <w:r w:rsidR="008541C3">
        <w:rPr>
          <w:rFonts w:asciiTheme="majorHAnsi" w:hAnsiTheme="majorHAnsi"/>
          <w:sz w:val="20"/>
          <w:szCs w:val="20"/>
        </w:rPr>
        <w:t>)</w:t>
      </w:r>
      <w:r w:rsidR="00772CC4" w:rsidRPr="00772CC4">
        <w:rPr>
          <w:rFonts w:asciiTheme="majorHAnsi" w:hAnsiTheme="majorHAnsi"/>
          <w:sz w:val="20"/>
          <w:szCs w:val="20"/>
        </w:rPr>
        <w:t xml:space="preserve"> that contain multiple </w:t>
      </w:r>
      <w:r w:rsidR="008541C3">
        <w:rPr>
          <w:rFonts w:asciiTheme="majorHAnsi" w:hAnsiTheme="majorHAnsi"/>
          <w:sz w:val="20"/>
          <w:szCs w:val="20"/>
        </w:rPr>
        <w:t>Unique Address Reference Numbers (</w:t>
      </w:r>
      <w:r w:rsidR="00772CC4" w:rsidRPr="00772CC4">
        <w:rPr>
          <w:rFonts w:asciiTheme="majorHAnsi" w:hAnsiTheme="majorHAnsi"/>
          <w:sz w:val="20"/>
          <w:szCs w:val="20"/>
        </w:rPr>
        <w:t>UARNs</w:t>
      </w:r>
      <w:r w:rsidR="008541C3">
        <w:rPr>
          <w:rFonts w:asciiTheme="majorHAnsi" w:hAnsiTheme="majorHAnsi"/>
          <w:sz w:val="20"/>
          <w:szCs w:val="20"/>
        </w:rPr>
        <w:t>)</w:t>
      </w:r>
      <w:r w:rsidR="00772CC4" w:rsidRPr="00772CC4">
        <w:rPr>
          <w:rFonts w:asciiTheme="majorHAnsi" w:hAnsiTheme="majorHAnsi"/>
          <w:sz w:val="20"/>
          <w:szCs w:val="20"/>
        </w:rPr>
        <w:t xml:space="preserve"> </w:t>
      </w:r>
      <w:r w:rsidR="008541C3">
        <w:rPr>
          <w:rFonts w:asciiTheme="majorHAnsi" w:hAnsiTheme="majorHAnsi"/>
          <w:sz w:val="20"/>
          <w:szCs w:val="20"/>
        </w:rPr>
        <w:t>may be</w:t>
      </w:r>
      <w:r w:rsidR="00772CC4" w:rsidRPr="00772CC4">
        <w:rPr>
          <w:rFonts w:asciiTheme="majorHAnsi" w:hAnsiTheme="majorHAnsi"/>
          <w:sz w:val="20"/>
          <w:szCs w:val="20"/>
        </w:rPr>
        <w:t xml:space="preserve"> labelled based on the largest UARN in their grouping, thus being mislabelled. (This would affect total consumption when compared to 6CB if it miscounted factory consumption, as this is removed from the ND-NEED data before being compared to 6CB)</w:t>
      </w:r>
      <w:r w:rsidR="000600F0">
        <w:rPr>
          <w:rFonts w:asciiTheme="majorHAnsi" w:hAnsiTheme="majorHAnsi"/>
          <w:sz w:val="20"/>
          <w:szCs w:val="20"/>
        </w:rPr>
        <w:t>.</w:t>
      </w:r>
    </w:p>
    <w:p w14:paraId="5F1442EC" w14:textId="24E4C1F9" w:rsidR="00673120" w:rsidRPr="00673120" w:rsidRDefault="00673120" w:rsidP="00673120">
      <w:pPr>
        <w:pStyle w:val="ListParagraph"/>
        <w:numPr>
          <w:ilvl w:val="0"/>
          <w:numId w:val="9"/>
        </w:numPr>
        <w:spacing w:after="160" w:line="259" w:lineRule="auto"/>
        <w:rPr>
          <w:rFonts w:asciiTheme="majorHAnsi" w:hAnsiTheme="majorHAnsi"/>
          <w:sz w:val="20"/>
          <w:szCs w:val="20"/>
        </w:rPr>
      </w:pPr>
      <w:r>
        <w:rPr>
          <w:rFonts w:asciiTheme="majorHAnsi" w:hAnsiTheme="majorHAnsi"/>
          <w:sz w:val="20"/>
          <w:szCs w:val="20"/>
        </w:rPr>
        <w:t>T</w:t>
      </w:r>
      <w:r w:rsidRPr="00673120">
        <w:rPr>
          <w:rFonts w:asciiTheme="majorHAnsi" w:hAnsiTheme="majorHAnsi"/>
          <w:sz w:val="20"/>
          <w:szCs w:val="20"/>
        </w:rPr>
        <w:t xml:space="preserve">he 6CB non-domestic energy baseline may be under-estimating non-domestic gas consumption due to </w:t>
      </w:r>
      <w:r>
        <w:rPr>
          <w:rFonts w:asciiTheme="majorHAnsi" w:hAnsiTheme="majorHAnsi"/>
          <w:sz w:val="20"/>
          <w:szCs w:val="20"/>
        </w:rPr>
        <w:t>drawing on models with different/incorrect assumptions compared to ND-NEED</w:t>
      </w:r>
      <w:r w:rsidR="000600F0">
        <w:rPr>
          <w:rFonts w:asciiTheme="majorHAnsi" w:hAnsiTheme="majorHAnsi"/>
          <w:sz w:val="20"/>
          <w:szCs w:val="20"/>
        </w:rPr>
        <w:t>.</w:t>
      </w:r>
      <w:r w:rsidRPr="00673120">
        <w:rPr>
          <w:rFonts w:asciiTheme="majorHAnsi" w:hAnsiTheme="majorHAnsi"/>
          <w:sz w:val="20"/>
          <w:szCs w:val="20"/>
        </w:rPr>
        <w:t xml:space="preserve"> </w:t>
      </w:r>
    </w:p>
    <w:p w14:paraId="3E2C3FA3" w14:textId="76F23529" w:rsidR="00772CC4" w:rsidRDefault="00973D71" w:rsidP="00772CC4">
      <w:pPr>
        <w:pStyle w:val="ListParagraph"/>
        <w:numPr>
          <w:ilvl w:val="0"/>
          <w:numId w:val="9"/>
        </w:numPr>
        <w:spacing w:after="160" w:line="259" w:lineRule="auto"/>
        <w:rPr>
          <w:rFonts w:asciiTheme="majorHAnsi" w:hAnsiTheme="majorHAnsi"/>
          <w:sz w:val="20"/>
          <w:szCs w:val="20"/>
        </w:rPr>
      </w:pPr>
      <w:r>
        <w:rPr>
          <w:rFonts w:asciiTheme="majorHAnsi" w:hAnsiTheme="majorHAnsi"/>
          <w:sz w:val="20"/>
          <w:szCs w:val="20"/>
        </w:rPr>
        <w:t>In ND-NEED, t</w:t>
      </w:r>
      <w:r w:rsidR="00772CC4" w:rsidRPr="00772CC4">
        <w:rPr>
          <w:rFonts w:asciiTheme="majorHAnsi" w:hAnsiTheme="majorHAnsi"/>
          <w:sz w:val="20"/>
          <w:szCs w:val="20"/>
        </w:rPr>
        <w:t>he weighting approach is not applied to energy intensity (instead it is applied to buildings and energy separately), which may mean certain energy intensities are over/under-represented when the sample is scaled</w:t>
      </w:r>
      <w:r w:rsidR="000600F0">
        <w:rPr>
          <w:rFonts w:asciiTheme="majorHAnsi" w:hAnsiTheme="majorHAnsi"/>
          <w:sz w:val="20"/>
          <w:szCs w:val="20"/>
        </w:rPr>
        <w:t>.</w:t>
      </w:r>
      <w:r w:rsidR="00772CC4" w:rsidRPr="00772CC4">
        <w:rPr>
          <w:rFonts w:asciiTheme="majorHAnsi" w:hAnsiTheme="majorHAnsi"/>
          <w:sz w:val="20"/>
          <w:szCs w:val="20"/>
        </w:rPr>
        <w:t xml:space="preserve"> </w:t>
      </w:r>
    </w:p>
    <w:p w14:paraId="6456BE81" w14:textId="5D8A01C0" w:rsidR="00130B07" w:rsidRPr="00772CC4" w:rsidRDefault="00973D71" w:rsidP="00772CC4">
      <w:pPr>
        <w:pStyle w:val="ListParagraph"/>
        <w:numPr>
          <w:ilvl w:val="0"/>
          <w:numId w:val="9"/>
        </w:numPr>
        <w:spacing w:after="160" w:line="259" w:lineRule="auto"/>
        <w:rPr>
          <w:rFonts w:asciiTheme="majorHAnsi" w:hAnsiTheme="majorHAnsi"/>
          <w:sz w:val="20"/>
          <w:szCs w:val="20"/>
        </w:rPr>
      </w:pPr>
      <w:r>
        <w:rPr>
          <w:rFonts w:asciiTheme="majorHAnsi" w:hAnsiTheme="majorHAnsi"/>
          <w:sz w:val="20"/>
          <w:szCs w:val="20"/>
        </w:rPr>
        <w:t>In ND-NEED, t</w:t>
      </w:r>
      <w:r w:rsidR="00130B07">
        <w:rPr>
          <w:rFonts w:asciiTheme="majorHAnsi" w:hAnsiTheme="majorHAnsi"/>
          <w:sz w:val="20"/>
          <w:szCs w:val="20"/>
        </w:rPr>
        <w:t xml:space="preserve">aking data from meter readings and assigning one </w:t>
      </w:r>
      <w:r w:rsidR="00EC7A0E">
        <w:rPr>
          <w:rFonts w:asciiTheme="majorHAnsi" w:hAnsiTheme="majorHAnsi"/>
          <w:sz w:val="20"/>
          <w:szCs w:val="20"/>
        </w:rPr>
        <w:t>building</w:t>
      </w:r>
      <w:r w:rsidR="00130B07">
        <w:rPr>
          <w:rFonts w:asciiTheme="majorHAnsi" w:hAnsiTheme="majorHAnsi"/>
          <w:sz w:val="20"/>
          <w:szCs w:val="20"/>
        </w:rPr>
        <w:t xml:space="preserve"> type ‘label’ risks attributing </w:t>
      </w:r>
      <w:proofErr w:type="gramStart"/>
      <w:r w:rsidR="00130B07">
        <w:rPr>
          <w:rFonts w:asciiTheme="majorHAnsi" w:hAnsiTheme="majorHAnsi"/>
          <w:sz w:val="20"/>
          <w:szCs w:val="20"/>
        </w:rPr>
        <w:t>all of</w:t>
      </w:r>
      <w:proofErr w:type="gramEnd"/>
      <w:r w:rsidR="00130B07">
        <w:rPr>
          <w:rFonts w:asciiTheme="majorHAnsi" w:hAnsiTheme="majorHAnsi"/>
          <w:sz w:val="20"/>
          <w:szCs w:val="20"/>
        </w:rPr>
        <w:t xml:space="preserve"> the gas consumption to one building type, when in fact there are several building types using the meter. In particular, this might explain data differences if energy used from industrial processes is not being separate</w:t>
      </w:r>
      <w:r w:rsidR="00EC7A0E">
        <w:rPr>
          <w:rFonts w:asciiTheme="majorHAnsi" w:hAnsiTheme="majorHAnsi"/>
          <w:sz w:val="20"/>
          <w:szCs w:val="20"/>
        </w:rPr>
        <w:t>d</w:t>
      </w:r>
      <w:r w:rsidR="00130B07">
        <w:rPr>
          <w:rFonts w:asciiTheme="majorHAnsi" w:hAnsiTheme="majorHAnsi"/>
          <w:sz w:val="20"/>
          <w:szCs w:val="20"/>
        </w:rPr>
        <w:t xml:space="preserve"> </w:t>
      </w:r>
      <w:r w:rsidR="00130B07">
        <w:rPr>
          <w:rFonts w:asciiTheme="majorHAnsi" w:hAnsiTheme="majorHAnsi"/>
          <w:sz w:val="20"/>
          <w:szCs w:val="20"/>
        </w:rPr>
        <w:lastRenderedPageBreak/>
        <w:t xml:space="preserve">from the operation of buildings, as then energy that should be labelled as ‘factory’ may be captured under another label. </w:t>
      </w:r>
    </w:p>
    <w:p w14:paraId="42922628" w14:textId="1692F0A4" w:rsidR="00772CC4" w:rsidRPr="00772CC4" w:rsidRDefault="00973D71" w:rsidP="00772CC4">
      <w:pPr>
        <w:pStyle w:val="ListParagraph"/>
        <w:numPr>
          <w:ilvl w:val="0"/>
          <w:numId w:val="9"/>
        </w:numPr>
        <w:spacing w:after="160" w:line="259" w:lineRule="auto"/>
        <w:rPr>
          <w:rFonts w:asciiTheme="majorHAnsi" w:hAnsiTheme="majorHAnsi"/>
          <w:sz w:val="20"/>
          <w:szCs w:val="20"/>
        </w:rPr>
      </w:pPr>
      <w:r>
        <w:rPr>
          <w:rFonts w:asciiTheme="majorHAnsi" w:hAnsiTheme="majorHAnsi"/>
          <w:sz w:val="20"/>
          <w:szCs w:val="20"/>
        </w:rPr>
        <w:t xml:space="preserve">In ND-NEED, </w:t>
      </w:r>
      <w:r w:rsidR="00772CC4" w:rsidRPr="00772CC4">
        <w:rPr>
          <w:rFonts w:asciiTheme="majorHAnsi" w:hAnsiTheme="majorHAnsi"/>
          <w:sz w:val="20"/>
          <w:szCs w:val="20"/>
        </w:rPr>
        <w:t xml:space="preserve">BEIS estimate that about 5% of the energy consumption data and UPRN data matches that take place are incorrect. This would mean certain buildings have incorrect energy consumption associated with them. If this is more likely to happen for a certain type of building, then this mismatching could skew the energy consumption across building types, and so skew total consumption when factories are removed. </w:t>
      </w:r>
    </w:p>
    <w:p w14:paraId="7BCEB37B" w14:textId="74CCFE85" w:rsidR="00772CC4" w:rsidRPr="00772CC4" w:rsidRDefault="00973D71" w:rsidP="00772CC4">
      <w:pPr>
        <w:pStyle w:val="ListParagraph"/>
        <w:numPr>
          <w:ilvl w:val="0"/>
          <w:numId w:val="9"/>
        </w:numPr>
        <w:spacing w:after="160" w:line="259" w:lineRule="auto"/>
        <w:rPr>
          <w:rFonts w:asciiTheme="majorHAnsi" w:hAnsiTheme="majorHAnsi"/>
          <w:sz w:val="20"/>
          <w:szCs w:val="20"/>
        </w:rPr>
      </w:pPr>
      <w:r>
        <w:rPr>
          <w:rFonts w:asciiTheme="majorHAnsi" w:hAnsiTheme="majorHAnsi"/>
          <w:sz w:val="20"/>
          <w:szCs w:val="20"/>
        </w:rPr>
        <w:t>In ND-NEED, t</w:t>
      </w:r>
      <w:r w:rsidR="00772CC4" w:rsidRPr="00772CC4">
        <w:rPr>
          <w:rFonts w:asciiTheme="majorHAnsi" w:hAnsiTheme="majorHAnsi"/>
          <w:sz w:val="20"/>
          <w:szCs w:val="20"/>
        </w:rPr>
        <w:t xml:space="preserve">he ‘population’ for gas meter consumption only include gas meters under 73,000 </w:t>
      </w:r>
      <w:r w:rsidR="00793BE6">
        <w:rPr>
          <w:rFonts w:asciiTheme="majorHAnsi" w:hAnsiTheme="majorHAnsi"/>
          <w:sz w:val="20"/>
          <w:szCs w:val="20"/>
        </w:rPr>
        <w:t>kW</w:t>
      </w:r>
      <w:r w:rsidR="00772CC4" w:rsidRPr="00772CC4">
        <w:rPr>
          <w:rFonts w:asciiTheme="majorHAnsi" w:hAnsiTheme="majorHAnsi"/>
          <w:sz w:val="20"/>
          <w:szCs w:val="20"/>
        </w:rPr>
        <w:t xml:space="preserve">h per year that are captured in the ND-NEED sample. This may be leaving out a significant number of low non-domestic gas consumption. This would skew median energy intensity to be high, and mean lower energy intensity buildings in the sample are not scaled up enough.  </w:t>
      </w:r>
    </w:p>
    <w:p w14:paraId="43C8658D" w14:textId="07D58A02" w:rsidR="00772CC4" w:rsidRDefault="00973D71" w:rsidP="00772CC4">
      <w:pPr>
        <w:pStyle w:val="ListParagraph"/>
        <w:numPr>
          <w:ilvl w:val="0"/>
          <w:numId w:val="9"/>
        </w:numPr>
        <w:spacing w:after="160" w:line="259" w:lineRule="auto"/>
        <w:rPr>
          <w:rFonts w:asciiTheme="majorHAnsi" w:hAnsiTheme="majorHAnsi"/>
          <w:sz w:val="20"/>
          <w:szCs w:val="20"/>
        </w:rPr>
      </w:pPr>
      <w:r>
        <w:rPr>
          <w:rFonts w:asciiTheme="majorHAnsi" w:hAnsiTheme="majorHAnsi"/>
          <w:sz w:val="20"/>
          <w:szCs w:val="20"/>
        </w:rPr>
        <w:t>In ND-NEED, there is</w:t>
      </w:r>
      <w:r w:rsidR="00772CC4" w:rsidRPr="00772CC4">
        <w:rPr>
          <w:rFonts w:asciiTheme="majorHAnsi" w:hAnsiTheme="majorHAnsi"/>
          <w:sz w:val="20"/>
          <w:szCs w:val="20"/>
        </w:rPr>
        <w:t xml:space="preserve"> exclusion of buildings due to not being included in VOA data (agricultural buildings etc)</w:t>
      </w:r>
      <w:r w:rsidR="000600F0">
        <w:rPr>
          <w:rFonts w:asciiTheme="majorHAnsi" w:hAnsiTheme="majorHAnsi"/>
          <w:sz w:val="20"/>
          <w:szCs w:val="20"/>
        </w:rPr>
        <w:t>.</w:t>
      </w:r>
      <w:r w:rsidR="00772CC4" w:rsidRPr="00772CC4">
        <w:rPr>
          <w:rFonts w:asciiTheme="majorHAnsi" w:hAnsiTheme="majorHAnsi"/>
          <w:sz w:val="20"/>
          <w:szCs w:val="20"/>
        </w:rPr>
        <w:t xml:space="preserve"> </w:t>
      </w:r>
    </w:p>
    <w:p w14:paraId="09644178" w14:textId="44EE5F94" w:rsidR="00130B07" w:rsidRDefault="00973D71" w:rsidP="00772CC4">
      <w:pPr>
        <w:pStyle w:val="ListParagraph"/>
        <w:numPr>
          <w:ilvl w:val="0"/>
          <w:numId w:val="9"/>
        </w:numPr>
        <w:spacing w:after="160" w:line="259" w:lineRule="auto"/>
        <w:rPr>
          <w:rFonts w:asciiTheme="majorHAnsi" w:hAnsiTheme="majorHAnsi"/>
          <w:sz w:val="20"/>
          <w:szCs w:val="20"/>
        </w:rPr>
      </w:pPr>
      <w:r>
        <w:rPr>
          <w:rFonts w:asciiTheme="majorHAnsi" w:hAnsiTheme="majorHAnsi"/>
          <w:sz w:val="20"/>
          <w:szCs w:val="20"/>
        </w:rPr>
        <w:t>E</w:t>
      </w:r>
      <w:r w:rsidR="00130B07">
        <w:rPr>
          <w:rFonts w:asciiTheme="majorHAnsi" w:hAnsiTheme="majorHAnsi"/>
          <w:sz w:val="20"/>
          <w:szCs w:val="20"/>
        </w:rPr>
        <w:t>lectricity generated on-site is not included in ND-NEED</w:t>
      </w:r>
      <w:r w:rsidR="000600F0">
        <w:rPr>
          <w:rFonts w:asciiTheme="majorHAnsi" w:hAnsiTheme="majorHAnsi"/>
          <w:sz w:val="20"/>
          <w:szCs w:val="20"/>
        </w:rPr>
        <w:t>.</w:t>
      </w:r>
      <w:r w:rsidR="00130B07">
        <w:rPr>
          <w:rFonts w:asciiTheme="majorHAnsi" w:hAnsiTheme="majorHAnsi"/>
          <w:sz w:val="20"/>
          <w:szCs w:val="20"/>
        </w:rPr>
        <w:t xml:space="preserve"> </w:t>
      </w:r>
    </w:p>
    <w:p w14:paraId="7690BB99" w14:textId="77777777" w:rsidR="00673120" w:rsidRDefault="00673120" w:rsidP="00673120">
      <w:pPr>
        <w:pStyle w:val="ListParagraph"/>
        <w:spacing w:after="160" w:line="259" w:lineRule="auto"/>
        <w:ind w:left="2520"/>
        <w:rPr>
          <w:rFonts w:asciiTheme="majorHAnsi" w:hAnsiTheme="majorHAnsi"/>
          <w:sz w:val="20"/>
          <w:szCs w:val="20"/>
        </w:rPr>
      </w:pPr>
    </w:p>
    <w:p w14:paraId="33967226" w14:textId="5E1A721E" w:rsidR="00772CC4" w:rsidRDefault="000600F0" w:rsidP="00DE6686">
      <w:pPr>
        <w:pStyle w:val="ListParagraph"/>
        <w:spacing w:after="160" w:line="259" w:lineRule="auto"/>
        <w:rPr>
          <w:rFonts w:asciiTheme="majorHAnsi" w:hAnsiTheme="majorHAnsi"/>
          <w:b/>
          <w:bCs/>
          <w:sz w:val="20"/>
          <w:szCs w:val="20"/>
        </w:rPr>
      </w:pPr>
      <w:r>
        <w:rPr>
          <w:rFonts w:asciiTheme="majorHAnsi" w:hAnsiTheme="majorHAnsi"/>
          <w:b/>
          <w:bCs/>
          <w:sz w:val="20"/>
          <w:szCs w:val="20"/>
        </w:rPr>
        <w:t xml:space="preserve">B. (ii) </w:t>
      </w:r>
      <w:r w:rsidR="00DE6686">
        <w:rPr>
          <w:rFonts w:asciiTheme="majorHAnsi" w:hAnsiTheme="majorHAnsi"/>
          <w:b/>
          <w:bCs/>
          <w:sz w:val="20"/>
          <w:szCs w:val="20"/>
        </w:rPr>
        <w:t>A</w:t>
      </w:r>
      <w:r w:rsidR="00772CC4" w:rsidRPr="00772CC4">
        <w:rPr>
          <w:rFonts w:asciiTheme="majorHAnsi" w:hAnsiTheme="majorHAnsi"/>
          <w:b/>
          <w:bCs/>
          <w:sz w:val="20"/>
          <w:szCs w:val="20"/>
        </w:rPr>
        <w:t xml:space="preserve">dvise on options for aligning 6CB energy consumption projections with </w:t>
      </w:r>
      <w:r w:rsidR="00DE6686">
        <w:rPr>
          <w:rFonts w:asciiTheme="majorHAnsi" w:hAnsiTheme="majorHAnsi"/>
          <w:b/>
          <w:bCs/>
          <w:sz w:val="20"/>
          <w:szCs w:val="20"/>
        </w:rPr>
        <w:t xml:space="preserve">ND-NEED, </w:t>
      </w:r>
      <w:r w:rsidR="00772CC4" w:rsidRPr="00772CC4">
        <w:rPr>
          <w:rFonts w:asciiTheme="majorHAnsi" w:hAnsiTheme="majorHAnsi"/>
          <w:b/>
          <w:bCs/>
          <w:sz w:val="20"/>
          <w:szCs w:val="20"/>
        </w:rPr>
        <w:t>so that an indicator for energy intensity can be constructed</w:t>
      </w:r>
      <w:r w:rsidR="00DE6686">
        <w:rPr>
          <w:rFonts w:asciiTheme="majorHAnsi" w:hAnsiTheme="majorHAnsi"/>
          <w:b/>
          <w:bCs/>
          <w:sz w:val="20"/>
          <w:szCs w:val="20"/>
        </w:rPr>
        <w:t xml:space="preserve"> and tracked </w:t>
      </w:r>
    </w:p>
    <w:p w14:paraId="7E3E221D" w14:textId="77777777" w:rsidR="00673120" w:rsidRPr="00772CC4" w:rsidRDefault="00673120" w:rsidP="00673120">
      <w:pPr>
        <w:pStyle w:val="ListParagraph"/>
        <w:spacing w:after="160" w:line="259" w:lineRule="auto"/>
        <w:rPr>
          <w:rFonts w:asciiTheme="majorHAnsi" w:hAnsiTheme="majorHAnsi"/>
          <w:b/>
          <w:bCs/>
          <w:sz w:val="20"/>
          <w:szCs w:val="20"/>
        </w:rPr>
      </w:pPr>
    </w:p>
    <w:p w14:paraId="483FCB0F" w14:textId="3798D672" w:rsidR="00130B07" w:rsidRDefault="00772CC4" w:rsidP="00673120">
      <w:pPr>
        <w:pStyle w:val="ListParagraph"/>
        <w:numPr>
          <w:ilvl w:val="0"/>
          <w:numId w:val="6"/>
        </w:numPr>
        <w:spacing w:after="160" w:line="259" w:lineRule="auto"/>
        <w:rPr>
          <w:rFonts w:asciiTheme="majorHAnsi" w:hAnsiTheme="majorHAnsi"/>
          <w:sz w:val="20"/>
          <w:szCs w:val="20"/>
        </w:rPr>
      </w:pPr>
      <w:r w:rsidRPr="00772CC4">
        <w:rPr>
          <w:rFonts w:asciiTheme="majorHAnsi" w:hAnsiTheme="majorHAnsi"/>
          <w:sz w:val="20"/>
          <w:szCs w:val="20"/>
        </w:rPr>
        <w:t>This may involve</w:t>
      </w:r>
      <w:r w:rsidR="00673120">
        <w:rPr>
          <w:rFonts w:asciiTheme="majorHAnsi" w:hAnsiTheme="majorHAnsi"/>
          <w:sz w:val="20"/>
          <w:szCs w:val="20"/>
        </w:rPr>
        <w:t xml:space="preserve"> recommending</w:t>
      </w:r>
      <w:r w:rsidRPr="00772CC4">
        <w:rPr>
          <w:rFonts w:asciiTheme="majorHAnsi" w:hAnsiTheme="majorHAnsi"/>
          <w:sz w:val="20"/>
          <w:szCs w:val="20"/>
        </w:rPr>
        <w:t xml:space="preserve"> specific adjustments </w:t>
      </w:r>
      <w:r w:rsidR="00DE6686">
        <w:rPr>
          <w:rFonts w:asciiTheme="majorHAnsi" w:hAnsiTheme="majorHAnsi"/>
          <w:sz w:val="20"/>
          <w:szCs w:val="20"/>
        </w:rPr>
        <w:t>to 6CB/ND-NEED data</w:t>
      </w:r>
      <w:r w:rsidR="000600F0">
        <w:rPr>
          <w:rFonts w:asciiTheme="majorHAnsi" w:hAnsiTheme="majorHAnsi"/>
          <w:sz w:val="20"/>
          <w:szCs w:val="20"/>
        </w:rPr>
        <w:t xml:space="preserve"> </w:t>
      </w:r>
      <w:r w:rsidRPr="00772CC4">
        <w:rPr>
          <w:rFonts w:asciiTheme="majorHAnsi" w:hAnsiTheme="majorHAnsi"/>
          <w:sz w:val="20"/>
          <w:szCs w:val="20"/>
        </w:rPr>
        <w:t xml:space="preserve">due to </w:t>
      </w:r>
      <w:r w:rsidR="00673120">
        <w:rPr>
          <w:rFonts w:asciiTheme="majorHAnsi" w:hAnsiTheme="majorHAnsi"/>
          <w:sz w:val="20"/>
          <w:szCs w:val="20"/>
        </w:rPr>
        <w:t>the most significant causes of differences identified from Task 1</w:t>
      </w:r>
      <w:r w:rsidRPr="00772CC4">
        <w:rPr>
          <w:rFonts w:asciiTheme="majorHAnsi" w:hAnsiTheme="majorHAnsi"/>
          <w:sz w:val="20"/>
          <w:szCs w:val="20"/>
        </w:rPr>
        <w:t>, or</w:t>
      </w:r>
      <w:r w:rsidR="00673120">
        <w:rPr>
          <w:rFonts w:asciiTheme="majorHAnsi" w:hAnsiTheme="majorHAnsi"/>
          <w:sz w:val="20"/>
          <w:szCs w:val="20"/>
        </w:rPr>
        <w:t xml:space="preserve"> </w:t>
      </w:r>
      <w:r w:rsidRPr="00772CC4">
        <w:rPr>
          <w:rFonts w:asciiTheme="majorHAnsi" w:hAnsiTheme="majorHAnsi"/>
          <w:sz w:val="20"/>
          <w:szCs w:val="20"/>
        </w:rPr>
        <w:t>it may be a high-level adjusting up or down one of 6CB/ND-NEED</w:t>
      </w:r>
      <w:r>
        <w:rPr>
          <w:rFonts w:asciiTheme="majorHAnsi" w:hAnsiTheme="majorHAnsi"/>
          <w:sz w:val="20"/>
          <w:szCs w:val="20"/>
        </w:rPr>
        <w:t xml:space="preserve"> based on (ii) and (iii)</w:t>
      </w:r>
      <w:r w:rsidRPr="00772CC4">
        <w:rPr>
          <w:rFonts w:asciiTheme="majorHAnsi" w:hAnsiTheme="majorHAnsi"/>
          <w:sz w:val="20"/>
          <w:szCs w:val="20"/>
        </w:rPr>
        <w:t>, or simply taking the change in consumption projected by the 6CB and seeing if this is achieved in ND-NEED data</w:t>
      </w:r>
    </w:p>
    <w:p w14:paraId="6132F1E4" w14:textId="344C095F" w:rsidR="00D23BBB" w:rsidRDefault="00772CC4" w:rsidP="00673120">
      <w:pPr>
        <w:pStyle w:val="ListParagraph"/>
        <w:numPr>
          <w:ilvl w:val="0"/>
          <w:numId w:val="6"/>
        </w:numPr>
        <w:spacing w:after="160" w:line="259" w:lineRule="auto"/>
        <w:rPr>
          <w:rFonts w:asciiTheme="majorHAnsi" w:hAnsiTheme="majorHAnsi"/>
          <w:sz w:val="20"/>
          <w:szCs w:val="20"/>
        </w:rPr>
      </w:pPr>
      <w:r w:rsidRPr="00130B07">
        <w:rPr>
          <w:rFonts w:asciiTheme="majorHAnsi" w:hAnsiTheme="majorHAnsi"/>
          <w:sz w:val="20"/>
          <w:szCs w:val="20"/>
        </w:rPr>
        <w:t>This may involve advising against using the ND-NEED dataset</w:t>
      </w:r>
      <w:r w:rsidR="00130B07">
        <w:rPr>
          <w:rFonts w:asciiTheme="majorHAnsi" w:hAnsiTheme="majorHAnsi"/>
          <w:sz w:val="20"/>
          <w:szCs w:val="20"/>
        </w:rPr>
        <w:t xml:space="preserve"> for</w:t>
      </w:r>
      <w:r w:rsidR="00673120">
        <w:rPr>
          <w:rFonts w:asciiTheme="majorHAnsi" w:hAnsiTheme="majorHAnsi"/>
          <w:sz w:val="20"/>
          <w:szCs w:val="20"/>
        </w:rPr>
        <w:t xml:space="preserve"> an</w:t>
      </w:r>
      <w:r w:rsidR="00130B07">
        <w:rPr>
          <w:rFonts w:asciiTheme="majorHAnsi" w:hAnsiTheme="majorHAnsi"/>
          <w:sz w:val="20"/>
          <w:szCs w:val="20"/>
        </w:rPr>
        <w:t xml:space="preserve"> indicator</w:t>
      </w:r>
      <w:r w:rsidR="00673120">
        <w:rPr>
          <w:rFonts w:asciiTheme="majorHAnsi" w:hAnsiTheme="majorHAnsi"/>
          <w:sz w:val="20"/>
          <w:szCs w:val="20"/>
        </w:rPr>
        <w:t xml:space="preserve"> </w:t>
      </w:r>
    </w:p>
    <w:p w14:paraId="195AFCA2" w14:textId="2FFD7574" w:rsidR="00D23BBB" w:rsidRDefault="00D23BBB" w:rsidP="00673120">
      <w:pPr>
        <w:pStyle w:val="ListParagraph"/>
        <w:numPr>
          <w:ilvl w:val="0"/>
          <w:numId w:val="6"/>
        </w:numPr>
        <w:spacing w:after="160" w:line="259" w:lineRule="auto"/>
        <w:rPr>
          <w:rFonts w:asciiTheme="majorHAnsi" w:hAnsiTheme="majorHAnsi"/>
          <w:sz w:val="20"/>
          <w:szCs w:val="20"/>
        </w:rPr>
      </w:pPr>
      <w:r>
        <w:rPr>
          <w:rFonts w:asciiTheme="majorHAnsi" w:hAnsiTheme="majorHAnsi"/>
          <w:sz w:val="20"/>
          <w:szCs w:val="20"/>
        </w:rPr>
        <w:t xml:space="preserve">This may involve advising an adjustment to CCC </w:t>
      </w:r>
      <w:r w:rsidR="00673120">
        <w:rPr>
          <w:rFonts w:asciiTheme="majorHAnsi" w:hAnsiTheme="majorHAnsi"/>
          <w:sz w:val="20"/>
          <w:szCs w:val="20"/>
        </w:rPr>
        <w:t xml:space="preserve">modelling </w:t>
      </w:r>
      <w:r>
        <w:rPr>
          <w:rFonts w:asciiTheme="majorHAnsi" w:hAnsiTheme="majorHAnsi"/>
          <w:sz w:val="20"/>
          <w:szCs w:val="20"/>
        </w:rPr>
        <w:t xml:space="preserve">assumptions about buildings </w:t>
      </w:r>
      <w:r w:rsidR="00673120">
        <w:rPr>
          <w:rFonts w:asciiTheme="majorHAnsi" w:hAnsiTheme="majorHAnsi"/>
          <w:sz w:val="20"/>
          <w:szCs w:val="20"/>
        </w:rPr>
        <w:t xml:space="preserve">baseline </w:t>
      </w:r>
      <w:r>
        <w:rPr>
          <w:rFonts w:asciiTheme="majorHAnsi" w:hAnsiTheme="majorHAnsi"/>
          <w:sz w:val="20"/>
          <w:szCs w:val="20"/>
        </w:rPr>
        <w:t>gas</w:t>
      </w:r>
      <w:r w:rsidR="00673120">
        <w:rPr>
          <w:rFonts w:asciiTheme="majorHAnsi" w:hAnsiTheme="majorHAnsi"/>
          <w:sz w:val="20"/>
          <w:szCs w:val="20"/>
        </w:rPr>
        <w:t>/electricity</w:t>
      </w:r>
      <w:r>
        <w:rPr>
          <w:rFonts w:asciiTheme="majorHAnsi" w:hAnsiTheme="majorHAnsi"/>
          <w:sz w:val="20"/>
          <w:szCs w:val="20"/>
        </w:rPr>
        <w:t xml:space="preserve"> consumption </w:t>
      </w:r>
    </w:p>
    <w:p w14:paraId="6237D087" w14:textId="7AAD9A16" w:rsidR="003A05B7" w:rsidRPr="008541C3" w:rsidRDefault="003A05B7" w:rsidP="008541C3">
      <w:pPr>
        <w:pStyle w:val="Heading1"/>
        <w:widowControl w:val="0"/>
        <w:numPr>
          <w:ilvl w:val="0"/>
          <w:numId w:val="23"/>
        </w:numPr>
        <w:overflowPunct w:val="0"/>
        <w:autoSpaceDE w:val="0"/>
        <w:autoSpaceDN w:val="0"/>
        <w:adjustRightInd w:val="0"/>
        <w:spacing w:before="240" w:after="60"/>
        <w:textAlignment w:val="baseline"/>
        <w:rPr>
          <w:rFonts w:asciiTheme="minorHAnsi" w:hAnsiTheme="minorHAnsi"/>
          <w:color w:val="auto"/>
          <w:sz w:val="20"/>
          <w:szCs w:val="20"/>
        </w:rPr>
      </w:pPr>
      <w:bookmarkStart w:id="10" w:name="_Toc381969509"/>
      <w:bookmarkStart w:id="11" w:name="_Toc405888458"/>
      <w:r w:rsidRPr="008541C3">
        <w:rPr>
          <w:rFonts w:asciiTheme="minorHAnsi" w:hAnsiTheme="minorHAnsi" w:cs="Arial"/>
          <w:color w:val="auto"/>
          <w:sz w:val="20"/>
          <w:szCs w:val="20"/>
        </w:rPr>
        <w:t>Methodology</w:t>
      </w:r>
      <w:bookmarkEnd w:id="10"/>
      <w:bookmarkEnd w:id="11"/>
    </w:p>
    <w:p w14:paraId="79D67C46" w14:textId="77777777" w:rsidR="005E485B" w:rsidRDefault="005E485B" w:rsidP="005E485B">
      <w:pPr>
        <w:pStyle w:val="Norma"/>
        <w:ind w:left="1080"/>
        <w:jc w:val="both"/>
        <w:rPr>
          <w:rFonts w:asciiTheme="minorHAnsi" w:hAnsiTheme="minorHAnsi"/>
          <w:bCs/>
          <w:sz w:val="20"/>
          <w:szCs w:val="20"/>
        </w:rPr>
      </w:pPr>
    </w:p>
    <w:p w14:paraId="669AC993" w14:textId="096B70CB" w:rsidR="003A05B7" w:rsidRDefault="005E485B" w:rsidP="005E485B">
      <w:pPr>
        <w:pStyle w:val="Norma"/>
        <w:ind w:left="1080"/>
        <w:jc w:val="both"/>
        <w:rPr>
          <w:rFonts w:asciiTheme="minorHAnsi" w:hAnsiTheme="minorHAnsi"/>
          <w:bCs/>
          <w:sz w:val="20"/>
          <w:szCs w:val="20"/>
        </w:rPr>
      </w:pPr>
      <w:r w:rsidRPr="005E485B">
        <w:rPr>
          <w:rFonts w:asciiTheme="minorHAnsi" w:hAnsiTheme="minorHAnsi"/>
          <w:bCs/>
          <w:sz w:val="20"/>
          <w:szCs w:val="20"/>
        </w:rPr>
        <w:t>The task</w:t>
      </w:r>
      <w:r>
        <w:rPr>
          <w:rFonts w:asciiTheme="minorHAnsi" w:hAnsiTheme="minorHAnsi"/>
          <w:bCs/>
          <w:sz w:val="20"/>
          <w:szCs w:val="20"/>
        </w:rPr>
        <w:t>s</w:t>
      </w:r>
      <w:r w:rsidRPr="005E485B">
        <w:rPr>
          <w:rFonts w:asciiTheme="minorHAnsi" w:hAnsiTheme="minorHAnsi"/>
          <w:bCs/>
          <w:sz w:val="20"/>
          <w:szCs w:val="20"/>
        </w:rPr>
        <w:t xml:space="preserve"> should be approached through a </w:t>
      </w:r>
      <w:r>
        <w:rPr>
          <w:rFonts w:asciiTheme="minorHAnsi" w:hAnsiTheme="minorHAnsi"/>
          <w:bCs/>
          <w:sz w:val="20"/>
          <w:szCs w:val="20"/>
        </w:rPr>
        <w:t xml:space="preserve">quantitative analysis of existing datasets and methodology notes on non-residential building energy consumption, supplemented by interviews with relevant dataset authors where relevant. Suppliers may draw on their own existing knowledge/data to inform their analysis. Bids should set out in more detail how suppliers would approach the Tasks. </w:t>
      </w:r>
    </w:p>
    <w:p w14:paraId="79D2BF7C" w14:textId="2508EA8A" w:rsidR="00973D71" w:rsidRDefault="00973D71" w:rsidP="005E485B">
      <w:pPr>
        <w:pStyle w:val="Norma"/>
        <w:ind w:left="1080"/>
        <w:jc w:val="both"/>
        <w:rPr>
          <w:rFonts w:asciiTheme="minorHAnsi" w:hAnsiTheme="minorHAnsi"/>
          <w:bCs/>
          <w:sz w:val="20"/>
          <w:szCs w:val="20"/>
        </w:rPr>
      </w:pPr>
    </w:p>
    <w:p w14:paraId="1BF3C2F2" w14:textId="4CA67BBF" w:rsidR="00673120" w:rsidRDefault="00973D71" w:rsidP="00673120">
      <w:pPr>
        <w:pStyle w:val="Norma"/>
        <w:ind w:left="1080"/>
        <w:jc w:val="both"/>
        <w:rPr>
          <w:rFonts w:asciiTheme="minorHAnsi" w:hAnsiTheme="minorHAnsi"/>
          <w:bCs/>
          <w:sz w:val="20"/>
          <w:szCs w:val="20"/>
        </w:rPr>
      </w:pPr>
      <w:r>
        <w:rPr>
          <w:rFonts w:asciiTheme="minorHAnsi" w:hAnsiTheme="minorHAnsi"/>
          <w:bCs/>
          <w:sz w:val="20"/>
          <w:szCs w:val="20"/>
        </w:rPr>
        <w:t xml:space="preserve">The CCC will provide a workbook with our initial analysis comparing ND-NEED and 6CB non-residential data, which the supplier can use as a starting point if helpful. </w:t>
      </w:r>
    </w:p>
    <w:p w14:paraId="29E63830" w14:textId="00064F33" w:rsidR="001D6095" w:rsidRDefault="001D6095" w:rsidP="00673120">
      <w:pPr>
        <w:pStyle w:val="Norma"/>
        <w:ind w:left="1080"/>
        <w:jc w:val="both"/>
        <w:rPr>
          <w:rFonts w:asciiTheme="minorHAnsi" w:hAnsiTheme="minorHAnsi"/>
          <w:bCs/>
          <w:sz w:val="20"/>
          <w:szCs w:val="20"/>
        </w:rPr>
      </w:pPr>
    </w:p>
    <w:p w14:paraId="0D190F21" w14:textId="36203510" w:rsidR="001D6095" w:rsidRDefault="001D6095" w:rsidP="00673120">
      <w:pPr>
        <w:pStyle w:val="Norma"/>
        <w:ind w:left="1080"/>
        <w:jc w:val="both"/>
        <w:rPr>
          <w:rFonts w:asciiTheme="minorHAnsi" w:hAnsiTheme="minorHAnsi"/>
          <w:bCs/>
          <w:sz w:val="20"/>
          <w:szCs w:val="20"/>
        </w:rPr>
      </w:pPr>
      <w:r>
        <w:rPr>
          <w:rFonts w:asciiTheme="minorHAnsi" w:hAnsiTheme="minorHAnsi"/>
          <w:bCs/>
          <w:sz w:val="20"/>
          <w:szCs w:val="20"/>
        </w:rPr>
        <w:t xml:space="preserve">The 6CB includes expected total gas and electricity consumption, broken down by usage and public/commercial buildings. This can be used as an input for calculating the milestones for energy intensity. </w:t>
      </w:r>
    </w:p>
    <w:p w14:paraId="6660C42E" w14:textId="77777777" w:rsidR="00673120" w:rsidRPr="00DE6686" w:rsidRDefault="00673120" w:rsidP="00673120">
      <w:pPr>
        <w:pStyle w:val="Norma"/>
        <w:ind w:left="1080"/>
        <w:jc w:val="both"/>
        <w:rPr>
          <w:rFonts w:asciiTheme="minorHAnsi" w:hAnsiTheme="minorHAnsi"/>
          <w:b/>
          <w:sz w:val="20"/>
          <w:szCs w:val="20"/>
        </w:rPr>
      </w:pPr>
    </w:p>
    <w:p w14:paraId="0AE4C584" w14:textId="082D5FD9" w:rsidR="000600F0" w:rsidRDefault="000600F0" w:rsidP="000600F0">
      <w:pPr>
        <w:spacing w:after="160" w:line="259" w:lineRule="auto"/>
        <w:ind w:left="1080"/>
        <w:jc w:val="both"/>
        <w:rPr>
          <w:rFonts w:asciiTheme="majorHAnsi" w:hAnsiTheme="majorHAnsi"/>
          <w:sz w:val="20"/>
          <w:szCs w:val="20"/>
        </w:rPr>
      </w:pPr>
      <w:r>
        <w:rPr>
          <w:rFonts w:asciiTheme="majorHAnsi" w:hAnsiTheme="majorHAnsi"/>
          <w:sz w:val="20"/>
          <w:szCs w:val="20"/>
        </w:rPr>
        <w:t xml:space="preserve">For Task B it should be noted that while the main findings/summary data from ND-NEED are published online, the full raw dataset is not. </w:t>
      </w:r>
    </w:p>
    <w:p w14:paraId="4FC2B769" w14:textId="77777777" w:rsidR="00EC7A0E" w:rsidRPr="000600F0" w:rsidRDefault="00EC7A0E" w:rsidP="000600F0">
      <w:pPr>
        <w:spacing w:after="160" w:line="259" w:lineRule="auto"/>
        <w:ind w:left="1080"/>
        <w:jc w:val="both"/>
        <w:rPr>
          <w:rFonts w:asciiTheme="majorHAnsi" w:hAnsiTheme="majorHAnsi"/>
          <w:sz w:val="20"/>
          <w:szCs w:val="20"/>
        </w:rPr>
      </w:pPr>
    </w:p>
    <w:p w14:paraId="5B33FF1E" w14:textId="04EC35AB" w:rsidR="003A05B7" w:rsidRPr="008541C3" w:rsidRDefault="003A05B7" w:rsidP="008541C3">
      <w:pPr>
        <w:pStyle w:val="Heading1"/>
        <w:widowControl w:val="0"/>
        <w:numPr>
          <w:ilvl w:val="0"/>
          <w:numId w:val="23"/>
        </w:numPr>
        <w:overflowPunct w:val="0"/>
        <w:autoSpaceDE w:val="0"/>
        <w:autoSpaceDN w:val="0"/>
        <w:adjustRightInd w:val="0"/>
        <w:spacing w:before="240" w:after="60"/>
        <w:textAlignment w:val="baseline"/>
        <w:rPr>
          <w:rFonts w:asciiTheme="minorHAnsi" w:hAnsiTheme="minorHAnsi"/>
          <w:color w:val="auto"/>
          <w:sz w:val="20"/>
          <w:szCs w:val="20"/>
        </w:rPr>
      </w:pPr>
      <w:bookmarkStart w:id="12" w:name="_Ref357541705"/>
      <w:bookmarkStart w:id="13" w:name="_Toc381969510"/>
      <w:bookmarkStart w:id="14" w:name="_Toc405888459"/>
      <w:r w:rsidRPr="008541C3">
        <w:rPr>
          <w:rFonts w:asciiTheme="minorHAnsi" w:hAnsiTheme="minorHAnsi" w:cs="Arial"/>
          <w:color w:val="auto"/>
          <w:sz w:val="20"/>
          <w:szCs w:val="20"/>
        </w:rPr>
        <w:t>Outputs Required</w:t>
      </w:r>
      <w:bookmarkEnd w:id="12"/>
      <w:bookmarkEnd w:id="13"/>
      <w:bookmarkEnd w:id="14"/>
    </w:p>
    <w:p w14:paraId="4E76DA11" w14:textId="77777777" w:rsidR="00130B07" w:rsidRDefault="00130B07" w:rsidP="003A05B7">
      <w:pPr>
        <w:pStyle w:val="Norma"/>
        <w:ind w:left="720"/>
        <w:rPr>
          <w:rFonts w:asciiTheme="minorHAnsi" w:hAnsiTheme="minorHAnsi"/>
          <w:bCs/>
          <w:sz w:val="20"/>
          <w:szCs w:val="20"/>
        </w:rPr>
      </w:pPr>
    </w:p>
    <w:p w14:paraId="74CEFF42" w14:textId="7E9C5C28" w:rsidR="003A05B7" w:rsidRDefault="00130B07" w:rsidP="003A05B7">
      <w:pPr>
        <w:pStyle w:val="Norma"/>
        <w:ind w:left="720"/>
        <w:rPr>
          <w:rFonts w:asciiTheme="minorHAnsi" w:hAnsiTheme="minorHAnsi"/>
          <w:bCs/>
          <w:sz w:val="20"/>
          <w:szCs w:val="20"/>
        </w:rPr>
      </w:pPr>
      <w:r w:rsidRPr="00130B07">
        <w:rPr>
          <w:rFonts w:asciiTheme="minorHAnsi" w:hAnsiTheme="minorHAnsi"/>
          <w:bCs/>
          <w:sz w:val="20"/>
          <w:szCs w:val="20"/>
        </w:rPr>
        <w:t xml:space="preserve">The main outputs of this work </w:t>
      </w:r>
      <w:r w:rsidR="00BE5472">
        <w:rPr>
          <w:rFonts w:asciiTheme="minorHAnsi" w:hAnsiTheme="minorHAnsi"/>
          <w:bCs/>
          <w:sz w:val="20"/>
          <w:szCs w:val="20"/>
        </w:rPr>
        <w:t>will vary depending on if the supplier chooses to focus on Task A or Task B</w:t>
      </w:r>
      <w:r w:rsidRPr="00130B07">
        <w:rPr>
          <w:rFonts w:asciiTheme="minorHAnsi" w:hAnsiTheme="minorHAnsi"/>
          <w:bCs/>
          <w:sz w:val="20"/>
          <w:szCs w:val="20"/>
        </w:rPr>
        <w:t>:</w:t>
      </w:r>
    </w:p>
    <w:p w14:paraId="217458FC" w14:textId="705E7B0B" w:rsidR="00130B07" w:rsidRDefault="00130B07" w:rsidP="003A05B7">
      <w:pPr>
        <w:pStyle w:val="Norma"/>
        <w:ind w:left="720"/>
        <w:rPr>
          <w:rFonts w:asciiTheme="minorHAnsi" w:hAnsiTheme="minorHAnsi"/>
          <w:bCs/>
          <w:sz w:val="20"/>
          <w:szCs w:val="20"/>
        </w:rPr>
      </w:pPr>
    </w:p>
    <w:p w14:paraId="73A33A25" w14:textId="027F1CAE" w:rsidR="001D6095" w:rsidRDefault="001D6095" w:rsidP="003A05B7">
      <w:pPr>
        <w:pStyle w:val="Norma"/>
        <w:ind w:left="720"/>
        <w:rPr>
          <w:rFonts w:asciiTheme="minorHAnsi" w:hAnsiTheme="minorHAnsi"/>
          <w:bCs/>
          <w:sz w:val="20"/>
          <w:szCs w:val="20"/>
        </w:rPr>
      </w:pPr>
      <w:r>
        <w:rPr>
          <w:rFonts w:asciiTheme="minorHAnsi" w:hAnsiTheme="minorHAnsi"/>
          <w:bCs/>
          <w:sz w:val="20"/>
          <w:szCs w:val="20"/>
        </w:rPr>
        <w:t>Task A:</w:t>
      </w:r>
    </w:p>
    <w:p w14:paraId="617C0006" w14:textId="6D19C497" w:rsidR="001D6095" w:rsidRDefault="001D6095" w:rsidP="003A05B7">
      <w:pPr>
        <w:pStyle w:val="Norma"/>
        <w:ind w:left="720"/>
        <w:rPr>
          <w:rFonts w:asciiTheme="minorHAnsi" w:hAnsiTheme="minorHAnsi"/>
          <w:bCs/>
          <w:sz w:val="20"/>
          <w:szCs w:val="20"/>
        </w:rPr>
      </w:pPr>
    </w:p>
    <w:p w14:paraId="7610395B" w14:textId="7C031E18" w:rsidR="001D6095" w:rsidRDefault="001D6095" w:rsidP="001D6095">
      <w:pPr>
        <w:pStyle w:val="Norma"/>
        <w:numPr>
          <w:ilvl w:val="0"/>
          <w:numId w:val="17"/>
        </w:numPr>
        <w:rPr>
          <w:rFonts w:asciiTheme="minorHAnsi" w:hAnsiTheme="minorHAnsi"/>
          <w:bCs/>
          <w:sz w:val="20"/>
          <w:szCs w:val="20"/>
        </w:rPr>
      </w:pPr>
      <w:r>
        <w:rPr>
          <w:rFonts w:asciiTheme="minorHAnsi" w:hAnsiTheme="minorHAnsi"/>
          <w:bCs/>
          <w:sz w:val="20"/>
          <w:szCs w:val="20"/>
        </w:rPr>
        <w:t>A</w:t>
      </w:r>
      <w:r w:rsidRPr="00130B07">
        <w:rPr>
          <w:rFonts w:asciiTheme="minorHAnsi" w:hAnsiTheme="minorHAnsi"/>
          <w:bCs/>
          <w:sz w:val="20"/>
          <w:szCs w:val="20"/>
        </w:rPr>
        <w:t xml:space="preserve"> short</w:t>
      </w:r>
      <w:r w:rsidR="00EC7A0E">
        <w:rPr>
          <w:rFonts w:asciiTheme="minorHAnsi" w:hAnsiTheme="minorHAnsi"/>
          <w:bCs/>
          <w:sz w:val="20"/>
          <w:szCs w:val="20"/>
        </w:rPr>
        <w:t>,</w:t>
      </w:r>
      <w:r w:rsidRPr="00130B07">
        <w:rPr>
          <w:rFonts w:asciiTheme="minorHAnsi" w:hAnsiTheme="minorHAnsi"/>
          <w:bCs/>
          <w:sz w:val="20"/>
          <w:szCs w:val="20"/>
        </w:rPr>
        <w:t xml:space="preserve"> written document setting out </w:t>
      </w:r>
      <w:r>
        <w:rPr>
          <w:rFonts w:asciiTheme="minorHAnsi" w:hAnsiTheme="minorHAnsi"/>
          <w:bCs/>
          <w:sz w:val="20"/>
          <w:szCs w:val="20"/>
        </w:rPr>
        <w:t xml:space="preserve">key resulting </w:t>
      </w:r>
      <w:r w:rsidRPr="00130B07">
        <w:rPr>
          <w:rFonts w:asciiTheme="minorHAnsi" w:hAnsiTheme="minorHAnsi"/>
          <w:bCs/>
          <w:sz w:val="20"/>
          <w:szCs w:val="20"/>
        </w:rPr>
        <w:t>advice</w:t>
      </w:r>
      <w:r>
        <w:rPr>
          <w:rFonts w:asciiTheme="minorHAnsi" w:hAnsiTheme="minorHAnsi"/>
          <w:bCs/>
          <w:sz w:val="20"/>
          <w:szCs w:val="20"/>
        </w:rPr>
        <w:t>, methodology for collecting/cleaning the data, and for constructing milestones based on the Sixth Carbon Budget pathway</w:t>
      </w:r>
      <w:r w:rsidRPr="00130B07">
        <w:rPr>
          <w:rFonts w:asciiTheme="minorHAnsi" w:hAnsiTheme="minorHAnsi"/>
          <w:bCs/>
          <w:sz w:val="20"/>
          <w:szCs w:val="20"/>
        </w:rPr>
        <w:t xml:space="preserve">. </w:t>
      </w:r>
    </w:p>
    <w:p w14:paraId="71405F6E" w14:textId="1272141F" w:rsidR="001D6095" w:rsidRPr="00673120" w:rsidRDefault="001D6095" w:rsidP="001D6095">
      <w:pPr>
        <w:pStyle w:val="Norma"/>
        <w:numPr>
          <w:ilvl w:val="0"/>
          <w:numId w:val="17"/>
        </w:numPr>
        <w:rPr>
          <w:rFonts w:asciiTheme="minorHAnsi" w:hAnsiTheme="minorHAnsi"/>
          <w:bCs/>
          <w:sz w:val="20"/>
          <w:szCs w:val="20"/>
        </w:rPr>
      </w:pPr>
      <w:r w:rsidRPr="00673120">
        <w:rPr>
          <w:rFonts w:asciiTheme="minorHAnsi" w:hAnsiTheme="minorHAnsi"/>
          <w:bCs/>
          <w:sz w:val="20"/>
          <w:szCs w:val="20"/>
        </w:rPr>
        <w:t xml:space="preserve">An </w:t>
      </w:r>
      <w:r w:rsidR="00EC7A0E">
        <w:rPr>
          <w:rFonts w:asciiTheme="minorHAnsi" w:hAnsiTheme="minorHAnsi"/>
          <w:bCs/>
          <w:sz w:val="20"/>
          <w:szCs w:val="20"/>
        </w:rPr>
        <w:t>E</w:t>
      </w:r>
      <w:r w:rsidR="00EC7A0E" w:rsidRPr="00673120">
        <w:rPr>
          <w:rFonts w:asciiTheme="minorHAnsi" w:hAnsiTheme="minorHAnsi"/>
          <w:bCs/>
          <w:sz w:val="20"/>
          <w:szCs w:val="20"/>
        </w:rPr>
        <w:t xml:space="preserve">xcel </w:t>
      </w:r>
      <w:r w:rsidRPr="00673120">
        <w:rPr>
          <w:rFonts w:asciiTheme="minorHAnsi" w:hAnsiTheme="minorHAnsi"/>
          <w:bCs/>
          <w:sz w:val="20"/>
          <w:szCs w:val="20"/>
        </w:rPr>
        <w:t xml:space="preserve">workbook clearly showing the key </w:t>
      </w:r>
      <w:r>
        <w:rPr>
          <w:rFonts w:asciiTheme="minorHAnsi" w:hAnsiTheme="minorHAnsi"/>
          <w:bCs/>
          <w:sz w:val="20"/>
          <w:szCs w:val="20"/>
        </w:rPr>
        <w:t>indicators, the calculations that lie behind the</w:t>
      </w:r>
      <w:r w:rsidR="000600F0">
        <w:rPr>
          <w:rFonts w:asciiTheme="minorHAnsi" w:hAnsiTheme="minorHAnsi"/>
          <w:bCs/>
          <w:sz w:val="20"/>
          <w:szCs w:val="20"/>
        </w:rPr>
        <w:t>m</w:t>
      </w:r>
      <w:r>
        <w:rPr>
          <w:rFonts w:asciiTheme="minorHAnsi" w:hAnsiTheme="minorHAnsi"/>
          <w:bCs/>
          <w:sz w:val="20"/>
          <w:szCs w:val="20"/>
        </w:rPr>
        <w:t>,</w:t>
      </w:r>
      <w:r w:rsidRPr="00673120">
        <w:rPr>
          <w:rFonts w:asciiTheme="minorHAnsi" w:hAnsiTheme="minorHAnsi"/>
          <w:bCs/>
          <w:sz w:val="20"/>
          <w:szCs w:val="20"/>
        </w:rPr>
        <w:t xml:space="preserve"> </w:t>
      </w:r>
      <w:r>
        <w:rPr>
          <w:rFonts w:asciiTheme="minorHAnsi" w:hAnsiTheme="minorHAnsi"/>
          <w:bCs/>
          <w:sz w:val="20"/>
          <w:szCs w:val="20"/>
        </w:rPr>
        <w:t xml:space="preserve">and the calculations which </w:t>
      </w:r>
      <w:r w:rsidRPr="00673120">
        <w:rPr>
          <w:rFonts w:asciiTheme="minorHAnsi" w:hAnsiTheme="minorHAnsi"/>
          <w:bCs/>
          <w:sz w:val="20"/>
          <w:szCs w:val="20"/>
        </w:rPr>
        <w:t xml:space="preserve">underpin the </w:t>
      </w:r>
      <w:r>
        <w:rPr>
          <w:rFonts w:asciiTheme="minorHAnsi" w:hAnsiTheme="minorHAnsi"/>
          <w:bCs/>
          <w:sz w:val="20"/>
          <w:szCs w:val="20"/>
        </w:rPr>
        <w:t>advice/assessment of the indicator</w:t>
      </w:r>
      <w:r w:rsidRPr="00673120">
        <w:rPr>
          <w:rFonts w:asciiTheme="minorHAnsi" w:hAnsiTheme="minorHAnsi"/>
          <w:bCs/>
          <w:sz w:val="20"/>
          <w:szCs w:val="20"/>
        </w:rPr>
        <w:t xml:space="preserve">. </w:t>
      </w:r>
      <w:r>
        <w:rPr>
          <w:rFonts w:asciiTheme="majorHAnsi" w:hAnsiTheme="majorHAnsi"/>
          <w:color w:val="000000"/>
          <w:sz w:val="20"/>
          <w:szCs w:val="20"/>
        </w:rPr>
        <w:t xml:space="preserve">It should be </w:t>
      </w:r>
      <w:r w:rsidRPr="00673120">
        <w:rPr>
          <w:rFonts w:asciiTheme="majorHAnsi" w:hAnsiTheme="majorHAnsi"/>
          <w:color w:val="000000"/>
          <w:sz w:val="20"/>
          <w:szCs w:val="20"/>
        </w:rPr>
        <w:t xml:space="preserve">fully unlocked, allowing future capability to update assumptions. </w:t>
      </w:r>
      <w:r>
        <w:rPr>
          <w:rFonts w:asciiTheme="majorHAnsi" w:hAnsiTheme="majorHAnsi"/>
          <w:color w:val="000000"/>
          <w:sz w:val="20"/>
          <w:szCs w:val="20"/>
        </w:rPr>
        <w:t>It</w:t>
      </w:r>
      <w:r w:rsidRPr="00673120">
        <w:rPr>
          <w:rFonts w:asciiTheme="majorHAnsi" w:hAnsiTheme="majorHAnsi"/>
          <w:color w:val="000000"/>
          <w:sz w:val="20"/>
          <w:szCs w:val="20"/>
        </w:rPr>
        <w:t xml:space="preserve"> should be clearly set out and formatted, maximising ease of future use and reference for users not directly involved in the work. </w:t>
      </w:r>
    </w:p>
    <w:p w14:paraId="1097C09B" w14:textId="23232920" w:rsidR="001D6095" w:rsidRDefault="001D6095" w:rsidP="001D6095">
      <w:pPr>
        <w:pStyle w:val="Norma"/>
        <w:ind w:left="1080"/>
        <w:rPr>
          <w:rFonts w:asciiTheme="minorHAnsi" w:hAnsiTheme="minorHAnsi"/>
          <w:bCs/>
          <w:sz w:val="20"/>
          <w:szCs w:val="20"/>
        </w:rPr>
      </w:pPr>
    </w:p>
    <w:p w14:paraId="1D76BC3E" w14:textId="0C49095A" w:rsidR="001D6095" w:rsidRDefault="001D6095" w:rsidP="003A05B7">
      <w:pPr>
        <w:pStyle w:val="Norma"/>
        <w:ind w:left="720"/>
        <w:rPr>
          <w:rFonts w:asciiTheme="minorHAnsi" w:hAnsiTheme="minorHAnsi"/>
          <w:bCs/>
          <w:sz w:val="20"/>
          <w:szCs w:val="20"/>
        </w:rPr>
      </w:pPr>
      <w:r>
        <w:rPr>
          <w:rFonts w:asciiTheme="minorHAnsi" w:hAnsiTheme="minorHAnsi"/>
          <w:bCs/>
          <w:sz w:val="20"/>
          <w:szCs w:val="20"/>
        </w:rPr>
        <w:t>Task B:</w:t>
      </w:r>
    </w:p>
    <w:p w14:paraId="74BC5779" w14:textId="77777777" w:rsidR="001D6095" w:rsidRDefault="001D6095" w:rsidP="003A05B7">
      <w:pPr>
        <w:pStyle w:val="Norma"/>
        <w:ind w:left="720"/>
        <w:rPr>
          <w:rFonts w:asciiTheme="minorHAnsi" w:hAnsiTheme="minorHAnsi"/>
          <w:bCs/>
          <w:sz w:val="20"/>
          <w:szCs w:val="20"/>
        </w:rPr>
      </w:pPr>
    </w:p>
    <w:p w14:paraId="451B332A" w14:textId="0DA2A9D9" w:rsidR="00130B07" w:rsidRDefault="00673120" w:rsidP="00130B07">
      <w:pPr>
        <w:pStyle w:val="Norma"/>
        <w:numPr>
          <w:ilvl w:val="0"/>
          <w:numId w:val="12"/>
        </w:numPr>
        <w:rPr>
          <w:rFonts w:asciiTheme="minorHAnsi" w:hAnsiTheme="minorHAnsi"/>
          <w:bCs/>
          <w:sz w:val="20"/>
          <w:szCs w:val="20"/>
        </w:rPr>
      </w:pPr>
      <w:r>
        <w:rPr>
          <w:rFonts w:asciiTheme="minorHAnsi" w:hAnsiTheme="minorHAnsi"/>
          <w:bCs/>
          <w:sz w:val="20"/>
          <w:szCs w:val="20"/>
        </w:rPr>
        <w:t>A written summary of the assessment of each possible driver. As an example, this might be summarised in a table like the one below, which sets</w:t>
      </w:r>
      <w:r w:rsidR="00130B07">
        <w:rPr>
          <w:rFonts w:asciiTheme="minorHAnsi" w:hAnsiTheme="minorHAnsi"/>
          <w:bCs/>
          <w:sz w:val="20"/>
          <w:szCs w:val="20"/>
        </w:rPr>
        <w:t xml:space="preserve"> out each possible explanation which could account for the differences between 6CB and ND-NEED consumption data, </w:t>
      </w:r>
      <w:r>
        <w:rPr>
          <w:rFonts w:asciiTheme="minorHAnsi" w:hAnsiTheme="minorHAnsi"/>
          <w:bCs/>
          <w:sz w:val="20"/>
          <w:szCs w:val="20"/>
        </w:rPr>
        <w:t>the potential range of impact this would have on</w:t>
      </w:r>
      <w:r w:rsidR="00551AC3">
        <w:rPr>
          <w:rFonts w:asciiTheme="minorHAnsi" w:hAnsiTheme="minorHAnsi"/>
          <w:bCs/>
          <w:sz w:val="20"/>
          <w:szCs w:val="20"/>
        </w:rPr>
        <w:t xml:space="preserve"> differences in the</w:t>
      </w:r>
      <w:r>
        <w:rPr>
          <w:rFonts w:asciiTheme="minorHAnsi" w:hAnsiTheme="minorHAnsi"/>
          <w:bCs/>
          <w:sz w:val="20"/>
          <w:szCs w:val="20"/>
        </w:rPr>
        <w:t xml:space="preserve"> data, the certainty level, and a recommendation, where relevant, for </w:t>
      </w:r>
      <w:r w:rsidR="00551AC3">
        <w:rPr>
          <w:rFonts w:asciiTheme="minorHAnsi" w:hAnsiTheme="minorHAnsi"/>
          <w:bCs/>
          <w:sz w:val="20"/>
          <w:szCs w:val="20"/>
        </w:rPr>
        <w:t xml:space="preserve">what this means for using ND-NEED as an indicator. </w:t>
      </w:r>
    </w:p>
    <w:p w14:paraId="4ACE0D33" w14:textId="77777777" w:rsidR="00973D71" w:rsidRDefault="00973D71" w:rsidP="00973D71">
      <w:pPr>
        <w:pStyle w:val="Norma"/>
        <w:ind w:left="1080"/>
        <w:rPr>
          <w:rFonts w:asciiTheme="minorHAnsi" w:hAnsiTheme="minorHAnsi"/>
          <w:bCs/>
          <w:sz w:val="20"/>
          <w:szCs w:val="20"/>
        </w:rPr>
      </w:pPr>
    </w:p>
    <w:p w14:paraId="6363F32B" w14:textId="77777777" w:rsidR="00973D71" w:rsidRPr="00772CC4" w:rsidRDefault="00973D71" w:rsidP="00673120">
      <w:pPr>
        <w:ind w:left="720"/>
        <w:rPr>
          <w:rFonts w:asciiTheme="majorHAnsi" w:hAnsiTheme="majorHAnsi"/>
          <w:sz w:val="20"/>
          <w:szCs w:val="20"/>
        </w:rPr>
      </w:pPr>
      <w:r w:rsidRPr="00772CC4">
        <w:rPr>
          <w:rFonts w:asciiTheme="majorHAnsi" w:hAnsiTheme="majorHAnsi"/>
          <w:sz w:val="20"/>
          <w:szCs w:val="20"/>
        </w:rPr>
        <w:t>Example table:</w:t>
      </w:r>
    </w:p>
    <w:tbl>
      <w:tblPr>
        <w:tblStyle w:val="TableGrid"/>
        <w:tblW w:w="7854" w:type="dxa"/>
        <w:tblInd w:w="1360" w:type="dxa"/>
        <w:tblLook w:val="04A0" w:firstRow="1" w:lastRow="0" w:firstColumn="1" w:lastColumn="0" w:noHBand="0" w:noVBand="1"/>
      </w:tblPr>
      <w:tblGrid>
        <w:gridCol w:w="1681"/>
        <w:gridCol w:w="1489"/>
        <w:gridCol w:w="1390"/>
        <w:gridCol w:w="1410"/>
        <w:gridCol w:w="1884"/>
      </w:tblGrid>
      <w:tr w:rsidR="00673120" w:rsidRPr="00772CC4" w14:paraId="1248F653" w14:textId="048AD7A7" w:rsidTr="00673120">
        <w:tc>
          <w:tcPr>
            <w:tcW w:w="1681" w:type="dxa"/>
          </w:tcPr>
          <w:p w14:paraId="0C74A32C" w14:textId="3CC3EB1D" w:rsidR="00673120" w:rsidRPr="00772CC4" w:rsidRDefault="00673120" w:rsidP="005D361E">
            <w:pPr>
              <w:rPr>
                <w:rFonts w:asciiTheme="majorHAnsi" w:hAnsiTheme="majorHAnsi"/>
                <w:b/>
                <w:bCs/>
                <w:sz w:val="20"/>
                <w:szCs w:val="20"/>
              </w:rPr>
            </w:pPr>
            <w:r>
              <w:rPr>
                <w:rFonts w:asciiTheme="majorHAnsi" w:hAnsiTheme="majorHAnsi"/>
                <w:b/>
                <w:sz w:val="20"/>
                <w:szCs w:val="20"/>
              </w:rPr>
              <w:t>Possible reason for the difference between ND-NEED and 6CB</w:t>
            </w:r>
          </w:p>
        </w:tc>
        <w:tc>
          <w:tcPr>
            <w:tcW w:w="1489" w:type="dxa"/>
          </w:tcPr>
          <w:p w14:paraId="71A48DB2" w14:textId="77777777" w:rsidR="00673120" w:rsidRPr="00772CC4" w:rsidRDefault="00673120" w:rsidP="005D361E">
            <w:pPr>
              <w:rPr>
                <w:rFonts w:asciiTheme="majorHAnsi" w:hAnsiTheme="majorHAnsi"/>
                <w:b/>
                <w:bCs/>
                <w:sz w:val="20"/>
                <w:szCs w:val="20"/>
              </w:rPr>
            </w:pPr>
            <w:r w:rsidRPr="00772CC4">
              <w:rPr>
                <w:rFonts w:asciiTheme="majorHAnsi" w:hAnsiTheme="majorHAnsi"/>
                <w:b/>
                <w:sz w:val="20"/>
                <w:szCs w:val="20"/>
              </w:rPr>
              <w:t>Potential range of impact</w:t>
            </w:r>
          </w:p>
        </w:tc>
        <w:tc>
          <w:tcPr>
            <w:tcW w:w="1390" w:type="dxa"/>
          </w:tcPr>
          <w:p w14:paraId="50DCE724" w14:textId="77777777" w:rsidR="00673120" w:rsidRPr="00772CC4" w:rsidRDefault="00673120" w:rsidP="005D361E">
            <w:pPr>
              <w:rPr>
                <w:rFonts w:asciiTheme="majorHAnsi" w:hAnsiTheme="majorHAnsi"/>
                <w:b/>
                <w:bCs/>
                <w:sz w:val="20"/>
                <w:szCs w:val="20"/>
              </w:rPr>
            </w:pPr>
            <w:r w:rsidRPr="00772CC4">
              <w:rPr>
                <w:rFonts w:asciiTheme="majorHAnsi" w:hAnsiTheme="majorHAnsi"/>
                <w:b/>
                <w:sz w:val="20"/>
                <w:szCs w:val="20"/>
              </w:rPr>
              <w:t xml:space="preserve">Central value of impact </w:t>
            </w:r>
          </w:p>
        </w:tc>
        <w:tc>
          <w:tcPr>
            <w:tcW w:w="1410" w:type="dxa"/>
          </w:tcPr>
          <w:p w14:paraId="459C251F" w14:textId="77777777" w:rsidR="00673120" w:rsidRPr="00772CC4" w:rsidRDefault="00673120" w:rsidP="005D361E">
            <w:pPr>
              <w:rPr>
                <w:rFonts w:asciiTheme="majorHAnsi" w:hAnsiTheme="majorHAnsi"/>
                <w:b/>
                <w:bCs/>
                <w:sz w:val="20"/>
                <w:szCs w:val="20"/>
              </w:rPr>
            </w:pPr>
            <w:r w:rsidRPr="00772CC4">
              <w:rPr>
                <w:rFonts w:asciiTheme="majorHAnsi" w:hAnsiTheme="majorHAnsi"/>
                <w:b/>
                <w:sz w:val="20"/>
                <w:szCs w:val="20"/>
              </w:rPr>
              <w:t xml:space="preserve">Certainty </w:t>
            </w:r>
          </w:p>
        </w:tc>
        <w:tc>
          <w:tcPr>
            <w:tcW w:w="1884" w:type="dxa"/>
          </w:tcPr>
          <w:p w14:paraId="5D7FC781" w14:textId="3BF7D8D1" w:rsidR="00673120" w:rsidRPr="00772CC4" w:rsidRDefault="00673120" w:rsidP="005D361E">
            <w:pPr>
              <w:rPr>
                <w:rFonts w:asciiTheme="majorHAnsi" w:hAnsiTheme="majorHAnsi"/>
                <w:b/>
                <w:sz w:val="20"/>
                <w:szCs w:val="20"/>
              </w:rPr>
            </w:pPr>
            <w:r>
              <w:rPr>
                <w:rFonts w:asciiTheme="majorHAnsi" w:hAnsiTheme="majorHAnsi"/>
                <w:b/>
                <w:sz w:val="20"/>
                <w:szCs w:val="20"/>
              </w:rPr>
              <w:t>Implication for indicator construction/6CB baseline</w:t>
            </w:r>
          </w:p>
        </w:tc>
      </w:tr>
      <w:tr w:rsidR="00673120" w:rsidRPr="00772CC4" w14:paraId="200BE62F" w14:textId="0A1595A7" w:rsidTr="00673120">
        <w:tc>
          <w:tcPr>
            <w:tcW w:w="1681" w:type="dxa"/>
          </w:tcPr>
          <w:p w14:paraId="141E7C63" w14:textId="77777777" w:rsidR="00673120" w:rsidRPr="00772CC4" w:rsidRDefault="00673120" w:rsidP="005D361E">
            <w:pPr>
              <w:rPr>
                <w:rFonts w:asciiTheme="majorHAnsi" w:hAnsiTheme="majorHAnsi"/>
                <w:sz w:val="20"/>
                <w:szCs w:val="20"/>
              </w:rPr>
            </w:pPr>
            <w:r w:rsidRPr="00772CC4">
              <w:rPr>
                <w:rFonts w:asciiTheme="majorHAnsi" w:hAnsiTheme="majorHAnsi"/>
                <w:sz w:val="20"/>
                <w:szCs w:val="20"/>
              </w:rPr>
              <w:t>A</w:t>
            </w:r>
          </w:p>
        </w:tc>
        <w:tc>
          <w:tcPr>
            <w:tcW w:w="1489" w:type="dxa"/>
          </w:tcPr>
          <w:p w14:paraId="70969836" w14:textId="77777777" w:rsidR="00673120" w:rsidRPr="00772CC4" w:rsidRDefault="00673120" w:rsidP="005D361E">
            <w:pPr>
              <w:rPr>
                <w:rFonts w:asciiTheme="majorHAnsi" w:hAnsiTheme="majorHAnsi"/>
                <w:sz w:val="20"/>
                <w:szCs w:val="20"/>
              </w:rPr>
            </w:pPr>
            <w:r w:rsidRPr="00772CC4">
              <w:rPr>
                <w:rFonts w:asciiTheme="majorHAnsi" w:hAnsiTheme="majorHAnsi"/>
                <w:sz w:val="20"/>
                <w:szCs w:val="20"/>
              </w:rPr>
              <w:t>-13TWh --- + 45TwH</w:t>
            </w:r>
          </w:p>
        </w:tc>
        <w:tc>
          <w:tcPr>
            <w:tcW w:w="1390" w:type="dxa"/>
          </w:tcPr>
          <w:p w14:paraId="5C5A3CF0" w14:textId="77777777" w:rsidR="00673120" w:rsidRPr="00772CC4" w:rsidRDefault="00673120" w:rsidP="005D361E">
            <w:pPr>
              <w:rPr>
                <w:rFonts w:asciiTheme="majorHAnsi" w:hAnsiTheme="majorHAnsi"/>
                <w:sz w:val="20"/>
                <w:szCs w:val="20"/>
              </w:rPr>
            </w:pPr>
            <w:r w:rsidRPr="00772CC4">
              <w:rPr>
                <w:rFonts w:asciiTheme="majorHAnsi" w:hAnsiTheme="majorHAnsi"/>
                <w:sz w:val="20"/>
                <w:szCs w:val="20"/>
              </w:rPr>
              <w:t xml:space="preserve">5 </w:t>
            </w:r>
            <w:proofErr w:type="spellStart"/>
            <w:r w:rsidRPr="00772CC4">
              <w:rPr>
                <w:rFonts w:asciiTheme="majorHAnsi" w:hAnsiTheme="majorHAnsi"/>
                <w:sz w:val="20"/>
                <w:szCs w:val="20"/>
              </w:rPr>
              <w:t>TwH</w:t>
            </w:r>
            <w:proofErr w:type="spellEnd"/>
          </w:p>
        </w:tc>
        <w:tc>
          <w:tcPr>
            <w:tcW w:w="1410" w:type="dxa"/>
          </w:tcPr>
          <w:p w14:paraId="0CE09DA1" w14:textId="77777777" w:rsidR="00673120" w:rsidRPr="00772CC4" w:rsidRDefault="00673120" w:rsidP="005D361E">
            <w:pPr>
              <w:rPr>
                <w:rFonts w:asciiTheme="majorHAnsi" w:hAnsiTheme="majorHAnsi"/>
                <w:sz w:val="20"/>
                <w:szCs w:val="20"/>
              </w:rPr>
            </w:pPr>
            <w:r w:rsidRPr="00772CC4">
              <w:rPr>
                <w:rFonts w:asciiTheme="majorHAnsi" w:hAnsiTheme="majorHAnsi"/>
                <w:sz w:val="20"/>
                <w:szCs w:val="20"/>
              </w:rPr>
              <w:t>Medium</w:t>
            </w:r>
          </w:p>
        </w:tc>
        <w:tc>
          <w:tcPr>
            <w:tcW w:w="1884" w:type="dxa"/>
          </w:tcPr>
          <w:p w14:paraId="791AEFD2" w14:textId="77777777" w:rsidR="00673120" w:rsidRPr="00772CC4" w:rsidRDefault="00673120" w:rsidP="005D361E">
            <w:pPr>
              <w:rPr>
                <w:rFonts w:asciiTheme="majorHAnsi" w:hAnsiTheme="majorHAnsi"/>
                <w:sz w:val="20"/>
                <w:szCs w:val="20"/>
              </w:rPr>
            </w:pPr>
          </w:p>
        </w:tc>
      </w:tr>
      <w:tr w:rsidR="00673120" w:rsidRPr="00772CC4" w14:paraId="6EA3EF08" w14:textId="196F486C" w:rsidTr="00673120">
        <w:tc>
          <w:tcPr>
            <w:tcW w:w="1681" w:type="dxa"/>
          </w:tcPr>
          <w:p w14:paraId="038A5180" w14:textId="77777777" w:rsidR="00673120" w:rsidRPr="00772CC4" w:rsidRDefault="00673120" w:rsidP="005D361E">
            <w:pPr>
              <w:rPr>
                <w:rFonts w:asciiTheme="majorHAnsi" w:hAnsiTheme="majorHAnsi"/>
                <w:sz w:val="20"/>
                <w:szCs w:val="20"/>
              </w:rPr>
            </w:pPr>
            <w:r w:rsidRPr="00772CC4">
              <w:rPr>
                <w:rFonts w:asciiTheme="majorHAnsi" w:hAnsiTheme="majorHAnsi"/>
                <w:sz w:val="20"/>
                <w:szCs w:val="20"/>
              </w:rPr>
              <w:t>….</w:t>
            </w:r>
          </w:p>
        </w:tc>
        <w:tc>
          <w:tcPr>
            <w:tcW w:w="1489" w:type="dxa"/>
          </w:tcPr>
          <w:p w14:paraId="6C65465B" w14:textId="77777777" w:rsidR="00673120" w:rsidRPr="00772CC4" w:rsidRDefault="00673120" w:rsidP="005D361E">
            <w:pPr>
              <w:rPr>
                <w:rFonts w:asciiTheme="majorHAnsi" w:hAnsiTheme="majorHAnsi"/>
                <w:sz w:val="20"/>
                <w:szCs w:val="20"/>
              </w:rPr>
            </w:pPr>
          </w:p>
        </w:tc>
        <w:tc>
          <w:tcPr>
            <w:tcW w:w="1390" w:type="dxa"/>
          </w:tcPr>
          <w:p w14:paraId="04490D5E" w14:textId="77777777" w:rsidR="00673120" w:rsidRPr="00772CC4" w:rsidRDefault="00673120" w:rsidP="005D361E">
            <w:pPr>
              <w:rPr>
                <w:rFonts w:asciiTheme="majorHAnsi" w:hAnsiTheme="majorHAnsi"/>
                <w:sz w:val="20"/>
                <w:szCs w:val="20"/>
              </w:rPr>
            </w:pPr>
          </w:p>
        </w:tc>
        <w:tc>
          <w:tcPr>
            <w:tcW w:w="1410" w:type="dxa"/>
          </w:tcPr>
          <w:p w14:paraId="01928FD1" w14:textId="77777777" w:rsidR="00673120" w:rsidRPr="00772CC4" w:rsidRDefault="00673120" w:rsidP="005D361E">
            <w:pPr>
              <w:rPr>
                <w:rFonts w:asciiTheme="majorHAnsi" w:hAnsiTheme="majorHAnsi"/>
                <w:sz w:val="20"/>
                <w:szCs w:val="20"/>
              </w:rPr>
            </w:pPr>
          </w:p>
        </w:tc>
        <w:tc>
          <w:tcPr>
            <w:tcW w:w="1884" w:type="dxa"/>
          </w:tcPr>
          <w:p w14:paraId="5D3A17E5" w14:textId="77777777" w:rsidR="00673120" w:rsidRPr="00772CC4" w:rsidRDefault="00673120" w:rsidP="005D361E">
            <w:pPr>
              <w:rPr>
                <w:rFonts w:asciiTheme="majorHAnsi" w:hAnsiTheme="majorHAnsi"/>
                <w:sz w:val="20"/>
                <w:szCs w:val="20"/>
              </w:rPr>
            </w:pPr>
          </w:p>
        </w:tc>
      </w:tr>
      <w:tr w:rsidR="00673120" w:rsidRPr="00772CC4" w14:paraId="57DC747C" w14:textId="18B3A308" w:rsidTr="00673120">
        <w:tc>
          <w:tcPr>
            <w:tcW w:w="1681" w:type="dxa"/>
          </w:tcPr>
          <w:p w14:paraId="22160942" w14:textId="77777777" w:rsidR="00673120" w:rsidRPr="00772CC4" w:rsidRDefault="00673120" w:rsidP="005D361E">
            <w:pPr>
              <w:rPr>
                <w:rFonts w:asciiTheme="majorHAnsi" w:hAnsiTheme="majorHAnsi"/>
                <w:sz w:val="20"/>
                <w:szCs w:val="20"/>
              </w:rPr>
            </w:pPr>
            <w:r w:rsidRPr="00772CC4">
              <w:rPr>
                <w:rFonts w:asciiTheme="majorHAnsi" w:hAnsiTheme="majorHAnsi"/>
                <w:sz w:val="20"/>
                <w:szCs w:val="20"/>
              </w:rPr>
              <w:t>E</w:t>
            </w:r>
          </w:p>
        </w:tc>
        <w:tc>
          <w:tcPr>
            <w:tcW w:w="1489" w:type="dxa"/>
          </w:tcPr>
          <w:p w14:paraId="426DF807" w14:textId="77777777" w:rsidR="00673120" w:rsidRPr="00772CC4" w:rsidRDefault="00673120" w:rsidP="005D361E">
            <w:pPr>
              <w:rPr>
                <w:rFonts w:asciiTheme="majorHAnsi" w:hAnsiTheme="majorHAnsi"/>
                <w:sz w:val="20"/>
                <w:szCs w:val="20"/>
              </w:rPr>
            </w:pPr>
          </w:p>
        </w:tc>
        <w:tc>
          <w:tcPr>
            <w:tcW w:w="1390" w:type="dxa"/>
          </w:tcPr>
          <w:p w14:paraId="0FD0F039" w14:textId="77777777" w:rsidR="00673120" w:rsidRPr="00772CC4" w:rsidRDefault="00673120" w:rsidP="005D361E">
            <w:pPr>
              <w:rPr>
                <w:rFonts w:asciiTheme="majorHAnsi" w:hAnsiTheme="majorHAnsi"/>
                <w:sz w:val="20"/>
                <w:szCs w:val="20"/>
              </w:rPr>
            </w:pPr>
          </w:p>
        </w:tc>
        <w:tc>
          <w:tcPr>
            <w:tcW w:w="1410" w:type="dxa"/>
          </w:tcPr>
          <w:p w14:paraId="5D9C7FB7" w14:textId="77777777" w:rsidR="00673120" w:rsidRPr="00772CC4" w:rsidRDefault="00673120" w:rsidP="005D361E">
            <w:pPr>
              <w:rPr>
                <w:rFonts w:asciiTheme="majorHAnsi" w:hAnsiTheme="majorHAnsi"/>
                <w:sz w:val="20"/>
                <w:szCs w:val="20"/>
              </w:rPr>
            </w:pPr>
          </w:p>
        </w:tc>
        <w:tc>
          <w:tcPr>
            <w:tcW w:w="1884" w:type="dxa"/>
          </w:tcPr>
          <w:p w14:paraId="3E822088" w14:textId="77777777" w:rsidR="00673120" w:rsidRPr="00772CC4" w:rsidRDefault="00673120" w:rsidP="005D361E">
            <w:pPr>
              <w:rPr>
                <w:rFonts w:asciiTheme="majorHAnsi" w:hAnsiTheme="majorHAnsi"/>
                <w:sz w:val="20"/>
                <w:szCs w:val="20"/>
              </w:rPr>
            </w:pPr>
          </w:p>
        </w:tc>
      </w:tr>
    </w:tbl>
    <w:p w14:paraId="3F6D8D31" w14:textId="77777777" w:rsidR="00973D71" w:rsidRPr="00772CC4" w:rsidRDefault="00973D71" w:rsidP="00973D71">
      <w:pPr>
        <w:rPr>
          <w:rFonts w:asciiTheme="majorHAnsi" w:hAnsiTheme="majorHAnsi"/>
          <w:sz w:val="20"/>
          <w:szCs w:val="20"/>
        </w:rPr>
      </w:pPr>
    </w:p>
    <w:p w14:paraId="338AB879" w14:textId="3D7A95EB" w:rsidR="001D6095" w:rsidRPr="00673120" w:rsidRDefault="001D6095" w:rsidP="001D6095">
      <w:pPr>
        <w:pStyle w:val="Norma"/>
        <w:numPr>
          <w:ilvl w:val="0"/>
          <w:numId w:val="12"/>
        </w:numPr>
        <w:rPr>
          <w:rFonts w:asciiTheme="minorHAnsi" w:hAnsiTheme="minorHAnsi"/>
          <w:bCs/>
          <w:sz w:val="20"/>
          <w:szCs w:val="20"/>
        </w:rPr>
      </w:pPr>
      <w:r w:rsidRPr="00673120">
        <w:rPr>
          <w:rFonts w:asciiTheme="minorHAnsi" w:hAnsiTheme="minorHAnsi"/>
          <w:bCs/>
          <w:sz w:val="20"/>
          <w:szCs w:val="20"/>
        </w:rPr>
        <w:t xml:space="preserve">An </w:t>
      </w:r>
      <w:r w:rsidR="00EC7A0E">
        <w:rPr>
          <w:rFonts w:asciiTheme="minorHAnsi" w:hAnsiTheme="minorHAnsi"/>
          <w:bCs/>
          <w:sz w:val="20"/>
          <w:szCs w:val="20"/>
        </w:rPr>
        <w:t>E</w:t>
      </w:r>
      <w:r w:rsidR="00EC7A0E" w:rsidRPr="00673120">
        <w:rPr>
          <w:rFonts w:asciiTheme="minorHAnsi" w:hAnsiTheme="minorHAnsi"/>
          <w:bCs/>
          <w:sz w:val="20"/>
          <w:szCs w:val="20"/>
        </w:rPr>
        <w:t xml:space="preserve">xcel </w:t>
      </w:r>
      <w:r w:rsidRPr="00673120">
        <w:rPr>
          <w:rFonts w:asciiTheme="minorHAnsi" w:hAnsiTheme="minorHAnsi"/>
          <w:bCs/>
          <w:sz w:val="20"/>
          <w:szCs w:val="20"/>
        </w:rPr>
        <w:t xml:space="preserve">workbook clearly showing the key analysis that underpins the </w:t>
      </w:r>
      <w:r>
        <w:rPr>
          <w:rFonts w:asciiTheme="minorHAnsi" w:hAnsiTheme="minorHAnsi"/>
          <w:bCs/>
          <w:sz w:val="20"/>
          <w:szCs w:val="20"/>
        </w:rPr>
        <w:t>advice</w:t>
      </w:r>
      <w:r w:rsidRPr="00673120">
        <w:rPr>
          <w:rFonts w:asciiTheme="minorHAnsi" w:hAnsiTheme="minorHAnsi"/>
          <w:bCs/>
          <w:sz w:val="20"/>
          <w:szCs w:val="20"/>
        </w:rPr>
        <w:t xml:space="preserve">. </w:t>
      </w:r>
      <w:r>
        <w:rPr>
          <w:rFonts w:asciiTheme="majorHAnsi" w:hAnsiTheme="majorHAnsi"/>
          <w:color w:val="000000"/>
          <w:sz w:val="20"/>
          <w:szCs w:val="20"/>
        </w:rPr>
        <w:t xml:space="preserve">It should be </w:t>
      </w:r>
      <w:r w:rsidRPr="00673120">
        <w:rPr>
          <w:rFonts w:asciiTheme="majorHAnsi" w:hAnsiTheme="majorHAnsi"/>
          <w:color w:val="000000"/>
          <w:sz w:val="20"/>
          <w:szCs w:val="20"/>
        </w:rPr>
        <w:t xml:space="preserve">fully unlocked, allowing future capability to update assumptions. </w:t>
      </w:r>
      <w:r>
        <w:rPr>
          <w:rFonts w:asciiTheme="majorHAnsi" w:hAnsiTheme="majorHAnsi"/>
          <w:color w:val="000000"/>
          <w:sz w:val="20"/>
          <w:szCs w:val="20"/>
        </w:rPr>
        <w:t>It</w:t>
      </w:r>
      <w:r w:rsidRPr="00673120">
        <w:rPr>
          <w:rFonts w:asciiTheme="majorHAnsi" w:hAnsiTheme="majorHAnsi"/>
          <w:color w:val="000000"/>
          <w:sz w:val="20"/>
          <w:szCs w:val="20"/>
        </w:rPr>
        <w:t xml:space="preserve"> should be clearly set out and formatted, maximising ease of future use and reference for users not directly involved in the work. </w:t>
      </w:r>
    </w:p>
    <w:p w14:paraId="22313C0B" w14:textId="65597281" w:rsidR="001D6095" w:rsidRDefault="001D6095" w:rsidP="001D6095">
      <w:pPr>
        <w:pStyle w:val="Norma"/>
        <w:ind w:left="1080"/>
        <w:rPr>
          <w:rFonts w:asciiTheme="minorHAnsi" w:hAnsiTheme="minorHAnsi"/>
          <w:bCs/>
          <w:sz w:val="20"/>
          <w:szCs w:val="20"/>
        </w:rPr>
      </w:pPr>
    </w:p>
    <w:p w14:paraId="317B26F4" w14:textId="6EFCAC30" w:rsidR="00D23BBB" w:rsidRPr="00D23BBB" w:rsidRDefault="001D6095" w:rsidP="00D23BBB">
      <w:pPr>
        <w:widowControl w:val="0"/>
        <w:ind w:left="720"/>
        <w:textAlignment w:val="center"/>
        <w:rPr>
          <w:rFonts w:asciiTheme="majorHAnsi" w:hAnsiTheme="majorHAnsi"/>
          <w:color w:val="000000"/>
          <w:sz w:val="20"/>
          <w:szCs w:val="20"/>
        </w:rPr>
      </w:pPr>
      <w:r w:rsidRPr="001D6095">
        <w:rPr>
          <w:rFonts w:asciiTheme="majorHAnsi" w:hAnsiTheme="majorHAnsi"/>
          <w:b/>
          <w:bCs/>
          <w:color w:val="000000"/>
          <w:sz w:val="20"/>
          <w:szCs w:val="20"/>
        </w:rPr>
        <w:t>For either Task:</w:t>
      </w:r>
      <w:r>
        <w:rPr>
          <w:rFonts w:asciiTheme="majorHAnsi" w:hAnsiTheme="majorHAnsi"/>
          <w:color w:val="000000"/>
          <w:sz w:val="20"/>
          <w:szCs w:val="20"/>
        </w:rPr>
        <w:t xml:space="preserve"> </w:t>
      </w:r>
      <w:r w:rsidR="00D23BBB" w:rsidRPr="00645A01">
        <w:rPr>
          <w:rFonts w:asciiTheme="majorHAnsi" w:hAnsiTheme="majorHAnsi"/>
          <w:color w:val="000000"/>
          <w:sz w:val="20"/>
          <w:szCs w:val="20"/>
        </w:rPr>
        <w:t xml:space="preserve">In addition to the above, we also expect interim deliverables to be </w:t>
      </w:r>
      <w:r w:rsidR="00D23BBB">
        <w:rPr>
          <w:rFonts w:asciiTheme="majorHAnsi" w:hAnsiTheme="majorHAnsi"/>
          <w:color w:val="000000"/>
          <w:sz w:val="20"/>
          <w:szCs w:val="20"/>
        </w:rPr>
        <w:t xml:space="preserve">provided – in particular a draft set of findings about halfway through the project. See section 8 for specific dates. </w:t>
      </w:r>
    </w:p>
    <w:p w14:paraId="1E232E35" w14:textId="77777777" w:rsidR="003A05B7" w:rsidRPr="008541C3" w:rsidRDefault="003A05B7" w:rsidP="008541C3">
      <w:pPr>
        <w:pStyle w:val="Heading1"/>
        <w:widowControl w:val="0"/>
        <w:numPr>
          <w:ilvl w:val="0"/>
          <w:numId w:val="23"/>
        </w:numPr>
        <w:overflowPunct w:val="0"/>
        <w:autoSpaceDE w:val="0"/>
        <w:autoSpaceDN w:val="0"/>
        <w:adjustRightInd w:val="0"/>
        <w:spacing w:before="240" w:after="60"/>
        <w:textAlignment w:val="baseline"/>
        <w:rPr>
          <w:rFonts w:asciiTheme="minorHAnsi" w:hAnsiTheme="minorHAnsi"/>
          <w:color w:val="auto"/>
          <w:sz w:val="20"/>
          <w:szCs w:val="20"/>
        </w:rPr>
      </w:pPr>
      <w:bookmarkStart w:id="15" w:name="_Toc381969511"/>
      <w:bookmarkStart w:id="16" w:name="_Toc405888460"/>
      <w:bookmarkStart w:id="17" w:name="_Ref373505205"/>
      <w:bookmarkStart w:id="18" w:name="_Ref357541720"/>
      <w:r w:rsidRPr="008541C3">
        <w:rPr>
          <w:rFonts w:asciiTheme="minorHAnsi" w:hAnsiTheme="minorHAnsi" w:cs="Arial"/>
          <w:color w:val="auto"/>
          <w:sz w:val="20"/>
          <w:szCs w:val="20"/>
        </w:rPr>
        <w:t>Ownership and Publication</w:t>
      </w:r>
      <w:bookmarkEnd w:id="15"/>
      <w:bookmarkEnd w:id="16"/>
    </w:p>
    <w:p w14:paraId="66857654" w14:textId="77777777" w:rsidR="00D23BBB" w:rsidRDefault="00D23BBB" w:rsidP="00D23BBB">
      <w:pPr>
        <w:pStyle w:val="Norma"/>
        <w:ind w:left="720"/>
        <w:rPr>
          <w:rFonts w:asciiTheme="majorHAnsi" w:hAnsiTheme="majorHAnsi" w:cs="Arial"/>
          <w:sz w:val="20"/>
          <w:szCs w:val="20"/>
        </w:rPr>
      </w:pPr>
    </w:p>
    <w:p w14:paraId="7886D33B" w14:textId="22D63C1A" w:rsidR="003A05B7" w:rsidRPr="0038388A" w:rsidRDefault="00D23BBB" w:rsidP="00D23BBB">
      <w:pPr>
        <w:pStyle w:val="Norma"/>
        <w:ind w:left="720"/>
        <w:rPr>
          <w:rFonts w:asciiTheme="minorHAnsi" w:hAnsiTheme="minorHAnsi"/>
          <w:b/>
          <w:color w:val="FF0000"/>
          <w:sz w:val="20"/>
          <w:szCs w:val="20"/>
        </w:rPr>
      </w:pPr>
      <w:r w:rsidRPr="00B51BFD">
        <w:rPr>
          <w:rFonts w:asciiTheme="majorHAnsi" w:hAnsiTheme="majorHAnsi" w:cs="Arial"/>
          <w:sz w:val="20"/>
          <w:szCs w:val="20"/>
        </w:rPr>
        <w:t>The key deliverables will be handed over to the CCC</w:t>
      </w:r>
      <w:r>
        <w:rPr>
          <w:rFonts w:asciiTheme="majorHAnsi" w:hAnsiTheme="majorHAnsi" w:cs="Arial"/>
          <w:sz w:val="20"/>
          <w:szCs w:val="20"/>
        </w:rPr>
        <w:t xml:space="preserve">. We anticipate we will use the findings to inform indicators used in our future Progress </w:t>
      </w:r>
      <w:proofErr w:type="gramStart"/>
      <w:r>
        <w:rPr>
          <w:rFonts w:asciiTheme="majorHAnsi" w:hAnsiTheme="majorHAnsi" w:cs="Arial"/>
          <w:sz w:val="20"/>
          <w:szCs w:val="20"/>
        </w:rPr>
        <w:t>Reports</w:t>
      </w:r>
      <w:r w:rsidR="00EC7A0E">
        <w:rPr>
          <w:rFonts w:asciiTheme="majorHAnsi" w:hAnsiTheme="majorHAnsi" w:cs="Arial"/>
          <w:sz w:val="20"/>
          <w:szCs w:val="20"/>
        </w:rPr>
        <w:t>, and</w:t>
      </w:r>
      <w:proofErr w:type="gramEnd"/>
      <w:r w:rsidR="00EC7A0E">
        <w:rPr>
          <w:rFonts w:asciiTheme="majorHAnsi" w:hAnsiTheme="majorHAnsi" w:cs="Arial"/>
          <w:sz w:val="20"/>
          <w:szCs w:val="20"/>
        </w:rPr>
        <w:t xml:space="preserve"> may wish to publish spreadsheets provided.</w:t>
      </w:r>
    </w:p>
    <w:p w14:paraId="676267C8" w14:textId="4DBC6EAE" w:rsidR="003A05B7" w:rsidRPr="008541C3" w:rsidRDefault="003A05B7" w:rsidP="008541C3">
      <w:pPr>
        <w:pStyle w:val="Heading1"/>
        <w:numPr>
          <w:ilvl w:val="0"/>
          <w:numId w:val="23"/>
        </w:numPr>
        <w:rPr>
          <w:rFonts w:asciiTheme="majorHAnsi" w:hAnsiTheme="majorHAnsi"/>
          <w:color w:val="auto"/>
          <w:sz w:val="20"/>
          <w:szCs w:val="20"/>
        </w:rPr>
      </w:pPr>
      <w:r w:rsidRPr="008541C3">
        <w:rPr>
          <w:rFonts w:asciiTheme="majorHAnsi" w:hAnsiTheme="majorHAnsi"/>
          <w:color w:val="auto"/>
          <w:sz w:val="20"/>
          <w:szCs w:val="20"/>
        </w:rPr>
        <w:t xml:space="preserve">Quality Assurance </w:t>
      </w:r>
      <w:bookmarkEnd w:id="17"/>
    </w:p>
    <w:p w14:paraId="6ED162BF" w14:textId="77777777" w:rsidR="00D23BBB" w:rsidRPr="00B51BFD" w:rsidRDefault="00D23BBB" w:rsidP="00D23BBB">
      <w:pPr>
        <w:pStyle w:val="PTablebodyCharCharChar"/>
        <w:tabs>
          <w:tab w:val="right" w:pos="709"/>
        </w:tabs>
        <w:spacing w:after="0"/>
        <w:ind w:left="709"/>
        <w:rPr>
          <w:rFonts w:asciiTheme="majorHAnsi" w:hAnsiTheme="majorHAnsi" w:cs="Arial"/>
          <w:sz w:val="20"/>
          <w:szCs w:val="20"/>
        </w:rPr>
      </w:pPr>
      <w:r w:rsidRPr="00B51BFD">
        <w:rPr>
          <w:rFonts w:asciiTheme="majorHAnsi" w:hAnsiTheme="majorHAnsi" w:cs="Arial"/>
          <w:sz w:val="20"/>
          <w:szCs w:val="20"/>
        </w:rPr>
        <w:t>This project must comply with the ‘CCC – Quality Assurance of Evidence and Analysis’ guidance</w:t>
      </w:r>
      <w:r w:rsidRPr="00B51BFD">
        <w:rPr>
          <w:rFonts w:asciiTheme="majorHAnsi" w:hAnsiTheme="majorHAnsi"/>
          <w:sz w:val="20"/>
          <w:szCs w:val="20"/>
          <w:vertAlign w:val="superscript"/>
        </w:rPr>
        <w:footnoteReference w:id="1"/>
      </w:r>
      <w:r w:rsidRPr="00B51BFD">
        <w:rPr>
          <w:rFonts w:asciiTheme="majorHAnsi" w:hAnsiTheme="majorHAnsi" w:cs="Arial"/>
          <w:sz w:val="20"/>
          <w:szCs w:val="20"/>
        </w:rPr>
        <w:t xml:space="preserve"> and bidders must set out their approach to quality assurance in their response to this ITT.  </w:t>
      </w:r>
    </w:p>
    <w:p w14:paraId="71C63D2F" w14:textId="77777777" w:rsidR="00D23BBB" w:rsidRPr="00B51BFD" w:rsidRDefault="00D23BBB" w:rsidP="00D23BBB">
      <w:pPr>
        <w:pStyle w:val="PTablebodyCharCharChar"/>
        <w:tabs>
          <w:tab w:val="right" w:pos="709"/>
        </w:tabs>
        <w:spacing w:after="0"/>
        <w:ind w:left="709"/>
        <w:rPr>
          <w:rFonts w:asciiTheme="majorHAnsi" w:hAnsiTheme="majorHAnsi" w:cs="Arial"/>
          <w:sz w:val="20"/>
          <w:szCs w:val="20"/>
        </w:rPr>
      </w:pPr>
    </w:p>
    <w:p w14:paraId="5D262165" w14:textId="77777777" w:rsidR="00D23BBB" w:rsidRPr="00B51BFD" w:rsidRDefault="00D23BBB" w:rsidP="00D23BBB">
      <w:pPr>
        <w:pStyle w:val="PTablebodyCharCharChar"/>
        <w:tabs>
          <w:tab w:val="right" w:pos="709"/>
        </w:tabs>
        <w:spacing w:after="0"/>
        <w:ind w:left="709"/>
        <w:rPr>
          <w:rFonts w:asciiTheme="majorHAnsi" w:hAnsiTheme="majorHAnsi" w:cs="Arial"/>
          <w:sz w:val="20"/>
          <w:szCs w:val="20"/>
        </w:rPr>
      </w:pPr>
      <w:r w:rsidRPr="00B51BFD">
        <w:rPr>
          <w:rFonts w:asciiTheme="majorHAnsi" w:hAnsiTheme="majorHAnsi" w:cs="Arial"/>
          <w:sz w:val="20"/>
          <w:szCs w:val="20"/>
        </w:rPr>
        <w:t xml:space="preserve">All research tasks and modelling must be quality assured and documented. Contractors should: </w:t>
      </w:r>
    </w:p>
    <w:p w14:paraId="1ADBFA22" w14:textId="77777777" w:rsidR="00D23BBB" w:rsidRPr="00B51BFD" w:rsidRDefault="00D23BBB" w:rsidP="00D23BBB">
      <w:pPr>
        <w:pStyle w:val="PTablebodyCharCharChar"/>
        <w:numPr>
          <w:ilvl w:val="0"/>
          <w:numId w:val="13"/>
        </w:numPr>
        <w:tabs>
          <w:tab w:val="right" w:pos="709"/>
        </w:tabs>
        <w:spacing w:after="0"/>
        <w:ind w:left="1429"/>
        <w:rPr>
          <w:rFonts w:asciiTheme="majorHAnsi" w:hAnsiTheme="majorHAnsi" w:cs="Arial"/>
          <w:sz w:val="20"/>
          <w:szCs w:val="20"/>
        </w:rPr>
      </w:pPr>
      <w:r w:rsidRPr="00B51BFD">
        <w:rPr>
          <w:rFonts w:asciiTheme="majorHAnsi" w:hAnsiTheme="majorHAnsi" w:cs="Arial"/>
          <w:sz w:val="20"/>
          <w:szCs w:val="20"/>
        </w:rPr>
        <w:t xml:space="preserve">Include a quality assurance (QA) plan that they will apply to all of the research tasks and modelling, </w:t>
      </w:r>
    </w:p>
    <w:p w14:paraId="0417A70C" w14:textId="77777777" w:rsidR="00D23BBB" w:rsidRPr="00B51BFD" w:rsidRDefault="00D23BBB" w:rsidP="00D23BBB">
      <w:pPr>
        <w:pStyle w:val="PTablebodyCharCharChar"/>
        <w:numPr>
          <w:ilvl w:val="0"/>
          <w:numId w:val="13"/>
        </w:numPr>
        <w:tabs>
          <w:tab w:val="right" w:pos="709"/>
        </w:tabs>
        <w:spacing w:after="0"/>
        <w:ind w:left="1429"/>
        <w:rPr>
          <w:rFonts w:asciiTheme="majorHAnsi" w:hAnsiTheme="majorHAnsi" w:cs="Arial"/>
          <w:sz w:val="20"/>
          <w:szCs w:val="20"/>
        </w:rPr>
      </w:pPr>
      <w:r w:rsidRPr="00B51BFD">
        <w:rPr>
          <w:rFonts w:asciiTheme="majorHAnsi" w:hAnsiTheme="majorHAnsi" w:cs="Arial"/>
          <w:sz w:val="20"/>
          <w:szCs w:val="20"/>
        </w:rPr>
        <w:t>Specify who will take lead responsibility for ensuring quality assurance and ensure that this responsibility rests with an individual not directly involved in the research, analysis or model development,</w:t>
      </w:r>
    </w:p>
    <w:p w14:paraId="1A702FC8" w14:textId="77777777" w:rsidR="00D23BBB" w:rsidRPr="00B51BFD" w:rsidRDefault="00D23BBB" w:rsidP="00D23BBB">
      <w:pPr>
        <w:pStyle w:val="PTablebodyCharCharChar"/>
        <w:numPr>
          <w:ilvl w:val="0"/>
          <w:numId w:val="13"/>
        </w:numPr>
        <w:tabs>
          <w:tab w:val="right" w:pos="709"/>
        </w:tabs>
        <w:spacing w:after="0"/>
        <w:ind w:left="1429"/>
        <w:rPr>
          <w:rFonts w:asciiTheme="majorHAnsi" w:hAnsiTheme="majorHAnsi" w:cs="Arial"/>
          <w:sz w:val="20"/>
          <w:szCs w:val="20"/>
        </w:rPr>
      </w:pPr>
      <w:r w:rsidRPr="00B51BFD">
        <w:rPr>
          <w:rFonts w:asciiTheme="majorHAnsi" w:hAnsiTheme="majorHAnsi" w:cs="Arial"/>
          <w:sz w:val="20"/>
          <w:szCs w:val="20"/>
        </w:rPr>
        <w:t>Provide QA log to demonstrate the QA undertaken, including who undertook the QA and the scope, type and level of QA that has been undertaken (e.g. a log entry only stating ‘the data was checked’ will not be sufficient),</w:t>
      </w:r>
    </w:p>
    <w:p w14:paraId="5CE5DCE1" w14:textId="77777777" w:rsidR="00D23BBB" w:rsidRPr="00B51BFD" w:rsidRDefault="00D23BBB" w:rsidP="00D23BBB">
      <w:pPr>
        <w:pStyle w:val="PTablebodyCharCharChar"/>
        <w:numPr>
          <w:ilvl w:val="0"/>
          <w:numId w:val="13"/>
        </w:numPr>
        <w:tabs>
          <w:tab w:val="right" w:pos="709"/>
        </w:tabs>
        <w:spacing w:after="0"/>
        <w:ind w:left="1429"/>
        <w:rPr>
          <w:rFonts w:asciiTheme="majorHAnsi" w:hAnsiTheme="majorHAnsi" w:cs="Arial"/>
          <w:sz w:val="20"/>
          <w:szCs w:val="20"/>
        </w:rPr>
      </w:pPr>
      <w:r w:rsidRPr="00B51BFD">
        <w:rPr>
          <w:rFonts w:asciiTheme="majorHAnsi" w:hAnsiTheme="majorHAnsi" w:cs="Arial"/>
          <w:sz w:val="20"/>
          <w:szCs w:val="20"/>
        </w:rPr>
        <w:t xml:space="preserve">Allow for a meeting with CCC staff to run through QA performed. </w:t>
      </w:r>
    </w:p>
    <w:p w14:paraId="795779AE" w14:textId="77777777" w:rsidR="00D23BBB" w:rsidRPr="00B51BFD" w:rsidRDefault="00D23BBB" w:rsidP="00D23BBB">
      <w:pPr>
        <w:pStyle w:val="PTablebodyCharCharChar"/>
        <w:tabs>
          <w:tab w:val="right" w:pos="709"/>
        </w:tabs>
        <w:spacing w:after="0"/>
        <w:ind w:left="709"/>
        <w:rPr>
          <w:rFonts w:asciiTheme="majorHAnsi" w:hAnsiTheme="majorHAnsi" w:cs="Arial"/>
          <w:sz w:val="20"/>
          <w:szCs w:val="20"/>
        </w:rPr>
      </w:pPr>
    </w:p>
    <w:p w14:paraId="2BE3EF2A" w14:textId="77777777" w:rsidR="00D23BBB" w:rsidRPr="00B51BFD" w:rsidRDefault="00D23BBB" w:rsidP="00D23BBB">
      <w:pPr>
        <w:pStyle w:val="PTablebodyCharCharChar"/>
        <w:tabs>
          <w:tab w:val="right" w:pos="709"/>
        </w:tabs>
        <w:spacing w:after="0"/>
        <w:ind w:left="709"/>
        <w:rPr>
          <w:rFonts w:asciiTheme="majorHAnsi" w:hAnsiTheme="majorHAnsi" w:cs="Arial"/>
          <w:sz w:val="20"/>
          <w:szCs w:val="20"/>
        </w:rPr>
      </w:pPr>
      <w:r w:rsidRPr="00B51BFD">
        <w:rPr>
          <w:rFonts w:asciiTheme="majorHAnsi" w:hAnsiTheme="majorHAnsi" w:cs="Arial"/>
          <w:sz w:val="20"/>
          <w:szCs w:val="20"/>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625AE7E9" w14:textId="77777777" w:rsidR="00D23BBB" w:rsidRPr="00B51BFD" w:rsidRDefault="00D23BBB" w:rsidP="00D23BBB">
      <w:pPr>
        <w:pStyle w:val="PTablebodyCharCharChar"/>
        <w:tabs>
          <w:tab w:val="right" w:pos="709"/>
        </w:tabs>
        <w:spacing w:after="0"/>
        <w:ind w:left="709"/>
        <w:rPr>
          <w:rFonts w:asciiTheme="majorHAnsi" w:hAnsiTheme="majorHAnsi" w:cs="Arial"/>
          <w:sz w:val="20"/>
          <w:szCs w:val="20"/>
        </w:rPr>
      </w:pPr>
    </w:p>
    <w:p w14:paraId="547FC4B0" w14:textId="77777777" w:rsidR="00D23BBB" w:rsidRPr="00B51BFD" w:rsidRDefault="00D23BBB" w:rsidP="00D23BBB">
      <w:pPr>
        <w:pStyle w:val="PTablebodyCharCharChar"/>
        <w:tabs>
          <w:tab w:val="right" w:pos="709"/>
        </w:tabs>
        <w:spacing w:after="0"/>
        <w:ind w:left="709"/>
        <w:rPr>
          <w:rFonts w:asciiTheme="majorHAnsi" w:hAnsiTheme="majorHAnsi" w:cs="Arial"/>
          <w:sz w:val="20"/>
          <w:szCs w:val="20"/>
        </w:rPr>
      </w:pPr>
      <w:r w:rsidRPr="00B51BFD">
        <w:rPr>
          <w:rFonts w:asciiTheme="majorHAnsi" w:hAnsiTheme="majorHAnsi" w:cs="Arial"/>
          <w:sz w:val="20"/>
          <w:szCs w:val="20"/>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44A9751F" w14:textId="77777777" w:rsidR="00D23BBB" w:rsidRPr="0038388A" w:rsidRDefault="00D23BBB" w:rsidP="00D23BBB">
      <w:pPr>
        <w:pStyle w:val="Norma"/>
        <w:ind w:left="720"/>
        <w:jc w:val="both"/>
        <w:rPr>
          <w:rFonts w:asciiTheme="minorHAnsi" w:hAnsiTheme="minorHAnsi" w:cs="Arial"/>
          <w:b/>
          <w:bCs/>
          <w:iCs/>
          <w:color w:val="FF0000"/>
          <w:sz w:val="20"/>
          <w:szCs w:val="20"/>
        </w:rPr>
      </w:pPr>
    </w:p>
    <w:p w14:paraId="410352B9" w14:textId="72F527CC" w:rsidR="003A05B7" w:rsidRPr="008541C3" w:rsidRDefault="003A05B7" w:rsidP="008541C3">
      <w:pPr>
        <w:pStyle w:val="Heading1"/>
        <w:numPr>
          <w:ilvl w:val="0"/>
          <w:numId w:val="23"/>
        </w:numPr>
        <w:rPr>
          <w:rFonts w:asciiTheme="majorHAnsi" w:hAnsiTheme="majorHAnsi"/>
          <w:color w:val="auto"/>
          <w:sz w:val="20"/>
          <w:szCs w:val="20"/>
        </w:rPr>
      </w:pPr>
      <w:bookmarkStart w:id="19" w:name="_Ref373505215"/>
      <w:bookmarkStart w:id="20" w:name="_Toc381969513"/>
      <w:bookmarkStart w:id="21" w:name="_Toc405888462"/>
      <w:r w:rsidRPr="008541C3">
        <w:rPr>
          <w:rFonts w:asciiTheme="majorHAnsi" w:hAnsiTheme="majorHAnsi"/>
          <w:color w:val="auto"/>
          <w:sz w:val="20"/>
          <w:szCs w:val="20"/>
        </w:rPr>
        <w:t>Timetable</w:t>
      </w:r>
      <w:bookmarkEnd w:id="18"/>
      <w:bookmarkEnd w:id="19"/>
      <w:bookmarkEnd w:id="20"/>
      <w:bookmarkEnd w:id="21"/>
    </w:p>
    <w:p w14:paraId="4CC41AD7" w14:textId="77777777" w:rsidR="00D23BBB" w:rsidRDefault="00D23BBB" w:rsidP="00D23BBB">
      <w:pPr>
        <w:pStyle w:val="BodyText"/>
        <w:spacing w:line="276" w:lineRule="auto"/>
        <w:ind w:left="720"/>
        <w:rPr>
          <w:rFonts w:asciiTheme="majorHAnsi" w:hAnsiTheme="majorHAnsi" w:cs="Arial"/>
          <w:bCs/>
          <w:color w:val="auto"/>
          <w:szCs w:val="20"/>
        </w:rPr>
      </w:pPr>
    </w:p>
    <w:p w14:paraId="30C554B3" w14:textId="245EBCA6" w:rsidR="00D23BBB" w:rsidRPr="00D453C3" w:rsidRDefault="00D23BBB" w:rsidP="00D23BBB">
      <w:pPr>
        <w:pStyle w:val="BodyText"/>
        <w:spacing w:line="276" w:lineRule="auto"/>
        <w:ind w:left="720"/>
        <w:rPr>
          <w:rFonts w:asciiTheme="majorHAnsi" w:hAnsiTheme="majorHAnsi" w:cs="Arial"/>
          <w:bCs/>
          <w:color w:val="auto"/>
          <w:szCs w:val="20"/>
        </w:rPr>
      </w:pPr>
      <w:r w:rsidRPr="00D453C3">
        <w:rPr>
          <w:rFonts w:asciiTheme="majorHAnsi" w:hAnsiTheme="majorHAnsi" w:cs="Arial"/>
          <w:bCs/>
          <w:color w:val="auto"/>
          <w:szCs w:val="20"/>
        </w:rPr>
        <w:t>The proposed timetable for the project is set out in the following table. There is flexibility on the specific days, but the ultimate deadline for the final outputs is</w:t>
      </w:r>
      <w:r>
        <w:rPr>
          <w:rFonts w:asciiTheme="majorHAnsi" w:hAnsiTheme="majorHAnsi" w:cs="Arial"/>
          <w:bCs/>
          <w:color w:val="auto"/>
          <w:szCs w:val="20"/>
        </w:rPr>
        <w:t xml:space="preserve"> </w:t>
      </w:r>
      <w:r w:rsidR="00C13DC6">
        <w:rPr>
          <w:rFonts w:asciiTheme="majorHAnsi" w:hAnsiTheme="majorHAnsi" w:cs="Arial"/>
          <w:bCs/>
          <w:color w:val="auto"/>
          <w:szCs w:val="20"/>
        </w:rPr>
        <w:t xml:space="preserve">mid-March, with a maximum of </w:t>
      </w:r>
      <w:r w:rsidR="00992925">
        <w:rPr>
          <w:rFonts w:asciiTheme="majorHAnsi" w:hAnsiTheme="majorHAnsi" w:cs="Arial"/>
          <w:bCs/>
          <w:color w:val="auto"/>
          <w:szCs w:val="20"/>
        </w:rPr>
        <w:t xml:space="preserve">activity costing £5000 </w:t>
      </w:r>
      <w:r w:rsidR="00C13DC6">
        <w:rPr>
          <w:rFonts w:asciiTheme="majorHAnsi" w:hAnsiTheme="majorHAnsi" w:cs="Arial"/>
          <w:bCs/>
          <w:color w:val="auto"/>
          <w:szCs w:val="20"/>
        </w:rPr>
        <w:t xml:space="preserve">applicable in April (with the rest needing to </w:t>
      </w:r>
      <w:r w:rsidR="00992925">
        <w:rPr>
          <w:rFonts w:asciiTheme="majorHAnsi" w:hAnsiTheme="majorHAnsi" w:cs="Arial"/>
          <w:bCs/>
          <w:color w:val="auto"/>
          <w:szCs w:val="20"/>
        </w:rPr>
        <w:t xml:space="preserve">take place </w:t>
      </w:r>
      <w:r w:rsidR="00C13DC6">
        <w:rPr>
          <w:rFonts w:asciiTheme="majorHAnsi" w:hAnsiTheme="majorHAnsi" w:cs="Arial"/>
          <w:bCs/>
          <w:color w:val="auto"/>
          <w:szCs w:val="20"/>
        </w:rPr>
        <w:t xml:space="preserve"> in March)</w:t>
      </w:r>
      <w:r w:rsidRPr="00D453C3">
        <w:rPr>
          <w:rFonts w:asciiTheme="majorHAnsi" w:hAnsiTheme="majorHAnsi" w:cs="Arial"/>
          <w:bCs/>
          <w:color w:val="auto"/>
          <w:szCs w:val="20"/>
        </w:rPr>
        <w:t xml:space="preserve">. </w:t>
      </w:r>
    </w:p>
    <w:p w14:paraId="1D4F1A17" w14:textId="77777777" w:rsidR="00D23BBB" w:rsidRDefault="00D23BBB" w:rsidP="00D23BBB">
      <w:pPr>
        <w:pStyle w:val="Norma"/>
        <w:ind w:left="720"/>
        <w:rPr>
          <w:rFonts w:asciiTheme="minorHAnsi" w:hAnsiTheme="minorHAnsi"/>
          <w:b/>
          <w:color w:val="FF0000"/>
          <w:sz w:val="20"/>
          <w:szCs w:val="20"/>
        </w:rPr>
      </w:pPr>
    </w:p>
    <w:tbl>
      <w:tblPr>
        <w:tblW w:w="4771" w:type="pct"/>
        <w:tblInd w:w="51"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379"/>
        <w:gridCol w:w="5096"/>
      </w:tblGrid>
      <w:tr w:rsidR="00D23BBB" w14:paraId="0B416260" w14:textId="77777777" w:rsidTr="00C13DC6">
        <w:tc>
          <w:tcPr>
            <w:tcW w:w="2379" w:type="dxa"/>
            <w:tcBorders>
              <w:top w:val="single" w:sz="12" w:space="0" w:color="000000"/>
              <w:left w:val="single" w:sz="12" w:space="0" w:color="000000"/>
              <w:bottom w:val="single" w:sz="12" w:space="0" w:color="000000"/>
              <w:right w:val="single" w:sz="8" w:space="0" w:color="000000"/>
            </w:tcBorders>
            <w:hideMark/>
          </w:tcPr>
          <w:p w14:paraId="7EA8ADA2" w14:textId="77777777" w:rsidR="00D23BBB" w:rsidRPr="00BB0FBF" w:rsidRDefault="00D23BBB" w:rsidP="00260298">
            <w:pPr>
              <w:keepNext/>
              <w:spacing w:line="276" w:lineRule="auto"/>
              <w:rPr>
                <w:rFonts w:asciiTheme="majorHAnsi" w:hAnsiTheme="majorHAnsi" w:cs="Arial"/>
                <w:b/>
                <w:bCs/>
                <w:color w:val="000000"/>
                <w:sz w:val="20"/>
                <w:szCs w:val="20"/>
              </w:rPr>
            </w:pPr>
            <w:r w:rsidRPr="00BB0FBF">
              <w:rPr>
                <w:rFonts w:asciiTheme="majorHAnsi" w:hAnsiTheme="majorHAnsi" w:cs="Arial"/>
                <w:b/>
                <w:bCs/>
                <w:color w:val="000000"/>
                <w:sz w:val="20"/>
                <w:szCs w:val="20"/>
              </w:rPr>
              <w:t>Date</w:t>
            </w:r>
          </w:p>
        </w:tc>
        <w:tc>
          <w:tcPr>
            <w:tcW w:w="5096" w:type="dxa"/>
            <w:tcBorders>
              <w:top w:val="single" w:sz="12" w:space="0" w:color="000000"/>
              <w:left w:val="single" w:sz="8" w:space="0" w:color="000000"/>
              <w:bottom w:val="single" w:sz="12" w:space="0" w:color="000000"/>
              <w:right w:val="single" w:sz="12" w:space="0" w:color="000000"/>
            </w:tcBorders>
            <w:hideMark/>
          </w:tcPr>
          <w:p w14:paraId="281A126B" w14:textId="77777777" w:rsidR="00D23BBB" w:rsidRPr="00BB0FBF" w:rsidRDefault="00D23BBB" w:rsidP="00260298">
            <w:pPr>
              <w:keepNext/>
              <w:spacing w:line="276" w:lineRule="auto"/>
              <w:rPr>
                <w:rFonts w:asciiTheme="majorHAnsi" w:hAnsiTheme="majorHAnsi" w:cs="Arial"/>
                <w:b/>
                <w:bCs/>
                <w:color w:val="000000"/>
                <w:sz w:val="20"/>
                <w:szCs w:val="20"/>
              </w:rPr>
            </w:pPr>
            <w:r w:rsidRPr="00BB0FBF">
              <w:rPr>
                <w:rFonts w:asciiTheme="majorHAnsi" w:hAnsiTheme="majorHAnsi" w:cs="Arial"/>
                <w:b/>
                <w:bCs/>
                <w:color w:val="000000"/>
                <w:sz w:val="20"/>
                <w:szCs w:val="20"/>
              </w:rPr>
              <w:t>Action</w:t>
            </w:r>
          </w:p>
        </w:tc>
      </w:tr>
      <w:tr w:rsidR="00D23BBB" w14:paraId="06414F2D" w14:textId="77777777" w:rsidTr="00C13DC6">
        <w:tc>
          <w:tcPr>
            <w:tcW w:w="2379" w:type="dxa"/>
            <w:tcBorders>
              <w:top w:val="single" w:sz="6" w:space="0" w:color="000000"/>
              <w:left w:val="single" w:sz="12" w:space="0" w:color="000000"/>
              <w:bottom w:val="single" w:sz="6" w:space="0" w:color="000000"/>
              <w:right w:val="single" w:sz="6" w:space="0" w:color="000000"/>
            </w:tcBorders>
          </w:tcPr>
          <w:p w14:paraId="6667A5A2" w14:textId="347A2670" w:rsidR="00D23BBB" w:rsidRPr="00BB0FBF" w:rsidRDefault="00D23BBB" w:rsidP="00260298">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Wed 2</w:t>
            </w:r>
            <w:r w:rsidRPr="002D3396">
              <w:rPr>
                <w:rFonts w:asciiTheme="majorHAnsi" w:hAnsiTheme="majorHAnsi" w:cs="Arial"/>
                <w:color w:val="000000"/>
                <w:sz w:val="20"/>
                <w:szCs w:val="20"/>
                <w:vertAlign w:val="superscript"/>
              </w:rPr>
              <w:t>nd</w:t>
            </w:r>
            <w:r>
              <w:rPr>
                <w:rFonts w:asciiTheme="majorHAnsi" w:hAnsiTheme="majorHAnsi" w:cs="Arial"/>
                <w:color w:val="000000"/>
                <w:sz w:val="20"/>
                <w:szCs w:val="20"/>
              </w:rPr>
              <w:t xml:space="preserve"> March/Thurs 3</w:t>
            </w:r>
            <w:r w:rsidRPr="00BB0FBF">
              <w:rPr>
                <w:rFonts w:asciiTheme="majorHAnsi" w:hAnsiTheme="majorHAnsi" w:cs="Arial"/>
                <w:color w:val="000000"/>
                <w:sz w:val="20"/>
                <w:szCs w:val="20"/>
                <w:vertAlign w:val="superscript"/>
              </w:rPr>
              <w:t>rd</w:t>
            </w:r>
            <w:r>
              <w:rPr>
                <w:rFonts w:asciiTheme="majorHAnsi" w:hAnsiTheme="majorHAnsi" w:cs="Arial"/>
                <w:color w:val="000000"/>
                <w:sz w:val="20"/>
                <w:szCs w:val="20"/>
              </w:rPr>
              <w:t xml:space="preserve"> March</w:t>
            </w:r>
          </w:p>
        </w:tc>
        <w:tc>
          <w:tcPr>
            <w:tcW w:w="5096" w:type="dxa"/>
            <w:tcBorders>
              <w:top w:val="single" w:sz="6" w:space="0" w:color="000000"/>
              <w:left w:val="single" w:sz="6" w:space="0" w:color="000000"/>
              <w:bottom w:val="single" w:sz="6" w:space="0" w:color="000000"/>
              <w:right w:val="single" w:sz="12" w:space="0" w:color="000000"/>
            </w:tcBorders>
          </w:tcPr>
          <w:p w14:paraId="314A30DD" w14:textId="77777777" w:rsidR="00D23BBB" w:rsidRPr="00BB0FBF" w:rsidRDefault="00D23BBB" w:rsidP="00260298">
            <w:pPr>
              <w:keepNext/>
              <w:spacing w:line="276" w:lineRule="auto"/>
              <w:rPr>
                <w:rFonts w:asciiTheme="majorHAnsi" w:hAnsiTheme="majorHAnsi" w:cs="Arial"/>
                <w:color w:val="000000"/>
                <w:sz w:val="20"/>
                <w:szCs w:val="20"/>
              </w:rPr>
            </w:pPr>
            <w:r w:rsidRPr="00BB0FBF">
              <w:rPr>
                <w:rFonts w:asciiTheme="majorHAnsi" w:hAnsiTheme="majorHAnsi" w:cs="Arial"/>
                <w:color w:val="000000"/>
                <w:sz w:val="20"/>
                <w:szCs w:val="20"/>
              </w:rPr>
              <w:t>Kick-off meeting</w:t>
            </w:r>
          </w:p>
        </w:tc>
      </w:tr>
      <w:tr w:rsidR="00C13DC6" w:rsidRPr="00BB0FBF" w14:paraId="77200749" w14:textId="77777777" w:rsidTr="00C13DC6">
        <w:trPr>
          <w:trHeight w:val="878"/>
        </w:trPr>
        <w:tc>
          <w:tcPr>
            <w:tcW w:w="2379" w:type="dxa"/>
            <w:tcBorders>
              <w:top w:val="single" w:sz="6" w:space="0" w:color="000000"/>
              <w:left w:val="single" w:sz="12" w:space="0" w:color="000000"/>
              <w:bottom w:val="single" w:sz="6" w:space="0" w:color="000000"/>
              <w:right w:val="single" w:sz="6" w:space="0" w:color="000000"/>
            </w:tcBorders>
          </w:tcPr>
          <w:p w14:paraId="21BBC7B4" w14:textId="1F6E8DB6" w:rsidR="00C13DC6" w:rsidRDefault="00C13DC6" w:rsidP="00260298">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Mid-March</w:t>
            </w:r>
          </w:p>
        </w:tc>
        <w:tc>
          <w:tcPr>
            <w:tcW w:w="5096" w:type="dxa"/>
            <w:tcBorders>
              <w:top w:val="single" w:sz="6" w:space="0" w:color="000000"/>
              <w:left w:val="single" w:sz="6" w:space="0" w:color="000000"/>
              <w:bottom w:val="single" w:sz="6" w:space="0" w:color="000000"/>
              <w:right w:val="single" w:sz="12" w:space="0" w:color="000000"/>
            </w:tcBorders>
          </w:tcPr>
          <w:p w14:paraId="3BE91038" w14:textId="28F50C38" w:rsidR="00C13DC6" w:rsidRPr="00BB0FBF" w:rsidRDefault="00C13DC6" w:rsidP="00260298">
            <w:pPr>
              <w:keepNext/>
              <w:spacing w:line="276" w:lineRule="auto"/>
              <w:rPr>
                <w:rFonts w:asciiTheme="majorHAnsi" w:hAnsiTheme="majorHAnsi" w:cs="Arial"/>
                <w:color w:val="000000"/>
                <w:sz w:val="20"/>
                <w:szCs w:val="20"/>
              </w:rPr>
            </w:pPr>
            <w:r w:rsidRPr="00BB0FBF">
              <w:rPr>
                <w:rFonts w:asciiTheme="majorHAnsi" w:hAnsiTheme="majorHAnsi" w:cs="Arial"/>
                <w:color w:val="000000"/>
                <w:sz w:val="20"/>
                <w:szCs w:val="20"/>
              </w:rPr>
              <w:t>First interim presentation/</w:t>
            </w:r>
            <w:r>
              <w:rPr>
                <w:rFonts w:asciiTheme="majorHAnsi" w:hAnsiTheme="majorHAnsi" w:cs="Arial"/>
                <w:color w:val="000000"/>
                <w:sz w:val="20"/>
                <w:szCs w:val="20"/>
              </w:rPr>
              <w:t xml:space="preserve">draft </w:t>
            </w:r>
            <w:r w:rsidR="00EC7A0E">
              <w:rPr>
                <w:rFonts w:asciiTheme="majorHAnsi" w:hAnsiTheme="majorHAnsi" w:cs="Arial"/>
                <w:color w:val="000000"/>
                <w:sz w:val="20"/>
                <w:szCs w:val="20"/>
              </w:rPr>
              <w:t xml:space="preserve">Excel </w:t>
            </w:r>
            <w:r>
              <w:rPr>
                <w:rFonts w:asciiTheme="majorHAnsi" w:hAnsiTheme="majorHAnsi" w:cs="Arial"/>
                <w:color w:val="000000"/>
                <w:sz w:val="20"/>
                <w:szCs w:val="20"/>
              </w:rPr>
              <w:t>with</w:t>
            </w:r>
            <w:r w:rsidRPr="00BB0FBF">
              <w:rPr>
                <w:rFonts w:asciiTheme="majorHAnsi" w:hAnsiTheme="majorHAnsi" w:cs="Arial"/>
                <w:color w:val="000000"/>
                <w:sz w:val="20"/>
                <w:szCs w:val="20"/>
              </w:rPr>
              <w:t xml:space="preserve"> initial data findings</w:t>
            </w:r>
          </w:p>
        </w:tc>
      </w:tr>
      <w:tr w:rsidR="00D23BBB" w:rsidRPr="00BB0FBF" w14:paraId="16E8F0B5" w14:textId="77777777" w:rsidTr="00C13DC6">
        <w:trPr>
          <w:trHeight w:val="878"/>
        </w:trPr>
        <w:tc>
          <w:tcPr>
            <w:tcW w:w="2379" w:type="dxa"/>
            <w:tcBorders>
              <w:top w:val="single" w:sz="6" w:space="0" w:color="000000"/>
              <w:left w:val="single" w:sz="12" w:space="0" w:color="000000"/>
              <w:bottom w:val="single" w:sz="6" w:space="0" w:color="000000"/>
              <w:right w:val="single" w:sz="6" w:space="0" w:color="000000"/>
            </w:tcBorders>
          </w:tcPr>
          <w:p w14:paraId="1287305E" w14:textId="6829F76A" w:rsidR="00D23BBB" w:rsidRPr="00BB0FBF" w:rsidRDefault="00D23BBB" w:rsidP="00260298">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End of March</w:t>
            </w:r>
          </w:p>
        </w:tc>
        <w:tc>
          <w:tcPr>
            <w:tcW w:w="5096" w:type="dxa"/>
            <w:tcBorders>
              <w:top w:val="single" w:sz="6" w:space="0" w:color="000000"/>
              <w:left w:val="single" w:sz="6" w:space="0" w:color="000000"/>
              <w:bottom w:val="single" w:sz="6" w:space="0" w:color="000000"/>
              <w:right w:val="single" w:sz="12" w:space="0" w:color="000000"/>
            </w:tcBorders>
          </w:tcPr>
          <w:p w14:paraId="67573068" w14:textId="5BE29024" w:rsidR="00D23BBB" w:rsidRPr="00BB0FBF" w:rsidRDefault="00C13DC6" w:rsidP="00260298">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 xml:space="preserve">Share near-final </w:t>
            </w:r>
            <w:r w:rsidR="00EC7A0E">
              <w:rPr>
                <w:rFonts w:asciiTheme="majorHAnsi" w:hAnsiTheme="majorHAnsi" w:cs="Arial"/>
                <w:color w:val="000000"/>
                <w:sz w:val="20"/>
                <w:szCs w:val="20"/>
              </w:rPr>
              <w:t>Excel</w:t>
            </w:r>
            <w:r>
              <w:rPr>
                <w:rFonts w:asciiTheme="majorHAnsi" w:hAnsiTheme="majorHAnsi" w:cs="Arial"/>
                <w:color w:val="000000"/>
                <w:sz w:val="20"/>
                <w:szCs w:val="20"/>
              </w:rPr>
              <w:t>/written output for CCC review</w:t>
            </w:r>
          </w:p>
        </w:tc>
      </w:tr>
      <w:tr w:rsidR="00D23BBB" w:rsidRPr="00BB0FBF" w14:paraId="6B723FEF" w14:textId="77777777" w:rsidTr="00C13DC6">
        <w:tc>
          <w:tcPr>
            <w:tcW w:w="2379" w:type="dxa"/>
            <w:tcBorders>
              <w:top w:val="single" w:sz="6" w:space="0" w:color="000000"/>
              <w:left w:val="single" w:sz="12" w:space="0" w:color="000000"/>
              <w:bottom w:val="single" w:sz="6" w:space="0" w:color="000000"/>
              <w:right w:val="single" w:sz="6" w:space="0" w:color="000000"/>
            </w:tcBorders>
          </w:tcPr>
          <w:p w14:paraId="01670AF4" w14:textId="0DDE6C7F" w:rsidR="00D23BBB" w:rsidRPr="00BB0FBF" w:rsidRDefault="00992925" w:rsidP="00260298">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 xml:space="preserve">Early </w:t>
            </w:r>
            <w:r w:rsidR="008541C3">
              <w:rPr>
                <w:rFonts w:asciiTheme="majorHAnsi" w:hAnsiTheme="majorHAnsi" w:cs="Arial"/>
                <w:color w:val="000000"/>
                <w:sz w:val="20"/>
                <w:szCs w:val="20"/>
              </w:rPr>
              <w:t>April</w:t>
            </w:r>
          </w:p>
        </w:tc>
        <w:tc>
          <w:tcPr>
            <w:tcW w:w="5096" w:type="dxa"/>
            <w:tcBorders>
              <w:top w:val="single" w:sz="6" w:space="0" w:color="000000"/>
              <w:left w:val="single" w:sz="6" w:space="0" w:color="000000"/>
              <w:bottom w:val="single" w:sz="6" w:space="0" w:color="000000"/>
              <w:right w:val="single" w:sz="12" w:space="0" w:color="000000"/>
            </w:tcBorders>
          </w:tcPr>
          <w:p w14:paraId="691BD2C8" w14:textId="64A5958E" w:rsidR="00D23BBB" w:rsidRPr="00BB0FBF" w:rsidRDefault="00C13DC6" w:rsidP="00260298">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D</w:t>
            </w:r>
            <w:r w:rsidRPr="00BB0FBF">
              <w:rPr>
                <w:rFonts w:asciiTheme="majorHAnsi" w:hAnsiTheme="majorHAnsi" w:cs="Arial"/>
                <w:color w:val="000000"/>
                <w:sz w:val="20"/>
                <w:szCs w:val="20"/>
              </w:rPr>
              <w:t xml:space="preserve">elivery of final </w:t>
            </w:r>
            <w:r>
              <w:rPr>
                <w:rFonts w:asciiTheme="majorHAnsi" w:hAnsiTheme="majorHAnsi" w:cs="Arial"/>
                <w:color w:val="000000"/>
                <w:sz w:val="20"/>
                <w:szCs w:val="20"/>
              </w:rPr>
              <w:t>outputs</w:t>
            </w:r>
          </w:p>
        </w:tc>
      </w:tr>
    </w:tbl>
    <w:p w14:paraId="311E8817" w14:textId="77777777" w:rsidR="00D23BBB" w:rsidRPr="00BB0FBF" w:rsidRDefault="00D23BBB" w:rsidP="00D23BBB">
      <w:pPr>
        <w:pStyle w:val="Norma"/>
        <w:rPr>
          <w:rFonts w:asciiTheme="majorHAnsi" w:hAnsiTheme="majorHAnsi"/>
          <w:b/>
          <w:color w:val="FF0000"/>
          <w:sz w:val="20"/>
          <w:szCs w:val="20"/>
        </w:rPr>
      </w:pPr>
    </w:p>
    <w:p w14:paraId="6A8AE529" w14:textId="05604AB1" w:rsidR="003A05B7" w:rsidRPr="008541C3" w:rsidRDefault="003A05B7" w:rsidP="008541C3">
      <w:pPr>
        <w:pStyle w:val="Heading1"/>
        <w:widowControl w:val="0"/>
        <w:numPr>
          <w:ilvl w:val="0"/>
          <w:numId w:val="23"/>
        </w:numPr>
        <w:overflowPunct w:val="0"/>
        <w:autoSpaceDE w:val="0"/>
        <w:autoSpaceDN w:val="0"/>
        <w:adjustRightInd w:val="0"/>
        <w:spacing w:before="240" w:after="60"/>
        <w:textAlignment w:val="baseline"/>
        <w:rPr>
          <w:rFonts w:asciiTheme="minorHAnsi" w:hAnsiTheme="minorHAnsi"/>
          <w:color w:val="auto"/>
          <w:sz w:val="20"/>
          <w:szCs w:val="20"/>
        </w:rPr>
      </w:pPr>
      <w:bookmarkStart w:id="22" w:name="_Ref357541731"/>
      <w:bookmarkStart w:id="23" w:name="_Toc381969514"/>
      <w:bookmarkStart w:id="24" w:name="_Toc405888463"/>
      <w:r w:rsidRPr="008541C3">
        <w:rPr>
          <w:rFonts w:asciiTheme="minorHAnsi" w:hAnsiTheme="minorHAnsi" w:cs="Arial"/>
          <w:color w:val="auto"/>
          <w:sz w:val="20"/>
          <w:szCs w:val="20"/>
        </w:rPr>
        <w:t>Challenges</w:t>
      </w:r>
      <w:bookmarkEnd w:id="22"/>
      <w:bookmarkEnd w:id="23"/>
      <w:bookmarkEnd w:id="24"/>
    </w:p>
    <w:p w14:paraId="68307AD1" w14:textId="77777777" w:rsidR="005E485B" w:rsidRPr="008541C3" w:rsidRDefault="005E485B" w:rsidP="008541C3">
      <w:pPr>
        <w:pStyle w:val="BodyText"/>
        <w:spacing w:line="276" w:lineRule="auto"/>
        <w:ind w:left="720"/>
        <w:rPr>
          <w:rFonts w:asciiTheme="majorHAnsi" w:hAnsiTheme="majorHAnsi" w:cs="Arial"/>
          <w:bCs/>
          <w:szCs w:val="20"/>
        </w:rPr>
      </w:pPr>
      <w:r w:rsidRPr="008541C3">
        <w:rPr>
          <w:rFonts w:asciiTheme="majorHAnsi" w:hAnsiTheme="majorHAnsi" w:cs="Arial"/>
          <w:bCs/>
          <w:color w:val="auto"/>
          <w:szCs w:val="20"/>
        </w:rPr>
        <w:t>The specific challenges that the CCC envisage with this project include:</w:t>
      </w:r>
    </w:p>
    <w:p w14:paraId="26E48C9A" w14:textId="77777777" w:rsidR="005E485B" w:rsidRPr="008541C3" w:rsidRDefault="005E485B" w:rsidP="008541C3">
      <w:pPr>
        <w:pStyle w:val="BodyText"/>
        <w:spacing w:line="276" w:lineRule="auto"/>
        <w:ind w:left="720"/>
        <w:rPr>
          <w:rFonts w:asciiTheme="majorHAnsi" w:hAnsiTheme="majorHAnsi" w:cs="Arial"/>
          <w:bCs/>
          <w:szCs w:val="20"/>
        </w:rPr>
      </w:pPr>
    </w:p>
    <w:p w14:paraId="2969F89A" w14:textId="6804C5C9" w:rsidR="000600F0" w:rsidRPr="008541C3" w:rsidRDefault="000600F0" w:rsidP="008541C3">
      <w:pPr>
        <w:pStyle w:val="BodyText"/>
        <w:numPr>
          <w:ilvl w:val="0"/>
          <w:numId w:val="18"/>
        </w:numPr>
        <w:spacing w:line="276" w:lineRule="auto"/>
        <w:rPr>
          <w:rFonts w:asciiTheme="majorHAnsi" w:hAnsiTheme="majorHAnsi" w:cs="Arial"/>
          <w:bCs/>
          <w:szCs w:val="20"/>
        </w:rPr>
      </w:pPr>
      <w:bookmarkStart w:id="25" w:name="_Hlk90627383"/>
      <w:r w:rsidRPr="008541C3">
        <w:rPr>
          <w:rFonts w:asciiTheme="majorHAnsi" w:hAnsiTheme="majorHAnsi" w:cs="Arial"/>
          <w:bCs/>
          <w:color w:val="auto"/>
          <w:szCs w:val="20"/>
        </w:rPr>
        <w:t xml:space="preserve">Task A: identifying a useful source of data for an indicator, despite limited data which covers the whole building stock </w:t>
      </w:r>
    </w:p>
    <w:p w14:paraId="28F2C045" w14:textId="55B204AB" w:rsidR="005E485B" w:rsidRPr="008541C3" w:rsidRDefault="000600F0" w:rsidP="008541C3">
      <w:pPr>
        <w:pStyle w:val="BodyText"/>
        <w:numPr>
          <w:ilvl w:val="0"/>
          <w:numId w:val="18"/>
        </w:numPr>
        <w:spacing w:line="276" w:lineRule="auto"/>
        <w:rPr>
          <w:rFonts w:asciiTheme="majorHAnsi" w:hAnsiTheme="majorHAnsi" w:cs="Arial"/>
          <w:bCs/>
          <w:szCs w:val="20"/>
        </w:rPr>
      </w:pPr>
      <w:r w:rsidRPr="008541C3">
        <w:rPr>
          <w:rFonts w:asciiTheme="majorHAnsi" w:hAnsiTheme="majorHAnsi" w:cs="Arial"/>
          <w:bCs/>
          <w:color w:val="auto"/>
          <w:szCs w:val="20"/>
        </w:rPr>
        <w:t xml:space="preserve">Task B: </w:t>
      </w:r>
      <w:r w:rsidR="005E485B" w:rsidRPr="008541C3">
        <w:rPr>
          <w:rFonts w:asciiTheme="majorHAnsi" w:hAnsiTheme="majorHAnsi" w:cs="Arial"/>
          <w:bCs/>
          <w:color w:val="auto"/>
          <w:szCs w:val="20"/>
        </w:rPr>
        <w:t xml:space="preserve">No access to the raw ND-NEED data </w:t>
      </w:r>
    </w:p>
    <w:p w14:paraId="3074F657" w14:textId="107E3B34" w:rsidR="005E485B" w:rsidRPr="008541C3" w:rsidRDefault="000600F0" w:rsidP="008541C3">
      <w:pPr>
        <w:pStyle w:val="BodyText"/>
        <w:numPr>
          <w:ilvl w:val="0"/>
          <w:numId w:val="18"/>
        </w:numPr>
        <w:spacing w:line="276" w:lineRule="auto"/>
        <w:rPr>
          <w:rFonts w:asciiTheme="majorHAnsi" w:hAnsiTheme="majorHAnsi" w:cs="Arial"/>
          <w:bCs/>
          <w:szCs w:val="20"/>
        </w:rPr>
      </w:pPr>
      <w:r w:rsidRPr="008541C3">
        <w:rPr>
          <w:rFonts w:asciiTheme="majorHAnsi" w:hAnsiTheme="majorHAnsi" w:cs="Arial"/>
          <w:bCs/>
          <w:color w:val="auto"/>
          <w:szCs w:val="20"/>
        </w:rPr>
        <w:t xml:space="preserve">Task B: </w:t>
      </w:r>
      <w:r w:rsidR="005E485B" w:rsidRPr="008541C3">
        <w:rPr>
          <w:rFonts w:asciiTheme="majorHAnsi" w:hAnsiTheme="majorHAnsi" w:cs="Arial"/>
          <w:bCs/>
          <w:color w:val="auto"/>
          <w:szCs w:val="20"/>
        </w:rPr>
        <w:t xml:space="preserve">Quantifying the potential drivers of energy consumption baseline differences accurately </w:t>
      </w:r>
    </w:p>
    <w:bookmarkEnd w:id="25"/>
    <w:p w14:paraId="6A5F6AC6" w14:textId="77777777" w:rsidR="005E485B" w:rsidRPr="008541C3" w:rsidRDefault="005E485B" w:rsidP="008541C3">
      <w:pPr>
        <w:pStyle w:val="BodyText"/>
        <w:spacing w:line="276" w:lineRule="auto"/>
        <w:ind w:left="720"/>
        <w:rPr>
          <w:rFonts w:asciiTheme="majorHAnsi" w:hAnsiTheme="majorHAnsi" w:cs="Arial"/>
          <w:bCs/>
          <w:color w:val="auto"/>
          <w:szCs w:val="20"/>
        </w:rPr>
      </w:pPr>
    </w:p>
    <w:p w14:paraId="699012EF" w14:textId="77777777" w:rsidR="005E485B" w:rsidRPr="008541C3" w:rsidRDefault="005E485B" w:rsidP="008541C3">
      <w:pPr>
        <w:pStyle w:val="BodyText"/>
        <w:spacing w:line="276" w:lineRule="auto"/>
        <w:ind w:left="720"/>
        <w:rPr>
          <w:rFonts w:asciiTheme="majorHAnsi" w:hAnsiTheme="majorHAnsi" w:cs="Arial"/>
          <w:bCs/>
          <w:szCs w:val="20"/>
        </w:rPr>
      </w:pPr>
      <w:r w:rsidRPr="008541C3">
        <w:rPr>
          <w:rFonts w:asciiTheme="majorHAnsi" w:hAnsiTheme="majorHAnsi" w:cs="Arial"/>
          <w:bCs/>
          <w:color w:val="auto"/>
          <w:szCs w:val="20"/>
        </w:rPr>
        <w:t xml:space="preserve">Bids should set out how these risks will be managed alongside any other risks and challenges to successfully undertaking this work. </w:t>
      </w:r>
    </w:p>
    <w:p w14:paraId="45656738" w14:textId="6C91CD33" w:rsidR="003A05B7" w:rsidRPr="008541C3" w:rsidRDefault="003A05B7" w:rsidP="008541C3">
      <w:pPr>
        <w:pStyle w:val="Heading1"/>
        <w:widowControl w:val="0"/>
        <w:numPr>
          <w:ilvl w:val="0"/>
          <w:numId w:val="2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26" w:name="_Toc381969515"/>
      <w:bookmarkStart w:id="27" w:name="_Toc405888464"/>
      <w:r w:rsidRPr="008541C3">
        <w:rPr>
          <w:rFonts w:asciiTheme="minorHAnsi" w:hAnsiTheme="minorHAnsi" w:cs="Arial"/>
          <w:color w:val="auto"/>
          <w:sz w:val="20"/>
          <w:szCs w:val="20"/>
        </w:rPr>
        <w:lastRenderedPageBreak/>
        <w:t>Ethics</w:t>
      </w:r>
      <w:bookmarkEnd w:id="26"/>
      <w:bookmarkEnd w:id="27"/>
      <w:r w:rsidRPr="008541C3">
        <w:rPr>
          <w:rFonts w:asciiTheme="minorHAnsi" w:hAnsiTheme="minorHAnsi" w:cs="Arial"/>
          <w:color w:val="auto"/>
          <w:sz w:val="20"/>
          <w:szCs w:val="20"/>
        </w:rPr>
        <w:t xml:space="preserve"> </w:t>
      </w:r>
    </w:p>
    <w:p w14:paraId="5E359EEB" w14:textId="77777777" w:rsidR="003A05B7" w:rsidRDefault="003A05B7" w:rsidP="003A05B7">
      <w:pPr>
        <w:pStyle w:val="ListParagraph"/>
        <w:spacing w:after="0" w:line="240" w:lineRule="auto"/>
        <w:ind w:left="360"/>
        <w:contextualSpacing w:val="0"/>
      </w:pPr>
    </w:p>
    <w:p w14:paraId="4A1E7377" w14:textId="77777777" w:rsidR="0038388A" w:rsidRPr="0038388A" w:rsidRDefault="0038388A" w:rsidP="0038388A">
      <w:pPr>
        <w:ind w:left="720"/>
        <w:jc w:val="both"/>
        <w:rPr>
          <w:rFonts w:cs="Arial"/>
          <w:sz w:val="20"/>
          <w:szCs w:val="20"/>
        </w:rPr>
      </w:pPr>
      <w:r w:rsidRPr="0038388A">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0D406AC2"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7B4C55BC" w14:textId="77777777" w:rsidR="0038388A" w:rsidRPr="0038388A" w:rsidRDefault="0038388A" w:rsidP="0038388A">
      <w:pPr>
        <w:ind w:left="131" w:firstLine="720"/>
        <w:jc w:val="both"/>
        <w:rPr>
          <w:rFonts w:cs="Arial"/>
          <w:sz w:val="20"/>
          <w:szCs w:val="20"/>
        </w:rPr>
      </w:pPr>
      <w:r w:rsidRPr="0038388A">
        <w:rPr>
          <w:rFonts w:cs="Arial"/>
          <w:sz w:val="20"/>
          <w:szCs w:val="20"/>
        </w:rPr>
        <w:t>We expect contractors to adhere to the following GSR Principals:</w:t>
      </w:r>
    </w:p>
    <w:p w14:paraId="3A821584" w14:textId="77777777" w:rsidR="0038388A" w:rsidRPr="0038388A" w:rsidRDefault="0038388A" w:rsidP="0038388A">
      <w:pPr>
        <w:pStyle w:val="ListParagraph"/>
        <w:numPr>
          <w:ilvl w:val="0"/>
          <w:numId w:val="2"/>
        </w:numPr>
        <w:rPr>
          <w:rFonts w:asciiTheme="minorHAnsi" w:hAnsiTheme="minorHAnsi" w:cs="Arial"/>
          <w:iCs/>
          <w:sz w:val="20"/>
          <w:szCs w:val="20"/>
        </w:rPr>
      </w:pPr>
      <w:r w:rsidRPr="0038388A">
        <w:rPr>
          <w:rFonts w:asciiTheme="minorHAnsi" w:hAnsiTheme="minorHAnsi" w:cs="Arial"/>
          <w:iCs/>
          <w:sz w:val="20"/>
          <w:szCs w:val="20"/>
        </w:rPr>
        <w:t>Sound application and conduct of social research methods and appropriate dissemination and utilisation of findings</w:t>
      </w:r>
    </w:p>
    <w:p w14:paraId="2B804B7C"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Participation based on valid consent</w:t>
      </w:r>
    </w:p>
    <w:p w14:paraId="73DCA86A"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Enabling participation</w:t>
      </w:r>
    </w:p>
    <w:p w14:paraId="7335D893"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Avoidance of personal harm</w:t>
      </w:r>
    </w:p>
    <w:p w14:paraId="73C27928" w14:textId="77777777" w:rsidR="0038388A" w:rsidRPr="0038388A" w:rsidRDefault="0038388A" w:rsidP="0038388A">
      <w:pPr>
        <w:pStyle w:val="ListParagraph"/>
        <w:numPr>
          <w:ilvl w:val="0"/>
          <w:numId w:val="2"/>
        </w:numPr>
        <w:spacing w:after="0" w:line="240" w:lineRule="auto"/>
        <w:contextualSpacing w:val="0"/>
        <w:jc w:val="both"/>
        <w:rPr>
          <w:rFonts w:asciiTheme="minorHAnsi" w:hAnsiTheme="minorHAnsi" w:cs="Arial"/>
          <w:iCs/>
          <w:sz w:val="20"/>
          <w:szCs w:val="20"/>
        </w:rPr>
      </w:pPr>
      <w:r w:rsidRPr="0038388A">
        <w:rPr>
          <w:rFonts w:asciiTheme="minorHAnsi" w:hAnsiTheme="minorHAnsi" w:cs="Arial"/>
          <w:iCs/>
          <w:sz w:val="20"/>
          <w:szCs w:val="20"/>
        </w:rPr>
        <w:t>Non-disclosure of identity and personal information</w:t>
      </w:r>
    </w:p>
    <w:p w14:paraId="06AEFA2E"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501229F3" w14:textId="686E37FA" w:rsidR="0038388A" w:rsidRDefault="0038388A" w:rsidP="0038388A">
      <w:pPr>
        <w:pStyle w:val="Norma"/>
        <w:jc w:val="both"/>
        <w:rPr>
          <w:rFonts w:asciiTheme="minorHAnsi" w:hAnsiTheme="minorHAnsi" w:cs="Arial"/>
          <w:b/>
          <w:bCs/>
          <w:iCs/>
          <w:sz w:val="20"/>
          <w:szCs w:val="20"/>
        </w:rPr>
      </w:pPr>
    </w:p>
    <w:p w14:paraId="5FD805DC" w14:textId="3B129B56" w:rsidR="008541C3" w:rsidRPr="008541C3" w:rsidRDefault="008541C3" w:rsidP="008541C3">
      <w:pPr>
        <w:pStyle w:val="Heading1"/>
        <w:widowControl w:val="0"/>
        <w:numPr>
          <w:ilvl w:val="0"/>
          <w:numId w:val="23"/>
        </w:numPr>
        <w:overflowPunct w:val="0"/>
        <w:autoSpaceDE w:val="0"/>
        <w:autoSpaceDN w:val="0"/>
        <w:adjustRightInd w:val="0"/>
        <w:spacing w:before="240" w:after="60"/>
        <w:textAlignment w:val="baseline"/>
        <w:rPr>
          <w:rFonts w:asciiTheme="minorHAnsi" w:hAnsiTheme="minorHAnsi" w:cs="Arial"/>
          <w:color w:val="auto"/>
          <w:sz w:val="20"/>
          <w:szCs w:val="20"/>
        </w:rPr>
      </w:pPr>
      <w:r>
        <w:rPr>
          <w:rFonts w:asciiTheme="minorHAnsi" w:hAnsiTheme="minorHAnsi" w:cs="Arial"/>
          <w:color w:val="auto"/>
          <w:sz w:val="20"/>
          <w:szCs w:val="20"/>
        </w:rPr>
        <w:t xml:space="preserve"> Working Arrangements</w:t>
      </w:r>
    </w:p>
    <w:p w14:paraId="67666FB3" w14:textId="77777777" w:rsidR="008541C3" w:rsidRPr="0038388A" w:rsidRDefault="008541C3" w:rsidP="0038388A">
      <w:pPr>
        <w:pStyle w:val="Norma"/>
        <w:jc w:val="both"/>
        <w:rPr>
          <w:rFonts w:asciiTheme="minorHAnsi" w:hAnsiTheme="minorHAnsi" w:cs="Arial"/>
          <w:b/>
          <w:bCs/>
          <w:iCs/>
          <w:sz w:val="20"/>
          <w:szCs w:val="20"/>
        </w:rPr>
      </w:pPr>
    </w:p>
    <w:p w14:paraId="63E0399A"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38388A" w:rsidRDefault="0038388A" w:rsidP="0038388A">
      <w:pPr>
        <w:pStyle w:val="ListParagraph"/>
        <w:ind w:left="0"/>
        <w:rPr>
          <w:rFonts w:asciiTheme="minorHAnsi" w:eastAsia="Times New Roman" w:hAnsiTheme="minorHAnsi" w:cs="Calibri"/>
          <w:sz w:val="20"/>
          <w:szCs w:val="20"/>
        </w:rPr>
      </w:pPr>
    </w:p>
    <w:p w14:paraId="4A8773AC" w14:textId="10BB34E9" w:rsidR="0038388A" w:rsidRPr="008541C3" w:rsidRDefault="0038388A" w:rsidP="008541C3">
      <w:pPr>
        <w:pStyle w:val="Heading1"/>
        <w:widowControl w:val="0"/>
        <w:numPr>
          <w:ilvl w:val="0"/>
          <w:numId w:val="23"/>
        </w:numPr>
        <w:overflowPunct w:val="0"/>
        <w:autoSpaceDE w:val="0"/>
        <w:autoSpaceDN w:val="0"/>
        <w:adjustRightInd w:val="0"/>
        <w:spacing w:before="240" w:after="60"/>
        <w:textAlignment w:val="baseline"/>
        <w:rPr>
          <w:rFonts w:asciiTheme="minorHAnsi" w:hAnsiTheme="minorHAnsi" w:cs="Arial"/>
          <w:color w:val="auto"/>
          <w:sz w:val="20"/>
          <w:szCs w:val="20"/>
        </w:rPr>
      </w:pPr>
      <w:r w:rsidRPr="008541C3">
        <w:rPr>
          <w:rFonts w:asciiTheme="minorHAnsi" w:hAnsiTheme="minorHAnsi" w:cs="Arial"/>
          <w:color w:val="auto"/>
          <w:sz w:val="20"/>
          <w:szCs w:val="20"/>
        </w:rPr>
        <w:t>Skills and experience</w:t>
      </w:r>
    </w:p>
    <w:p w14:paraId="496D623A" w14:textId="77777777" w:rsidR="0038388A" w:rsidRPr="0038388A" w:rsidRDefault="0038388A" w:rsidP="0038388A">
      <w:pPr>
        <w:pStyle w:val="Norma"/>
        <w:ind w:left="360"/>
        <w:jc w:val="both"/>
        <w:rPr>
          <w:rFonts w:asciiTheme="minorHAnsi" w:hAnsiTheme="minorHAnsi" w:cs="Arial"/>
          <w:sz w:val="20"/>
          <w:szCs w:val="20"/>
        </w:rPr>
      </w:pPr>
    </w:p>
    <w:p w14:paraId="045E359F" w14:textId="7777777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highlight w:val="yellow"/>
        </w:rPr>
      </w:pPr>
      <w:r w:rsidRPr="0038388A">
        <w:rPr>
          <w:rFonts w:asciiTheme="minorHAnsi" w:hAnsiTheme="minorHAnsi" w:cs="Arial"/>
          <w:sz w:val="20"/>
          <w:szCs w:val="20"/>
        </w:rPr>
        <w:tab/>
        <w:t>CCC would like you to demonstrate that you have the experience and capabilities to undertake the project. Your tender response should include a summary of each proposed team members experience and capabilities.</w:t>
      </w:r>
      <w:r w:rsidRPr="0038388A">
        <w:rPr>
          <w:rFonts w:asciiTheme="minorHAnsi" w:hAnsiTheme="minorHAnsi" w:cs="Arial"/>
          <w:sz w:val="20"/>
          <w:szCs w:val="20"/>
          <w:highlight w:val="yellow"/>
        </w:rPr>
        <w:t xml:space="preserve"> </w:t>
      </w:r>
    </w:p>
    <w:p w14:paraId="2D3BD37A" w14:textId="77777777" w:rsidR="0038388A" w:rsidRPr="0038388A" w:rsidRDefault="0038388A" w:rsidP="0038388A">
      <w:pPr>
        <w:pStyle w:val="PTablebodyCharCharChar"/>
        <w:spacing w:after="0"/>
        <w:ind w:left="0"/>
        <w:rPr>
          <w:rFonts w:asciiTheme="minorHAnsi" w:hAnsiTheme="minorHAnsi" w:cs="Arial"/>
          <w:sz w:val="20"/>
          <w:szCs w:val="20"/>
        </w:rPr>
      </w:pPr>
    </w:p>
    <w:p w14:paraId="6B2CCA6E" w14:textId="7777777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rPr>
      </w:pPr>
      <w:r w:rsidRPr="0038388A">
        <w:rPr>
          <w:rFonts w:asciiTheme="minorHAnsi" w:hAnsiTheme="minorHAnsi" w:cs="Arial"/>
          <w:sz w:val="20"/>
          <w:szCs w:val="20"/>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0038388A">
      <w:pPr>
        <w:pStyle w:val="PTablebodyCharCharChar"/>
        <w:spacing w:after="0"/>
        <w:ind w:left="0"/>
        <w:rPr>
          <w:rFonts w:asciiTheme="minorHAnsi" w:hAnsiTheme="minorHAnsi" w:cs="Arial"/>
          <w:sz w:val="20"/>
          <w:szCs w:val="20"/>
        </w:rPr>
      </w:pPr>
    </w:p>
    <w:p w14:paraId="41C5CB48" w14:textId="77777777" w:rsidR="0038388A" w:rsidRPr="0038388A" w:rsidRDefault="0038388A" w:rsidP="0038388A">
      <w:pPr>
        <w:pStyle w:val="Norma"/>
        <w:ind w:left="709"/>
        <w:jc w:val="both"/>
        <w:rPr>
          <w:rFonts w:asciiTheme="minorHAnsi" w:hAnsiTheme="minorHAnsi" w:cs="Arial"/>
          <w:sz w:val="20"/>
          <w:szCs w:val="20"/>
        </w:rPr>
      </w:pPr>
      <w:r w:rsidRPr="0038388A">
        <w:rPr>
          <w:rFonts w:asciiTheme="minorHAnsi" w:hAnsiTheme="minorHAnsi" w:cs="Arial"/>
          <w:sz w:val="20"/>
          <w:szCs w:val="20"/>
        </w:rPr>
        <w:t>Contractors should identify the individual(s) who will be responsible for managing the project.</w:t>
      </w:r>
      <w:bookmarkStart w:id="28" w:name="_Ref338852499"/>
    </w:p>
    <w:p w14:paraId="5C1464B8" w14:textId="77777777" w:rsidR="0038388A" w:rsidRPr="0038388A" w:rsidRDefault="0038388A" w:rsidP="0038388A">
      <w:pPr>
        <w:pStyle w:val="Norma"/>
        <w:jc w:val="both"/>
        <w:rPr>
          <w:rFonts w:asciiTheme="minorHAnsi" w:hAnsiTheme="minorHAnsi" w:cs="Calibri"/>
          <w:sz w:val="20"/>
          <w:szCs w:val="20"/>
        </w:rPr>
      </w:pPr>
    </w:p>
    <w:p w14:paraId="1568BF56" w14:textId="174D7E30" w:rsidR="0038388A" w:rsidRPr="008541C3" w:rsidRDefault="0038388A" w:rsidP="008541C3">
      <w:pPr>
        <w:pStyle w:val="Heading1"/>
        <w:widowControl w:val="0"/>
        <w:numPr>
          <w:ilvl w:val="0"/>
          <w:numId w:val="2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29" w:name="_Ref373505239"/>
      <w:bookmarkStart w:id="30" w:name="_Toc381969518"/>
      <w:bookmarkStart w:id="31" w:name="_Toc405888467"/>
      <w:r w:rsidRPr="008541C3">
        <w:rPr>
          <w:rFonts w:asciiTheme="minorHAnsi" w:hAnsiTheme="minorHAnsi" w:cs="Arial"/>
          <w:color w:val="auto"/>
          <w:sz w:val="20"/>
          <w:szCs w:val="20"/>
        </w:rPr>
        <w:t>Consortium Bids</w:t>
      </w:r>
      <w:bookmarkEnd w:id="29"/>
      <w:bookmarkEnd w:id="30"/>
      <w:bookmarkEnd w:id="31"/>
    </w:p>
    <w:p w14:paraId="6E810D92" w14:textId="77777777" w:rsidR="0038388A" w:rsidRPr="0038388A" w:rsidRDefault="0038388A" w:rsidP="0038388A">
      <w:pPr>
        <w:pStyle w:val="Norma"/>
        <w:ind w:left="360"/>
        <w:jc w:val="both"/>
        <w:rPr>
          <w:rFonts w:asciiTheme="minorHAnsi" w:hAnsiTheme="minorHAnsi" w:cs="Arial"/>
          <w:sz w:val="20"/>
          <w:szCs w:val="20"/>
        </w:rPr>
      </w:pPr>
    </w:p>
    <w:p w14:paraId="67F2973E"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38388A">
        <w:rPr>
          <w:rFonts w:asciiTheme="minorHAnsi" w:hAnsiTheme="minorHAnsi" w:cs="Arial"/>
        </w:rPr>
        <w:t xml:space="preserve">expect the bidder to indicate who in the consortium will be the </w:t>
      </w:r>
      <w:r w:rsidRPr="0038388A">
        <w:rPr>
          <w:rFonts w:asciiTheme="minorHAnsi" w:hAnsiTheme="minorHAnsi" w:cs="Arial"/>
          <w:lang w:eastAsia="en-GB"/>
        </w:rPr>
        <w:t>lead contact for this project, and the organisation and governance associated with the consortia.</w:t>
      </w:r>
    </w:p>
    <w:p w14:paraId="60A11371" w14:textId="77777777" w:rsidR="0038388A" w:rsidRPr="0038388A" w:rsidRDefault="0038388A" w:rsidP="0038388A">
      <w:pPr>
        <w:pStyle w:val="FootnoteText"/>
        <w:ind w:left="567"/>
        <w:jc w:val="both"/>
        <w:rPr>
          <w:rFonts w:asciiTheme="minorHAnsi" w:hAnsiTheme="minorHAnsi" w:cs="Arial"/>
          <w:lang w:eastAsia="en-GB"/>
        </w:rPr>
      </w:pPr>
    </w:p>
    <w:p w14:paraId="1E73C1CD"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59DE9097" w14:textId="77777777" w:rsidR="0038388A" w:rsidRPr="0038388A" w:rsidRDefault="0038388A" w:rsidP="0038388A">
      <w:pPr>
        <w:pStyle w:val="FootnoteText"/>
        <w:ind w:left="567"/>
        <w:jc w:val="both"/>
        <w:rPr>
          <w:rFonts w:asciiTheme="minorHAnsi" w:hAnsiTheme="minorHAnsi" w:cs="Arial"/>
          <w:lang w:eastAsia="en-GB"/>
        </w:rPr>
      </w:pPr>
    </w:p>
    <w:p w14:paraId="4A5DD6C2"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D04AB85" w14:textId="77777777" w:rsidR="0038388A" w:rsidRPr="0038388A" w:rsidRDefault="0038388A" w:rsidP="0038388A">
      <w:pPr>
        <w:pStyle w:val="NoSpacing"/>
        <w:jc w:val="both"/>
        <w:rPr>
          <w:rFonts w:asciiTheme="minorHAnsi" w:hAnsiTheme="minorHAnsi" w:cs="Arial"/>
          <w:sz w:val="20"/>
          <w:szCs w:val="20"/>
        </w:rPr>
      </w:pPr>
    </w:p>
    <w:p w14:paraId="0734B508"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lastRenderedPageBreak/>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1DDBDA6E" w14:textId="47F29D42" w:rsidR="0038388A" w:rsidRPr="008541C3" w:rsidRDefault="0038388A" w:rsidP="008541C3">
      <w:pPr>
        <w:pStyle w:val="Heading1"/>
        <w:widowControl w:val="0"/>
        <w:numPr>
          <w:ilvl w:val="0"/>
          <w:numId w:val="2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2" w:name="_Ref357541811"/>
      <w:bookmarkStart w:id="33" w:name="_Toc381969519"/>
      <w:bookmarkStart w:id="34" w:name="_Toc405888468"/>
      <w:bookmarkStart w:id="35" w:name="_Toc246831559"/>
      <w:bookmarkStart w:id="36" w:name="_Toc271272917"/>
      <w:bookmarkStart w:id="37" w:name="_Ref338852577"/>
      <w:bookmarkEnd w:id="28"/>
      <w:r w:rsidRPr="008541C3">
        <w:rPr>
          <w:rFonts w:asciiTheme="minorHAnsi" w:hAnsiTheme="minorHAnsi" w:cs="Arial"/>
          <w:color w:val="auto"/>
          <w:sz w:val="20"/>
          <w:szCs w:val="20"/>
        </w:rPr>
        <w:t>Budget</w:t>
      </w:r>
      <w:bookmarkEnd w:id="32"/>
      <w:bookmarkEnd w:id="33"/>
      <w:bookmarkEnd w:id="34"/>
      <w:r w:rsidRPr="008541C3">
        <w:rPr>
          <w:rFonts w:asciiTheme="minorHAnsi" w:hAnsiTheme="minorHAnsi" w:cs="Arial"/>
          <w:color w:val="auto"/>
          <w:sz w:val="20"/>
          <w:szCs w:val="20"/>
        </w:rPr>
        <w:t xml:space="preserve"> </w:t>
      </w:r>
    </w:p>
    <w:p w14:paraId="165767BC" w14:textId="77777777" w:rsidR="0038388A" w:rsidRPr="0038388A" w:rsidRDefault="0038388A" w:rsidP="0038388A">
      <w:pPr>
        <w:pStyle w:val="Norma"/>
        <w:rPr>
          <w:rFonts w:asciiTheme="minorHAnsi" w:hAnsiTheme="minorHAnsi" w:cs="Calibri"/>
          <w:b/>
          <w:bCs/>
          <w:iCs/>
          <w:sz w:val="20"/>
          <w:szCs w:val="20"/>
        </w:rPr>
      </w:pPr>
    </w:p>
    <w:p w14:paraId="32334C7F" w14:textId="5303DCF6" w:rsidR="0038388A" w:rsidRPr="008541C3" w:rsidRDefault="0038388A" w:rsidP="00C13DC6">
      <w:pPr>
        <w:pStyle w:val="Paragraph"/>
      </w:pPr>
      <w:r w:rsidRPr="0038388A">
        <w:t xml:space="preserve">The budget for this </w:t>
      </w:r>
      <w:r w:rsidRPr="008541C3">
        <w:t>project is £</w:t>
      </w:r>
      <w:r w:rsidR="000600F0" w:rsidRPr="008541C3">
        <w:t>1</w:t>
      </w:r>
      <w:r w:rsidR="00C13DC6" w:rsidRPr="008541C3">
        <w:t>0</w:t>
      </w:r>
      <w:r w:rsidR="005E485B" w:rsidRPr="008541C3">
        <w:t>,000</w:t>
      </w:r>
      <w:r w:rsidRPr="008541C3">
        <w:t xml:space="preserve"> to £</w:t>
      </w:r>
      <w:r w:rsidR="00992925" w:rsidRPr="008541C3">
        <w:t>4</w:t>
      </w:r>
      <w:r w:rsidR="00C13DC6" w:rsidRPr="008541C3">
        <w:t>0</w:t>
      </w:r>
      <w:r w:rsidR="005E485B" w:rsidRPr="008541C3">
        <w:t xml:space="preserve">,000 </w:t>
      </w:r>
      <w:r w:rsidRPr="008541C3">
        <w:t xml:space="preserve">excluding VAT. </w:t>
      </w:r>
    </w:p>
    <w:p w14:paraId="4F25BA7B" w14:textId="756FDD84" w:rsidR="00C13DC6" w:rsidRDefault="00C13DC6" w:rsidP="00C13DC6">
      <w:pPr>
        <w:pStyle w:val="Paragraph"/>
      </w:pPr>
    </w:p>
    <w:p w14:paraId="5F92132D" w14:textId="71BC689E" w:rsidR="00C13DC6" w:rsidRPr="00C13DC6" w:rsidRDefault="00C13DC6" w:rsidP="00C13DC6">
      <w:pPr>
        <w:pStyle w:val="Paragraph"/>
        <w:rPr>
          <w:color w:val="FF0000"/>
        </w:rPr>
      </w:pPr>
      <w:r w:rsidRPr="00C13DC6">
        <w:t>A maximum of £5,000 of costs can be applicable</w:t>
      </w:r>
      <w:r>
        <w:t xml:space="preserve"> to activity</w:t>
      </w:r>
      <w:r w:rsidRPr="00C13DC6">
        <w:t xml:space="preserve"> in April (with the rest of </w:t>
      </w:r>
      <w:r>
        <w:t xml:space="preserve">the </w:t>
      </w:r>
      <w:r w:rsidRPr="00C13DC6">
        <w:t xml:space="preserve">costs needing to apply </w:t>
      </w:r>
      <w:r>
        <w:t xml:space="preserve">to activity </w:t>
      </w:r>
      <w:r w:rsidRPr="00C13DC6">
        <w:t>in March).</w:t>
      </w:r>
    </w:p>
    <w:p w14:paraId="750A7CA0" w14:textId="77777777" w:rsidR="0038388A" w:rsidRPr="00C13DC6" w:rsidRDefault="0038388A" w:rsidP="0038388A">
      <w:pPr>
        <w:pStyle w:val="ListParagraph"/>
        <w:spacing w:line="240" w:lineRule="auto"/>
        <w:ind w:left="0"/>
        <w:jc w:val="both"/>
        <w:rPr>
          <w:rFonts w:asciiTheme="minorHAnsi" w:hAnsiTheme="minorHAnsi" w:cs="Arial"/>
          <w:sz w:val="22"/>
        </w:rPr>
      </w:pPr>
    </w:p>
    <w:p w14:paraId="2E5BF3D2" w14:textId="77777777" w:rsidR="0038388A" w:rsidRPr="0038388A" w:rsidRDefault="0038388A" w:rsidP="0038388A">
      <w:pPr>
        <w:pStyle w:val="ListParagraph"/>
        <w:spacing w:line="240" w:lineRule="auto"/>
        <w:jc w:val="both"/>
        <w:rPr>
          <w:rFonts w:asciiTheme="minorHAnsi" w:hAnsiTheme="minorHAnsi" w:cs="Arial"/>
          <w:sz w:val="20"/>
          <w:szCs w:val="20"/>
        </w:rPr>
      </w:pPr>
      <w:r w:rsidRPr="00C13DC6">
        <w:rPr>
          <w:rFonts w:asciiTheme="minorHAnsi" w:hAnsiTheme="minorHAnsi" w:cs="Arial"/>
          <w:sz w:val="22"/>
        </w:rPr>
        <w:t>Contractors should provide a full and detailed</w:t>
      </w:r>
      <w:r w:rsidRPr="0038388A">
        <w:rPr>
          <w:rFonts w:asciiTheme="minorHAnsi" w:hAnsiTheme="minorHAnsi" w:cs="Arial"/>
          <w:sz w:val="20"/>
          <w:szCs w:val="20"/>
        </w:rPr>
        <w:t xml:space="preserve"> breakdown of costs (including options where appropriate). This should include staff (and day rate) allocated to specific tasks. </w:t>
      </w:r>
      <w:bookmarkEnd w:id="35"/>
      <w:bookmarkEnd w:id="36"/>
      <w:bookmarkEnd w:id="37"/>
    </w:p>
    <w:p w14:paraId="18A59622"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37D5DD6" w14:textId="77777777" w:rsidR="0038388A" w:rsidRPr="0038388A" w:rsidRDefault="0038388A" w:rsidP="0038388A">
      <w:pPr>
        <w:pStyle w:val="ListParagraph"/>
        <w:spacing w:line="240" w:lineRule="auto"/>
        <w:ind w:left="360" w:firstLine="360"/>
        <w:jc w:val="both"/>
        <w:rPr>
          <w:rFonts w:asciiTheme="minorHAnsi" w:hAnsiTheme="minorHAnsi" w:cs="Arial"/>
          <w:b/>
          <w:color w:val="FF0000"/>
          <w:sz w:val="20"/>
          <w:szCs w:val="20"/>
        </w:rPr>
      </w:pPr>
      <w:r w:rsidRPr="0038388A">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6F517922" w14:textId="77777777" w:rsidR="0038388A" w:rsidRPr="0038388A" w:rsidRDefault="0038388A" w:rsidP="0038388A">
      <w:pPr>
        <w:pStyle w:val="ListParagraph"/>
        <w:spacing w:after="0" w:line="240" w:lineRule="auto"/>
        <w:jc w:val="both"/>
        <w:rPr>
          <w:rFonts w:asciiTheme="minorHAnsi" w:hAnsiTheme="minorHAnsi" w:cs="Arial"/>
          <w:sz w:val="20"/>
          <w:szCs w:val="20"/>
        </w:rPr>
      </w:pPr>
      <w:r w:rsidRPr="0038388A">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0038388A">
      <w:pPr>
        <w:pStyle w:val="ListParagraph"/>
        <w:spacing w:after="0" w:line="240" w:lineRule="auto"/>
        <w:ind w:left="0"/>
        <w:jc w:val="both"/>
        <w:rPr>
          <w:rFonts w:asciiTheme="minorHAnsi" w:hAnsiTheme="minorHAnsi" w:cs="Arial"/>
          <w:sz w:val="20"/>
          <w:szCs w:val="20"/>
        </w:rPr>
      </w:pPr>
    </w:p>
    <w:p w14:paraId="7092805F"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0038388A">
      <w:pPr>
        <w:pStyle w:val="Norma"/>
        <w:jc w:val="both"/>
        <w:rPr>
          <w:rFonts w:asciiTheme="minorHAnsi" w:eastAsia="MS Mincho" w:hAnsiTheme="minorHAnsi" w:cs="Arial"/>
          <w:sz w:val="20"/>
          <w:szCs w:val="20"/>
        </w:rPr>
      </w:pPr>
    </w:p>
    <w:p w14:paraId="071A513C"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17AB1236" w14:textId="77777777" w:rsidR="0038388A" w:rsidRPr="0038388A" w:rsidRDefault="0038388A" w:rsidP="0038388A">
      <w:pPr>
        <w:pStyle w:val="Norma"/>
        <w:ind w:left="360"/>
        <w:jc w:val="both"/>
        <w:rPr>
          <w:rFonts w:asciiTheme="minorHAnsi" w:eastAsia="MS Mincho" w:hAnsiTheme="minorHAnsi" w:cs="Arial"/>
          <w:sz w:val="20"/>
          <w:szCs w:val="20"/>
        </w:rPr>
      </w:pPr>
    </w:p>
    <w:p w14:paraId="5A7A6770" w14:textId="77777777" w:rsidR="0038388A" w:rsidRPr="008541C3" w:rsidRDefault="0038388A" w:rsidP="008541C3">
      <w:pPr>
        <w:pStyle w:val="Heading1"/>
        <w:widowControl w:val="0"/>
        <w:numPr>
          <w:ilvl w:val="0"/>
          <w:numId w:val="2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8" w:name="_Ref357541836"/>
      <w:bookmarkStart w:id="39" w:name="_Toc381969520"/>
      <w:bookmarkStart w:id="40" w:name="_Toc405888469"/>
      <w:r w:rsidRPr="008541C3">
        <w:rPr>
          <w:rFonts w:asciiTheme="minorHAnsi" w:hAnsiTheme="minorHAnsi" w:cs="Arial"/>
          <w:color w:val="auto"/>
          <w:sz w:val="20"/>
          <w:szCs w:val="20"/>
        </w:rPr>
        <w:t>Evaluation of Tenders</w:t>
      </w:r>
      <w:bookmarkEnd w:id="38"/>
      <w:bookmarkEnd w:id="39"/>
      <w:bookmarkEnd w:id="40"/>
    </w:p>
    <w:p w14:paraId="24DF1253" w14:textId="77777777" w:rsidR="0038388A" w:rsidRPr="0038388A" w:rsidRDefault="0038388A" w:rsidP="0038388A">
      <w:pPr>
        <w:pStyle w:val="Norma"/>
        <w:jc w:val="both"/>
        <w:rPr>
          <w:rFonts w:asciiTheme="minorHAnsi" w:hAnsiTheme="minorHAnsi" w:cs="Arial"/>
          <w:sz w:val="20"/>
          <w:szCs w:val="20"/>
        </w:rPr>
      </w:pPr>
    </w:p>
    <w:p w14:paraId="1CCEBD71" w14:textId="357C34E0"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 xml:space="preserve">Contractors are invited to submit full tenders of no </w:t>
      </w:r>
      <w:r w:rsidRPr="005E485B">
        <w:rPr>
          <w:rFonts w:asciiTheme="minorHAnsi" w:hAnsiTheme="minorHAnsi" w:cs="Arial"/>
          <w:sz w:val="20"/>
          <w:szCs w:val="20"/>
        </w:rPr>
        <w:t>more than (</w:t>
      </w:r>
      <w:r w:rsidR="005E485B" w:rsidRPr="005E485B">
        <w:rPr>
          <w:rFonts w:asciiTheme="minorHAnsi" w:hAnsiTheme="minorHAnsi" w:cs="Arial"/>
          <w:sz w:val="20"/>
          <w:szCs w:val="20"/>
        </w:rPr>
        <w:t>5</w:t>
      </w:r>
      <w:r w:rsidRPr="005E485B">
        <w:rPr>
          <w:rFonts w:asciiTheme="minorHAnsi" w:hAnsiTheme="minorHAnsi" w:cs="Arial"/>
          <w:sz w:val="20"/>
          <w:szCs w:val="20"/>
        </w:rPr>
        <w:t xml:space="preserve"> – suggested 35 pages) pages, excluding declarations and CV</w:t>
      </w:r>
      <w:r w:rsidRPr="0038388A">
        <w:rPr>
          <w:rFonts w:asciiTheme="minorHAnsi" w:hAnsiTheme="minorHAnsi" w:cs="Arial"/>
          <w:sz w:val="20"/>
          <w:szCs w:val="20"/>
        </w:rPr>
        <w:t>’s. Tenders will be evaluated by at least three CCC staff.</w:t>
      </w:r>
    </w:p>
    <w:p w14:paraId="42464FDF" w14:textId="77777777" w:rsidR="0038388A" w:rsidRPr="0038388A" w:rsidRDefault="0038388A" w:rsidP="0038388A">
      <w:pPr>
        <w:pStyle w:val="Norma"/>
        <w:jc w:val="both"/>
        <w:rPr>
          <w:rFonts w:asciiTheme="minorHAnsi" w:hAnsiTheme="minorHAnsi" w:cs="Arial"/>
          <w:sz w:val="20"/>
          <w:szCs w:val="20"/>
        </w:rPr>
      </w:pPr>
    </w:p>
    <w:p w14:paraId="1E730437" w14:textId="77777777" w:rsidR="0038388A" w:rsidRPr="0038388A" w:rsidRDefault="0038388A" w:rsidP="0038388A">
      <w:pPr>
        <w:pStyle w:val="NoSpacing"/>
        <w:ind w:left="720"/>
        <w:rPr>
          <w:rFonts w:asciiTheme="minorHAnsi" w:hAnsiTheme="minorHAnsi" w:cs="Arial"/>
          <w:sz w:val="20"/>
          <w:szCs w:val="20"/>
        </w:rPr>
      </w:pPr>
      <w:r w:rsidRPr="0038388A">
        <w:rPr>
          <w:rFonts w:asciiTheme="minorHAnsi" w:hAnsiTheme="minorHAnsi" w:cs="Arial"/>
          <w:sz w:val="20"/>
          <w:szCs w:val="20"/>
        </w:rPr>
        <w:t>CCC will select the bidder that scores highest against the criteria and weighting listed below, see the ITT for further information.</w:t>
      </w:r>
    </w:p>
    <w:p w14:paraId="3D758287" w14:textId="77777777" w:rsidR="0038388A" w:rsidRDefault="0038388A" w:rsidP="003A05B7">
      <w:pPr>
        <w:pStyle w:val="BodyText"/>
      </w:pPr>
    </w:p>
    <w:p w14:paraId="601D58FF" w14:textId="77777777" w:rsidR="0038388A" w:rsidRDefault="0038388A" w:rsidP="0038388A">
      <w:pPr>
        <w:pStyle w:val="Norma"/>
        <w:spacing w:line="276" w:lineRule="auto"/>
        <w:ind w:left="360"/>
        <w:jc w:val="center"/>
        <w:rPr>
          <w:rFonts w:asciiTheme="minorHAnsi" w:hAnsiTheme="minorHAnsi" w:cs="Arial"/>
          <w:b/>
          <w:sz w:val="20"/>
          <w:szCs w:val="20"/>
        </w:rPr>
      </w:pPr>
    </w:p>
    <w:p w14:paraId="60EC1450" w14:textId="77777777" w:rsidR="0038388A" w:rsidRDefault="0038388A" w:rsidP="0038388A">
      <w:pPr>
        <w:pStyle w:val="Norma"/>
        <w:spacing w:line="276" w:lineRule="auto"/>
        <w:ind w:left="360"/>
        <w:jc w:val="center"/>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5BD42D8F" w14:textId="77777777" w:rsidR="0038388A" w:rsidRPr="0038388A" w:rsidRDefault="0038388A" w:rsidP="0038388A">
      <w:pPr>
        <w:pStyle w:val="Norma"/>
        <w:spacing w:line="276" w:lineRule="auto"/>
        <w:ind w:left="360"/>
        <w:jc w:val="center"/>
        <w:rPr>
          <w:rFonts w:asciiTheme="minorHAnsi" w:hAnsiTheme="minorHAnsi" w:cs="Arial"/>
          <w:b/>
          <w:sz w:val="20"/>
          <w:szCs w:val="20"/>
        </w:rPr>
      </w:pPr>
    </w:p>
    <w:p w14:paraId="75E4A162" w14:textId="77777777" w:rsidR="0038388A" w:rsidRDefault="0038388A" w:rsidP="003A05B7">
      <w:pPr>
        <w:pStyle w:val="BodyText"/>
      </w:pPr>
    </w:p>
    <w:tbl>
      <w:tblPr>
        <w:tblStyle w:val="TableGrid"/>
        <w:tblW w:w="0" w:type="auto"/>
        <w:tblInd w:w="704" w:type="dxa"/>
        <w:tblLook w:val="04A0" w:firstRow="1" w:lastRow="0" w:firstColumn="1" w:lastColumn="0" w:noHBand="0" w:noVBand="1"/>
      </w:tblPr>
      <w:tblGrid>
        <w:gridCol w:w="1768"/>
        <w:gridCol w:w="2999"/>
        <w:gridCol w:w="2383"/>
      </w:tblGrid>
      <w:tr w:rsidR="0038388A" w:rsidRPr="0038388A" w14:paraId="5C806858" w14:textId="77777777" w:rsidTr="000E6C08">
        <w:tc>
          <w:tcPr>
            <w:tcW w:w="1914" w:type="dxa"/>
          </w:tcPr>
          <w:p w14:paraId="5F103605" w14:textId="77777777" w:rsidR="0038388A" w:rsidRPr="0038388A" w:rsidRDefault="0038388A" w:rsidP="0038388A">
            <w:pPr>
              <w:pStyle w:val="BodyText"/>
              <w:rPr>
                <w:szCs w:val="20"/>
              </w:rPr>
            </w:pPr>
            <w:bookmarkStart w:id="41" w:name="p2"/>
            <w:r w:rsidRPr="0038388A">
              <w:rPr>
                <w:rFonts w:cs="Arial"/>
                <w:szCs w:val="20"/>
              </w:rPr>
              <w:t>Criterion</w:t>
            </w:r>
            <w:bookmarkEnd w:id="41"/>
          </w:p>
        </w:tc>
        <w:tc>
          <w:tcPr>
            <w:tcW w:w="2618" w:type="dxa"/>
            <w:shd w:val="clear" w:color="auto" w:fill="auto"/>
          </w:tcPr>
          <w:p w14:paraId="0BF53CC1" w14:textId="77777777" w:rsidR="0038388A" w:rsidRPr="0038388A" w:rsidRDefault="0038388A" w:rsidP="0038388A">
            <w:pPr>
              <w:pStyle w:val="BodyText"/>
              <w:rPr>
                <w:szCs w:val="20"/>
              </w:rPr>
            </w:pPr>
            <w:r w:rsidRPr="0038388A">
              <w:rPr>
                <w:rFonts w:cs="Arial"/>
                <w:szCs w:val="20"/>
              </w:rPr>
              <w:t>Description</w:t>
            </w:r>
          </w:p>
        </w:tc>
        <w:tc>
          <w:tcPr>
            <w:tcW w:w="2618" w:type="dxa"/>
            <w:shd w:val="clear" w:color="auto" w:fill="auto"/>
          </w:tcPr>
          <w:p w14:paraId="5A2870E8" w14:textId="12451262" w:rsidR="0038388A" w:rsidRPr="0038388A" w:rsidRDefault="0038388A" w:rsidP="0038388A">
            <w:pPr>
              <w:pStyle w:val="BodyText"/>
              <w:rPr>
                <w:szCs w:val="20"/>
              </w:rPr>
            </w:pPr>
            <w:r w:rsidRPr="0038388A">
              <w:rPr>
                <w:rFonts w:cs="Arial"/>
                <w:szCs w:val="20"/>
              </w:rPr>
              <w:t>Weighting</w:t>
            </w:r>
            <w:r w:rsidRPr="0038388A">
              <w:rPr>
                <w:rFonts w:cs="Arial"/>
                <w:color w:val="FF0000"/>
                <w:szCs w:val="20"/>
              </w:rPr>
              <w:t xml:space="preserve"> </w:t>
            </w:r>
          </w:p>
        </w:tc>
      </w:tr>
      <w:tr w:rsidR="0038388A" w:rsidRPr="0038388A" w14:paraId="0FC90228" w14:textId="77777777" w:rsidTr="000E6C08">
        <w:tc>
          <w:tcPr>
            <w:tcW w:w="1914" w:type="dxa"/>
            <w:shd w:val="clear" w:color="auto" w:fill="auto"/>
          </w:tcPr>
          <w:p w14:paraId="452FDFAB" w14:textId="77777777" w:rsidR="0038388A" w:rsidRPr="0038388A" w:rsidRDefault="0038388A" w:rsidP="0038388A">
            <w:pPr>
              <w:pStyle w:val="BodyText"/>
              <w:rPr>
                <w:szCs w:val="20"/>
              </w:rPr>
            </w:pPr>
            <w:r w:rsidRPr="0038388A">
              <w:rPr>
                <w:rFonts w:cs="Arial"/>
                <w:szCs w:val="20"/>
              </w:rPr>
              <w:t>1</w:t>
            </w:r>
          </w:p>
        </w:tc>
        <w:tc>
          <w:tcPr>
            <w:tcW w:w="2618" w:type="dxa"/>
            <w:shd w:val="clear" w:color="auto" w:fill="auto"/>
          </w:tcPr>
          <w:p w14:paraId="58A48BF2" w14:textId="77777777" w:rsidR="0038388A" w:rsidRPr="0038388A" w:rsidRDefault="0038388A" w:rsidP="0038388A">
            <w:pPr>
              <w:pStyle w:val="BodyText"/>
              <w:rPr>
                <w:szCs w:val="20"/>
              </w:rPr>
            </w:pPr>
            <w:r w:rsidRPr="0038388A">
              <w:rPr>
                <w:szCs w:val="20"/>
              </w:rPr>
              <w:t>RELEVANT EXPERIENCE / DEMONSTRATION OF CABABILITY</w:t>
            </w:r>
          </w:p>
        </w:tc>
        <w:tc>
          <w:tcPr>
            <w:tcW w:w="2618" w:type="dxa"/>
            <w:shd w:val="clear" w:color="auto" w:fill="auto"/>
          </w:tcPr>
          <w:p w14:paraId="3B99A12D" w14:textId="35C3B2B7" w:rsidR="0038388A" w:rsidRPr="0038388A" w:rsidRDefault="00992925" w:rsidP="0038388A">
            <w:pPr>
              <w:pStyle w:val="BodyText"/>
              <w:rPr>
                <w:szCs w:val="20"/>
              </w:rPr>
            </w:pPr>
            <w:r>
              <w:rPr>
                <w:rFonts w:cs="Arial"/>
                <w:szCs w:val="20"/>
              </w:rPr>
              <w:t>15</w:t>
            </w:r>
            <w:r w:rsidR="0038388A" w:rsidRPr="0038388A">
              <w:rPr>
                <w:rFonts w:cs="Arial"/>
                <w:szCs w:val="20"/>
              </w:rPr>
              <w:t>%</w:t>
            </w:r>
          </w:p>
        </w:tc>
      </w:tr>
      <w:tr w:rsidR="0038388A" w:rsidRPr="0038388A" w14:paraId="156F3B2A" w14:textId="77777777" w:rsidTr="000E6C08">
        <w:tc>
          <w:tcPr>
            <w:tcW w:w="1914" w:type="dxa"/>
            <w:shd w:val="clear" w:color="auto" w:fill="auto"/>
          </w:tcPr>
          <w:p w14:paraId="2D6484F6" w14:textId="77777777" w:rsidR="0038388A" w:rsidRPr="0038388A" w:rsidRDefault="0038388A" w:rsidP="0038388A">
            <w:pPr>
              <w:pStyle w:val="BodyText"/>
              <w:rPr>
                <w:szCs w:val="20"/>
              </w:rPr>
            </w:pPr>
            <w:r w:rsidRPr="0038388A">
              <w:rPr>
                <w:rFonts w:cs="Arial"/>
                <w:szCs w:val="20"/>
              </w:rPr>
              <w:t>2</w:t>
            </w:r>
          </w:p>
        </w:tc>
        <w:tc>
          <w:tcPr>
            <w:tcW w:w="2618" w:type="dxa"/>
            <w:shd w:val="clear" w:color="auto" w:fill="auto"/>
          </w:tcPr>
          <w:p w14:paraId="044D8F56" w14:textId="77777777" w:rsidR="0038388A" w:rsidRPr="0038388A" w:rsidRDefault="0038388A" w:rsidP="0038388A">
            <w:pPr>
              <w:pStyle w:val="BodyText"/>
              <w:rPr>
                <w:szCs w:val="20"/>
              </w:rPr>
            </w:pPr>
            <w:r w:rsidRPr="0038388A">
              <w:rPr>
                <w:szCs w:val="20"/>
              </w:rPr>
              <w:t>MANAGING YOUR RELATIONSHIP WITH THE CCC</w:t>
            </w:r>
          </w:p>
        </w:tc>
        <w:tc>
          <w:tcPr>
            <w:tcW w:w="2618" w:type="dxa"/>
            <w:shd w:val="clear" w:color="auto" w:fill="auto"/>
          </w:tcPr>
          <w:p w14:paraId="2E809209" w14:textId="20DAE415" w:rsidR="0038388A" w:rsidRPr="0038388A" w:rsidRDefault="00992925" w:rsidP="0038388A">
            <w:pPr>
              <w:pStyle w:val="BodyText"/>
              <w:rPr>
                <w:szCs w:val="20"/>
              </w:rPr>
            </w:pPr>
            <w:r>
              <w:rPr>
                <w:rFonts w:cs="Arial"/>
                <w:szCs w:val="20"/>
              </w:rPr>
              <w:t>5</w:t>
            </w:r>
            <w:r w:rsidR="0038388A" w:rsidRPr="0038388A">
              <w:rPr>
                <w:rFonts w:cs="Arial"/>
                <w:szCs w:val="20"/>
              </w:rPr>
              <w:t>%</w:t>
            </w:r>
          </w:p>
        </w:tc>
      </w:tr>
      <w:tr w:rsidR="0038388A" w:rsidRPr="0038388A" w14:paraId="06E596F8" w14:textId="77777777" w:rsidTr="000E6C08">
        <w:tc>
          <w:tcPr>
            <w:tcW w:w="1914" w:type="dxa"/>
            <w:shd w:val="clear" w:color="auto" w:fill="auto"/>
          </w:tcPr>
          <w:p w14:paraId="673D7034" w14:textId="77777777" w:rsidR="0038388A" w:rsidRPr="0038388A" w:rsidRDefault="0038388A" w:rsidP="0038388A">
            <w:pPr>
              <w:pStyle w:val="BodyText"/>
              <w:rPr>
                <w:szCs w:val="20"/>
              </w:rPr>
            </w:pPr>
            <w:r w:rsidRPr="0038388A">
              <w:rPr>
                <w:rFonts w:cs="Arial"/>
                <w:szCs w:val="20"/>
              </w:rPr>
              <w:t>3</w:t>
            </w:r>
          </w:p>
        </w:tc>
        <w:tc>
          <w:tcPr>
            <w:tcW w:w="2618" w:type="dxa"/>
            <w:shd w:val="clear" w:color="auto" w:fill="auto"/>
          </w:tcPr>
          <w:p w14:paraId="3B0672B4" w14:textId="77777777" w:rsidR="0038388A" w:rsidRPr="0038388A" w:rsidRDefault="0038388A" w:rsidP="0038388A">
            <w:pPr>
              <w:pStyle w:val="BodyText"/>
              <w:rPr>
                <w:szCs w:val="20"/>
              </w:rPr>
            </w:pPr>
            <w:r w:rsidRPr="0038388A">
              <w:rPr>
                <w:szCs w:val="20"/>
              </w:rPr>
              <w:t>QUALITY ASSURING THE SERVICES YOU PROVIDE</w:t>
            </w:r>
          </w:p>
        </w:tc>
        <w:tc>
          <w:tcPr>
            <w:tcW w:w="2618" w:type="dxa"/>
            <w:shd w:val="clear" w:color="auto" w:fill="auto"/>
          </w:tcPr>
          <w:p w14:paraId="016B27E1" w14:textId="77777777" w:rsidR="0038388A" w:rsidRPr="0038388A" w:rsidRDefault="0038388A" w:rsidP="0038388A">
            <w:pPr>
              <w:pStyle w:val="BodyText"/>
              <w:rPr>
                <w:szCs w:val="20"/>
              </w:rPr>
            </w:pPr>
            <w:r w:rsidRPr="0038388A">
              <w:rPr>
                <w:rFonts w:cs="Arial"/>
                <w:szCs w:val="20"/>
              </w:rPr>
              <w:t>10%</w:t>
            </w:r>
          </w:p>
        </w:tc>
      </w:tr>
      <w:tr w:rsidR="0038388A" w:rsidRPr="0038388A" w14:paraId="5F86DEAC" w14:textId="77777777" w:rsidTr="000E6C08">
        <w:tc>
          <w:tcPr>
            <w:tcW w:w="1914" w:type="dxa"/>
            <w:shd w:val="clear" w:color="auto" w:fill="auto"/>
          </w:tcPr>
          <w:p w14:paraId="78DB1E25" w14:textId="1967A7D7" w:rsidR="0038388A" w:rsidRPr="0038388A" w:rsidRDefault="009D4971" w:rsidP="0038388A">
            <w:pPr>
              <w:pStyle w:val="BodyText"/>
              <w:rPr>
                <w:szCs w:val="20"/>
              </w:rPr>
            </w:pPr>
            <w:r>
              <w:rPr>
                <w:szCs w:val="20"/>
              </w:rPr>
              <w:t>4</w:t>
            </w:r>
          </w:p>
        </w:tc>
        <w:tc>
          <w:tcPr>
            <w:tcW w:w="2618" w:type="dxa"/>
            <w:shd w:val="clear" w:color="auto" w:fill="auto"/>
          </w:tcPr>
          <w:p w14:paraId="0920783E" w14:textId="77777777" w:rsidR="0038388A" w:rsidRPr="0038388A" w:rsidRDefault="0038388A" w:rsidP="0038388A">
            <w:pPr>
              <w:pStyle w:val="BodyText"/>
              <w:rPr>
                <w:szCs w:val="20"/>
              </w:rPr>
            </w:pPr>
            <w:r w:rsidRPr="0038388A">
              <w:rPr>
                <w:szCs w:val="20"/>
              </w:rPr>
              <w:t>PROJECT TEAM – SKILLS AND KNOWLEDGE</w:t>
            </w:r>
          </w:p>
        </w:tc>
        <w:tc>
          <w:tcPr>
            <w:tcW w:w="2618" w:type="dxa"/>
            <w:shd w:val="clear" w:color="auto" w:fill="auto"/>
          </w:tcPr>
          <w:p w14:paraId="3DB18D4F" w14:textId="77777777" w:rsidR="0038388A" w:rsidRPr="0038388A" w:rsidRDefault="0038388A" w:rsidP="0038388A">
            <w:pPr>
              <w:pStyle w:val="BodyText"/>
              <w:rPr>
                <w:szCs w:val="20"/>
              </w:rPr>
            </w:pPr>
            <w:r w:rsidRPr="0038388A">
              <w:rPr>
                <w:rFonts w:cs="Arial"/>
                <w:szCs w:val="20"/>
              </w:rPr>
              <w:t>20%</w:t>
            </w:r>
          </w:p>
        </w:tc>
      </w:tr>
      <w:tr w:rsidR="0038388A" w:rsidRPr="0038388A" w14:paraId="0A9581F0" w14:textId="77777777" w:rsidTr="000E6C08">
        <w:tc>
          <w:tcPr>
            <w:tcW w:w="1914" w:type="dxa"/>
            <w:shd w:val="clear" w:color="auto" w:fill="auto"/>
          </w:tcPr>
          <w:p w14:paraId="5419578E" w14:textId="3B36B36F" w:rsidR="0038388A" w:rsidRPr="0038388A" w:rsidRDefault="009D4971" w:rsidP="0038388A">
            <w:pPr>
              <w:pStyle w:val="BodyText"/>
              <w:rPr>
                <w:szCs w:val="20"/>
              </w:rPr>
            </w:pPr>
            <w:r>
              <w:rPr>
                <w:szCs w:val="20"/>
              </w:rPr>
              <w:t>5</w:t>
            </w:r>
          </w:p>
        </w:tc>
        <w:tc>
          <w:tcPr>
            <w:tcW w:w="2618" w:type="dxa"/>
            <w:shd w:val="clear" w:color="auto" w:fill="auto"/>
          </w:tcPr>
          <w:p w14:paraId="6B40D214" w14:textId="23A6CA1A" w:rsidR="0038388A" w:rsidRPr="0038388A" w:rsidRDefault="0038388A" w:rsidP="0038388A">
            <w:pPr>
              <w:pStyle w:val="BodyText"/>
              <w:rPr>
                <w:szCs w:val="20"/>
              </w:rPr>
            </w:pPr>
            <w:r w:rsidRPr="0038388A">
              <w:rPr>
                <w:szCs w:val="20"/>
              </w:rPr>
              <w:t>METHOD</w:t>
            </w:r>
            <w:r w:rsidR="009D4971">
              <w:rPr>
                <w:szCs w:val="20"/>
              </w:rPr>
              <w:t>OLOGY/APPROACH</w:t>
            </w:r>
            <w:r w:rsidRPr="0038388A">
              <w:rPr>
                <w:szCs w:val="20"/>
              </w:rPr>
              <w:t xml:space="preserve"> </w:t>
            </w:r>
          </w:p>
        </w:tc>
        <w:tc>
          <w:tcPr>
            <w:tcW w:w="2618" w:type="dxa"/>
            <w:shd w:val="clear" w:color="auto" w:fill="auto"/>
          </w:tcPr>
          <w:p w14:paraId="30C82DE5" w14:textId="3CE24347" w:rsidR="0038388A" w:rsidRPr="0038388A" w:rsidRDefault="009D4971" w:rsidP="0038388A">
            <w:pPr>
              <w:pStyle w:val="BodyText"/>
              <w:rPr>
                <w:szCs w:val="20"/>
              </w:rPr>
            </w:pPr>
            <w:r>
              <w:rPr>
                <w:rFonts w:cs="Arial"/>
                <w:szCs w:val="20"/>
              </w:rPr>
              <w:t>50</w:t>
            </w:r>
            <w:r w:rsidR="0038388A" w:rsidRPr="0038388A">
              <w:rPr>
                <w:rFonts w:cs="Arial"/>
                <w:szCs w:val="20"/>
              </w:rPr>
              <w:t>%</w:t>
            </w:r>
          </w:p>
        </w:tc>
      </w:tr>
      <w:tr w:rsidR="0038388A" w:rsidRPr="0038388A" w14:paraId="486163E4" w14:textId="77777777" w:rsidTr="000E6C08">
        <w:tc>
          <w:tcPr>
            <w:tcW w:w="1914" w:type="dxa"/>
          </w:tcPr>
          <w:p w14:paraId="346ACFC1" w14:textId="77777777" w:rsidR="0038388A" w:rsidRPr="0038388A" w:rsidRDefault="0038388A" w:rsidP="0038388A">
            <w:pPr>
              <w:pStyle w:val="BodyText"/>
              <w:rPr>
                <w:szCs w:val="20"/>
              </w:rPr>
            </w:pPr>
          </w:p>
        </w:tc>
        <w:tc>
          <w:tcPr>
            <w:tcW w:w="2618" w:type="dxa"/>
          </w:tcPr>
          <w:p w14:paraId="00B0DC8F" w14:textId="77777777" w:rsidR="0038388A" w:rsidRPr="0038388A" w:rsidRDefault="0038388A" w:rsidP="0038388A">
            <w:pPr>
              <w:pStyle w:val="BodyText"/>
              <w:rPr>
                <w:szCs w:val="20"/>
              </w:rPr>
            </w:pPr>
          </w:p>
        </w:tc>
        <w:tc>
          <w:tcPr>
            <w:tcW w:w="2618" w:type="dxa"/>
            <w:shd w:val="clear" w:color="auto" w:fill="auto"/>
          </w:tcPr>
          <w:p w14:paraId="1C0A0B54" w14:textId="77777777" w:rsidR="0038388A" w:rsidRPr="0038388A" w:rsidRDefault="0038388A" w:rsidP="0038388A">
            <w:pPr>
              <w:pStyle w:val="BodyText"/>
              <w:rPr>
                <w:rFonts w:cs="Arial"/>
                <w:szCs w:val="20"/>
              </w:rPr>
            </w:pPr>
            <w:r>
              <w:rPr>
                <w:rFonts w:cs="Arial"/>
                <w:szCs w:val="20"/>
              </w:rPr>
              <w:t>100%</w:t>
            </w:r>
          </w:p>
        </w:tc>
      </w:tr>
    </w:tbl>
    <w:p w14:paraId="5B420704" w14:textId="77777777" w:rsidR="0038388A" w:rsidRDefault="0038388A" w:rsidP="003A05B7">
      <w:pPr>
        <w:pStyle w:val="BodyText"/>
        <w:rPr>
          <w:szCs w:val="20"/>
        </w:rPr>
      </w:pPr>
    </w:p>
    <w:p w14:paraId="0F141D3E"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 w:val="20"/>
          <w:szCs w:val="20"/>
        </w:rPr>
      </w:pPr>
      <w:r w:rsidRPr="0038388A">
        <w:rPr>
          <w:rFonts w:asciiTheme="minorHAnsi" w:hAnsiTheme="minorHAnsi" w:cs="Arial"/>
          <w:b/>
          <w:bCs/>
          <w:sz w:val="20"/>
          <w:szCs w:val="20"/>
        </w:rPr>
        <w:lastRenderedPageBreak/>
        <w:t>Scoring Method</w:t>
      </w:r>
    </w:p>
    <w:p w14:paraId="07D2699C" w14:textId="77777777" w:rsidR="0038388A" w:rsidRPr="0038388A" w:rsidRDefault="0038388A" w:rsidP="0038388A">
      <w:pPr>
        <w:pStyle w:val="Norma"/>
        <w:jc w:val="both"/>
        <w:rPr>
          <w:rFonts w:asciiTheme="minorHAnsi" w:hAnsiTheme="minorHAnsi" w:cs="Arial"/>
          <w:b/>
          <w:bCs/>
          <w:sz w:val="20"/>
          <w:szCs w:val="20"/>
        </w:rPr>
      </w:pPr>
    </w:p>
    <w:p w14:paraId="2E2A2ECF"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38388A">
      <w:pPr>
        <w:pStyle w:val="Norma"/>
        <w:jc w:val="both"/>
        <w:rPr>
          <w:rFonts w:asciiTheme="minorHAnsi" w:hAnsiTheme="minorHAnsi" w:cs="Arial"/>
          <w:bCs/>
          <w:sz w:val="20"/>
          <w:szCs w:val="20"/>
        </w:rPr>
      </w:pPr>
    </w:p>
    <w:p w14:paraId="309164CD" w14:textId="77777777"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4D4CD5C" w14:textId="77777777" w:rsidR="0038388A" w:rsidRPr="00CE0168" w:rsidRDefault="0038388A" w:rsidP="0038388A">
      <w:pPr>
        <w:pStyle w:val="Norma"/>
        <w:jc w:val="both"/>
        <w:rPr>
          <w:rFonts w:ascii="Calibri" w:hAnsi="Calibri" w:cs="Arial"/>
        </w:rPr>
      </w:pPr>
    </w:p>
    <w:p w14:paraId="70655D84" w14:textId="77777777" w:rsidR="0038388A" w:rsidRDefault="0038388A" w:rsidP="003A05B7">
      <w:pPr>
        <w:pStyle w:val="BodyText"/>
        <w:rPr>
          <w:szCs w:val="20"/>
        </w:rPr>
      </w:pPr>
    </w:p>
    <w:p w14:paraId="7BC18F0E" w14:textId="77777777" w:rsidR="0038388A" w:rsidRDefault="0038388A" w:rsidP="003A05B7">
      <w:pPr>
        <w:pStyle w:val="BodyText"/>
        <w:rPr>
          <w:szCs w:val="20"/>
        </w:rPr>
      </w:pPr>
    </w:p>
    <w:tbl>
      <w:tblPr>
        <w:tblStyle w:val="TableGrid"/>
        <w:tblW w:w="0" w:type="auto"/>
        <w:tblInd w:w="704" w:type="dxa"/>
        <w:tblLook w:val="04A0" w:firstRow="1" w:lastRow="0" w:firstColumn="1" w:lastColumn="0" w:noHBand="0" w:noVBand="1"/>
      </w:tblPr>
      <w:tblGrid>
        <w:gridCol w:w="1843"/>
        <w:gridCol w:w="5307"/>
      </w:tblGrid>
      <w:tr w:rsidR="004711FD" w14:paraId="1044D578" w14:textId="77777777" w:rsidTr="004711FD">
        <w:tc>
          <w:tcPr>
            <w:tcW w:w="1843" w:type="dxa"/>
            <w:shd w:val="clear" w:color="auto" w:fill="auto"/>
          </w:tcPr>
          <w:p w14:paraId="4B9A00E6"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Score</w:t>
            </w:r>
          </w:p>
        </w:tc>
        <w:tc>
          <w:tcPr>
            <w:tcW w:w="5307" w:type="dxa"/>
            <w:shd w:val="clear" w:color="auto" w:fill="auto"/>
          </w:tcPr>
          <w:p w14:paraId="6E215849"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Description</w:t>
            </w:r>
          </w:p>
        </w:tc>
      </w:tr>
      <w:tr w:rsidR="004711FD" w14:paraId="06C19EE3" w14:textId="77777777" w:rsidTr="004711FD">
        <w:tc>
          <w:tcPr>
            <w:tcW w:w="1843" w:type="dxa"/>
            <w:shd w:val="clear" w:color="auto" w:fill="auto"/>
          </w:tcPr>
          <w:p w14:paraId="3BBE1444"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1</w:t>
            </w:r>
          </w:p>
        </w:tc>
        <w:tc>
          <w:tcPr>
            <w:tcW w:w="5307" w:type="dxa"/>
            <w:shd w:val="clear" w:color="auto" w:fill="auto"/>
          </w:tcPr>
          <w:p w14:paraId="061C4CF9"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Not Satisfactory: Proposal contains significant shortcomings and does not meet the required standard</w:t>
            </w:r>
          </w:p>
        </w:tc>
      </w:tr>
      <w:tr w:rsidR="004711FD" w14:paraId="14B8B06F" w14:textId="77777777" w:rsidTr="004711FD">
        <w:tc>
          <w:tcPr>
            <w:tcW w:w="1843" w:type="dxa"/>
            <w:shd w:val="clear" w:color="auto" w:fill="auto"/>
          </w:tcPr>
          <w:p w14:paraId="4CF9274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2</w:t>
            </w:r>
          </w:p>
        </w:tc>
        <w:tc>
          <w:tcPr>
            <w:tcW w:w="5307" w:type="dxa"/>
            <w:shd w:val="clear" w:color="auto" w:fill="auto"/>
          </w:tcPr>
          <w:p w14:paraId="0D65C80F"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 xml:space="preserve">Partially Satisfactory: Proposal partially meets the required standard, with one or more moderate weaknesses or gaps </w:t>
            </w:r>
          </w:p>
        </w:tc>
      </w:tr>
      <w:tr w:rsidR="004711FD" w14:paraId="76B6546C" w14:textId="77777777" w:rsidTr="004711FD">
        <w:tc>
          <w:tcPr>
            <w:tcW w:w="1843" w:type="dxa"/>
            <w:shd w:val="clear" w:color="auto" w:fill="auto"/>
          </w:tcPr>
          <w:p w14:paraId="0C5542A8"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3</w:t>
            </w:r>
          </w:p>
        </w:tc>
        <w:tc>
          <w:tcPr>
            <w:tcW w:w="5307" w:type="dxa"/>
            <w:shd w:val="clear" w:color="auto" w:fill="auto"/>
          </w:tcPr>
          <w:p w14:paraId="3DEAE094"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Satisfactory: Proposal mostly meets the required standard, with one or more minor weaknesses or gaps.</w:t>
            </w:r>
          </w:p>
        </w:tc>
      </w:tr>
      <w:tr w:rsidR="004711FD" w14:paraId="0524E577" w14:textId="77777777" w:rsidTr="004711FD">
        <w:tc>
          <w:tcPr>
            <w:tcW w:w="1843" w:type="dxa"/>
            <w:shd w:val="clear" w:color="auto" w:fill="auto"/>
          </w:tcPr>
          <w:p w14:paraId="4BD19816"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4</w:t>
            </w:r>
          </w:p>
        </w:tc>
        <w:tc>
          <w:tcPr>
            <w:tcW w:w="5307" w:type="dxa"/>
            <w:shd w:val="clear" w:color="auto" w:fill="auto"/>
          </w:tcPr>
          <w:p w14:paraId="42C470B7"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Good: Proposal meets the required standard, with moderate levels of assurance</w:t>
            </w:r>
          </w:p>
        </w:tc>
      </w:tr>
      <w:tr w:rsidR="004711FD" w14:paraId="47D99D94" w14:textId="77777777" w:rsidTr="004711FD">
        <w:tc>
          <w:tcPr>
            <w:tcW w:w="1843" w:type="dxa"/>
            <w:shd w:val="clear" w:color="auto" w:fill="auto"/>
          </w:tcPr>
          <w:p w14:paraId="7383B68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5</w:t>
            </w:r>
          </w:p>
        </w:tc>
        <w:tc>
          <w:tcPr>
            <w:tcW w:w="5307" w:type="dxa"/>
            <w:shd w:val="clear" w:color="auto" w:fill="auto"/>
          </w:tcPr>
          <w:p w14:paraId="1EFF6BDC"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Excellent: Proposal fully meets the required standard with high levels of assurance</w:t>
            </w:r>
          </w:p>
        </w:tc>
      </w:tr>
    </w:tbl>
    <w:p w14:paraId="027F1BA0" w14:textId="77777777" w:rsidR="0038388A" w:rsidRDefault="0038388A" w:rsidP="003A05B7">
      <w:pPr>
        <w:pStyle w:val="BodyText"/>
        <w:rPr>
          <w:szCs w:val="20"/>
        </w:rPr>
      </w:pPr>
    </w:p>
    <w:p w14:paraId="615368F8" w14:textId="77777777" w:rsidR="004711FD" w:rsidRDefault="004711FD" w:rsidP="003A05B7">
      <w:pPr>
        <w:pStyle w:val="BodyText"/>
        <w:rPr>
          <w:szCs w:val="20"/>
        </w:rPr>
      </w:pPr>
    </w:p>
    <w:p w14:paraId="57EED380" w14:textId="77777777"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77777777" w:rsidR="004711FD" w:rsidRPr="004711FD" w:rsidRDefault="004711FD" w:rsidP="004711FD">
      <w:pPr>
        <w:pStyle w:val="NoSpacing"/>
        <w:spacing w:line="276" w:lineRule="auto"/>
        <w:ind w:left="720"/>
        <w:jc w:val="both"/>
        <w:rPr>
          <w:rFonts w:asciiTheme="minorHAnsi" w:hAnsiTheme="minorHAnsi" w:cs="Arial"/>
          <w:sz w:val="20"/>
          <w:szCs w:val="20"/>
        </w:rPr>
      </w:pPr>
      <w:r w:rsidRPr="004711F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004711FD">
      <w:pPr>
        <w:ind w:left="720"/>
        <w:jc w:val="both"/>
        <w:rPr>
          <w:rFonts w:eastAsia="Calibri" w:cs="Arial"/>
          <w:b/>
          <w:color w:val="FF0000"/>
          <w:sz w:val="20"/>
          <w:szCs w:val="20"/>
        </w:rPr>
      </w:pPr>
      <w:bookmarkStart w:id="42" w:name="OLE_LINK3"/>
      <w:r w:rsidRPr="004711FD">
        <w:rPr>
          <w:rFonts w:eastAsia="Calibri" w:cs="Arial"/>
          <w:sz w:val="20"/>
          <w:szCs w:val="20"/>
        </w:rPr>
        <w:t>Marking proportionate to the lowest price.</w:t>
      </w:r>
      <w:r w:rsidRPr="004711FD">
        <w:rPr>
          <w:rFonts w:eastAsia="Calibri" w:cs="Arial"/>
          <w:color w:val="FF0000"/>
          <w:sz w:val="20"/>
          <w:szCs w:val="20"/>
        </w:rPr>
        <w:t xml:space="preserve"> </w:t>
      </w:r>
    </w:p>
    <w:bookmarkEnd w:id="42"/>
    <w:p w14:paraId="72B3902E" w14:textId="77777777" w:rsidR="004711FD" w:rsidRPr="004711FD" w:rsidRDefault="004711FD" w:rsidP="00C13DC6">
      <w:pPr>
        <w:pStyle w:val="Paragraph"/>
      </w:pPr>
      <w:r w:rsidRPr="004711FD">
        <w:t xml:space="preserve">Price will be scored as set out below. </w:t>
      </w:r>
    </w:p>
    <w:p w14:paraId="6DAF2AB5" w14:textId="77777777" w:rsidR="004711FD" w:rsidRPr="004711FD" w:rsidRDefault="004711FD" w:rsidP="004711FD">
      <w:pPr>
        <w:ind w:left="720"/>
        <w:rPr>
          <w:rFonts w:cs="Arial"/>
          <w:sz w:val="20"/>
          <w:szCs w:val="20"/>
        </w:rPr>
      </w:pPr>
      <w:r w:rsidRPr="004711FD">
        <w:rPr>
          <w:rFonts w:cs="Arial"/>
          <w:sz w:val="20"/>
          <w:szCs w:val="20"/>
        </w:rPr>
        <w:t xml:space="preserve">There will be a maximum of e.g. 20 marks </w:t>
      </w:r>
    </w:p>
    <w:p w14:paraId="74064E52" w14:textId="77777777" w:rsidR="004711FD" w:rsidRPr="004711FD" w:rsidRDefault="004711FD" w:rsidP="004711FD">
      <w:pPr>
        <w:ind w:left="720"/>
        <w:rPr>
          <w:rFonts w:cs="Arial"/>
          <w:sz w:val="20"/>
          <w:szCs w:val="20"/>
        </w:rPr>
      </w:pPr>
      <w:r w:rsidRPr="004711FD">
        <w:rPr>
          <w:rFonts w:cs="Arial"/>
          <w:sz w:val="20"/>
          <w:szCs w:val="20"/>
        </w:rPr>
        <w:t>The lowest priced bid will receive the full 20 marks, all other bids will then be marked as set out below.</w:t>
      </w:r>
    </w:p>
    <w:p w14:paraId="30F7A7A3" w14:textId="77777777" w:rsidR="004711FD" w:rsidRPr="004711FD" w:rsidRDefault="004711FD" w:rsidP="004711FD">
      <w:pPr>
        <w:ind w:left="720"/>
        <w:rPr>
          <w:rFonts w:cs="Arial"/>
          <w:color w:val="FF0000"/>
          <w:sz w:val="20"/>
          <w:szCs w:val="20"/>
        </w:rPr>
      </w:pPr>
    </w:p>
    <w:p w14:paraId="27E6D7D5" w14:textId="77777777"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77777777" w:rsidR="004711FD" w:rsidRDefault="004711FD" w:rsidP="004711FD">
      <w:pPr>
        <w:pStyle w:val="BodyText"/>
        <w:ind w:left="720"/>
        <w:rPr>
          <w:rFonts w:cs="Arial"/>
          <w:szCs w:val="20"/>
        </w:rPr>
      </w:pPr>
      <w:r w:rsidRPr="004711FD">
        <w:rPr>
          <w:rFonts w:cs="Arial"/>
          <w:szCs w:val="20"/>
        </w:rPr>
        <w:t>If 20% = 20 marks</w:t>
      </w:r>
    </w:p>
    <w:p w14:paraId="450A2A22" w14:textId="77777777" w:rsidR="004711FD" w:rsidRDefault="004711FD" w:rsidP="004711FD">
      <w:pPr>
        <w:pStyle w:val="BodyText"/>
        <w:ind w:left="720"/>
        <w:rPr>
          <w:rFonts w:cs="Arial"/>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14:paraId="58F3558D" w14:textId="77777777" w:rsidTr="004711FD">
        <w:tc>
          <w:tcPr>
            <w:tcW w:w="2378" w:type="dxa"/>
            <w:shd w:val="clear" w:color="auto" w:fill="auto"/>
          </w:tcPr>
          <w:p w14:paraId="31FF3EE8" w14:textId="77777777" w:rsidR="004711FD" w:rsidRPr="004711FD" w:rsidRDefault="004711FD" w:rsidP="004711FD">
            <w:pPr>
              <w:pStyle w:val="BodyText"/>
              <w:rPr>
                <w:szCs w:val="20"/>
              </w:rPr>
            </w:pPr>
            <w:r w:rsidRPr="004711FD">
              <w:rPr>
                <w:rFonts w:eastAsia="Calibri" w:cs="Arial"/>
                <w:szCs w:val="24"/>
              </w:rPr>
              <w:t>Supplier</w:t>
            </w:r>
          </w:p>
        </w:tc>
        <w:tc>
          <w:tcPr>
            <w:tcW w:w="2378" w:type="dxa"/>
            <w:shd w:val="clear" w:color="auto" w:fill="auto"/>
          </w:tcPr>
          <w:p w14:paraId="281D1AFB" w14:textId="77777777" w:rsidR="004711FD" w:rsidRPr="004711FD" w:rsidRDefault="004711FD" w:rsidP="004711FD">
            <w:pPr>
              <w:pStyle w:val="BodyText"/>
              <w:rPr>
                <w:szCs w:val="20"/>
              </w:rPr>
            </w:pPr>
            <w:r w:rsidRPr="004711FD">
              <w:rPr>
                <w:rFonts w:eastAsia="Calibri" w:cs="Arial"/>
                <w:szCs w:val="24"/>
              </w:rPr>
              <w:t>Price</w:t>
            </w:r>
          </w:p>
        </w:tc>
        <w:tc>
          <w:tcPr>
            <w:tcW w:w="2378" w:type="dxa"/>
            <w:shd w:val="clear" w:color="auto" w:fill="auto"/>
          </w:tcPr>
          <w:p w14:paraId="7FA0DAB5" w14:textId="77777777" w:rsidR="004711FD" w:rsidRPr="004711FD" w:rsidRDefault="004711FD" w:rsidP="004711FD">
            <w:pPr>
              <w:pStyle w:val="BodyText"/>
              <w:rPr>
                <w:szCs w:val="20"/>
              </w:rPr>
            </w:pPr>
            <w:r w:rsidRPr="004711FD">
              <w:rPr>
                <w:rFonts w:eastAsia="Calibri" w:cs="Arial"/>
                <w:szCs w:val="24"/>
              </w:rPr>
              <w:t>Marks</w:t>
            </w:r>
          </w:p>
        </w:tc>
      </w:tr>
      <w:tr w:rsidR="004711FD" w14:paraId="17887CB6" w14:textId="77777777" w:rsidTr="004711FD">
        <w:tc>
          <w:tcPr>
            <w:tcW w:w="2378" w:type="dxa"/>
            <w:shd w:val="clear" w:color="auto" w:fill="auto"/>
          </w:tcPr>
          <w:p w14:paraId="0A25EF8C" w14:textId="77777777" w:rsidR="004711FD" w:rsidRPr="004711FD" w:rsidRDefault="004711FD" w:rsidP="004711FD">
            <w:pPr>
              <w:pStyle w:val="BodyText"/>
              <w:rPr>
                <w:szCs w:val="20"/>
              </w:rPr>
            </w:pPr>
            <w:r w:rsidRPr="004711FD">
              <w:rPr>
                <w:rFonts w:eastAsia="Calibri" w:cs="Arial"/>
                <w:szCs w:val="24"/>
              </w:rPr>
              <w:t>1 (lowest bid)</w:t>
            </w:r>
          </w:p>
        </w:tc>
        <w:tc>
          <w:tcPr>
            <w:tcW w:w="2378" w:type="dxa"/>
            <w:shd w:val="clear" w:color="auto" w:fill="auto"/>
          </w:tcPr>
          <w:p w14:paraId="6C6381DB" w14:textId="22C24B2B" w:rsidR="004711FD" w:rsidRPr="004711FD" w:rsidRDefault="004711FD" w:rsidP="004711FD">
            <w:pPr>
              <w:pStyle w:val="BodyText"/>
              <w:rPr>
                <w:szCs w:val="20"/>
              </w:rPr>
            </w:pPr>
            <w:r w:rsidRPr="004711FD">
              <w:rPr>
                <w:rFonts w:eastAsia="Calibri" w:cs="Arial"/>
                <w:szCs w:val="24"/>
              </w:rPr>
              <w:t>£</w:t>
            </w:r>
            <w:r w:rsidR="001D6095">
              <w:rPr>
                <w:rFonts w:eastAsia="Calibri" w:cs="Arial"/>
                <w:szCs w:val="24"/>
              </w:rPr>
              <w:t>15</w:t>
            </w:r>
            <w:r w:rsidRPr="004711FD">
              <w:rPr>
                <w:rFonts w:eastAsia="Calibri" w:cs="Arial"/>
                <w:szCs w:val="24"/>
              </w:rPr>
              <w:t>,000</w:t>
            </w:r>
          </w:p>
        </w:tc>
        <w:tc>
          <w:tcPr>
            <w:tcW w:w="2378" w:type="dxa"/>
            <w:shd w:val="clear" w:color="auto" w:fill="auto"/>
          </w:tcPr>
          <w:p w14:paraId="4079B102" w14:textId="77777777" w:rsidR="004711FD" w:rsidRPr="004711FD" w:rsidRDefault="004711FD" w:rsidP="004711FD">
            <w:pPr>
              <w:pStyle w:val="BodyText"/>
              <w:rPr>
                <w:szCs w:val="20"/>
              </w:rPr>
            </w:pPr>
            <w:r w:rsidRPr="004711FD">
              <w:rPr>
                <w:rFonts w:eastAsia="Calibri" w:cs="Arial"/>
                <w:szCs w:val="24"/>
              </w:rPr>
              <w:t>20</w:t>
            </w:r>
          </w:p>
        </w:tc>
      </w:tr>
      <w:tr w:rsidR="004711FD" w14:paraId="3880A218" w14:textId="77777777" w:rsidTr="004711FD">
        <w:tc>
          <w:tcPr>
            <w:tcW w:w="2378" w:type="dxa"/>
            <w:shd w:val="clear" w:color="auto" w:fill="auto"/>
          </w:tcPr>
          <w:p w14:paraId="6A250391" w14:textId="77777777" w:rsidR="004711FD" w:rsidRPr="004711FD" w:rsidRDefault="004711FD" w:rsidP="004711FD">
            <w:pPr>
              <w:pStyle w:val="BodyText"/>
              <w:rPr>
                <w:szCs w:val="20"/>
              </w:rPr>
            </w:pPr>
            <w:r w:rsidRPr="004711FD">
              <w:rPr>
                <w:rFonts w:eastAsia="Calibri" w:cs="Arial"/>
                <w:szCs w:val="24"/>
              </w:rPr>
              <w:t>2</w:t>
            </w:r>
          </w:p>
        </w:tc>
        <w:tc>
          <w:tcPr>
            <w:tcW w:w="2378" w:type="dxa"/>
            <w:shd w:val="clear" w:color="auto" w:fill="auto"/>
          </w:tcPr>
          <w:p w14:paraId="2906CD62" w14:textId="2ED91A20" w:rsidR="004711FD" w:rsidRPr="004711FD" w:rsidRDefault="004711FD" w:rsidP="004711FD">
            <w:pPr>
              <w:pStyle w:val="BodyText"/>
              <w:rPr>
                <w:szCs w:val="20"/>
              </w:rPr>
            </w:pPr>
            <w:r w:rsidRPr="004711FD">
              <w:rPr>
                <w:rFonts w:eastAsia="Calibri" w:cs="Arial"/>
                <w:szCs w:val="24"/>
              </w:rPr>
              <w:t>£</w:t>
            </w:r>
            <w:r w:rsidR="001D6095">
              <w:rPr>
                <w:rFonts w:eastAsia="Calibri" w:cs="Arial"/>
                <w:szCs w:val="24"/>
              </w:rPr>
              <w:t>2</w:t>
            </w:r>
            <w:r w:rsidRPr="004711FD">
              <w:rPr>
                <w:rFonts w:eastAsia="Calibri" w:cs="Arial"/>
                <w:szCs w:val="24"/>
              </w:rPr>
              <w:t>0,000</w:t>
            </w:r>
          </w:p>
        </w:tc>
        <w:tc>
          <w:tcPr>
            <w:tcW w:w="2378" w:type="dxa"/>
            <w:shd w:val="clear" w:color="auto" w:fill="auto"/>
          </w:tcPr>
          <w:p w14:paraId="0501FE2C" w14:textId="641EE8BF" w:rsidR="004711FD" w:rsidRPr="004711FD" w:rsidRDefault="001D6095" w:rsidP="004711FD">
            <w:pPr>
              <w:pStyle w:val="BodyText"/>
              <w:rPr>
                <w:szCs w:val="20"/>
              </w:rPr>
            </w:pPr>
            <w:r>
              <w:rPr>
                <w:rFonts w:eastAsia="Calibri" w:cs="Arial"/>
                <w:szCs w:val="24"/>
              </w:rPr>
              <w:t>15</w:t>
            </w:r>
            <w:r w:rsidR="004711FD" w:rsidRPr="004711FD">
              <w:rPr>
                <w:rFonts w:eastAsia="Calibri" w:cs="Arial"/>
                <w:szCs w:val="24"/>
              </w:rPr>
              <w:t>/</w:t>
            </w:r>
            <w:r>
              <w:rPr>
                <w:rFonts w:eastAsia="Calibri" w:cs="Arial"/>
                <w:szCs w:val="24"/>
              </w:rPr>
              <w:t>2</w:t>
            </w:r>
            <w:r w:rsidR="004711FD" w:rsidRPr="004711FD">
              <w:rPr>
                <w:rFonts w:eastAsia="Calibri" w:cs="Arial"/>
                <w:szCs w:val="24"/>
              </w:rPr>
              <w:t xml:space="preserve">0 * 20 = </w:t>
            </w:r>
            <w:r>
              <w:rPr>
                <w:rFonts w:eastAsia="Calibri" w:cs="Arial"/>
                <w:szCs w:val="24"/>
              </w:rPr>
              <w:t>15</w:t>
            </w:r>
          </w:p>
        </w:tc>
      </w:tr>
      <w:tr w:rsidR="004711FD" w14:paraId="350C4DF4" w14:textId="77777777" w:rsidTr="004711FD">
        <w:tc>
          <w:tcPr>
            <w:tcW w:w="2378" w:type="dxa"/>
            <w:shd w:val="clear" w:color="auto" w:fill="auto"/>
          </w:tcPr>
          <w:p w14:paraId="39D750D4" w14:textId="77777777" w:rsidR="004711FD" w:rsidRPr="004711FD" w:rsidRDefault="004711FD" w:rsidP="004711FD">
            <w:pPr>
              <w:pStyle w:val="BodyText"/>
              <w:rPr>
                <w:szCs w:val="20"/>
              </w:rPr>
            </w:pPr>
            <w:r w:rsidRPr="004711FD">
              <w:rPr>
                <w:rFonts w:eastAsia="Calibri" w:cs="Arial"/>
                <w:szCs w:val="24"/>
              </w:rPr>
              <w:t>3</w:t>
            </w:r>
          </w:p>
        </w:tc>
        <w:tc>
          <w:tcPr>
            <w:tcW w:w="2378" w:type="dxa"/>
            <w:shd w:val="clear" w:color="auto" w:fill="auto"/>
          </w:tcPr>
          <w:p w14:paraId="1444B441" w14:textId="4B4A776F" w:rsidR="004711FD" w:rsidRPr="004711FD" w:rsidRDefault="004711FD" w:rsidP="004711FD">
            <w:pPr>
              <w:pStyle w:val="BodyText"/>
              <w:rPr>
                <w:szCs w:val="20"/>
              </w:rPr>
            </w:pPr>
            <w:r w:rsidRPr="004711FD">
              <w:rPr>
                <w:rFonts w:eastAsia="Calibri" w:cs="Arial"/>
                <w:szCs w:val="24"/>
              </w:rPr>
              <w:t>£</w:t>
            </w:r>
            <w:r w:rsidR="001D6095">
              <w:rPr>
                <w:rFonts w:eastAsia="Calibri" w:cs="Arial"/>
                <w:szCs w:val="24"/>
              </w:rPr>
              <w:t>2</w:t>
            </w:r>
            <w:r w:rsidRPr="004711FD">
              <w:rPr>
                <w:rFonts w:eastAsia="Calibri" w:cs="Arial"/>
                <w:szCs w:val="24"/>
              </w:rPr>
              <w:t>5,000</w:t>
            </w:r>
          </w:p>
        </w:tc>
        <w:tc>
          <w:tcPr>
            <w:tcW w:w="2378" w:type="dxa"/>
            <w:shd w:val="clear" w:color="auto" w:fill="auto"/>
          </w:tcPr>
          <w:p w14:paraId="2AC3CFEC" w14:textId="757BF294" w:rsidR="004711FD" w:rsidRPr="004711FD" w:rsidRDefault="001D6095" w:rsidP="004711FD">
            <w:pPr>
              <w:pStyle w:val="BodyText"/>
              <w:rPr>
                <w:szCs w:val="20"/>
              </w:rPr>
            </w:pPr>
            <w:r>
              <w:rPr>
                <w:rFonts w:eastAsia="Calibri" w:cs="Arial"/>
                <w:szCs w:val="24"/>
              </w:rPr>
              <w:t>15</w:t>
            </w:r>
            <w:r w:rsidR="004711FD" w:rsidRPr="004711FD">
              <w:rPr>
                <w:rFonts w:eastAsia="Calibri" w:cs="Arial"/>
                <w:szCs w:val="24"/>
              </w:rPr>
              <w:t>/</w:t>
            </w:r>
            <w:r>
              <w:rPr>
                <w:rFonts w:eastAsia="Calibri" w:cs="Arial"/>
                <w:szCs w:val="24"/>
              </w:rPr>
              <w:t>2</w:t>
            </w:r>
            <w:r w:rsidR="004711FD" w:rsidRPr="004711FD">
              <w:rPr>
                <w:rFonts w:eastAsia="Calibri" w:cs="Arial"/>
                <w:szCs w:val="24"/>
              </w:rPr>
              <w:t xml:space="preserve">5 * 20 = </w:t>
            </w:r>
            <w:r>
              <w:rPr>
                <w:rFonts w:eastAsia="Calibri" w:cs="Arial"/>
                <w:szCs w:val="24"/>
              </w:rPr>
              <w:t>12</w:t>
            </w:r>
          </w:p>
        </w:tc>
      </w:tr>
    </w:tbl>
    <w:p w14:paraId="34174C7A" w14:textId="77777777" w:rsidR="004711FD" w:rsidRDefault="004711FD" w:rsidP="004711FD">
      <w:pPr>
        <w:pStyle w:val="BodyText"/>
        <w:ind w:left="720"/>
        <w:rPr>
          <w:szCs w:val="20"/>
        </w:rPr>
      </w:pPr>
    </w:p>
    <w:p w14:paraId="7CDDBF0E" w14:textId="77777777" w:rsidR="004711FD" w:rsidRDefault="004711FD"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Structure of Tenders</w:t>
      </w:r>
    </w:p>
    <w:p w14:paraId="6E3716E7" w14:textId="77777777" w:rsidR="004711FD" w:rsidRPr="004711FD" w:rsidRDefault="004711FD" w:rsidP="004711FD">
      <w:pPr>
        <w:pStyle w:val="Norma"/>
        <w:ind w:left="720"/>
        <w:jc w:val="both"/>
        <w:rPr>
          <w:rFonts w:asciiTheme="minorHAnsi" w:hAnsiTheme="minorHAnsi" w:cs="Arial"/>
          <w:sz w:val="20"/>
          <w:szCs w:val="20"/>
        </w:rPr>
      </w:pPr>
    </w:p>
    <w:p w14:paraId="52767C93" w14:textId="77777777" w:rsidR="004711FD" w:rsidRPr="004711FD" w:rsidRDefault="004711FD" w:rsidP="004711FD">
      <w:pPr>
        <w:pStyle w:val="Norma"/>
        <w:ind w:left="720"/>
        <w:jc w:val="both"/>
        <w:rPr>
          <w:rFonts w:asciiTheme="minorHAnsi" w:eastAsia="Calibri" w:hAnsiTheme="minorHAnsi" w:cs="Arial"/>
          <w:sz w:val="20"/>
          <w:szCs w:val="20"/>
        </w:rPr>
      </w:pPr>
      <w:r w:rsidRPr="004711FD">
        <w:rPr>
          <w:rFonts w:asciiTheme="minorHAnsi" w:hAnsiTheme="minorHAnsi" w:cs="Arial"/>
          <w:sz w:val="20"/>
          <w:szCs w:val="20"/>
        </w:rPr>
        <w:t xml:space="preserve">Contractors are strongly advised to structure their tender submissions to cover each of the criteria above and supply a price </w:t>
      </w:r>
      <w:r w:rsidRPr="004711F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004711FD">
      <w:pPr>
        <w:pStyle w:val="Norma"/>
        <w:ind w:left="720"/>
        <w:rPr>
          <w:rFonts w:asciiTheme="minorHAnsi" w:hAnsiTheme="minorHAnsi" w:cs="Calibri"/>
          <w:sz w:val="20"/>
          <w:szCs w:val="20"/>
        </w:rPr>
      </w:pPr>
    </w:p>
    <w:p w14:paraId="62929FFC" w14:textId="77777777" w:rsidR="004711FD" w:rsidRPr="004711FD" w:rsidRDefault="004711FD" w:rsidP="004711FD">
      <w:pPr>
        <w:pStyle w:val="Norma"/>
        <w:ind w:left="720"/>
        <w:jc w:val="both"/>
        <w:rPr>
          <w:rFonts w:asciiTheme="minorHAnsi" w:hAnsiTheme="minorHAnsi" w:cs="Calibri"/>
          <w:b/>
          <w:sz w:val="20"/>
          <w:szCs w:val="20"/>
        </w:rPr>
      </w:pPr>
    </w:p>
    <w:p w14:paraId="2E106EA0"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4770AF11" w14:textId="77777777" w:rsidR="004711FD" w:rsidRPr="004711FD" w:rsidRDefault="004711FD" w:rsidP="004711FD">
      <w:pPr>
        <w:pStyle w:val="Norma"/>
        <w:ind w:left="720"/>
        <w:jc w:val="both"/>
        <w:rPr>
          <w:rFonts w:asciiTheme="minorHAnsi" w:hAnsiTheme="minorHAnsi" w:cs="Arial"/>
          <w:b/>
          <w:sz w:val="20"/>
          <w:szCs w:val="20"/>
        </w:rPr>
      </w:pPr>
    </w:p>
    <w:p w14:paraId="48F8E8D4"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4711FD">
      <w:pPr>
        <w:pStyle w:val="Norma"/>
        <w:ind w:left="720"/>
        <w:jc w:val="both"/>
        <w:rPr>
          <w:rFonts w:asciiTheme="minorHAnsi" w:hAnsiTheme="minorHAnsi" w:cs="Arial"/>
          <w:sz w:val="20"/>
          <w:szCs w:val="20"/>
        </w:rPr>
      </w:pPr>
    </w:p>
    <w:p w14:paraId="43BAACA2" w14:textId="2D248D44"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Should interviews go ahead, CCC will shortlist the top three suppliers with the highest marks from the written proposals. Interviews are provisionally </w:t>
      </w:r>
      <w:r w:rsidRPr="004711FD">
        <w:rPr>
          <w:rFonts w:asciiTheme="minorHAnsi" w:hAnsiTheme="minorHAnsi" w:cs="Arial"/>
          <w:sz w:val="20"/>
          <w:szCs w:val="20"/>
        </w:rPr>
        <w:lastRenderedPageBreak/>
        <w:t xml:space="preserve">expected to be held on </w:t>
      </w:r>
      <w:r w:rsidR="005E485B" w:rsidRPr="005E485B">
        <w:rPr>
          <w:rFonts w:asciiTheme="minorHAnsi" w:hAnsiTheme="minorHAnsi" w:cs="Arial"/>
          <w:sz w:val="20"/>
          <w:szCs w:val="20"/>
        </w:rPr>
        <w:t>28 February</w:t>
      </w:r>
      <w:r w:rsidRPr="004711FD">
        <w:rPr>
          <w:rFonts w:asciiTheme="minorHAnsi" w:hAnsiTheme="minorHAnsi" w:cs="Arial"/>
          <w:sz w:val="20"/>
          <w:szCs w:val="20"/>
        </w:rPr>
        <w:t xml:space="preserve">. If this date changes, CCC will notify applicants. </w:t>
      </w:r>
    </w:p>
    <w:p w14:paraId="6B7D8CE1" w14:textId="77777777" w:rsidR="004711FD" w:rsidRPr="004711FD" w:rsidRDefault="004711FD" w:rsidP="004711FD">
      <w:pPr>
        <w:pStyle w:val="Norma"/>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11"/>
      <w:headerReference w:type="first" r:id="rId12"/>
      <w:footerReference w:type="first" r:id="rId13"/>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181D" w14:textId="77777777" w:rsidR="00994C96" w:rsidRDefault="00994C96" w:rsidP="004E6806">
      <w:r>
        <w:separator/>
      </w:r>
    </w:p>
  </w:endnote>
  <w:endnote w:type="continuationSeparator" w:id="0">
    <w:p w14:paraId="4E13A242" w14:textId="77777777" w:rsidR="00994C96" w:rsidRDefault="00994C96"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9987" w14:textId="77777777" w:rsidR="00994C96" w:rsidRDefault="00994C96" w:rsidP="004E6806">
      <w:r>
        <w:separator/>
      </w:r>
    </w:p>
  </w:footnote>
  <w:footnote w:type="continuationSeparator" w:id="0">
    <w:p w14:paraId="29E6EC50" w14:textId="77777777" w:rsidR="00994C96" w:rsidRDefault="00994C96" w:rsidP="004E6806">
      <w:r>
        <w:continuationSeparator/>
      </w:r>
    </w:p>
  </w:footnote>
  <w:footnote w:id="1">
    <w:p w14:paraId="33FEF04B" w14:textId="77777777" w:rsidR="00D23BBB" w:rsidRDefault="00D23BBB" w:rsidP="00D23BBB">
      <w:pPr>
        <w:pStyle w:val="FootnoteText"/>
      </w:pPr>
      <w:r>
        <w:rPr>
          <w:rStyle w:val="FootnoteReference"/>
        </w:rPr>
        <w:footnoteRef/>
      </w:r>
      <w:r>
        <w:t xml:space="preserve"> </w:t>
      </w:r>
      <w:hyperlink r:id="rId1" w:history="1">
        <w:r>
          <w:rPr>
            <w:rStyle w:val="Hyperlink"/>
          </w:rPr>
          <w:t>Quality Assurance (QA) of Evidence and Analysis (theccc.org.uk)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84" w:hanging="37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5437EAD"/>
    <w:multiLevelType w:val="hybridMultilevel"/>
    <w:tmpl w:val="7BF00398"/>
    <w:lvl w:ilvl="0" w:tplc="501819C8">
      <w:start w:val="1"/>
      <w:numFmt w:val="decimalZero"/>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C1A660A"/>
    <w:multiLevelType w:val="hybridMultilevel"/>
    <w:tmpl w:val="B0CC3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5A57ED"/>
    <w:multiLevelType w:val="hybridMultilevel"/>
    <w:tmpl w:val="B750E530"/>
    <w:lvl w:ilvl="0" w:tplc="7AA0BA0A">
      <w:start w:val="10"/>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10DD15EF"/>
    <w:multiLevelType w:val="hybridMultilevel"/>
    <w:tmpl w:val="7048F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EB0682"/>
    <w:multiLevelType w:val="hybridMultilevel"/>
    <w:tmpl w:val="7318DD62"/>
    <w:lvl w:ilvl="0" w:tplc="2D2E962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4FB119B"/>
    <w:multiLevelType w:val="hybridMultilevel"/>
    <w:tmpl w:val="03B483C0"/>
    <w:lvl w:ilvl="0" w:tplc="98BE48BE">
      <w:start w:val="2"/>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ED2C08"/>
    <w:multiLevelType w:val="hybridMultilevel"/>
    <w:tmpl w:val="232C9890"/>
    <w:lvl w:ilvl="0" w:tplc="32C078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AED03D6"/>
    <w:multiLevelType w:val="hybridMultilevel"/>
    <w:tmpl w:val="9E7A1E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10D0ABF"/>
    <w:multiLevelType w:val="hybridMultilevel"/>
    <w:tmpl w:val="67B4036A"/>
    <w:lvl w:ilvl="0" w:tplc="BDC241EC">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173579A"/>
    <w:multiLevelType w:val="hybridMultilevel"/>
    <w:tmpl w:val="B9C8AB0C"/>
    <w:lvl w:ilvl="0" w:tplc="5574D7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BB54AF6"/>
    <w:multiLevelType w:val="hybridMultilevel"/>
    <w:tmpl w:val="207A5FC0"/>
    <w:lvl w:ilvl="0" w:tplc="ECA8A9B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3EAD3CBC"/>
    <w:multiLevelType w:val="hybridMultilevel"/>
    <w:tmpl w:val="00B6AA52"/>
    <w:lvl w:ilvl="0" w:tplc="DD7C73BA">
      <w:numFmt w:val="bullet"/>
      <w:lvlText w:val="-"/>
      <w:lvlJc w:val="left"/>
      <w:pPr>
        <w:ind w:left="1800" w:hanging="360"/>
      </w:pPr>
      <w:rPr>
        <w:rFonts w:ascii="Century Gothic" w:eastAsiaTheme="minorHAnsi" w:hAnsi="Century Gothic" w:cstheme="minorBidi"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F5311E0"/>
    <w:multiLevelType w:val="hybridMultilevel"/>
    <w:tmpl w:val="9E5E0EF6"/>
    <w:lvl w:ilvl="0" w:tplc="6D583D6A">
      <w:start w:val="3"/>
      <w:numFmt w:val="decimal"/>
      <w:lvlText w:val="%1"/>
      <w:lvlJc w:val="left"/>
      <w:pPr>
        <w:ind w:left="1440" w:hanging="360"/>
      </w:pPr>
      <w:rPr>
        <w:rFonts w:cs="Aria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2724F56"/>
    <w:multiLevelType w:val="hybridMultilevel"/>
    <w:tmpl w:val="0330C6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2A2A58"/>
    <w:multiLevelType w:val="hybridMultilevel"/>
    <w:tmpl w:val="2BDE3042"/>
    <w:lvl w:ilvl="0" w:tplc="D736AF2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6E23F1"/>
    <w:multiLevelType w:val="hybridMultilevel"/>
    <w:tmpl w:val="4F4EB97A"/>
    <w:lvl w:ilvl="0" w:tplc="A0102E38">
      <w:start w:val="4"/>
      <w:numFmt w:val="decimal"/>
      <w:lvlText w:val="%1"/>
      <w:lvlJc w:val="left"/>
      <w:pPr>
        <w:ind w:left="418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7C1E24"/>
    <w:multiLevelType w:val="hybridMultilevel"/>
    <w:tmpl w:val="341ED386"/>
    <w:lvl w:ilvl="0" w:tplc="BF687A1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69BB6B02"/>
    <w:multiLevelType w:val="hybridMultilevel"/>
    <w:tmpl w:val="9D60EAB2"/>
    <w:lvl w:ilvl="0" w:tplc="DED0747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6C1E0826"/>
    <w:multiLevelType w:val="hybridMultilevel"/>
    <w:tmpl w:val="A4B2B92A"/>
    <w:lvl w:ilvl="0" w:tplc="D7988F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ECD6D0C"/>
    <w:multiLevelType w:val="hybridMultilevel"/>
    <w:tmpl w:val="88022402"/>
    <w:lvl w:ilvl="0" w:tplc="242C192E">
      <w:start w:val="1"/>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F93B5E"/>
    <w:multiLevelType w:val="hybridMultilevel"/>
    <w:tmpl w:val="98A6807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C4654A4"/>
    <w:multiLevelType w:val="hybridMultilevel"/>
    <w:tmpl w:val="C7520C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FEB3DF8"/>
    <w:multiLevelType w:val="hybridMultilevel"/>
    <w:tmpl w:val="89D647FA"/>
    <w:lvl w:ilvl="0" w:tplc="0826DC7E">
      <w:start w:val="10"/>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17"/>
  </w:num>
  <w:num w:numId="2">
    <w:abstractNumId w:val="12"/>
  </w:num>
  <w:num w:numId="3">
    <w:abstractNumId w:val="0"/>
  </w:num>
  <w:num w:numId="4">
    <w:abstractNumId w:val="23"/>
  </w:num>
  <w:num w:numId="5">
    <w:abstractNumId w:val="20"/>
  </w:num>
  <w:num w:numId="6">
    <w:abstractNumId w:val="13"/>
  </w:num>
  <w:num w:numId="7">
    <w:abstractNumId w:val="15"/>
  </w:num>
  <w:num w:numId="8">
    <w:abstractNumId w:val="5"/>
  </w:num>
  <w:num w:numId="9">
    <w:abstractNumId w:val="18"/>
  </w:num>
  <w:num w:numId="10">
    <w:abstractNumId w:val="19"/>
  </w:num>
  <w:num w:numId="11">
    <w:abstractNumId w:val="14"/>
  </w:num>
  <w:num w:numId="12">
    <w:abstractNumId w:val="10"/>
  </w:num>
  <w:num w:numId="13">
    <w:abstractNumId w:val="4"/>
  </w:num>
  <w:num w:numId="14">
    <w:abstractNumId w:val="21"/>
  </w:num>
  <w:num w:numId="15">
    <w:abstractNumId w:val="6"/>
  </w:num>
  <w:num w:numId="16">
    <w:abstractNumId w:val="16"/>
  </w:num>
  <w:num w:numId="17">
    <w:abstractNumId w:val="7"/>
  </w:num>
  <w:num w:numId="18">
    <w:abstractNumId w:val="8"/>
  </w:num>
  <w:num w:numId="19">
    <w:abstractNumId w:val="22"/>
  </w:num>
  <w:num w:numId="20">
    <w:abstractNumId w:val="3"/>
  </w:num>
  <w:num w:numId="21">
    <w:abstractNumId w:val="1"/>
  </w:num>
  <w:num w:numId="22">
    <w:abstractNumId w:val="24"/>
  </w:num>
  <w:num w:numId="23">
    <w:abstractNumId w:val="2"/>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12050"/>
    <w:rsid w:val="00017EEC"/>
    <w:rsid w:val="000600F0"/>
    <w:rsid w:val="00130B07"/>
    <w:rsid w:val="001D6095"/>
    <w:rsid w:val="002B42D2"/>
    <w:rsid w:val="002F41A0"/>
    <w:rsid w:val="0038388A"/>
    <w:rsid w:val="003A05B7"/>
    <w:rsid w:val="003C0907"/>
    <w:rsid w:val="003F38EA"/>
    <w:rsid w:val="00464BA0"/>
    <w:rsid w:val="004711FD"/>
    <w:rsid w:val="004C7CD3"/>
    <w:rsid w:val="004D5310"/>
    <w:rsid w:val="004E6806"/>
    <w:rsid w:val="00520FAC"/>
    <w:rsid w:val="00521506"/>
    <w:rsid w:val="0054678A"/>
    <w:rsid w:val="00551AC3"/>
    <w:rsid w:val="005904D3"/>
    <w:rsid w:val="005C519D"/>
    <w:rsid w:val="005E485B"/>
    <w:rsid w:val="00673120"/>
    <w:rsid w:val="006A1EA9"/>
    <w:rsid w:val="006D763E"/>
    <w:rsid w:val="006F0AEC"/>
    <w:rsid w:val="00772CC4"/>
    <w:rsid w:val="00793BE6"/>
    <w:rsid w:val="007A1A80"/>
    <w:rsid w:val="007A67D2"/>
    <w:rsid w:val="00817334"/>
    <w:rsid w:val="00822490"/>
    <w:rsid w:val="00823518"/>
    <w:rsid w:val="0083151A"/>
    <w:rsid w:val="00841B40"/>
    <w:rsid w:val="008541C3"/>
    <w:rsid w:val="008960A9"/>
    <w:rsid w:val="008A2514"/>
    <w:rsid w:val="00973D71"/>
    <w:rsid w:val="00987C55"/>
    <w:rsid w:val="00992925"/>
    <w:rsid w:val="00994C96"/>
    <w:rsid w:val="0099611F"/>
    <w:rsid w:val="009D3F6B"/>
    <w:rsid w:val="009D4971"/>
    <w:rsid w:val="00A40881"/>
    <w:rsid w:val="00A67B13"/>
    <w:rsid w:val="00A9730B"/>
    <w:rsid w:val="00AD7D33"/>
    <w:rsid w:val="00BE1F19"/>
    <w:rsid w:val="00BE5472"/>
    <w:rsid w:val="00C13DC6"/>
    <w:rsid w:val="00C21B40"/>
    <w:rsid w:val="00C73D42"/>
    <w:rsid w:val="00C80402"/>
    <w:rsid w:val="00CE6497"/>
    <w:rsid w:val="00D2323E"/>
    <w:rsid w:val="00D23BBB"/>
    <w:rsid w:val="00D259BB"/>
    <w:rsid w:val="00DA2FBB"/>
    <w:rsid w:val="00DB5892"/>
    <w:rsid w:val="00DC4A67"/>
    <w:rsid w:val="00DE6686"/>
    <w:rsid w:val="00E55E17"/>
    <w:rsid w:val="00EC63DC"/>
    <w:rsid w:val="00EC7A0E"/>
    <w:rsid w:val="00F05F9D"/>
    <w:rsid w:val="00F70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C13DC6"/>
    <w:pPr>
      <w:ind w:left="720"/>
      <w:jc w:val="both"/>
    </w:pPr>
    <w:rPr>
      <w:rFonts w:asciiTheme="minorHAnsi" w:eastAsia="MS Mincho" w:hAnsiTheme="minorHAnsi" w:cs="Arial"/>
      <w:b/>
      <w:sz w:val="20"/>
      <w:szCs w:val="20"/>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3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styleId="CommentReference">
    <w:name w:val="annotation reference"/>
    <w:basedOn w:val="DefaultParagraphFont"/>
    <w:uiPriority w:val="99"/>
    <w:semiHidden/>
    <w:unhideWhenUsed/>
    <w:rsid w:val="00C80402"/>
    <w:rPr>
      <w:sz w:val="16"/>
      <w:szCs w:val="16"/>
    </w:rPr>
  </w:style>
  <w:style w:type="paragraph" w:styleId="CommentText">
    <w:name w:val="annotation text"/>
    <w:basedOn w:val="Normal"/>
    <w:link w:val="CommentTextChar"/>
    <w:uiPriority w:val="99"/>
    <w:semiHidden/>
    <w:unhideWhenUsed/>
    <w:rsid w:val="00C80402"/>
    <w:rPr>
      <w:sz w:val="20"/>
      <w:szCs w:val="20"/>
    </w:rPr>
  </w:style>
  <w:style w:type="character" w:customStyle="1" w:styleId="CommentTextChar">
    <w:name w:val="Comment Text Char"/>
    <w:basedOn w:val="DefaultParagraphFont"/>
    <w:link w:val="CommentText"/>
    <w:uiPriority w:val="99"/>
    <w:semiHidden/>
    <w:rsid w:val="00C80402"/>
    <w:rPr>
      <w:sz w:val="20"/>
      <w:szCs w:val="20"/>
    </w:rPr>
  </w:style>
  <w:style w:type="paragraph" w:styleId="CommentSubject">
    <w:name w:val="annotation subject"/>
    <w:basedOn w:val="CommentText"/>
    <w:next w:val="CommentText"/>
    <w:link w:val="CommentSubjectChar"/>
    <w:uiPriority w:val="99"/>
    <w:semiHidden/>
    <w:unhideWhenUsed/>
    <w:rsid w:val="00C80402"/>
    <w:rPr>
      <w:b/>
      <w:bCs/>
    </w:rPr>
  </w:style>
  <w:style w:type="character" w:customStyle="1" w:styleId="CommentSubjectChar">
    <w:name w:val="Comment Subject Char"/>
    <w:basedOn w:val="CommentTextChar"/>
    <w:link w:val="CommentSubject"/>
    <w:uiPriority w:val="99"/>
    <w:semiHidden/>
    <w:rsid w:val="00C80402"/>
    <w:rPr>
      <w:b/>
      <w:bCs/>
      <w:sz w:val="20"/>
      <w:szCs w:val="20"/>
    </w:rPr>
  </w:style>
  <w:style w:type="character" w:styleId="Hyperlink">
    <w:name w:val="Hyperlink"/>
    <w:uiPriority w:val="99"/>
    <w:unhideWhenUsed/>
    <w:rsid w:val="00D23BBB"/>
    <w:rPr>
      <w:color w:val="0563C1"/>
      <w:u w:val="single"/>
    </w:rPr>
  </w:style>
  <w:style w:type="character" w:styleId="FootnoteReference">
    <w:name w:val="footnote reference"/>
    <w:uiPriority w:val="99"/>
    <w:semiHidden/>
    <w:unhideWhenUsed/>
    <w:rsid w:val="00D23BBB"/>
    <w:rPr>
      <w:vertAlign w:val="superscript"/>
    </w:rPr>
  </w:style>
  <w:style w:type="character" w:styleId="UnresolvedMention">
    <w:name w:val="Unresolved Mention"/>
    <w:basedOn w:val="DefaultParagraphFont"/>
    <w:uiPriority w:val="99"/>
    <w:semiHidden/>
    <w:unhideWhenUsed/>
    <w:rsid w:val="007A6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cc.org.uk/carbon-offsets-call-for-eviden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collections/non-domestic-national-energy-efficiency-data-framework-nd-need" TargetMode="External"/><Relationship Id="rId4" Type="http://schemas.openxmlformats.org/officeDocument/2006/relationships/settings" Target="settings.xml"/><Relationship Id="rId9" Type="http://schemas.openxmlformats.org/officeDocument/2006/relationships/hyperlink" Target="https://www.gov.uk/government/collections/digest-of-uk-energy-statistics-duk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theccc.org.uk/wp-content/uploads/2020/04/CCC-%E2%80%93-Quality-Assurance-of-Evidence-and-Analysi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FC2C3-A99E-4B1E-84FA-F33BCC91B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3643</Words>
  <Characters>20767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2</cp:revision>
  <dcterms:created xsi:type="dcterms:W3CDTF">2022-02-15T09:47:00Z</dcterms:created>
  <dcterms:modified xsi:type="dcterms:W3CDTF">2022-02-15T09:47:00Z</dcterms:modified>
</cp:coreProperties>
</file>