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28" w:rsidRPr="00FB1076" w:rsidRDefault="00FB1076">
      <w:pPr>
        <w:rPr>
          <w:b/>
          <w:u w:val="single"/>
        </w:rPr>
      </w:pPr>
      <w:r w:rsidRPr="00FB1076">
        <w:rPr>
          <w:b/>
          <w:u w:val="single"/>
        </w:rPr>
        <w:t>Description of the Contract Opportunity</w:t>
      </w:r>
    </w:p>
    <w:p w:rsidR="00FB1076" w:rsidRPr="00FB1076" w:rsidRDefault="00FB1076"/>
    <w:p w:rsidR="00FB1076" w:rsidRPr="00FB1076" w:rsidRDefault="00FB1076" w:rsidP="00FB1076">
      <w:pPr>
        <w:pStyle w:val="BB-Normal"/>
        <w:rPr>
          <w:sz w:val="22"/>
          <w:szCs w:val="22"/>
        </w:rPr>
      </w:pPr>
      <w:r w:rsidRPr="00FB1076">
        <w:rPr>
          <w:sz w:val="22"/>
          <w:szCs w:val="22"/>
        </w:rPr>
        <w:t xml:space="preserve">Gloucestershire CCG has a Primary Care Strategy that supports the General Practice Forward View (GPFV) in developing general practice to work at scale. Improving Access is seen as a key enabler to deliver the sustainability and transformation of primary medical services through services being delivered in an integrated way at scale and based around established GP clusters. </w:t>
      </w:r>
    </w:p>
    <w:p w:rsidR="00FB1076" w:rsidRPr="00FB1076" w:rsidRDefault="00FB1076" w:rsidP="00FB1076">
      <w:pPr>
        <w:pStyle w:val="BB-Normal"/>
        <w:rPr>
          <w:sz w:val="22"/>
          <w:szCs w:val="22"/>
        </w:rPr>
      </w:pPr>
    </w:p>
    <w:p w:rsidR="00FB1076" w:rsidRPr="00FB1076" w:rsidRDefault="00FB1076" w:rsidP="00FB1076">
      <w:pPr>
        <w:pStyle w:val="BB-Normal"/>
        <w:rPr>
          <w:sz w:val="22"/>
          <w:szCs w:val="22"/>
        </w:rPr>
      </w:pPr>
      <w:r w:rsidRPr="00FB1076">
        <w:rPr>
          <w:sz w:val="22"/>
          <w:szCs w:val="22"/>
        </w:rPr>
        <w:t>The Gloucestershire GP clusters are well established with full engagement of their GP practice members, meeting regularly and led by GPs working in close collaboration with the GP membership provider organisation.  Many GP clusters have engaged new skill mix within their delivery models. GCCG wishes to commission Improved Access primary medical services which form part of a fully integrated primary care service which builds on existing strong primary care performance an established / integrated links to other NHS and private sector healthcare services in the county. It is envisaged that the delivery model will be based around the existing GP clusters.</w:t>
      </w:r>
    </w:p>
    <w:p w:rsidR="00FB1076" w:rsidRPr="00FB1076" w:rsidRDefault="00FB1076" w:rsidP="00FB1076">
      <w:pPr>
        <w:pStyle w:val="BB-Normal"/>
        <w:rPr>
          <w:sz w:val="22"/>
          <w:szCs w:val="22"/>
        </w:rPr>
      </w:pPr>
    </w:p>
    <w:p w:rsidR="00FB1076" w:rsidRPr="00FB1076" w:rsidRDefault="00FB1076" w:rsidP="00FB1076">
      <w:pPr>
        <w:pStyle w:val="BB-Normal"/>
        <w:rPr>
          <w:sz w:val="22"/>
          <w:szCs w:val="22"/>
        </w:rPr>
      </w:pPr>
      <w:r w:rsidRPr="00FB1076">
        <w:rPr>
          <w:sz w:val="22"/>
          <w:szCs w:val="22"/>
        </w:rPr>
        <w:t xml:space="preserve">The national and local core requirements of the Improved Access service are:  </w:t>
      </w:r>
    </w:p>
    <w:p w:rsidR="00FB1076" w:rsidRPr="00FB1076" w:rsidRDefault="00FB1076" w:rsidP="00FB1076">
      <w:pPr>
        <w:pStyle w:val="BB-Normal"/>
        <w:rPr>
          <w:sz w:val="22"/>
          <w:szCs w:val="22"/>
        </w:rPr>
      </w:pPr>
    </w:p>
    <w:p w:rsidR="00FB1076" w:rsidRPr="00FB1076" w:rsidRDefault="00FB1076" w:rsidP="00FB1076">
      <w:pPr>
        <w:pStyle w:val="BB-Normal"/>
        <w:numPr>
          <w:ilvl w:val="0"/>
          <w:numId w:val="1"/>
        </w:numPr>
        <w:rPr>
          <w:sz w:val="22"/>
          <w:szCs w:val="22"/>
        </w:rPr>
      </w:pPr>
      <w:r w:rsidRPr="00FB1076">
        <w:rPr>
          <w:sz w:val="22"/>
          <w:szCs w:val="22"/>
        </w:rPr>
        <w:t>Delivering additional GP appointments to meet the national core requirements within the established GP clusters with wide geographical coverage for the purpose of maintaining good equity of access. The additional patient appointments will be from 18.30 to 20.00 Monday to Friday and 08.00 to 20.00 on Saturdays and Sundays with additional cover on Bank Holidays. In addition to the core requirements of 30 minutes per 1000 rising to 45 minutes and 1.5 hours GP appointments each weekday evening the existing models have been challenged to deliver more appointments across the day using new ways of working and to support the development and resilience of primary care working at scale.</w:t>
      </w:r>
    </w:p>
    <w:p w:rsidR="00FB1076" w:rsidRPr="00FB1076" w:rsidRDefault="00FB1076" w:rsidP="00FB1076">
      <w:pPr>
        <w:pStyle w:val="BB-Normal"/>
        <w:rPr>
          <w:sz w:val="22"/>
          <w:szCs w:val="22"/>
        </w:rPr>
      </w:pPr>
    </w:p>
    <w:p w:rsidR="00FB1076" w:rsidRPr="00FB1076" w:rsidRDefault="00FB1076" w:rsidP="00FB1076">
      <w:pPr>
        <w:pStyle w:val="BB-Normal"/>
        <w:numPr>
          <w:ilvl w:val="0"/>
          <w:numId w:val="1"/>
        </w:numPr>
        <w:rPr>
          <w:sz w:val="22"/>
          <w:szCs w:val="22"/>
        </w:rPr>
      </w:pPr>
      <w:r w:rsidRPr="00FB1076">
        <w:rPr>
          <w:sz w:val="22"/>
          <w:szCs w:val="22"/>
        </w:rPr>
        <w:t>Ensuring equity of access to services is critical.   Most of the current pilot delivery models have rotational hubs for GP clusters using existing GP practice premises and existing reception staff.</w:t>
      </w:r>
    </w:p>
    <w:p w:rsidR="00FB1076" w:rsidRPr="00FB1076" w:rsidRDefault="00FB1076" w:rsidP="00FB1076">
      <w:pPr>
        <w:pStyle w:val="BB-Normal"/>
        <w:ind w:left="720"/>
        <w:rPr>
          <w:sz w:val="22"/>
          <w:szCs w:val="22"/>
        </w:rPr>
      </w:pPr>
    </w:p>
    <w:p w:rsidR="00FB1076" w:rsidRPr="00FB1076" w:rsidRDefault="00FB1076" w:rsidP="00FB1076">
      <w:pPr>
        <w:pStyle w:val="BB-Normal"/>
        <w:numPr>
          <w:ilvl w:val="0"/>
          <w:numId w:val="1"/>
        </w:numPr>
        <w:rPr>
          <w:sz w:val="22"/>
          <w:szCs w:val="22"/>
        </w:rPr>
      </w:pPr>
      <w:r w:rsidRPr="00FB1076">
        <w:rPr>
          <w:sz w:val="22"/>
          <w:szCs w:val="22"/>
        </w:rPr>
        <w:t xml:space="preserve">All appointments held during the evenings, weekends and Bank Holidays must have GP appointments available. Appointments are for a maximum of 15 minutes and a mix of pre-bookable routine appointments with access to the patient record and urgent appointments </w:t>
      </w:r>
      <w:proofErr w:type="gramStart"/>
      <w:r w:rsidRPr="00FB1076">
        <w:rPr>
          <w:sz w:val="22"/>
          <w:szCs w:val="22"/>
        </w:rPr>
        <w:t>The</w:t>
      </w:r>
      <w:proofErr w:type="gramEnd"/>
      <w:r w:rsidRPr="00FB1076">
        <w:rPr>
          <w:sz w:val="22"/>
          <w:szCs w:val="22"/>
        </w:rPr>
        <w:t xml:space="preserve"> current staffing model mainly uses existing partners and salaried GPs giving continuity of care for patients, supported by other skill mix during the day.</w:t>
      </w:r>
    </w:p>
    <w:p w:rsidR="00FB1076" w:rsidRPr="00FB1076" w:rsidRDefault="00FB1076" w:rsidP="00FB1076">
      <w:pPr>
        <w:pStyle w:val="BB-Normal"/>
        <w:ind w:left="720"/>
        <w:rPr>
          <w:sz w:val="22"/>
          <w:szCs w:val="22"/>
        </w:rPr>
      </w:pPr>
    </w:p>
    <w:p w:rsidR="00FB1076" w:rsidRPr="00FB1076" w:rsidRDefault="00FB1076" w:rsidP="00FB1076">
      <w:pPr>
        <w:pStyle w:val="BB-Normal"/>
        <w:numPr>
          <w:ilvl w:val="0"/>
          <w:numId w:val="1"/>
        </w:numPr>
        <w:rPr>
          <w:sz w:val="22"/>
          <w:szCs w:val="22"/>
        </w:rPr>
      </w:pPr>
      <w:r w:rsidRPr="00FB1076">
        <w:rPr>
          <w:sz w:val="22"/>
          <w:szCs w:val="22"/>
        </w:rPr>
        <w:t xml:space="preserve">Patients are offered appointments on an equal footing through their GP registered practice accessing a shared booking system </w:t>
      </w:r>
    </w:p>
    <w:p w:rsidR="00FB1076" w:rsidRPr="00FB1076" w:rsidRDefault="00FB1076" w:rsidP="00FB1076">
      <w:pPr>
        <w:pStyle w:val="BB-Normal"/>
        <w:ind w:left="720"/>
        <w:rPr>
          <w:sz w:val="22"/>
          <w:szCs w:val="22"/>
        </w:rPr>
      </w:pPr>
    </w:p>
    <w:p w:rsidR="00FB1076" w:rsidRPr="00FB1076" w:rsidRDefault="00FB1076" w:rsidP="00FB1076">
      <w:pPr>
        <w:pStyle w:val="BB-Normal"/>
        <w:numPr>
          <w:ilvl w:val="0"/>
          <w:numId w:val="1"/>
        </w:numPr>
        <w:rPr>
          <w:sz w:val="22"/>
          <w:szCs w:val="22"/>
        </w:rPr>
      </w:pPr>
      <w:r w:rsidRPr="00FB1076">
        <w:rPr>
          <w:sz w:val="22"/>
          <w:szCs w:val="22"/>
        </w:rPr>
        <w:t>Engaging with individual GP practices Patient Participation Groups and using patient surveys to develop the IA model and meeting with other primary medical service providers within the locality to share best practice and new ways of working in line with the GPFV strategy.</w:t>
      </w:r>
    </w:p>
    <w:p w:rsidR="00FB1076" w:rsidRPr="00FB1076" w:rsidRDefault="00FB1076" w:rsidP="00FB1076">
      <w:pPr>
        <w:pStyle w:val="ListParagraph"/>
        <w:rPr>
          <w:sz w:val="22"/>
        </w:rPr>
      </w:pPr>
    </w:p>
    <w:p w:rsidR="00FB1076" w:rsidRPr="00FB1076" w:rsidRDefault="00FB1076" w:rsidP="00FB1076">
      <w:pPr>
        <w:pStyle w:val="BB-Normal"/>
        <w:rPr>
          <w:sz w:val="22"/>
          <w:szCs w:val="22"/>
        </w:rPr>
      </w:pPr>
      <w:r w:rsidRPr="00FB1076">
        <w:rPr>
          <w:sz w:val="22"/>
          <w:szCs w:val="22"/>
        </w:rPr>
        <w:t xml:space="preserve">The GCCG considers that GP providers and the GP membership organisation in Gloucestershire are likely to be most capable of meeting the above requirements.  Therefore, unless expressions of interest are received from alternative economic operators in response to this PIN, GCCG intends to negotiate with and award contracts to the GP practices and GP provider organisation as described above. If expressions of interest are </w:t>
      </w:r>
      <w:r w:rsidRPr="00FB1076">
        <w:rPr>
          <w:sz w:val="22"/>
          <w:szCs w:val="22"/>
        </w:rPr>
        <w:lastRenderedPageBreak/>
        <w:t xml:space="preserve">received, GCCG will likely run a competitive process and would issue a Standard Selection Questionnaire to those providers who express an interest in response to this PIN. </w:t>
      </w:r>
    </w:p>
    <w:p w:rsidR="00FB1076" w:rsidRPr="00FB1076" w:rsidRDefault="00FB1076" w:rsidP="00FB1076">
      <w:pPr>
        <w:pStyle w:val="BB-Normal"/>
        <w:rPr>
          <w:sz w:val="22"/>
          <w:szCs w:val="22"/>
        </w:rPr>
      </w:pPr>
    </w:p>
    <w:p w:rsidR="00FB1076" w:rsidRPr="00FB1076" w:rsidRDefault="00FB1076" w:rsidP="00FB1076">
      <w:pPr>
        <w:pStyle w:val="BB-Normal"/>
        <w:rPr>
          <w:sz w:val="22"/>
          <w:szCs w:val="22"/>
        </w:rPr>
      </w:pPr>
      <w:r w:rsidRPr="00FB1076">
        <w:rPr>
          <w:sz w:val="22"/>
          <w:szCs w:val="22"/>
        </w:rPr>
        <w:t xml:space="preserve">Should a competitive process be run, the award criteria for determining the successful provider(s) are likely to be based on the topics detailed in section II.2.5 </w:t>
      </w:r>
      <w:proofErr w:type="gramStart"/>
      <w:r w:rsidRPr="00FB1076">
        <w:rPr>
          <w:sz w:val="22"/>
          <w:szCs w:val="22"/>
        </w:rPr>
        <w:t>below.</w:t>
      </w:r>
      <w:proofErr w:type="gramEnd"/>
      <w:r w:rsidRPr="00FB1076">
        <w:rPr>
          <w:sz w:val="22"/>
          <w:szCs w:val="22"/>
        </w:rPr>
        <w:t xml:space="preserve">  In terms of procedure, the competition may have some features which are similar to the restricted procedure (as indicated in IV.1.1 below)</w:t>
      </w:r>
      <w:proofErr w:type="gramStart"/>
      <w:r w:rsidRPr="00FB1076">
        <w:rPr>
          <w:sz w:val="22"/>
          <w:szCs w:val="22"/>
        </w:rPr>
        <w:t>,</w:t>
      </w:r>
      <w:proofErr w:type="gramEnd"/>
      <w:r w:rsidRPr="00FB1076">
        <w:rPr>
          <w:sz w:val="22"/>
          <w:szCs w:val="22"/>
        </w:rPr>
        <w:t xml:space="preserve"> however, as the services in question are light regime services GCCG is not bound to follow any specific procedure.  Further details of the competitive process, including the award criteria, will be confirmed in the event that a competitive process is required. </w:t>
      </w:r>
    </w:p>
    <w:p w:rsidR="00FB1076" w:rsidRPr="00FB1076" w:rsidRDefault="00FB1076"/>
    <w:p w:rsidR="00FB1076" w:rsidRPr="00FB1076" w:rsidRDefault="00FB1076"/>
    <w:p w:rsidR="00FB1076" w:rsidRPr="00FB1076" w:rsidRDefault="00FB1076"/>
    <w:p w:rsidR="00FB1076" w:rsidRPr="00FB1076" w:rsidRDefault="00FB1076">
      <w:pPr>
        <w:rPr>
          <w:b/>
          <w:u w:val="single"/>
        </w:rPr>
      </w:pPr>
      <w:r w:rsidRPr="00FB1076">
        <w:rPr>
          <w:b/>
          <w:u w:val="single"/>
        </w:rPr>
        <w:t>Award Criteria:</w:t>
      </w:r>
    </w:p>
    <w:p w:rsidR="00FB1076" w:rsidRPr="00FB1076" w:rsidRDefault="00FB1076"/>
    <w:p w:rsidR="00FB1076" w:rsidRPr="00FB1076" w:rsidRDefault="00FB1076" w:rsidP="00FB1076">
      <w:pPr>
        <w:pStyle w:val="BB-Normal"/>
        <w:rPr>
          <w:sz w:val="22"/>
          <w:szCs w:val="22"/>
        </w:rPr>
      </w:pPr>
      <w:r w:rsidRPr="00FB1076">
        <w:rPr>
          <w:sz w:val="22"/>
          <w:szCs w:val="22"/>
        </w:rPr>
        <w:t>Quality:</w:t>
      </w:r>
    </w:p>
    <w:p w:rsidR="00FB1076" w:rsidRPr="00FB1076" w:rsidRDefault="00FB1076" w:rsidP="00FB1076">
      <w:pPr>
        <w:pStyle w:val="BB-Normal"/>
        <w:rPr>
          <w:sz w:val="22"/>
          <w:szCs w:val="22"/>
        </w:rPr>
      </w:pPr>
    </w:p>
    <w:p w:rsidR="00FB1076" w:rsidRPr="00FB1076" w:rsidRDefault="00FB1076" w:rsidP="00FB1076">
      <w:pPr>
        <w:pStyle w:val="BB-Normal"/>
        <w:numPr>
          <w:ilvl w:val="0"/>
          <w:numId w:val="2"/>
        </w:numPr>
        <w:rPr>
          <w:sz w:val="22"/>
          <w:szCs w:val="22"/>
        </w:rPr>
      </w:pPr>
      <w:r w:rsidRPr="00FB1076">
        <w:rPr>
          <w:sz w:val="22"/>
          <w:szCs w:val="22"/>
        </w:rPr>
        <w:t>Ability to mobilise within the timeframes (20%)</w:t>
      </w:r>
    </w:p>
    <w:p w:rsidR="00FB1076" w:rsidRPr="00FB1076" w:rsidRDefault="00FB1076" w:rsidP="00FB1076">
      <w:pPr>
        <w:pStyle w:val="BB-Normal"/>
        <w:numPr>
          <w:ilvl w:val="0"/>
          <w:numId w:val="2"/>
        </w:numPr>
        <w:rPr>
          <w:sz w:val="22"/>
          <w:szCs w:val="22"/>
        </w:rPr>
      </w:pPr>
      <w:r w:rsidRPr="00FB1076">
        <w:rPr>
          <w:sz w:val="22"/>
          <w:szCs w:val="22"/>
        </w:rPr>
        <w:t>Capacity and workforce model to meet the local service requirements and individual needs of the GP cluster populations, including national core requirements as set out in the accompanying memorandum of information (20%)</w:t>
      </w:r>
    </w:p>
    <w:p w:rsidR="00FB1076" w:rsidRPr="00FB1076" w:rsidRDefault="00FB1076" w:rsidP="00FB1076">
      <w:pPr>
        <w:pStyle w:val="BB-Normal"/>
        <w:numPr>
          <w:ilvl w:val="0"/>
          <w:numId w:val="2"/>
        </w:numPr>
        <w:rPr>
          <w:sz w:val="22"/>
          <w:szCs w:val="22"/>
        </w:rPr>
      </w:pPr>
      <w:r w:rsidRPr="00FB1076">
        <w:rPr>
          <w:sz w:val="22"/>
          <w:szCs w:val="22"/>
        </w:rPr>
        <w:t>Patient Access (flexible / multiple cross-county service delivery locations) ensuring equity of access (20%)</w:t>
      </w:r>
    </w:p>
    <w:p w:rsidR="00FB1076" w:rsidRPr="00FB1076" w:rsidRDefault="00FB1076" w:rsidP="00FB1076">
      <w:pPr>
        <w:pStyle w:val="BB-Normal"/>
        <w:numPr>
          <w:ilvl w:val="0"/>
          <w:numId w:val="2"/>
        </w:numPr>
        <w:rPr>
          <w:sz w:val="22"/>
          <w:szCs w:val="22"/>
        </w:rPr>
      </w:pPr>
      <w:r w:rsidRPr="00FB1076">
        <w:rPr>
          <w:sz w:val="22"/>
          <w:szCs w:val="22"/>
        </w:rPr>
        <w:t>Supporting the direction of the Gloucestershire primary care strategy and GPFV working at a cluster level at scale (20%)</w:t>
      </w:r>
    </w:p>
    <w:p w:rsidR="00FB1076" w:rsidRPr="00FB1076" w:rsidRDefault="00FB1076" w:rsidP="00FB1076">
      <w:pPr>
        <w:pStyle w:val="BB-Normal"/>
        <w:numPr>
          <w:ilvl w:val="0"/>
          <w:numId w:val="2"/>
        </w:numPr>
        <w:rPr>
          <w:sz w:val="22"/>
          <w:szCs w:val="22"/>
        </w:rPr>
      </w:pPr>
      <w:r w:rsidRPr="00FB1076">
        <w:rPr>
          <w:sz w:val="22"/>
          <w:szCs w:val="22"/>
        </w:rPr>
        <w:t>The level of engagement and collaboration with local practices and their PPGs, the clusters, the GP provider organisation, and Gloucestershire health system (20%)</w:t>
      </w:r>
    </w:p>
    <w:p w:rsidR="00FB1076" w:rsidRPr="00FB1076" w:rsidRDefault="00FB1076" w:rsidP="00FB1076">
      <w:pPr>
        <w:pStyle w:val="BB-Normal"/>
        <w:ind w:left="720"/>
        <w:rPr>
          <w:sz w:val="22"/>
          <w:szCs w:val="22"/>
        </w:rPr>
      </w:pPr>
    </w:p>
    <w:p w:rsidR="00FB1076" w:rsidRPr="00FB1076" w:rsidRDefault="00FB1076" w:rsidP="00FB1076">
      <w:pPr>
        <w:pStyle w:val="BB-Normal"/>
        <w:rPr>
          <w:sz w:val="22"/>
          <w:szCs w:val="22"/>
        </w:rPr>
      </w:pPr>
      <w:r w:rsidRPr="00FB1076">
        <w:rPr>
          <w:sz w:val="22"/>
          <w:szCs w:val="22"/>
        </w:rPr>
        <w:t>Price:</w:t>
      </w:r>
    </w:p>
    <w:p w:rsidR="00FB1076" w:rsidRPr="00FB1076" w:rsidRDefault="00FB1076" w:rsidP="00FB1076">
      <w:pPr>
        <w:pStyle w:val="BB-Normal"/>
        <w:rPr>
          <w:sz w:val="22"/>
          <w:szCs w:val="22"/>
        </w:rPr>
      </w:pPr>
    </w:p>
    <w:p w:rsidR="00FB1076" w:rsidRPr="00FB1076" w:rsidRDefault="00FB1076" w:rsidP="00FB1076">
      <w:pPr>
        <w:pStyle w:val="BB-Normal"/>
        <w:rPr>
          <w:sz w:val="22"/>
          <w:szCs w:val="22"/>
        </w:rPr>
      </w:pPr>
      <w:r w:rsidRPr="00FB1076">
        <w:rPr>
          <w:sz w:val="22"/>
          <w:szCs w:val="22"/>
        </w:rPr>
        <w:t>To be delivered within available budget. Pass or Fail</w:t>
      </w:r>
    </w:p>
    <w:p w:rsidR="00FB1076" w:rsidRPr="00FB1076" w:rsidRDefault="00FB1076">
      <w:bookmarkStart w:id="0" w:name="_GoBack"/>
      <w:bookmarkEnd w:id="0"/>
    </w:p>
    <w:p w:rsidR="00FB1076" w:rsidRPr="00FB1076" w:rsidRDefault="00FB1076">
      <w:pPr>
        <w:rPr>
          <w:b/>
          <w:u w:val="single"/>
        </w:rPr>
      </w:pPr>
      <w:r w:rsidRPr="00FB1076">
        <w:rPr>
          <w:b/>
          <w:u w:val="single"/>
        </w:rPr>
        <w:t>Additional Information:</w:t>
      </w:r>
    </w:p>
    <w:p w:rsidR="00FB1076" w:rsidRPr="00FB1076" w:rsidRDefault="00FB1076"/>
    <w:p w:rsidR="00FB1076" w:rsidRDefault="00FB1076" w:rsidP="00FB1076">
      <w:pPr>
        <w:pStyle w:val="BB-Normal"/>
      </w:pPr>
      <w:r>
        <w:t xml:space="preserve">Economic operators wishing to express interest in this service provision should register on </w:t>
      </w:r>
    </w:p>
    <w:p w:rsidR="00FB1076" w:rsidRDefault="00FB1076" w:rsidP="00FB1076">
      <w:pPr>
        <w:pStyle w:val="BB-Normal"/>
        <w:rPr>
          <w:color w:val="000000"/>
        </w:rPr>
      </w:pPr>
      <w:proofErr w:type="gramStart"/>
      <w:r w:rsidRPr="009F3CA3">
        <w:rPr>
          <w:color w:val="000000"/>
        </w:rPr>
        <w:t>the</w:t>
      </w:r>
      <w:proofErr w:type="gramEnd"/>
      <w:r w:rsidRPr="009F3CA3">
        <w:rPr>
          <w:color w:val="000000"/>
        </w:rPr>
        <w:t xml:space="preserve"> In-Tend e-procurement portal </w:t>
      </w:r>
      <w:hyperlink r:id="rId6" w:history="1">
        <w:r w:rsidRPr="009F3CA3">
          <w:rPr>
            <w:rStyle w:val="Hyperlink"/>
          </w:rPr>
          <w:t>https://in-tendhost.co.uk/gloucestershireccg</w:t>
        </w:r>
      </w:hyperlink>
      <w:r w:rsidRPr="009F3CA3">
        <w:rPr>
          <w:color w:val="000000"/>
        </w:rPr>
        <w:t xml:space="preserve"> </w:t>
      </w:r>
    </w:p>
    <w:p w:rsidR="00FB1076" w:rsidRDefault="00FB1076" w:rsidP="00FB1076">
      <w:pPr>
        <w:pStyle w:val="BB-Normal"/>
        <w:rPr>
          <w:color w:val="000000"/>
        </w:rPr>
      </w:pPr>
    </w:p>
    <w:p w:rsidR="00FB1076" w:rsidRDefault="00FB1076" w:rsidP="00FB1076">
      <w:pPr>
        <w:pStyle w:val="BB-Normal"/>
      </w:pPr>
      <w:r>
        <w:t>The closing date for expressions of interest is midnight, Monday 23 July 2018.</w:t>
      </w:r>
    </w:p>
    <w:p w:rsidR="00FB1076" w:rsidRDefault="00FB1076" w:rsidP="00FB1076">
      <w:pPr>
        <w:pStyle w:val="BB-Normal"/>
      </w:pPr>
    </w:p>
    <w:p w:rsidR="00FB1076" w:rsidRDefault="00FB1076" w:rsidP="00FB1076">
      <w:pPr>
        <w:pStyle w:val="BB-Normal"/>
      </w:pPr>
      <w:r>
        <w:t>Please note that an expression of interest in delivering the improved access service is not a tender response. An expression of interest is not an indication of a commitment to participate in the tender process nor does it infer any special status on those economic operators who do submit an interest. The market response to this Prior Information Notice will be used to inform the commissioner's view as to any future process to select the most suitable provider to meet its commissioning intentions. This expression of interest does not commit NHS Gloucestershire CCG to undertake the procurement of the improved access service.</w:t>
      </w:r>
    </w:p>
    <w:p w:rsidR="00FB1076" w:rsidRDefault="00FB1076" w:rsidP="00FB1076">
      <w:pPr>
        <w:pStyle w:val="BB-Normal"/>
      </w:pPr>
    </w:p>
    <w:p w:rsidR="00FB1076" w:rsidRDefault="00FB1076" w:rsidP="00FB1076">
      <w:pPr>
        <w:pStyle w:val="BB-Normal"/>
      </w:pPr>
      <w:r>
        <w:t xml:space="preserve">NHS England guidance for improved access: </w:t>
      </w:r>
      <w:hyperlink r:id="rId7" w:history="1">
        <w:r w:rsidRPr="000435ED">
          <w:rPr>
            <w:rStyle w:val="Hyperlink"/>
          </w:rPr>
          <w:t>https://www.england.nhs.uk/gp/gpfv/redesign/improvin g-access/</w:t>
        </w:r>
      </w:hyperlink>
    </w:p>
    <w:p w:rsidR="00FB1076" w:rsidRDefault="00FB1076" w:rsidP="00FB1076">
      <w:pPr>
        <w:pStyle w:val="BB-Normal"/>
      </w:pPr>
    </w:p>
    <w:p w:rsidR="00FB1076" w:rsidRDefault="00FB1076" w:rsidP="00FB1076">
      <w:pPr>
        <w:pStyle w:val="BB-Normal"/>
      </w:pPr>
      <w:r>
        <w:t>NHS Operational planning and contracting guidance 2017/19</w:t>
      </w:r>
    </w:p>
    <w:p w:rsidR="00FB1076" w:rsidRDefault="00FB1076" w:rsidP="00FB1076">
      <w:pPr>
        <w:pStyle w:val="BB-Normal"/>
      </w:pPr>
      <w:hyperlink r:id="rId8" w:history="1">
        <w:r w:rsidRPr="000435ED">
          <w:rPr>
            <w:rStyle w:val="Hyperlink"/>
          </w:rPr>
          <w:t>https://www.england.nhs.uk/deliver-forward-view/</w:t>
        </w:r>
      </w:hyperlink>
    </w:p>
    <w:p w:rsidR="00FB1076" w:rsidRDefault="00FB1076" w:rsidP="00FB1076">
      <w:pPr>
        <w:pStyle w:val="BB-Normal"/>
      </w:pPr>
    </w:p>
    <w:p w:rsidR="00FB1076" w:rsidRDefault="00FB1076" w:rsidP="00FB1076">
      <w:pPr>
        <w:pStyle w:val="BB-Normal"/>
      </w:pPr>
      <w:r>
        <w:t xml:space="preserve">Interest from the incumbent providers of GP services within the GCCG area is already noted and therefore no further expression of interest is required from </w:t>
      </w:r>
      <w:proofErr w:type="gramStart"/>
      <w:r>
        <w:t>the 76 existing Gloucestershire GP providers nor</w:t>
      </w:r>
      <w:proofErr w:type="gramEnd"/>
      <w:r>
        <w:t xml:space="preserve"> their member organisation. </w:t>
      </w:r>
    </w:p>
    <w:p w:rsidR="00FB1076" w:rsidRDefault="00FB1076" w:rsidP="00FB1076">
      <w:pPr>
        <w:pStyle w:val="BB-Normal"/>
      </w:pPr>
    </w:p>
    <w:p w:rsidR="00FB1076" w:rsidRDefault="00FB1076" w:rsidP="00FB1076">
      <w:pPr>
        <w:pStyle w:val="BB-Normal"/>
      </w:pPr>
      <w:r>
        <w:t xml:space="preserve">If expressions of interest are received from any other potential providers, GCCG will likely run a competitive process.  Such a process would commence by GCCG issuing a Standard Selection Questionnaire to interested providers for completion in order to confirm their interest.    </w:t>
      </w:r>
    </w:p>
    <w:p w:rsidR="00FB1076" w:rsidRPr="00FB1076" w:rsidRDefault="00FB1076"/>
    <w:sectPr w:rsidR="00FB1076" w:rsidRPr="00FB1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64D40"/>
    <w:multiLevelType w:val="hybridMultilevel"/>
    <w:tmpl w:val="5D8E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214A03"/>
    <w:multiLevelType w:val="hybridMultilevel"/>
    <w:tmpl w:val="24F2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76"/>
    <w:rsid w:val="00BF6728"/>
    <w:rsid w:val="00FB1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FB1076"/>
    <w:pPr>
      <w:ind w:left="720"/>
      <w:contextualSpacing/>
      <w:jc w:val="both"/>
    </w:pPr>
    <w:rPr>
      <w:rFonts w:cstheme="minorBidi"/>
      <w:sz w:val="20"/>
    </w:rPr>
  </w:style>
  <w:style w:type="paragraph" w:customStyle="1" w:styleId="BB-Normal">
    <w:name w:val="BB-Normal"/>
    <w:rsid w:val="00FB1076"/>
    <w:pPr>
      <w:jc w:val="both"/>
    </w:pPr>
    <w:rPr>
      <w:sz w:val="20"/>
      <w:szCs w:val="20"/>
    </w:rPr>
  </w:style>
  <w:style w:type="character" w:styleId="Hyperlink">
    <w:name w:val="Hyperlink"/>
    <w:basedOn w:val="DefaultParagraphFont"/>
    <w:uiPriority w:val="99"/>
    <w:unhideWhenUsed/>
    <w:rsid w:val="00FB10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FB1076"/>
    <w:pPr>
      <w:ind w:left="720"/>
      <w:contextualSpacing/>
      <w:jc w:val="both"/>
    </w:pPr>
    <w:rPr>
      <w:rFonts w:cstheme="minorBidi"/>
      <w:sz w:val="20"/>
    </w:rPr>
  </w:style>
  <w:style w:type="paragraph" w:customStyle="1" w:styleId="BB-Normal">
    <w:name w:val="BB-Normal"/>
    <w:rsid w:val="00FB1076"/>
    <w:pPr>
      <w:jc w:val="both"/>
    </w:pPr>
    <w:rPr>
      <w:sz w:val="20"/>
      <w:szCs w:val="20"/>
    </w:rPr>
  </w:style>
  <w:style w:type="character" w:styleId="Hyperlink">
    <w:name w:val="Hyperlink"/>
    <w:basedOn w:val="DefaultParagraphFont"/>
    <w:uiPriority w:val="99"/>
    <w:unhideWhenUsed/>
    <w:rsid w:val="00FB10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deliver-forward-view/" TargetMode="External"/><Relationship Id="rId3" Type="http://schemas.microsoft.com/office/2007/relationships/stylesWithEffects" Target="stylesWithEffects.xml"/><Relationship Id="rId7" Type="http://schemas.openxmlformats.org/officeDocument/2006/relationships/hyperlink" Target="https://www.england.nhs.uk/gp/gpfv/redesign/improvin%20g-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gloucestershirecc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Porter</dc:creator>
  <cp:lastModifiedBy>David Porter</cp:lastModifiedBy>
  <cp:revision>1</cp:revision>
  <dcterms:created xsi:type="dcterms:W3CDTF">2018-06-15T12:57:00Z</dcterms:created>
  <dcterms:modified xsi:type="dcterms:W3CDTF">2018-06-15T13:00:00Z</dcterms:modified>
</cp:coreProperties>
</file>