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AEB8" w14:textId="77777777" w:rsidR="00A45F22" w:rsidRPr="007A1CB6" w:rsidRDefault="00A45F22" w:rsidP="00A45F22">
      <w:pPr>
        <w:jc w:val="center"/>
        <w:rPr>
          <w:b/>
          <w:sz w:val="32"/>
          <w:szCs w:val="32"/>
          <w:u w:val="single"/>
        </w:rPr>
      </w:pPr>
      <w:r w:rsidRPr="007A1CB6">
        <w:rPr>
          <w:b/>
          <w:sz w:val="32"/>
          <w:szCs w:val="32"/>
          <w:u w:val="single"/>
        </w:rPr>
        <w:t>Frequently Asked Questions (FAQs)</w:t>
      </w:r>
    </w:p>
    <w:p w14:paraId="19EBB98A" w14:textId="36AEC417" w:rsidR="00C84914" w:rsidRPr="007A1CB6" w:rsidRDefault="00B71D48" w:rsidP="00A45F22">
      <w:pPr>
        <w:jc w:val="center"/>
        <w:rPr>
          <w:b/>
          <w:sz w:val="32"/>
          <w:szCs w:val="32"/>
          <w:u w:val="single"/>
        </w:rPr>
      </w:pPr>
      <w:r w:rsidRPr="007A1CB6">
        <w:rPr>
          <w:b/>
          <w:sz w:val="32"/>
          <w:szCs w:val="32"/>
          <w:u w:val="single"/>
        </w:rPr>
        <w:t>RAISEonline replacement service</w:t>
      </w:r>
      <w:r w:rsidR="003D7093" w:rsidRPr="007A1CB6">
        <w:rPr>
          <w:b/>
          <w:sz w:val="32"/>
          <w:szCs w:val="32"/>
          <w:u w:val="single"/>
        </w:rPr>
        <w:t xml:space="preserve"> accreditation</w:t>
      </w:r>
      <w:r w:rsidRPr="007A1CB6">
        <w:rPr>
          <w:b/>
          <w:sz w:val="32"/>
          <w:szCs w:val="32"/>
          <w:u w:val="single"/>
        </w:rPr>
        <w:t xml:space="preserve"> </w:t>
      </w:r>
    </w:p>
    <w:p w14:paraId="78896377" w14:textId="77777777" w:rsidR="003D7093" w:rsidRPr="007A1CB6" w:rsidRDefault="003D7093" w:rsidP="00A45F22">
      <w:pPr>
        <w:jc w:val="center"/>
        <w:rPr>
          <w:b/>
          <w:sz w:val="24"/>
          <w:szCs w:val="24"/>
          <w:u w:val="single"/>
        </w:rPr>
      </w:pPr>
    </w:p>
    <w:p w14:paraId="2A24DF21" w14:textId="5BA6B74C"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DfE” on their company literature/websites?  </w:t>
      </w:r>
    </w:p>
    <w:p w14:paraId="25D2B48E" w14:textId="260A90C5"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No.  Accreditation is a tool to enable privileged early access to data only and should not be used as DfE’s endorsement of suppliers’ services</w:t>
      </w:r>
      <w:r w:rsidR="00992B8E" w:rsidRPr="007A1CB6">
        <w:rPr>
          <w:rFonts w:asciiTheme="minorHAnsi" w:hAnsiTheme="minorHAnsi"/>
          <w:color w:val="000000"/>
        </w:rPr>
        <w:t>.</w:t>
      </w:r>
    </w:p>
    <w:p w14:paraId="0ACF5352" w14:textId="77777777" w:rsidR="00177C6E" w:rsidRPr="007A1CB6" w:rsidRDefault="00177C6E" w:rsidP="0004468B">
      <w:pPr>
        <w:pStyle w:val="NormalWeb"/>
        <w:spacing w:before="0" w:beforeAutospacing="0" w:after="0" w:afterAutospacing="0"/>
        <w:rPr>
          <w:rFonts w:asciiTheme="minorHAnsi" w:hAnsiTheme="minorHAnsi"/>
        </w:rPr>
      </w:pPr>
    </w:p>
    <w:p w14:paraId="4E10CFAD" w14:textId="3CE7BE99"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RAISEonline replacement service have a new name?  </w:t>
      </w:r>
    </w:p>
    <w:p w14:paraId="75FBF6E9" w14:textId="21269418" w:rsidR="00992B8E" w:rsidRPr="007A1CB6" w:rsidRDefault="00992B8E" w:rsidP="00E97F47">
      <w:pPr>
        <w:spacing w:after="0" w:line="240" w:lineRule="auto"/>
        <w:ind w:left="720"/>
        <w:rPr>
          <w:sz w:val="24"/>
          <w:szCs w:val="24"/>
        </w:rPr>
      </w:pPr>
      <w:r w:rsidRPr="007A1CB6">
        <w:rPr>
          <w:sz w:val="24"/>
          <w:szCs w:val="24"/>
        </w:rPr>
        <w:t xml:space="preserve">The project </w:t>
      </w:r>
      <w:r w:rsidR="005256E7" w:rsidRPr="007A1CB6">
        <w:rPr>
          <w:sz w:val="24"/>
          <w:szCs w:val="24"/>
        </w:rPr>
        <w:t>is</w:t>
      </w:r>
      <w:r w:rsidRPr="007A1CB6">
        <w:rPr>
          <w:sz w:val="24"/>
          <w:szCs w:val="24"/>
        </w:rPr>
        <w:t xml:space="preserve"> currently in discussion with the Government Digital Service to fully understand the naming criteria which will support this decision. </w:t>
      </w:r>
    </w:p>
    <w:p w14:paraId="600C2745" w14:textId="77777777" w:rsidR="00E97F47" w:rsidRPr="007A1CB6" w:rsidRDefault="00E97F47" w:rsidP="00E97F47">
      <w:pPr>
        <w:spacing w:after="0" w:line="240" w:lineRule="auto"/>
        <w:ind w:left="720"/>
        <w:rPr>
          <w:sz w:val="24"/>
          <w:szCs w:val="24"/>
        </w:rPr>
      </w:pPr>
    </w:p>
    <w:p w14:paraId="4A253A2E" w14:textId="7C68ECEC"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RAISEonline replacement service?   </w:t>
      </w:r>
    </w:p>
    <w:p w14:paraId="1135E469" w14:textId="7AEFAC8F"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5B88409F" w14:textId="77777777" w:rsidR="00992B8E" w:rsidRPr="007A1CB6" w:rsidRDefault="00992B8E" w:rsidP="00E97F47">
      <w:pPr>
        <w:spacing w:after="0" w:line="240" w:lineRule="auto"/>
        <w:rPr>
          <w:sz w:val="24"/>
          <w:szCs w:val="24"/>
        </w:rPr>
      </w:pPr>
      <w:r w:rsidRPr="007A1CB6">
        <w:rPr>
          <w:sz w:val="24"/>
          <w:szCs w:val="24"/>
        </w:rPr>
        <w:t xml:space="preserve">   </w:t>
      </w:r>
    </w:p>
    <w:p w14:paraId="7508C586" w14:textId="54B4DC03"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6C8E8B81" w14:textId="7380152D"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DfE’s definitions) and which ones are not. </w:t>
      </w:r>
      <w:r w:rsidRPr="007A1CB6">
        <w:rPr>
          <w:sz w:val="24"/>
          <w:szCs w:val="24"/>
        </w:rPr>
        <w:t xml:space="preserve"> </w:t>
      </w:r>
    </w:p>
    <w:p w14:paraId="338ACE5F" w14:textId="77777777" w:rsidR="00992B8E" w:rsidRPr="007A1CB6" w:rsidRDefault="00992B8E" w:rsidP="00E97F47">
      <w:pPr>
        <w:spacing w:after="0" w:line="240" w:lineRule="auto"/>
        <w:rPr>
          <w:sz w:val="24"/>
          <w:szCs w:val="24"/>
        </w:rPr>
      </w:pPr>
      <w:r w:rsidRPr="007A1CB6">
        <w:rPr>
          <w:sz w:val="24"/>
          <w:szCs w:val="24"/>
        </w:rPr>
        <w:t> </w:t>
      </w:r>
    </w:p>
    <w:p w14:paraId="6F1BEBC0" w14:textId="79DFE14C"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Local Authorities be given privileged early access to data? </w:t>
      </w:r>
    </w:p>
    <w:p w14:paraId="1D300B67" w14:textId="3AA017D9" w:rsidR="00992B8E" w:rsidRPr="007A1CB6" w:rsidRDefault="00830BAC" w:rsidP="00E97F47">
      <w:pPr>
        <w:spacing w:after="0" w:line="240" w:lineRule="auto"/>
        <w:rPr>
          <w:sz w:val="24"/>
          <w:szCs w:val="24"/>
        </w:rPr>
      </w:pPr>
      <w:r w:rsidRPr="007A1CB6">
        <w:rPr>
          <w:sz w:val="24"/>
          <w:szCs w:val="24"/>
        </w:rPr>
        <w:t> </w:t>
      </w:r>
      <w:r w:rsidRPr="007A1CB6">
        <w:rPr>
          <w:sz w:val="24"/>
          <w:szCs w:val="24"/>
        </w:rPr>
        <w:tab/>
      </w:r>
      <w:r w:rsidR="00992B8E" w:rsidRPr="007A1CB6">
        <w:rPr>
          <w:sz w:val="24"/>
          <w:szCs w:val="24"/>
        </w:rPr>
        <w:t>Under current arrangements Local Authorities will not be given this access.</w:t>
      </w:r>
    </w:p>
    <w:p w14:paraId="57324290" w14:textId="77777777" w:rsidR="00992B8E" w:rsidRPr="007A1CB6" w:rsidRDefault="00992B8E" w:rsidP="00E97F47">
      <w:pPr>
        <w:spacing w:after="0" w:line="240" w:lineRule="auto"/>
        <w:rPr>
          <w:sz w:val="24"/>
          <w:szCs w:val="24"/>
        </w:rPr>
      </w:pPr>
      <w:r w:rsidRPr="007A1CB6">
        <w:rPr>
          <w:sz w:val="24"/>
          <w:szCs w:val="24"/>
        </w:rPr>
        <w:t> </w:t>
      </w:r>
    </w:p>
    <w:p w14:paraId="3E30677A" w14:textId="60D42695"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61FE9301" w14:textId="57BBF205"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60407E42" w14:textId="77777777" w:rsidR="008D6099" w:rsidRPr="007A1CB6" w:rsidRDefault="008D6099" w:rsidP="00E97F47">
      <w:pPr>
        <w:spacing w:after="0" w:line="240" w:lineRule="auto"/>
        <w:ind w:left="720"/>
        <w:rPr>
          <w:sz w:val="24"/>
          <w:szCs w:val="24"/>
        </w:rPr>
      </w:pPr>
    </w:p>
    <w:p w14:paraId="04926765" w14:textId="426D0CF2"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6C967D33" w14:textId="77777777" w:rsidR="00E97F47" w:rsidRPr="007A1CB6" w:rsidRDefault="00E97F47" w:rsidP="00E97F47">
      <w:pPr>
        <w:pStyle w:val="ListParagraph"/>
        <w:rPr>
          <w:rFonts w:asciiTheme="minorHAnsi" w:hAnsiTheme="minorHAnsi"/>
          <w:sz w:val="24"/>
          <w:szCs w:val="24"/>
        </w:rPr>
      </w:pPr>
    </w:p>
    <w:p w14:paraId="1BD241B8" w14:textId="4EB51EB2"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How many schools have you engaged with as part of your user research? </w:t>
      </w:r>
    </w:p>
    <w:p w14:paraId="052D8716" w14:textId="1C83A962" w:rsidR="00992B8E" w:rsidRPr="007A1CB6" w:rsidRDefault="00992B8E" w:rsidP="00E97F47">
      <w:pPr>
        <w:spacing w:line="240" w:lineRule="auto"/>
        <w:ind w:left="720"/>
        <w:rPr>
          <w:sz w:val="24"/>
          <w:szCs w:val="24"/>
        </w:rPr>
      </w:pPr>
      <w:r w:rsidRPr="007A1CB6">
        <w:rPr>
          <w:sz w:val="24"/>
          <w:szCs w:val="24"/>
          <w:lang w:val="en-US"/>
        </w:rPr>
        <w:t>Our research is continuing throughout the build of the new system.  As of the end November 2016, we have engaged in detail with almost 50 head teachers, assistant head teachers, deputy head teachers, vice head teachers and data managers at schools.  Additionally, we have spoken to a wide range of School governors, Multi-academy trusts, Local Authorities, HMIs, Ofsted Data Analysts, Regional Schools Commissions and Education Advisors.</w:t>
      </w:r>
    </w:p>
    <w:p w14:paraId="3EA3F8C9" w14:textId="34E8957D"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lastRenderedPageBreak/>
        <w:t>Can we see the emerging design of the new replacement service?</w:t>
      </w:r>
    </w:p>
    <w:p w14:paraId="2AA26E61" w14:textId="2F44C7A2"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bookmarkStart w:id="0" w:name="_GoBack"/>
      <w:bookmarkEnd w:id="0"/>
    </w:p>
    <w:p w14:paraId="2A73F028" w14:textId="77777777" w:rsidR="00E97F47" w:rsidRPr="007A1CB6" w:rsidRDefault="00E97F47" w:rsidP="00E97F47">
      <w:pPr>
        <w:pStyle w:val="ListParagraph"/>
        <w:rPr>
          <w:rFonts w:asciiTheme="minorHAnsi" w:hAnsiTheme="minorHAnsi"/>
          <w:b/>
          <w:sz w:val="24"/>
          <w:szCs w:val="24"/>
        </w:rPr>
      </w:pPr>
    </w:p>
    <w:p w14:paraId="68AB5928" w14:textId="71BCA50D"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7A1CB6">
        <w:rPr>
          <w:rFonts w:asciiTheme="minorHAnsi" w:hAnsiTheme="minorHAnsi"/>
          <w:b/>
          <w:sz w:val="24"/>
          <w:szCs w:val="24"/>
        </w:rPr>
        <w:t>?</w:t>
      </w:r>
    </w:p>
    <w:p w14:paraId="58BA6581" w14:textId="1C79EB08"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 we are aiming for an overview of headline and key measures per school, and facility to explore data further through filterable reports at group level down to individual pupil records for users with appropriate access. Basic graphical reporting and Question Level Analysis. Post April 2017 - to be confirmed.</w:t>
      </w:r>
    </w:p>
    <w:p w14:paraId="0C3A63F5" w14:textId="37195D82" w:rsidR="0004468B" w:rsidRPr="007A1CB6" w:rsidRDefault="0004468B" w:rsidP="0004468B">
      <w:pPr>
        <w:pStyle w:val="ListParagraph"/>
        <w:rPr>
          <w:rFonts w:asciiTheme="minorHAnsi" w:hAnsiTheme="minorHAnsi"/>
          <w:sz w:val="24"/>
          <w:szCs w:val="24"/>
        </w:rPr>
      </w:pPr>
    </w:p>
    <w:p w14:paraId="63252435" w14:textId="467573A3"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1673B43A" w14:textId="125AD7DD"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6026101B" w14:textId="77777777" w:rsidR="00E97F47" w:rsidRPr="007A1CB6" w:rsidRDefault="00E97F47" w:rsidP="00E97F47">
      <w:pPr>
        <w:pStyle w:val="ListParagraph"/>
        <w:rPr>
          <w:rFonts w:asciiTheme="minorHAnsi" w:hAnsiTheme="minorHAnsi"/>
          <w:sz w:val="24"/>
          <w:szCs w:val="24"/>
        </w:rPr>
      </w:pPr>
    </w:p>
    <w:p w14:paraId="1EF9BEE6" w14:textId="4E0A604D"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7F1D5A10" w14:textId="2E61A1FE"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72906BFB" w14:textId="298B6CCD" w:rsidR="0004468B" w:rsidRPr="007A1CB6" w:rsidRDefault="0004468B" w:rsidP="0004468B">
      <w:pPr>
        <w:pStyle w:val="ListParagraph"/>
        <w:rPr>
          <w:rFonts w:asciiTheme="minorHAnsi" w:hAnsiTheme="minorHAnsi"/>
          <w:sz w:val="24"/>
          <w:szCs w:val="24"/>
        </w:rPr>
      </w:pPr>
    </w:p>
    <w:p w14:paraId="64D9CE9C" w14:textId="451F1D9F"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55C023F1" w14:textId="314A9A1F"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7941B478" w14:textId="16075D8C" w:rsidR="00177C6E" w:rsidRPr="007A1CB6" w:rsidRDefault="00177C6E" w:rsidP="0004468B">
      <w:pPr>
        <w:pStyle w:val="ListParagraph"/>
        <w:rPr>
          <w:rFonts w:asciiTheme="minorHAnsi" w:hAnsiTheme="minorHAnsi"/>
          <w:sz w:val="24"/>
          <w:szCs w:val="24"/>
        </w:rPr>
      </w:pPr>
    </w:p>
    <w:p w14:paraId="341E17E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339C85DF" w14:textId="18737836"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20D7742E" w14:textId="0490C3E9" w:rsidR="0004468B" w:rsidRPr="007A1CB6" w:rsidRDefault="0004468B" w:rsidP="0004468B">
      <w:pPr>
        <w:pStyle w:val="ListParagraph"/>
        <w:rPr>
          <w:rFonts w:asciiTheme="minorHAnsi" w:hAnsiTheme="minorHAnsi"/>
          <w:sz w:val="24"/>
          <w:szCs w:val="24"/>
        </w:rPr>
      </w:pPr>
    </w:p>
    <w:p w14:paraId="435E3201" w14:textId="60C01319"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0B861CA" w14:textId="6D14DFCD"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54DAB3E2" w14:textId="6533BB0B" w:rsidR="00E97F47" w:rsidRPr="007A1CB6" w:rsidRDefault="00E97F47" w:rsidP="0004468B">
      <w:pPr>
        <w:pStyle w:val="ListParagraph"/>
        <w:rPr>
          <w:rFonts w:asciiTheme="minorHAnsi" w:hAnsiTheme="minorHAnsi"/>
          <w:sz w:val="24"/>
          <w:szCs w:val="24"/>
        </w:rPr>
      </w:pPr>
    </w:p>
    <w:p w14:paraId="0C9B7BF3" w14:textId="16092494"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77CD0101" w14:textId="7AFEF722"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RAISEonline replacement service.   </w:t>
      </w:r>
    </w:p>
    <w:p w14:paraId="225BDFEB" w14:textId="39AA0AEB" w:rsidR="00E97F47" w:rsidRPr="007A1CB6" w:rsidRDefault="00E97F47" w:rsidP="00E97F47">
      <w:pPr>
        <w:pStyle w:val="ListParagraph"/>
        <w:rPr>
          <w:rFonts w:asciiTheme="minorHAnsi" w:hAnsiTheme="minorHAnsi"/>
          <w:sz w:val="24"/>
          <w:szCs w:val="24"/>
        </w:rPr>
      </w:pPr>
    </w:p>
    <w:p w14:paraId="4B71BD53" w14:textId="4BB65DBC"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Currently, RAISEonline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649D9DD6" w14:textId="2E36D176"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Statistical significant testing areas of concern is not something we are intending to build into the initial release in April, however it may be included in future developments of the service.</w:t>
      </w:r>
    </w:p>
    <w:p w14:paraId="080E5F62" w14:textId="2A6DD8F7" w:rsidR="00516EC8" w:rsidRPr="007A1CB6" w:rsidRDefault="00516EC8" w:rsidP="00E97F47">
      <w:pPr>
        <w:pStyle w:val="ListParagraph"/>
        <w:rPr>
          <w:rFonts w:asciiTheme="minorHAnsi" w:hAnsiTheme="minorHAnsi"/>
          <w:sz w:val="24"/>
          <w:szCs w:val="24"/>
        </w:rPr>
      </w:pPr>
    </w:p>
    <w:p w14:paraId="53295592" w14:textId="2C90A6A5"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is the rationale behind the evaluation criteria?</w:t>
      </w:r>
    </w:p>
    <w:p w14:paraId="4455CD40" w14:textId="6B1B1AA8"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t>The aim is to open the market and encourage suppliers to provide innovative services to the schools who wish to procure them.</w:t>
      </w:r>
    </w:p>
    <w:p w14:paraId="170F1FFA" w14:textId="3D2297E0" w:rsidR="00516EC8" w:rsidRPr="007A1CB6" w:rsidRDefault="00516EC8" w:rsidP="00E97F47">
      <w:pPr>
        <w:pStyle w:val="ListParagraph"/>
        <w:rPr>
          <w:rFonts w:asciiTheme="minorHAnsi" w:hAnsiTheme="minorHAnsi"/>
          <w:sz w:val="24"/>
          <w:szCs w:val="24"/>
        </w:rPr>
      </w:pPr>
    </w:p>
    <w:p w14:paraId="33510CF2"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0794291A"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lastRenderedPageBreak/>
        <w:t xml:space="preserve">This will form part of the service management arrangements. The process for validating incorrect data will be confirmed once the service management arrangements have been developed.  </w:t>
      </w:r>
    </w:p>
    <w:p w14:paraId="19A0B886" w14:textId="476A80B9"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73293ECB" w14:textId="16650138"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2047AF90" w14:textId="65F0A97F"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5CA36159" w14:textId="02DA88F9" w:rsidR="00516EC8" w:rsidRPr="007A1CB6" w:rsidRDefault="00516EC8" w:rsidP="00516EC8">
      <w:pPr>
        <w:spacing w:after="0" w:line="240" w:lineRule="auto"/>
        <w:ind w:left="720"/>
        <w:rPr>
          <w:rFonts w:eastAsia="Times New Roman" w:cs="Arial"/>
          <w:sz w:val="24"/>
          <w:szCs w:val="24"/>
          <w:lang w:eastAsia="en-GB"/>
        </w:rPr>
      </w:pPr>
    </w:p>
    <w:p w14:paraId="20B7B943" w14:textId="41043182"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3450B1EC" w14:textId="26524FE1"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Yes. Any additional performance measure produced by accredited suppliers will need to be clearly labelled to show it is not a DfE performance measure</w:t>
      </w:r>
      <w:r w:rsidRPr="007A1CB6">
        <w:rPr>
          <w:rFonts w:eastAsia="Times New Roman" w:cs="Arial"/>
          <w:color w:val="000000"/>
          <w:sz w:val="24"/>
          <w:szCs w:val="24"/>
          <w:lang w:eastAsia="en-GB"/>
        </w:rPr>
        <w:t>.</w:t>
      </w:r>
    </w:p>
    <w:p w14:paraId="3ECF43FA" w14:textId="306FB479" w:rsidR="007A1CB6" w:rsidRPr="007A1CB6" w:rsidRDefault="007A1CB6" w:rsidP="00516EC8">
      <w:pPr>
        <w:spacing w:after="0" w:line="240" w:lineRule="auto"/>
        <w:ind w:left="720"/>
        <w:rPr>
          <w:rFonts w:eastAsia="Times New Roman" w:cs="Arial"/>
          <w:color w:val="000000"/>
          <w:sz w:val="24"/>
          <w:szCs w:val="24"/>
          <w:lang w:eastAsia="en-GB"/>
        </w:rPr>
      </w:pPr>
    </w:p>
    <w:p w14:paraId="2F0F9874" w14:textId="355D915A"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3AECE234" w14:textId="61A8DBE2"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619DF466"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0B3EAC8" w14:textId="4B1839F1"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58A4A84C"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110A3342"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16C5D81F" w14:textId="26702C1F"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DfE supply guidance on user data permissions (access rights)?</w:t>
      </w:r>
    </w:p>
    <w:p w14:paraId="285BE049" w14:textId="1E6B6055"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6761D668" w14:textId="3E49F411" w:rsidR="007A1CB6" w:rsidRPr="007A1CB6" w:rsidRDefault="007A1CB6" w:rsidP="007A1CB6">
      <w:pPr>
        <w:pStyle w:val="ListParagraph"/>
        <w:rPr>
          <w:rFonts w:eastAsia="Times New Roman" w:cs="Arial"/>
          <w:color w:val="000000"/>
          <w:sz w:val="24"/>
          <w:szCs w:val="24"/>
          <w:lang w:eastAsia="en-GB"/>
        </w:rPr>
      </w:pPr>
      <w:r w:rsidRPr="007A1CB6">
        <w:rPr>
          <w:rFonts w:asciiTheme="minorHAnsi" w:eastAsia="Times New Roman" w:hAnsiTheme="minorHAnsi" w:cs="Arial"/>
          <w:color w:val="000000"/>
          <w:sz w:val="24"/>
          <w:szCs w:val="24"/>
          <w:lang w:eastAsia="en-GB"/>
        </w:rPr>
        <w:br/>
      </w:r>
      <w:r w:rsidRPr="007A1CB6">
        <w:rPr>
          <w:rFonts w:eastAsia="Times New Roman" w:cs="Arial"/>
          <w:color w:val="000000"/>
          <w:sz w:val="24"/>
          <w:szCs w:val="24"/>
          <w:lang w:eastAsia="en-GB"/>
        </w:rPr>
        <w:t xml:space="preserve"> </w:t>
      </w:r>
    </w:p>
    <w:p w14:paraId="486B59F4" w14:textId="1C9D122A" w:rsidR="007A1CB6" w:rsidRPr="007A1CB6" w:rsidRDefault="007A1CB6" w:rsidP="007A1CB6">
      <w:pPr>
        <w:pStyle w:val="ListParagraph"/>
        <w:rPr>
          <w:rFonts w:eastAsia="Times New Roman" w:cs="Arial"/>
          <w:color w:val="000000"/>
          <w:sz w:val="24"/>
          <w:szCs w:val="24"/>
          <w:lang w:eastAsia="en-GB"/>
        </w:rPr>
      </w:pPr>
    </w:p>
    <w:p w14:paraId="58EC298F" w14:textId="77777777" w:rsidR="00516EC8" w:rsidRPr="00516EC8" w:rsidRDefault="00516EC8" w:rsidP="00516EC8">
      <w:pPr>
        <w:pStyle w:val="ListParagraph"/>
        <w:rPr>
          <w:rFonts w:asciiTheme="minorHAnsi" w:eastAsia="Times New Roman" w:hAnsiTheme="minorHAnsi" w:cs="Arial"/>
          <w:color w:val="000000"/>
          <w:sz w:val="24"/>
          <w:szCs w:val="24"/>
          <w:lang w:eastAsia="en-GB"/>
        </w:rPr>
      </w:pPr>
    </w:p>
    <w:p w14:paraId="14C572AE" w14:textId="63DAECE0" w:rsidR="00516EC8" w:rsidRPr="00516EC8" w:rsidRDefault="00516EC8" w:rsidP="00516EC8">
      <w:pPr>
        <w:pStyle w:val="ListParagraph"/>
        <w:rPr>
          <w:rFonts w:eastAsia="Times New Roman" w:cs="Arial"/>
          <w:sz w:val="24"/>
          <w:szCs w:val="24"/>
          <w:lang w:eastAsia="en-GB"/>
        </w:rPr>
      </w:pPr>
    </w:p>
    <w:p w14:paraId="3BEC8B73" w14:textId="77777777" w:rsidR="00516EC8" w:rsidRPr="00516EC8" w:rsidRDefault="00516EC8" w:rsidP="00516EC8">
      <w:pPr>
        <w:pStyle w:val="ListParagraph"/>
        <w:rPr>
          <w:rFonts w:asciiTheme="minorHAnsi" w:hAnsiTheme="minorHAnsi"/>
          <w:sz w:val="24"/>
          <w:szCs w:val="24"/>
        </w:rPr>
      </w:pPr>
    </w:p>
    <w:p w14:paraId="56F34FE3" w14:textId="77777777" w:rsidR="00516EC8" w:rsidRPr="00E97F47" w:rsidRDefault="00516EC8" w:rsidP="00E97F47">
      <w:pPr>
        <w:pStyle w:val="ListParagraph"/>
        <w:rPr>
          <w:rFonts w:asciiTheme="minorHAnsi" w:hAnsiTheme="minorHAnsi"/>
          <w:sz w:val="24"/>
          <w:szCs w:val="24"/>
        </w:rPr>
      </w:pPr>
    </w:p>
    <w:sectPr w:rsidR="00516EC8" w:rsidRPr="00E97F47" w:rsidSect="0031017E">
      <w:headerReference w:type="default" r:id="rId13"/>
      <w:foot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5411" w14:textId="77777777" w:rsidR="007A1CB6" w:rsidRDefault="007A1CB6" w:rsidP="007A1CB6">
      <w:pPr>
        <w:spacing w:after="0" w:line="240" w:lineRule="auto"/>
      </w:pPr>
      <w:r>
        <w:separator/>
      </w:r>
    </w:p>
  </w:endnote>
  <w:endnote w:type="continuationSeparator" w:id="0">
    <w:p w14:paraId="0324148A" w14:textId="77777777" w:rsidR="007A1CB6" w:rsidRDefault="007A1CB6"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58CF18DC" w14:textId="4E048A60"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870D8E">
              <w:rPr>
                <w:b/>
                <w:bCs/>
                <w:noProof/>
                <w:sz w:val="16"/>
                <w:szCs w:val="16"/>
              </w:rPr>
              <w:t>1</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870D8E">
              <w:rPr>
                <w:b/>
                <w:bCs/>
                <w:noProof/>
                <w:sz w:val="16"/>
                <w:szCs w:val="16"/>
              </w:rPr>
              <w:t>3</w:t>
            </w:r>
            <w:r w:rsidRPr="0031017E">
              <w:rPr>
                <w:b/>
                <w:bCs/>
                <w:sz w:val="16"/>
                <w:szCs w:val="16"/>
              </w:rPr>
              <w:fldChar w:fldCharType="end"/>
            </w:r>
          </w:p>
        </w:sdtContent>
      </w:sdt>
    </w:sdtContent>
  </w:sdt>
  <w:p w14:paraId="540559F3"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2786" w14:textId="77777777" w:rsidR="007A1CB6" w:rsidRDefault="007A1CB6" w:rsidP="007A1CB6">
      <w:pPr>
        <w:spacing w:after="0" w:line="240" w:lineRule="auto"/>
      </w:pPr>
      <w:r>
        <w:separator/>
      </w:r>
    </w:p>
  </w:footnote>
  <w:footnote w:type="continuationSeparator" w:id="0">
    <w:p w14:paraId="6749AA2A" w14:textId="77777777" w:rsidR="007A1CB6" w:rsidRDefault="007A1CB6"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5190" w14:textId="14388A89" w:rsidR="007A1CB6" w:rsidRDefault="007A1CB6">
    <w:pPr>
      <w:pStyle w:val="Header"/>
    </w:pPr>
    <w:r>
      <w:t>9 December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F2803"/>
    <w:multiLevelType w:val="hybridMultilevel"/>
    <w:tmpl w:val="844A9A98"/>
    <w:lvl w:ilvl="0" w:tplc="5A62CA92">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0"/>
  </w:num>
  <w:num w:numId="5">
    <w:abstractNumId w:val="5"/>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177C6E"/>
    <w:rsid w:val="002024EA"/>
    <w:rsid w:val="00247D14"/>
    <w:rsid w:val="0031017E"/>
    <w:rsid w:val="003129A1"/>
    <w:rsid w:val="003D7093"/>
    <w:rsid w:val="003D746A"/>
    <w:rsid w:val="004E159D"/>
    <w:rsid w:val="00516EC8"/>
    <w:rsid w:val="0052112D"/>
    <w:rsid w:val="005256E7"/>
    <w:rsid w:val="00547052"/>
    <w:rsid w:val="00620050"/>
    <w:rsid w:val="0067204D"/>
    <w:rsid w:val="00676A7A"/>
    <w:rsid w:val="007767FC"/>
    <w:rsid w:val="007A1CB6"/>
    <w:rsid w:val="00830BAC"/>
    <w:rsid w:val="008419F1"/>
    <w:rsid w:val="00870D8E"/>
    <w:rsid w:val="008C0C4A"/>
    <w:rsid w:val="008D6099"/>
    <w:rsid w:val="008D682F"/>
    <w:rsid w:val="00992B8E"/>
    <w:rsid w:val="00A45F22"/>
    <w:rsid w:val="00A61F8B"/>
    <w:rsid w:val="00AB5877"/>
    <w:rsid w:val="00B71D48"/>
    <w:rsid w:val="00C21C65"/>
    <w:rsid w:val="00C53019"/>
    <w:rsid w:val="00C84914"/>
    <w:rsid w:val="00CC5DA1"/>
    <w:rsid w:val="00D64BD8"/>
    <w:rsid w:val="00D90A06"/>
    <w:rsid w:val="00D910C7"/>
    <w:rsid w:val="00E97F47"/>
    <w:rsid w:val="00F22180"/>
    <w:rsid w:val="00F27BF2"/>
    <w:rsid w:val="00F27C99"/>
    <w:rsid w:val="00F45D78"/>
    <w:rsid w:val="00F6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BE6C"/>
  <w15:chartTrackingRefBased/>
  <w15:docId w15:val="{8737B7A3-642C-47BB-8566-BD232AA9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semiHidden/>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P7KZZNC7UQ35-9-5522</_dlc_DocId>
    <_dlc_DocIdUrl xmlns="b8cb3cbd-ce5c-4a72-9da4-9013f91c5903">
      <Url>http://workplaces/sites/sa/g/_layouts/DocIdRedir.aspx?ID=P7KZZNC7UQ35-9-5522</Url>
      <Description>P7KZZNC7UQ35-9-5522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8AED-FA61-4002-9775-1D8BE520CF50}">
  <ds:schemaRefs>
    <ds:schemaRef ds:uri="http://purl.org/dc/elements/1.1/"/>
    <ds:schemaRef ds:uri="aa5ff84b-3a25-4a96-8505-eac8e64e78ed"/>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b8cb3cbd-ce5c-4a72-9da4-9013f91c59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3.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4.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6.xml><?xml version="1.0" encoding="utf-8"?>
<ds:datastoreItem xmlns:ds="http://schemas.openxmlformats.org/officeDocument/2006/customXml" ds:itemID="{2414607D-642E-420D-B3FE-79A8542B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RAISE_FAQs_published 09-12-2016_1.0</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09-12-2016_1.0</dc:title>
  <dc:subject/>
  <dc:creator>KIRK, Jessie</dc:creator>
  <cp:keywords/>
  <dc:description/>
  <cp:lastModifiedBy>SMETHURST, Michele</cp:lastModifiedBy>
  <cp:revision>2</cp:revision>
  <dcterms:created xsi:type="dcterms:W3CDTF">2016-12-09T09:45:00Z</dcterms:created>
  <dcterms:modified xsi:type="dcterms:W3CDTF">2016-12-09T09:45:00Z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9bd9a8b0-249b-43af-a05e-5464d24f36d7</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