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61E" w:rsidRPr="00CB5A4B" w:rsidRDefault="007430A2" w:rsidP="007430A2">
      <w:pPr>
        <w:jc w:val="both"/>
        <w:rPr>
          <w:rFonts w:cs="Arial"/>
          <w:b/>
          <w:szCs w:val="24"/>
        </w:rPr>
      </w:pPr>
      <w:r w:rsidRPr="00CB5A4B">
        <w:rPr>
          <w:rFonts w:cs="Arial"/>
          <w:b/>
          <w:szCs w:val="24"/>
        </w:rPr>
        <w:t>Description of the Procurement</w:t>
      </w:r>
    </w:p>
    <w:p w:rsidR="00CB5A4B" w:rsidRPr="00CB5A4B" w:rsidRDefault="00CB5A4B" w:rsidP="00CB5A4B">
      <w:pPr>
        <w:rPr>
          <w:rFonts w:eastAsia="Times New Roman" w:cs="Arial"/>
          <w:b/>
          <w:szCs w:val="24"/>
        </w:rPr>
      </w:pPr>
      <w:r w:rsidRPr="00CB5A4B">
        <w:rPr>
          <w:rFonts w:eastAsia="Times New Roman" w:cs="Arial"/>
          <w:b/>
          <w:szCs w:val="24"/>
        </w:rPr>
        <w:t>I. The Services</w:t>
      </w:r>
    </w:p>
    <w:p w:rsidR="00CB5A4B" w:rsidRPr="00CB5A4B" w:rsidRDefault="00CB5A4B" w:rsidP="00CB5A4B">
      <w:pPr>
        <w:rPr>
          <w:rFonts w:eastAsia="Times New Roman" w:cs="Arial"/>
          <w:color w:val="000000" w:themeColor="text1"/>
          <w:szCs w:val="24"/>
        </w:rPr>
      </w:pPr>
      <w:r w:rsidRPr="00CB5A4B">
        <w:rPr>
          <w:rFonts w:eastAsia="Times New Roman" w:cs="Arial"/>
          <w:color w:val="000000" w:themeColor="text1"/>
          <w:szCs w:val="24"/>
        </w:rPr>
        <w:t>The Contracting Authority is seeking to select a single supplier who can make available the following Services under the Framework Agreement as included below</w:t>
      </w:r>
      <w:proofErr w:type="gramStart"/>
      <w:r w:rsidRPr="00CB5A4B">
        <w:rPr>
          <w:rFonts w:eastAsia="Times New Roman" w:cs="Arial"/>
          <w:color w:val="000000" w:themeColor="text1"/>
          <w:szCs w:val="24"/>
        </w:rPr>
        <w:t>:</w:t>
      </w:r>
      <w:proofErr w:type="gramEnd"/>
      <w:r w:rsidRPr="00CB5A4B">
        <w:rPr>
          <w:rFonts w:eastAsia="Times New Roman" w:cs="Arial"/>
          <w:color w:val="000000" w:themeColor="text1"/>
          <w:szCs w:val="24"/>
        </w:rPr>
        <w:br/>
      </w:r>
      <w:r w:rsidRPr="00CB5A4B">
        <w:rPr>
          <w:rFonts w:eastAsia="Times New Roman" w:cs="Arial"/>
          <w:color w:val="A9A9A9"/>
          <w:szCs w:val="24"/>
        </w:rPr>
        <w:br/>
      </w:r>
      <w:r w:rsidRPr="00CB5A4B">
        <w:rPr>
          <w:rFonts w:eastAsia="Times New Roman" w:cs="Arial"/>
          <w:color w:val="000000" w:themeColor="text1"/>
          <w:szCs w:val="24"/>
        </w:rPr>
        <w:t>1. Implementation Services - the requirements for the implementation of the Supplier's solution.</w:t>
      </w:r>
      <w:r w:rsidRPr="00CB5A4B">
        <w:rPr>
          <w:rFonts w:eastAsia="Times New Roman" w:cs="Arial"/>
          <w:color w:val="000000" w:themeColor="text1"/>
          <w:szCs w:val="24"/>
        </w:rPr>
        <w:br/>
      </w:r>
      <w:r w:rsidRPr="00CB5A4B">
        <w:rPr>
          <w:rFonts w:eastAsia="Times New Roman" w:cs="Arial"/>
          <w:color w:val="000000" w:themeColor="text1"/>
          <w:szCs w:val="24"/>
        </w:rPr>
        <w:br/>
        <w:t>2. Operational Services</w:t>
      </w:r>
      <w:r>
        <w:rPr>
          <w:rFonts w:eastAsia="Times New Roman" w:cs="Arial"/>
          <w:color w:val="000000" w:themeColor="text1"/>
          <w:szCs w:val="24"/>
        </w:rPr>
        <w:t xml:space="preserve"> </w:t>
      </w:r>
      <w:r w:rsidRPr="00CB5A4B">
        <w:rPr>
          <w:rFonts w:eastAsia="Times New Roman" w:cs="Arial"/>
          <w:color w:val="000000" w:themeColor="text1"/>
          <w:szCs w:val="24"/>
        </w:rPr>
        <w:t>-</w:t>
      </w:r>
      <w:r w:rsidRPr="00CB5A4B">
        <w:rPr>
          <w:rFonts w:eastAsia="Times New Roman" w:cs="Arial"/>
          <w:color w:val="000000" w:themeColor="text1"/>
          <w:szCs w:val="24"/>
        </w:rPr>
        <w:br/>
      </w:r>
      <w:r w:rsidRPr="00CB5A4B">
        <w:rPr>
          <w:rFonts w:eastAsia="Times New Roman" w:cs="Arial"/>
          <w:color w:val="000000" w:themeColor="text1"/>
          <w:szCs w:val="24"/>
        </w:rPr>
        <w:br/>
        <w:t>2a. Elective Services: the requirements that the Supplier shall provide across the Customer ICT environment(s) as part of its technical solution, and which shall be available for consumption by the Customer via optional call offs within the Call Off Contract.</w:t>
      </w:r>
      <w:r w:rsidRPr="00CB5A4B">
        <w:rPr>
          <w:rFonts w:eastAsia="Times New Roman" w:cs="Arial"/>
          <w:color w:val="000000" w:themeColor="text1"/>
          <w:szCs w:val="24"/>
        </w:rPr>
        <w:br/>
      </w:r>
      <w:r w:rsidRPr="00CB5A4B">
        <w:rPr>
          <w:rFonts w:eastAsia="Times New Roman" w:cs="Arial"/>
          <w:color w:val="000000" w:themeColor="text1"/>
          <w:szCs w:val="24"/>
        </w:rPr>
        <w:br/>
        <w:t>2a (1) Network Platform - Providing the Customer with a resilient network traffic management capability using next generation networking technologies.</w:t>
      </w:r>
      <w:r w:rsidRPr="00CB5A4B">
        <w:rPr>
          <w:rFonts w:eastAsia="Times New Roman" w:cs="Arial"/>
          <w:color w:val="000000" w:themeColor="text1"/>
          <w:szCs w:val="24"/>
        </w:rPr>
        <w:br/>
      </w:r>
      <w:r w:rsidRPr="00CB5A4B">
        <w:rPr>
          <w:rFonts w:eastAsia="Times New Roman" w:cs="Arial"/>
          <w:color w:val="000000" w:themeColor="text1"/>
          <w:szCs w:val="24"/>
        </w:rPr>
        <w:br/>
        <w:t>2a (2). Global Connectivity Services - Multi-Pro</w:t>
      </w:r>
      <w:bookmarkStart w:id="0" w:name="_GoBack"/>
      <w:bookmarkEnd w:id="0"/>
      <w:r w:rsidRPr="00CB5A4B">
        <w:rPr>
          <w:rFonts w:eastAsia="Times New Roman" w:cs="Arial"/>
          <w:color w:val="000000" w:themeColor="text1"/>
          <w:szCs w:val="24"/>
        </w:rPr>
        <w:t>tocol Label Switching (MPLS) connectivity, providing the Customer with the ability to route network traffic over MPLS links from overseas Sites to the UK and between overseas Sites with guaranteed capacity and performance levels.</w:t>
      </w:r>
      <w:r w:rsidRPr="00CB5A4B">
        <w:rPr>
          <w:rFonts w:eastAsia="Times New Roman" w:cs="Arial"/>
          <w:color w:val="000000" w:themeColor="text1"/>
          <w:szCs w:val="24"/>
        </w:rPr>
        <w:br/>
        <w:t>Very Small Aperture Terminal for Sites where the provision of other forms of connectivity are not available or a backup connection is required.</w:t>
      </w:r>
      <w:r w:rsidRPr="00CB5A4B">
        <w:rPr>
          <w:rFonts w:eastAsia="Times New Roman" w:cs="Arial"/>
          <w:color w:val="000000" w:themeColor="text1"/>
          <w:szCs w:val="24"/>
        </w:rPr>
        <w:br/>
      </w:r>
      <w:r w:rsidRPr="00CB5A4B">
        <w:rPr>
          <w:rFonts w:eastAsia="Times New Roman" w:cs="Arial"/>
          <w:color w:val="000000" w:themeColor="text1"/>
          <w:szCs w:val="24"/>
        </w:rPr>
        <w:br/>
        <w:t xml:space="preserve">2a (3). Secure Internet Gateway - Providing the Customer with outbound access to enable End Users </w:t>
      </w:r>
      <w:proofErr w:type="gramStart"/>
      <w:r w:rsidRPr="00CB5A4B">
        <w:rPr>
          <w:rFonts w:eastAsia="Times New Roman" w:cs="Arial"/>
          <w:color w:val="000000" w:themeColor="text1"/>
          <w:szCs w:val="24"/>
        </w:rPr>
        <w:t>to securely consume</w:t>
      </w:r>
      <w:proofErr w:type="gramEnd"/>
      <w:r w:rsidRPr="00CB5A4B">
        <w:rPr>
          <w:rFonts w:eastAsia="Times New Roman" w:cs="Arial"/>
          <w:color w:val="000000" w:themeColor="text1"/>
          <w:szCs w:val="24"/>
        </w:rPr>
        <w:t xml:space="preserve"> services hosted on the internet.</w:t>
      </w:r>
      <w:r w:rsidRPr="00CB5A4B">
        <w:rPr>
          <w:rFonts w:eastAsia="Times New Roman" w:cs="Arial"/>
          <w:color w:val="000000" w:themeColor="text1"/>
          <w:szCs w:val="24"/>
        </w:rPr>
        <w:br/>
      </w:r>
      <w:r w:rsidRPr="00CB5A4B">
        <w:rPr>
          <w:rFonts w:eastAsia="Times New Roman" w:cs="Arial"/>
          <w:color w:val="000000" w:themeColor="text1"/>
          <w:szCs w:val="24"/>
        </w:rPr>
        <w:br/>
        <w:t>2a (4). Software Defined Perimeter - Providing the Customer with secure remote connectivity enabling access to its data and applications through a network security framework that dynamically creates one-to-one network connections between each user and the resources that they access.</w:t>
      </w:r>
      <w:r w:rsidRPr="00CB5A4B">
        <w:rPr>
          <w:rFonts w:eastAsia="Times New Roman" w:cs="Arial"/>
          <w:color w:val="000000" w:themeColor="text1"/>
          <w:szCs w:val="24"/>
        </w:rPr>
        <w:br/>
      </w:r>
      <w:r w:rsidRPr="00CB5A4B">
        <w:rPr>
          <w:rFonts w:eastAsia="Times New Roman" w:cs="Arial"/>
          <w:color w:val="000000" w:themeColor="text1"/>
          <w:szCs w:val="24"/>
        </w:rPr>
        <w:br/>
        <w:t xml:space="preserve">2a (5). Next Generation Firewall - Providing the Customer with next generation firewall technologies, enhancing and complementing the traditional </w:t>
      </w:r>
      <w:proofErr w:type="spellStart"/>
      <w:r w:rsidRPr="00CB5A4B">
        <w:rPr>
          <w:rFonts w:eastAsia="Times New Roman" w:cs="Arial"/>
          <w:color w:val="000000" w:themeColor="text1"/>
          <w:szCs w:val="24"/>
        </w:rPr>
        <w:t>stateful</w:t>
      </w:r>
      <w:proofErr w:type="spellEnd"/>
      <w:r w:rsidRPr="00CB5A4B">
        <w:rPr>
          <w:rFonts w:eastAsia="Times New Roman" w:cs="Arial"/>
          <w:color w:val="000000" w:themeColor="text1"/>
          <w:szCs w:val="24"/>
        </w:rPr>
        <w:t xml:space="preserve"> inspection firewall with other network device filtering functions, such as but not limited to, in-line deep packet inspection, Intrusion Prevention System and application awareness.</w:t>
      </w:r>
      <w:r w:rsidRPr="00CB5A4B">
        <w:rPr>
          <w:rFonts w:eastAsia="Times New Roman" w:cs="Arial"/>
          <w:color w:val="000000" w:themeColor="text1"/>
          <w:szCs w:val="24"/>
        </w:rPr>
        <w:br/>
      </w:r>
      <w:r w:rsidRPr="00CB5A4B">
        <w:rPr>
          <w:rFonts w:eastAsia="Times New Roman" w:cs="Arial"/>
          <w:color w:val="000000" w:themeColor="text1"/>
          <w:szCs w:val="24"/>
        </w:rPr>
        <w:br/>
        <w:t>2a (6). Encryption Devices - Providing the Customer with encryption services for OFFICIAL tier data in transit.</w:t>
      </w:r>
      <w:r w:rsidRPr="00CB5A4B">
        <w:rPr>
          <w:rFonts w:eastAsia="Times New Roman" w:cs="Arial"/>
          <w:color w:val="000000" w:themeColor="text1"/>
          <w:szCs w:val="24"/>
        </w:rPr>
        <w:br/>
      </w:r>
      <w:r w:rsidRPr="00CB5A4B">
        <w:rPr>
          <w:rFonts w:eastAsia="Times New Roman" w:cs="Arial"/>
          <w:color w:val="000000" w:themeColor="text1"/>
          <w:szCs w:val="24"/>
        </w:rPr>
        <w:br/>
        <w:t xml:space="preserve">2b. Service Management: the on-going service management requirements to support the technical solution, which form part of the Services that the Supplier shall provide, including obligations in respect of the Supplier's service desk, incident </w:t>
      </w:r>
      <w:r w:rsidRPr="00CB5A4B">
        <w:rPr>
          <w:rFonts w:eastAsia="Times New Roman" w:cs="Arial"/>
          <w:color w:val="000000" w:themeColor="text1"/>
          <w:szCs w:val="24"/>
        </w:rPr>
        <w:lastRenderedPageBreak/>
        <w:t>resolution, change management, configuration management, release processes and reporting.</w:t>
      </w:r>
      <w:r w:rsidRPr="00CB5A4B">
        <w:rPr>
          <w:rFonts w:eastAsia="Times New Roman" w:cs="Arial"/>
          <w:color w:val="000000" w:themeColor="text1"/>
          <w:szCs w:val="24"/>
        </w:rPr>
        <w:br/>
      </w:r>
      <w:r w:rsidRPr="00CB5A4B">
        <w:rPr>
          <w:rFonts w:eastAsia="Times New Roman" w:cs="Arial"/>
          <w:color w:val="000000" w:themeColor="text1"/>
          <w:szCs w:val="24"/>
        </w:rPr>
        <w:br/>
        <w:t xml:space="preserve">3. Optional services- Services such as session border control service may be called off by a Customer through a Call </w:t>
      </w:r>
      <w:proofErr w:type="gramStart"/>
      <w:r w:rsidRPr="00CB5A4B">
        <w:rPr>
          <w:rFonts w:eastAsia="Times New Roman" w:cs="Arial"/>
          <w:color w:val="000000" w:themeColor="text1"/>
          <w:szCs w:val="24"/>
        </w:rPr>
        <w:t>Off</w:t>
      </w:r>
      <w:proofErr w:type="gramEnd"/>
      <w:r w:rsidRPr="00CB5A4B">
        <w:rPr>
          <w:rFonts w:eastAsia="Times New Roman" w:cs="Arial"/>
          <w:color w:val="000000" w:themeColor="text1"/>
          <w:szCs w:val="24"/>
        </w:rPr>
        <w:t xml:space="preserve"> Contract.</w:t>
      </w:r>
      <w:r w:rsidRPr="00CB5A4B">
        <w:rPr>
          <w:rFonts w:eastAsia="Times New Roman" w:cs="Arial"/>
          <w:color w:val="000000" w:themeColor="text1"/>
          <w:szCs w:val="24"/>
        </w:rPr>
        <w:br/>
      </w:r>
      <w:r w:rsidRPr="00CB5A4B">
        <w:rPr>
          <w:rFonts w:eastAsia="Times New Roman" w:cs="Arial"/>
          <w:color w:val="000000" w:themeColor="text1"/>
          <w:szCs w:val="24"/>
        </w:rPr>
        <w:br/>
        <w:t xml:space="preserve">3a. Session Border Controllers - Support Public Switched Telephone Network and cloud Unified Communications integration to the Customer's Voice </w:t>
      </w:r>
      <w:proofErr w:type="gramStart"/>
      <w:r w:rsidRPr="00CB5A4B">
        <w:rPr>
          <w:rFonts w:eastAsia="Times New Roman" w:cs="Arial"/>
          <w:color w:val="000000" w:themeColor="text1"/>
          <w:szCs w:val="24"/>
        </w:rPr>
        <w:t>Over</w:t>
      </w:r>
      <w:proofErr w:type="gramEnd"/>
      <w:r w:rsidRPr="00CB5A4B">
        <w:rPr>
          <w:rFonts w:eastAsia="Times New Roman" w:cs="Arial"/>
          <w:color w:val="000000" w:themeColor="text1"/>
          <w:szCs w:val="24"/>
        </w:rPr>
        <w:t xml:space="preserve"> IP platforms, migrating from legacy in country PSTN solutions.</w:t>
      </w:r>
      <w:r w:rsidRPr="00CB5A4B">
        <w:rPr>
          <w:rFonts w:eastAsia="Times New Roman" w:cs="Arial"/>
          <w:color w:val="000000" w:themeColor="text1"/>
          <w:szCs w:val="24"/>
        </w:rPr>
        <w:br/>
      </w:r>
      <w:r w:rsidRPr="00CB5A4B">
        <w:rPr>
          <w:rFonts w:eastAsia="Times New Roman" w:cs="Arial"/>
          <w:color w:val="000000" w:themeColor="text1"/>
          <w:szCs w:val="24"/>
        </w:rPr>
        <w:br/>
        <w:t>3b. ITSM Toolset Technical Integration: technical integration of the Supplier's ITSM toolset with the ITSM toolsets of the Customers' for selected support activities.</w:t>
      </w:r>
      <w:r w:rsidRPr="00CB5A4B">
        <w:rPr>
          <w:rFonts w:eastAsia="Times New Roman" w:cs="Arial"/>
          <w:color w:val="000000" w:themeColor="text1"/>
          <w:szCs w:val="24"/>
        </w:rPr>
        <w:br/>
      </w:r>
      <w:r w:rsidRPr="00CB5A4B">
        <w:rPr>
          <w:rFonts w:eastAsia="Times New Roman" w:cs="Arial"/>
          <w:color w:val="000000" w:themeColor="text1"/>
          <w:szCs w:val="24"/>
        </w:rPr>
        <w:br/>
        <w:t>The successful Supplier will be required to complete transition and cutover to new arrangements prior to the expiry of the existing contract on 30 September 2023.</w:t>
      </w:r>
      <w:r w:rsidRPr="00CB5A4B">
        <w:rPr>
          <w:rFonts w:eastAsia="Times New Roman" w:cs="Arial"/>
          <w:color w:val="000000" w:themeColor="text1"/>
          <w:szCs w:val="24"/>
        </w:rPr>
        <w:br/>
      </w:r>
      <w:r w:rsidRPr="00CB5A4B">
        <w:rPr>
          <w:rFonts w:eastAsia="Times New Roman" w:cs="Arial"/>
          <w:color w:val="000000" w:themeColor="text1"/>
          <w:szCs w:val="24"/>
        </w:rPr>
        <w:br/>
        <w:t>II. Common services and collaborative Call Off Contracts</w:t>
      </w:r>
      <w:r w:rsidRPr="00CB5A4B">
        <w:rPr>
          <w:rFonts w:eastAsia="Times New Roman" w:cs="Arial"/>
          <w:color w:val="000000" w:themeColor="text1"/>
          <w:szCs w:val="24"/>
        </w:rPr>
        <w:br/>
      </w:r>
      <w:r w:rsidRPr="00CB5A4B">
        <w:rPr>
          <w:rFonts w:eastAsia="Times New Roman" w:cs="Arial"/>
          <w:color w:val="000000" w:themeColor="text1"/>
          <w:szCs w:val="24"/>
        </w:rPr>
        <w:br/>
      </w:r>
      <w:proofErr w:type="gramStart"/>
      <w:r w:rsidRPr="00CB5A4B">
        <w:rPr>
          <w:rFonts w:eastAsia="Times New Roman" w:cs="Arial"/>
          <w:color w:val="000000" w:themeColor="text1"/>
          <w:szCs w:val="24"/>
        </w:rPr>
        <w:t>The</w:t>
      </w:r>
      <w:proofErr w:type="gramEnd"/>
      <w:r w:rsidRPr="00CB5A4B">
        <w:rPr>
          <w:rFonts w:eastAsia="Times New Roman" w:cs="Arial"/>
          <w:color w:val="000000" w:themeColor="text1"/>
          <w:szCs w:val="24"/>
        </w:rPr>
        <w:t xml:space="preserve"> Partners intend to work closely together in relation to the Services provided under the Call Off Contracts. There are a number of requirements which the Partners anticipates will need to be built in common across all Call </w:t>
      </w:r>
      <w:proofErr w:type="gramStart"/>
      <w:r w:rsidRPr="00CB5A4B">
        <w:rPr>
          <w:rFonts w:eastAsia="Times New Roman" w:cs="Arial"/>
          <w:color w:val="000000" w:themeColor="text1"/>
          <w:szCs w:val="24"/>
        </w:rPr>
        <w:t>Off</w:t>
      </w:r>
      <w:proofErr w:type="gramEnd"/>
      <w:r w:rsidRPr="00CB5A4B">
        <w:rPr>
          <w:rFonts w:eastAsia="Times New Roman" w:cs="Arial"/>
          <w:color w:val="000000" w:themeColor="text1"/>
          <w:szCs w:val="24"/>
        </w:rPr>
        <w:t xml:space="preserve"> Contracts.</w:t>
      </w:r>
      <w:r w:rsidRPr="00CB5A4B">
        <w:rPr>
          <w:rFonts w:eastAsia="Times New Roman" w:cs="Arial"/>
          <w:color w:val="000000" w:themeColor="text1"/>
          <w:szCs w:val="24"/>
        </w:rPr>
        <w:br/>
      </w:r>
      <w:r w:rsidRPr="00CB5A4B">
        <w:rPr>
          <w:rFonts w:eastAsia="Times New Roman" w:cs="Arial"/>
          <w:color w:val="000000" w:themeColor="text1"/>
          <w:szCs w:val="24"/>
        </w:rPr>
        <w:br/>
        <w:t>III. Subsequent stages</w:t>
      </w:r>
      <w:r w:rsidRPr="00CB5A4B">
        <w:rPr>
          <w:rFonts w:eastAsia="Times New Roman" w:cs="Arial"/>
          <w:color w:val="000000" w:themeColor="text1"/>
          <w:szCs w:val="24"/>
        </w:rPr>
        <w:br/>
      </w:r>
      <w:r w:rsidRPr="00CB5A4B">
        <w:rPr>
          <w:rFonts w:eastAsia="Times New Roman" w:cs="Arial"/>
          <w:color w:val="000000" w:themeColor="text1"/>
          <w:szCs w:val="24"/>
        </w:rPr>
        <w:br/>
        <w:t xml:space="preserve">It is anticipated that a maximum of four (4) Potential Suppliers will receive the ISIT following the Selection Questionnaire ('SQ') stage. Following the evaluation of the Initial Tenders, the Contracting Authority reserves the right to award the Framework Agreement </w:t>
      </w:r>
      <w:proofErr w:type="gramStart"/>
      <w:r w:rsidRPr="00CB5A4B">
        <w:rPr>
          <w:rFonts w:eastAsia="Times New Roman" w:cs="Arial"/>
          <w:color w:val="000000" w:themeColor="text1"/>
          <w:szCs w:val="24"/>
        </w:rPr>
        <w:t>on the basis of</w:t>
      </w:r>
      <w:proofErr w:type="gramEnd"/>
      <w:r w:rsidRPr="00CB5A4B">
        <w:rPr>
          <w:rFonts w:eastAsia="Times New Roman" w:cs="Arial"/>
          <w:color w:val="000000" w:themeColor="text1"/>
          <w:szCs w:val="24"/>
        </w:rPr>
        <w:t xml:space="preserve"> the Initial Tender submitted, or invite a maximum of four (4) Tenderers to participate in negotiation of the Initial Tenders.</w:t>
      </w:r>
      <w:r w:rsidRPr="00CB5A4B">
        <w:rPr>
          <w:rFonts w:eastAsia="Times New Roman" w:cs="Arial"/>
          <w:color w:val="000000" w:themeColor="text1"/>
          <w:szCs w:val="24"/>
        </w:rPr>
        <w:br/>
      </w:r>
      <w:r w:rsidRPr="00CB5A4B">
        <w:rPr>
          <w:rFonts w:eastAsia="Times New Roman" w:cs="Arial"/>
          <w:color w:val="000000" w:themeColor="text1"/>
          <w:szCs w:val="24"/>
        </w:rPr>
        <w:br/>
        <w:t>The Contracting Authority reserves the right to publish an Invitation to Submit Subsequent Tender, negotiate the Subsequent Tenders, followed by the Invitation to Submit Final Tender submission.</w:t>
      </w:r>
    </w:p>
    <w:p w:rsidR="00CB5A4B" w:rsidRDefault="00CB5A4B" w:rsidP="00CB5A4B">
      <w:pPr>
        <w:jc w:val="both"/>
        <w:rPr>
          <w:rFonts w:ascii="Verdana" w:eastAsia="Times New Roman" w:hAnsi="Verdana"/>
          <w:color w:val="A9A9A9"/>
          <w:sz w:val="20"/>
          <w:szCs w:val="20"/>
        </w:rPr>
      </w:pPr>
    </w:p>
    <w:p w:rsidR="007430A2" w:rsidRPr="007430A2" w:rsidRDefault="007430A2" w:rsidP="007430A2">
      <w:pPr>
        <w:jc w:val="both"/>
        <w:rPr>
          <w:b/>
        </w:rPr>
      </w:pPr>
      <w:r w:rsidRPr="007430A2">
        <w:rPr>
          <w:b/>
        </w:rPr>
        <w:t>Additional Information</w:t>
      </w:r>
      <w:r>
        <w:rPr>
          <w:b/>
        </w:rPr>
        <w:t xml:space="preserve"> (1)</w:t>
      </w:r>
    </w:p>
    <w:p w:rsidR="007430A2" w:rsidRDefault="007430A2" w:rsidP="007430A2">
      <w:pPr>
        <w:jc w:val="both"/>
      </w:pPr>
      <w:r>
        <w:t xml:space="preserve">Call </w:t>
      </w:r>
      <w:proofErr w:type="gramStart"/>
      <w:r>
        <w:t>Off</w:t>
      </w:r>
      <w:proofErr w:type="gramEnd"/>
      <w:r>
        <w:t xml:space="preserve"> Contracts will be for an initial term of up to 5 years, with options to extend for 2 additional periods of 1 year each. Customers may vary a Call </w:t>
      </w:r>
      <w:proofErr w:type="gramStart"/>
      <w:r>
        <w:t>Off</w:t>
      </w:r>
      <w:proofErr w:type="gramEnd"/>
      <w:r>
        <w:t xml:space="preserve"> Contract to include optional services during the Call Off Contract term. The supplier shall identify new or potential improvements to the Services and, if a Customer wishes to proceed, the Supplier may benefit from a gain share.</w:t>
      </w:r>
    </w:p>
    <w:p w:rsidR="007430A2" w:rsidRPr="007430A2" w:rsidRDefault="007430A2" w:rsidP="007430A2">
      <w:pPr>
        <w:jc w:val="both"/>
        <w:rPr>
          <w:b/>
        </w:rPr>
      </w:pPr>
      <w:r w:rsidRPr="007430A2">
        <w:rPr>
          <w:b/>
        </w:rPr>
        <w:t>Additional Information (2)</w:t>
      </w:r>
    </w:p>
    <w:p w:rsidR="007430A2" w:rsidRDefault="007430A2" w:rsidP="007430A2">
      <w:pPr>
        <w:jc w:val="both"/>
      </w:pPr>
      <w:r>
        <w:t xml:space="preserve">The Procurement </w:t>
      </w:r>
      <w:proofErr w:type="gramStart"/>
      <w:r>
        <w:t>shall be conducted</w:t>
      </w:r>
      <w:proofErr w:type="gramEnd"/>
      <w:r>
        <w:t xml:space="preserve"> following a multiple stage process as described in the ISIT. The Contracting Authority reserves the right to award the Framework </w:t>
      </w:r>
      <w:r>
        <w:lastRenderedPageBreak/>
        <w:t xml:space="preserve">Agreement to a single successful Supplier at the conclusion of the Initial Tender stage or the Subsequent Tender stage without further negotiation. </w:t>
      </w:r>
    </w:p>
    <w:p w:rsidR="007430A2" w:rsidRDefault="007430A2" w:rsidP="007430A2">
      <w:pPr>
        <w:jc w:val="both"/>
      </w:pPr>
      <w:r>
        <w:t xml:space="preserve">Customers receiving services through the Framework Agreement may be subject to UK Government security requirements. As such, the Contracting Authority, where required, will apply such measures throughout the Procurement as necessary in accordance with Regulation 15(2) of the Public Contracts Regulations 2015, to protect the essential security interests of the UK. </w:t>
      </w:r>
    </w:p>
    <w:p w:rsidR="007430A2" w:rsidRDefault="007430A2" w:rsidP="007430A2">
      <w:pPr>
        <w:jc w:val="both"/>
      </w:pPr>
      <w:r>
        <w:t xml:space="preserve">During delivery of the Services, some supplier staff may be required to hold a security clearance recognised by the UK Government. This may be required for access to certain classified material and to certain sites. The Contracting Authority will offer reasonable assistance to Tenderers in obtaining security clearances. </w:t>
      </w:r>
    </w:p>
    <w:p w:rsidR="007430A2" w:rsidRDefault="007430A2" w:rsidP="007430A2">
      <w:pPr>
        <w:jc w:val="both"/>
      </w:pPr>
      <w:r>
        <w:t xml:space="preserve">The Contracting Authority reserves the right to cancel, withdraw or discontinue this Procurement and, to the extent permissible by law, to make changes to the scope or procedure of this Procurement. The Contracting Authority shall not be liable for any costs, expenses or liabilities incurred by any economic operator directly or indirectly </w:t>
      </w:r>
      <w:proofErr w:type="gramStart"/>
      <w:r>
        <w:t>as a result</w:t>
      </w:r>
      <w:proofErr w:type="gramEnd"/>
      <w:r>
        <w:t xml:space="preserve"> of such withdrawal, discontinuance or change.  </w:t>
      </w:r>
      <w:proofErr w:type="gramStart"/>
      <w:r>
        <w:t xml:space="preserve">The Contracting Authority reserves the right at any time to: </w:t>
      </w:r>
      <w:proofErr w:type="spellStart"/>
      <w:r>
        <w:t>i</w:t>
      </w:r>
      <w:proofErr w:type="spellEnd"/>
      <w:r>
        <w:t>) reject any or all responses; ii) change the basis, the procedure and timescales set out or referred to within the Procurement documents; iii) require a Potential Supplier to clarify any submissions in writing and/or provide additional information (failure to respond adequately may result in disqualification); iv) terminate the Procurement; and v) amend the terms and conditions of the tender other than the Minimum Requirements.</w:t>
      </w:r>
      <w:proofErr w:type="gramEnd"/>
      <w:r>
        <w:t xml:space="preserve"> </w:t>
      </w:r>
    </w:p>
    <w:p w:rsidR="007430A2" w:rsidRDefault="007430A2" w:rsidP="007430A2">
      <w:pPr>
        <w:jc w:val="both"/>
      </w:pPr>
      <w:r>
        <w:t xml:space="preserve">Initially, in accordance with the ability for the Contracting Authority to impose requirements aimed at protecting the confidential nature of the information in the procurement documents, access to certain procurement documents (other than the SQ) is restricted to those Potential Suppliers who are invited to the next stage of the Procurement following the evaluation of all responses to the SQ. </w:t>
      </w:r>
    </w:p>
    <w:p w:rsidR="007430A2" w:rsidRDefault="007430A2" w:rsidP="007430A2">
      <w:pPr>
        <w:jc w:val="both"/>
      </w:pPr>
      <w:r>
        <w:t xml:space="preserve">Following evaluation of the responses to the SQ, the Contracting Authority intends to shortlist up to a maximum of four (4) Tenderers who have submitted the Initial Tender to the subsequent stages of the Procurement as described in the ISIT. The Contracting Authority reserves the right to shortlist Tenderers during the negotiation stage. </w:t>
      </w:r>
    </w:p>
    <w:p w:rsidR="007430A2" w:rsidRDefault="007430A2" w:rsidP="007430A2">
      <w:pPr>
        <w:jc w:val="both"/>
      </w:pPr>
      <w:r>
        <w:t xml:space="preserve">Important Information for all Potential Suppliers </w:t>
      </w:r>
    </w:p>
    <w:p w:rsidR="007430A2" w:rsidRDefault="007430A2" w:rsidP="007430A2">
      <w:pPr>
        <w:jc w:val="both"/>
      </w:pPr>
      <w:r>
        <w:t xml:space="preserve">— </w:t>
      </w:r>
      <w:proofErr w:type="gramStart"/>
      <w:r>
        <w:t>all</w:t>
      </w:r>
      <w:proofErr w:type="gramEnd"/>
      <w:r>
        <w:t xml:space="preserve"> documentation can be found on the FCO's eProcurement portal Jaggaer ONE. URL: </w:t>
      </w:r>
      <w:hyperlink r:id="rId4" w:history="1">
        <w:r w:rsidRPr="00591E54">
          <w:rPr>
            <w:rStyle w:val="Hyperlink"/>
          </w:rPr>
          <w:t>https://fco.bravosolution.co.uk/web/login.html</w:t>
        </w:r>
      </w:hyperlink>
      <w:r>
        <w:t xml:space="preserve"> </w:t>
      </w:r>
    </w:p>
    <w:p w:rsidR="007430A2" w:rsidRDefault="007430A2" w:rsidP="007430A2">
      <w:pPr>
        <w:jc w:val="both"/>
      </w:pPr>
      <w:r>
        <w:t xml:space="preserve">—in order to participate in this Procurement, Potential Suppliers should register on the portal. </w:t>
      </w:r>
    </w:p>
    <w:p w:rsidR="007430A2" w:rsidRDefault="007430A2" w:rsidP="007430A2">
      <w:pPr>
        <w:jc w:val="both"/>
      </w:pPr>
      <w:r>
        <w:t xml:space="preserve">— </w:t>
      </w:r>
      <w:proofErr w:type="gramStart"/>
      <w:r>
        <w:t>following</w:t>
      </w:r>
      <w:proofErr w:type="gramEnd"/>
      <w:r>
        <w:t xml:space="preserve"> registration, Potential Suppliers should navigate the portal and search for project_4466 </w:t>
      </w:r>
    </w:p>
    <w:p w:rsidR="007430A2" w:rsidRDefault="007430A2" w:rsidP="007430A2">
      <w:pPr>
        <w:jc w:val="both"/>
      </w:pPr>
      <w:r>
        <w:t xml:space="preserve">— </w:t>
      </w:r>
      <w:proofErr w:type="gramStart"/>
      <w:r>
        <w:t>the</w:t>
      </w:r>
      <w:proofErr w:type="gramEnd"/>
      <w:r>
        <w:t xml:space="preserve"> Contracting Authority requires interested suppliers to download, sign and return a Non-Disclosure Agreement (NDA) to gain access to the Descriptive Document and Market Engagement synopsis report. An Ethical Walls Agreement (EWA) is required </w:t>
      </w:r>
      <w:r>
        <w:lastRenderedPageBreak/>
        <w:t xml:space="preserve">before access </w:t>
      </w:r>
      <w:proofErr w:type="gramStart"/>
      <w:r>
        <w:t>is granted</w:t>
      </w:r>
      <w:proofErr w:type="gramEnd"/>
      <w:r>
        <w:t xml:space="preserve"> to the main SQ and associated documentation. The NDA and EWA </w:t>
      </w:r>
      <w:proofErr w:type="gramStart"/>
      <w:r>
        <w:t>can be found</w:t>
      </w:r>
      <w:proofErr w:type="gramEnd"/>
      <w:r>
        <w:t xml:space="preserve"> at SQ_4466. Failure to complete the required NDA and EWA will prevent Potential Suppliers from participating further in the Procurement. </w:t>
      </w:r>
    </w:p>
    <w:p w:rsidR="007430A2" w:rsidRDefault="007430A2" w:rsidP="007430A2">
      <w:pPr>
        <w:jc w:val="both"/>
      </w:pPr>
      <w:r>
        <w:t xml:space="preserve">— </w:t>
      </w:r>
      <w:proofErr w:type="gramStart"/>
      <w:r>
        <w:t>once</w:t>
      </w:r>
      <w:proofErr w:type="gramEnd"/>
      <w:r>
        <w:t xml:space="preserve"> you have uploaded the signed NDA and EWA, the Authority will receive a notification and automatically transfer your supplier details to SQ_4466, which contains the main SQ and associated documents. Once you have access, you should then review the documentation and complete the SQ by the deadline specified. </w:t>
      </w:r>
    </w:p>
    <w:p w:rsidR="007430A2" w:rsidRDefault="007430A2" w:rsidP="007430A2">
      <w:pPr>
        <w:jc w:val="both"/>
      </w:pPr>
      <w:r>
        <w:t xml:space="preserve">Following the SQ shortlisting process, Potential Suppliers shall submit a signed Security Aspects Letter via Jaggaer </w:t>
      </w:r>
      <w:proofErr w:type="gramStart"/>
      <w:r>
        <w:t>ONE</w:t>
      </w:r>
      <w:proofErr w:type="gramEnd"/>
      <w:r>
        <w:t xml:space="preserve"> to gain access to the ISIT.</w:t>
      </w:r>
    </w:p>
    <w:sectPr w:rsidR="007430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0A2"/>
    <w:rsid w:val="007430A2"/>
    <w:rsid w:val="00BC261E"/>
    <w:rsid w:val="00BE7942"/>
    <w:rsid w:val="00CB5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B465A"/>
  <w15:chartTrackingRefBased/>
  <w15:docId w15:val="{B581FD3A-543D-4F41-BA69-799E743F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30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co.bravosolution.co.uk/web/logi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1264</Words>
  <Characters>7208</Characters>
  <Application>Microsoft Office Word</Application>
  <DocSecurity>0</DocSecurity>
  <Lines>60</Lines>
  <Paragraphs>16</Paragraphs>
  <ScaleCrop>false</ScaleCrop>
  <Company>The Authority</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Wormleighton (Sensitive)</dc:creator>
  <cp:keywords/>
  <dc:description/>
  <cp:lastModifiedBy>Craig Wormleighton (Sensitive)</cp:lastModifiedBy>
  <cp:revision>2</cp:revision>
  <dcterms:created xsi:type="dcterms:W3CDTF">2020-05-31T20:45:00Z</dcterms:created>
  <dcterms:modified xsi:type="dcterms:W3CDTF">2020-06-02T10:58:00Z</dcterms:modified>
</cp:coreProperties>
</file>