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F3" w:rsidRDefault="00D33CF3">
      <w:pPr>
        <w:pStyle w:val="Heading1"/>
        <w:numPr>
          <w:ilvl w:val="1"/>
          <w:numId w:val="5"/>
        </w:numPr>
        <w:tabs>
          <w:tab w:val="left" w:pos="0"/>
        </w:tabs>
        <w:spacing w:before="0" w:after="80"/>
        <w:rPr>
          <w:b/>
          <w:sz w:val="36"/>
          <w:szCs w:val="36"/>
        </w:rPr>
      </w:pPr>
      <w:bookmarkStart w:id="0" w:name="_gjdgxs" w:colFirst="0" w:colLast="0"/>
      <w:bookmarkEnd w:id="0"/>
    </w:p>
    <w:p w:rsidR="00D33CF3" w:rsidRDefault="00A14133">
      <w:pPr>
        <w:pStyle w:val="Heading1"/>
        <w:numPr>
          <w:ilvl w:val="1"/>
          <w:numId w:val="5"/>
        </w:numPr>
        <w:tabs>
          <w:tab w:val="left" w:pos="0"/>
        </w:tabs>
        <w:spacing w:before="0" w:after="80"/>
      </w:pPr>
      <w:bookmarkStart w:id="1" w:name="_30j0zll" w:colFirst="0" w:colLast="0"/>
      <w:bookmarkEnd w:id="1"/>
      <w:r>
        <w:rPr>
          <w:b/>
          <w:sz w:val="36"/>
          <w:szCs w:val="36"/>
        </w:rPr>
        <w:t>RM6187 Framework Schedule 6 (Order Form and Call-Off Schedules)</w:t>
      </w:r>
    </w:p>
    <w:p w:rsidR="00D33CF3" w:rsidRDefault="00D33CF3">
      <w:pPr>
        <w:spacing w:line="240" w:lineRule="auto"/>
        <w:rPr>
          <w:b/>
          <w:sz w:val="36"/>
          <w:szCs w:val="36"/>
        </w:rPr>
      </w:pPr>
    </w:p>
    <w:p w:rsidR="00D33CF3" w:rsidRDefault="00A14133">
      <w:pPr>
        <w:pStyle w:val="Heading2"/>
        <w:numPr>
          <w:ilvl w:val="1"/>
          <w:numId w:val="5"/>
        </w:numPr>
      </w:pPr>
      <w:bookmarkStart w:id="2" w:name="_1fob9te" w:colFirst="0" w:colLast="0"/>
      <w:bookmarkEnd w:id="2"/>
      <w:r>
        <w:t>Order Form</w:t>
      </w:r>
    </w:p>
    <w:p w:rsidR="00D33CF3" w:rsidRDefault="00D33CF3">
      <w:pPr>
        <w:spacing w:line="240" w:lineRule="auto"/>
        <w:rPr>
          <w:b/>
          <w:sz w:val="24"/>
          <w:szCs w:val="24"/>
        </w:rPr>
      </w:pPr>
    </w:p>
    <w:p w:rsidR="00D33CF3" w:rsidRDefault="00D33CF3">
      <w:pPr>
        <w:spacing w:line="240" w:lineRule="auto"/>
        <w:rPr>
          <w:b/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sz w:val="24"/>
          <w:szCs w:val="24"/>
        </w:rPr>
        <w:t>CALL-OFF REFERENCE: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CCCC22A12</w:t>
      </w: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sz w:val="24"/>
          <w:szCs w:val="24"/>
        </w:rPr>
        <w:t>THE BUYER: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Cabinet Office</w:t>
      </w:r>
      <w:r>
        <w:rPr>
          <w:b/>
          <w:sz w:val="24"/>
          <w:szCs w:val="24"/>
          <w:highlight w:val="yellow"/>
        </w:rPr>
        <w:t xml:space="preserve"> </w:t>
      </w:r>
    </w:p>
    <w:p w:rsidR="00D33CF3" w:rsidRDefault="00A14133">
      <w:pPr>
        <w:spacing w:line="240" w:lineRule="auto"/>
      </w:pPr>
      <w:r>
        <w:rPr>
          <w:sz w:val="24"/>
          <w:szCs w:val="24"/>
        </w:rPr>
        <w:t xml:space="preserve"> </w:t>
      </w:r>
    </w:p>
    <w:p w:rsidR="00D33CF3" w:rsidRDefault="00A14133">
      <w:pPr>
        <w:spacing w:line="240" w:lineRule="auto"/>
      </w:pPr>
      <w:r>
        <w:rPr>
          <w:sz w:val="24"/>
          <w:szCs w:val="24"/>
        </w:rPr>
        <w:t>BUYER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70 Whitehall, London SW1A 2AS</w:t>
      </w: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after="200" w:line="240" w:lineRule="auto"/>
      </w:pPr>
      <w:r>
        <w:rPr>
          <w:sz w:val="24"/>
          <w:szCs w:val="24"/>
        </w:rPr>
        <w:t xml:space="preserve">THE SUPPLIER: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CBRE Limited</w:t>
      </w:r>
    </w:p>
    <w:p w:rsidR="00D33CF3" w:rsidRDefault="00A14133">
      <w:pPr>
        <w:spacing w:after="200" w:line="240" w:lineRule="auto"/>
        <w:ind w:left="3600" w:hanging="3600"/>
      </w:pPr>
      <w:r>
        <w:rPr>
          <w:sz w:val="24"/>
          <w:szCs w:val="24"/>
        </w:rPr>
        <w:t>SUPPLIER ADDRESS: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Henrietta House, Henrietta Place, London W1G 0NB</w:t>
      </w:r>
    </w:p>
    <w:p w:rsidR="00D33CF3" w:rsidRDefault="00A14133">
      <w:pPr>
        <w:spacing w:after="200" w:line="240" w:lineRule="auto"/>
      </w:pPr>
      <w:r>
        <w:rPr>
          <w:sz w:val="24"/>
          <w:szCs w:val="24"/>
        </w:rPr>
        <w:t>REGISTRATION NUMBER: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682D5B">
        <w:rPr>
          <w:b/>
        </w:rPr>
        <w:t>[Redacted]</w:t>
      </w:r>
    </w:p>
    <w:p w:rsidR="00D33CF3" w:rsidRDefault="00A14133">
      <w:pPr>
        <w:spacing w:after="200" w:line="240" w:lineRule="auto"/>
      </w:pPr>
      <w:r>
        <w:rPr>
          <w:sz w:val="24"/>
          <w:szCs w:val="24"/>
        </w:rPr>
        <w:t xml:space="preserve">DUNS NUMBER: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D5B">
        <w:rPr>
          <w:b/>
        </w:rPr>
        <w:t>[Redacted]</w:t>
      </w:r>
    </w:p>
    <w:p w:rsidR="00D33CF3" w:rsidRDefault="00A14133">
      <w:pPr>
        <w:spacing w:after="200" w:line="240" w:lineRule="auto"/>
      </w:pPr>
      <w:r>
        <w:rPr>
          <w:sz w:val="24"/>
          <w:szCs w:val="24"/>
        </w:rPr>
        <w:t>SID4GOV ID: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N/A</w:t>
      </w:r>
    </w:p>
    <w:p w:rsidR="00D33CF3" w:rsidRDefault="00A14133">
      <w:pPr>
        <w:pStyle w:val="Heading3"/>
        <w:numPr>
          <w:ilvl w:val="2"/>
          <w:numId w:val="4"/>
        </w:numPr>
      </w:pPr>
      <w:bookmarkStart w:id="3" w:name="_3znysh7" w:colFirst="0" w:colLast="0"/>
      <w:bookmarkEnd w:id="3"/>
      <w:r>
        <w:t>Applicable framework contract</w:t>
      </w:r>
    </w:p>
    <w:p w:rsidR="00D33CF3" w:rsidRDefault="00A14133">
      <w:pPr>
        <w:spacing w:line="240" w:lineRule="auto"/>
        <w:jc w:val="both"/>
      </w:pPr>
      <w:r>
        <w:rPr>
          <w:sz w:val="24"/>
          <w:szCs w:val="24"/>
        </w:rPr>
        <w:t>This Order Form is for the provision of the Call-Off Deliverables and dated 4</w:t>
      </w:r>
      <w:r>
        <w:rPr>
          <w:sz w:val="40"/>
          <w:szCs w:val="40"/>
          <w:vertAlign w:val="superscript"/>
        </w:rPr>
        <w:t>th</w:t>
      </w:r>
      <w:r>
        <w:rPr>
          <w:sz w:val="24"/>
          <w:szCs w:val="24"/>
        </w:rPr>
        <w:t xml:space="preserve"> N</w:t>
      </w:r>
      <w:r>
        <w:rPr>
          <w:sz w:val="24"/>
          <w:szCs w:val="24"/>
        </w:rPr>
        <w:t>ovember 2022.</w:t>
      </w:r>
    </w:p>
    <w:p w:rsidR="00D33CF3" w:rsidRDefault="00D33CF3">
      <w:pPr>
        <w:spacing w:line="240" w:lineRule="auto"/>
        <w:jc w:val="both"/>
        <w:rPr>
          <w:sz w:val="24"/>
          <w:szCs w:val="24"/>
        </w:rPr>
      </w:pPr>
    </w:p>
    <w:p w:rsidR="00D33CF3" w:rsidRDefault="00A14133">
      <w:pPr>
        <w:spacing w:line="240" w:lineRule="auto"/>
        <w:jc w:val="both"/>
      </w:pPr>
      <w:r>
        <w:rPr>
          <w:sz w:val="24"/>
          <w:szCs w:val="24"/>
        </w:rPr>
        <w:t>It’s issued under the Framework Contract with the reference number RM6187 for the provision of Assurance Partner for the InSite Programme.</w:t>
      </w:r>
    </w:p>
    <w:p w:rsidR="00D33CF3" w:rsidRDefault="00D33CF3">
      <w:pPr>
        <w:tabs>
          <w:tab w:val="left" w:pos="2257"/>
        </w:tabs>
        <w:spacing w:line="240" w:lineRule="auto"/>
        <w:rPr>
          <w:b/>
          <w:sz w:val="24"/>
          <w:szCs w:val="24"/>
        </w:rPr>
      </w:pPr>
    </w:p>
    <w:p w:rsidR="00D33CF3" w:rsidRDefault="00A14133">
      <w:pPr>
        <w:pStyle w:val="Heading3"/>
        <w:numPr>
          <w:ilvl w:val="2"/>
          <w:numId w:val="4"/>
        </w:numPr>
        <w:tabs>
          <w:tab w:val="left" w:pos="2880"/>
          <w:tab w:val="left" w:pos="5137"/>
        </w:tabs>
        <w:spacing w:line="240" w:lineRule="auto"/>
      </w:pPr>
      <w:bookmarkStart w:id="4" w:name="_2et92p0" w:colFirst="0" w:colLast="0"/>
      <w:bookmarkEnd w:id="4"/>
      <w:r>
        <w:t xml:space="preserve">CALL-OFF LOT(S): Lot 8 – Infrastructure Including Transport  </w:t>
      </w:r>
    </w:p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D33CF3"/>
    <w:p w:rsidR="00D33CF3" w:rsidRDefault="00A14133">
      <w:pPr>
        <w:pStyle w:val="Heading3"/>
        <w:numPr>
          <w:ilvl w:val="2"/>
          <w:numId w:val="4"/>
        </w:numPr>
      </w:pPr>
      <w:bookmarkStart w:id="5" w:name="_tyjcwt" w:colFirst="0" w:colLast="0"/>
      <w:bookmarkEnd w:id="5"/>
      <w:r>
        <w:lastRenderedPageBreak/>
        <w:t>Call-off incorporated terms</w:t>
      </w:r>
    </w:p>
    <w:p w:rsidR="00D33CF3" w:rsidRDefault="00A14133">
      <w:pPr>
        <w:tabs>
          <w:tab w:val="left" w:pos="0"/>
        </w:tabs>
      </w:pPr>
      <w:r>
        <w:rPr>
          <w:sz w:val="24"/>
          <w:szCs w:val="24"/>
        </w:rPr>
        <w:t>The following documents are incorporated into this Call-Off Contract.</w:t>
      </w:r>
    </w:p>
    <w:p w:rsidR="00D33CF3" w:rsidRDefault="00A14133">
      <w:pPr>
        <w:spacing w:line="240" w:lineRule="auto"/>
      </w:pPr>
      <w:r>
        <w:rPr>
          <w:sz w:val="24"/>
          <w:szCs w:val="24"/>
          <w:highlight w:val="white"/>
        </w:rPr>
        <w:t>Where schedules are missing, those schedules are not part of the agreement and can not be used. If the documents conflict, the following order of precedence applies:</w:t>
      </w: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numPr>
          <w:ilvl w:val="0"/>
          <w:numId w:val="3"/>
        </w:numPr>
      </w:pPr>
      <w:r>
        <w:rPr>
          <w:sz w:val="24"/>
          <w:szCs w:val="24"/>
        </w:rPr>
        <w:t>This Order Form in</w:t>
      </w:r>
      <w:r>
        <w:rPr>
          <w:sz w:val="24"/>
          <w:szCs w:val="24"/>
        </w:rPr>
        <w:t>cludes the Call-Off Special Terms and Call-Off Special Schedules.</w:t>
      </w:r>
    </w:p>
    <w:p w:rsidR="00D33CF3" w:rsidRDefault="00A14133">
      <w:pPr>
        <w:numPr>
          <w:ilvl w:val="0"/>
          <w:numId w:val="3"/>
        </w:numPr>
        <w:spacing w:line="240" w:lineRule="auto"/>
      </w:pPr>
      <w:r>
        <w:rPr>
          <w:sz w:val="24"/>
          <w:szCs w:val="24"/>
        </w:rPr>
        <w:t>Joint Schedule 1(Definitions and Interpretation) RM6187</w:t>
      </w:r>
    </w:p>
    <w:p w:rsidR="00D33CF3" w:rsidRDefault="00A14133">
      <w:pPr>
        <w:keepNext/>
        <w:numPr>
          <w:ilvl w:val="0"/>
          <w:numId w:val="3"/>
        </w:numPr>
        <w:spacing w:line="240" w:lineRule="auto"/>
      </w:pPr>
      <w:r>
        <w:rPr>
          <w:sz w:val="24"/>
          <w:szCs w:val="24"/>
        </w:rPr>
        <w:t>The following Schedules in equal order of precedence:</w:t>
      </w:r>
    </w:p>
    <w:p w:rsidR="00D33CF3" w:rsidRDefault="00D33CF3">
      <w:pPr>
        <w:keepNext/>
        <w:spacing w:line="240" w:lineRule="auto"/>
        <w:rPr>
          <w:sz w:val="24"/>
          <w:szCs w:val="24"/>
        </w:rPr>
      </w:pPr>
    </w:p>
    <w:p w:rsidR="00D33CF3" w:rsidRDefault="00A14133">
      <w:pPr>
        <w:pStyle w:val="Heading3"/>
        <w:numPr>
          <w:ilvl w:val="2"/>
          <w:numId w:val="4"/>
        </w:numPr>
      </w:pPr>
      <w:bookmarkStart w:id="6" w:name="_3dy6vkm" w:colFirst="0" w:colLast="0"/>
      <w:bookmarkEnd w:id="6"/>
      <w:r>
        <w:t>Joint Schedules for RM6187 Management Consultancy Framework Three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</w:rPr>
        <w:t xml:space="preserve">Joint Schedule 1 (Definitions) 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</w:rPr>
        <w:t>Joint Schedule 2 (Variation Form)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</w:rPr>
        <w:t xml:space="preserve">Joint Schedule 3 (Insurance Requirements) 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</w:rPr>
        <w:t xml:space="preserve">Joint Schedule 4 (Commercially Sensitive Information) 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 xml:space="preserve">Joint Schedule 6 (Key Subcontractors)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>Joint Schedule 7 (Financial Difficulties)</w:t>
      </w:r>
      <w:r>
        <w:rPr>
          <w:sz w:val="24"/>
          <w:szCs w:val="24"/>
          <w:highlight w:val="white"/>
        </w:rPr>
        <w:tab/>
        <w:t xml:space="preserve">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</w:rPr>
        <w:t xml:space="preserve">Joint Schedule 10 (Rectification Plan)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</w:rPr>
        <w:t xml:space="preserve">Joint Schedule 11 (Processing Data) </w:t>
      </w:r>
      <w:r>
        <w:rPr>
          <w:sz w:val="24"/>
          <w:szCs w:val="24"/>
        </w:rPr>
        <w:tab/>
      </w:r>
    </w:p>
    <w:p w:rsidR="00D33CF3" w:rsidRDefault="00A14133">
      <w:pPr>
        <w:pStyle w:val="Heading3"/>
        <w:numPr>
          <w:ilvl w:val="2"/>
          <w:numId w:val="4"/>
        </w:numPr>
      </w:pPr>
      <w:r>
        <w:t>Call-O</w:t>
      </w:r>
      <w:r>
        <w:rPr>
          <w:highlight w:val="white"/>
        </w:rPr>
        <w:t>ff Schedules</w:t>
      </w:r>
      <w:r>
        <w:rPr>
          <w:highlight w:val="white"/>
        </w:rPr>
        <w:tab/>
      </w:r>
      <w:r>
        <w:rPr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 xml:space="preserve">Call-Off Schedule 1 (Transparency Reports) </w:t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 xml:space="preserve">Call-Off Schedule 5 (Pricing Details)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 xml:space="preserve">Call-Off Schedule 7 (Key Supplier Staff) 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>Call-Off Schedule 8 (Busine</w:t>
      </w:r>
      <w:r>
        <w:rPr>
          <w:sz w:val="24"/>
          <w:szCs w:val="24"/>
          <w:highlight w:val="white"/>
        </w:rPr>
        <w:t>ss Continuity and Disaster Recovery)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>Call-Off Schedule 9 ((Security Management Schedule for Consultancy)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 xml:space="preserve">   </w:t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 xml:space="preserve">Call-Off Schedule 10 (Exit Management) </w:t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 xml:space="preserve">Call-Off Schedule 13 (Implementation Plan and Testing) 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 xml:space="preserve">Call-Off Schedule 14 (Service Levels) </w:t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>Call-Off</w:t>
      </w:r>
      <w:r>
        <w:rPr>
          <w:sz w:val="24"/>
          <w:szCs w:val="24"/>
          <w:highlight w:val="white"/>
        </w:rPr>
        <w:t xml:space="preserve"> Schedule 15 (Call-Off Contract Management) </w:t>
      </w:r>
      <w:r>
        <w:rPr>
          <w:sz w:val="24"/>
          <w:szCs w:val="24"/>
          <w:highlight w:val="white"/>
        </w:rPr>
        <w:tab/>
        <w:t xml:space="preserve"> </w:t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>Call-Off Schedule 18 (Background Checks)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1"/>
          <w:numId w:val="2"/>
        </w:numPr>
        <w:spacing w:line="240" w:lineRule="auto"/>
      </w:pPr>
      <w:r>
        <w:rPr>
          <w:sz w:val="24"/>
          <w:szCs w:val="24"/>
          <w:highlight w:val="white"/>
        </w:rPr>
        <w:t>Call-Off Schedule 20 (Call-Off Specification)</w:t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spacing w:line="240" w:lineRule="auto"/>
        <w:ind w:left="1800"/>
      </w:pP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D33CF3" w:rsidRDefault="00A14133">
      <w:pPr>
        <w:spacing w:line="240" w:lineRule="auto"/>
        <w:ind w:left="1800"/>
      </w:pPr>
      <w:r>
        <w:rPr>
          <w:sz w:val="24"/>
          <w:szCs w:val="24"/>
          <w:highlight w:val="white"/>
        </w:rPr>
        <w:tab/>
      </w:r>
    </w:p>
    <w:p w:rsidR="00D33CF3" w:rsidRDefault="00A14133">
      <w:pPr>
        <w:numPr>
          <w:ilvl w:val="0"/>
          <w:numId w:val="3"/>
        </w:numPr>
        <w:spacing w:line="240" w:lineRule="auto"/>
      </w:pPr>
      <w:r>
        <w:rPr>
          <w:sz w:val="24"/>
          <w:szCs w:val="24"/>
          <w:highlight w:val="white"/>
        </w:rPr>
        <w:t>CCS Core Terms</w:t>
      </w:r>
    </w:p>
    <w:p w:rsidR="00D33CF3" w:rsidRDefault="00A14133">
      <w:pPr>
        <w:numPr>
          <w:ilvl w:val="0"/>
          <w:numId w:val="3"/>
        </w:numPr>
        <w:spacing w:line="240" w:lineRule="auto"/>
      </w:pPr>
      <w:r>
        <w:rPr>
          <w:sz w:val="24"/>
          <w:szCs w:val="24"/>
          <w:highlight w:val="white"/>
        </w:rPr>
        <w:t xml:space="preserve">Joint Schedule 5 (Corporate Social Responsibility) </w:t>
      </w:r>
    </w:p>
    <w:p w:rsidR="00D33CF3" w:rsidRDefault="00A14133">
      <w:pPr>
        <w:numPr>
          <w:ilvl w:val="0"/>
          <w:numId w:val="3"/>
        </w:numPr>
        <w:spacing w:line="240" w:lineRule="auto"/>
      </w:pPr>
      <w:r>
        <w:rPr>
          <w:sz w:val="24"/>
          <w:szCs w:val="24"/>
          <w:highlight w:val="white"/>
        </w:rPr>
        <w:t>Call-Off Schedule 4 (Call-Off Tender) as long as any parts of the Call-Off Tender that offer a better commercial position for the Buyer (as decided by the Buyer) take precedence over the documents above</w:t>
      </w:r>
      <w:r>
        <w:rPr>
          <w:b/>
          <w:sz w:val="24"/>
          <w:szCs w:val="24"/>
          <w:highlight w:val="white"/>
        </w:rPr>
        <w:t>.</w:t>
      </w:r>
    </w:p>
    <w:p w:rsidR="00D33CF3" w:rsidRDefault="00D33CF3">
      <w:pPr>
        <w:spacing w:line="240" w:lineRule="auto"/>
        <w:ind w:left="720"/>
        <w:rPr>
          <w:sz w:val="24"/>
          <w:szCs w:val="24"/>
          <w:highlight w:val="white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>Supplier terms are not part of the Call-Off Contrac</w:t>
      </w:r>
      <w:r>
        <w:rPr>
          <w:sz w:val="24"/>
          <w:szCs w:val="24"/>
        </w:rPr>
        <w:t>t. That includes any terms written on the back of, added to this Order Form, or presented at the time of delivery.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7" w:name="_1t3h5sf" w:colFirst="0" w:colLast="0"/>
      <w:bookmarkEnd w:id="7"/>
      <w:r>
        <w:t>Call-off special terms</w:t>
      </w:r>
    </w:p>
    <w:p w:rsidR="00D33CF3" w:rsidRDefault="00D33CF3">
      <w:pPr>
        <w:tabs>
          <w:tab w:val="left" w:pos="2257"/>
        </w:tabs>
        <w:spacing w:line="240" w:lineRule="auto"/>
        <w:rPr>
          <w:sz w:val="24"/>
          <w:szCs w:val="24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The following Special Terms are incorporated into this Call-Off Contract:</w:t>
      </w:r>
    </w:p>
    <w:p w:rsidR="00D33CF3" w:rsidRDefault="00A14133">
      <w:pPr>
        <w:tabs>
          <w:tab w:val="left" w:pos="2257"/>
        </w:tabs>
        <w:spacing w:before="240" w:line="240" w:lineRule="auto"/>
      </w:pPr>
      <w:bookmarkStart w:id="8" w:name="_4d34og8" w:colFirst="0" w:colLast="0"/>
      <w:bookmarkEnd w:id="8"/>
      <w:r>
        <w:rPr>
          <w:i/>
          <w:color w:val="222222"/>
          <w:sz w:val="24"/>
          <w:szCs w:val="24"/>
          <w:highlight w:val="white"/>
        </w:rPr>
        <w:lastRenderedPageBreak/>
        <w:t>Special Term 1 - The Buyer is only liable t</w:t>
      </w:r>
      <w:r>
        <w:rPr>
          <w:i/>
          <w:color w:val="222222"/>
          <w:sz w:val="24"/>
          <w:szCs w:val="24"/>
          <w:highlight w:val="white"/>
        </w:rPr>
        <w:t>o reimburse the Supplier for any expense or any disbursement which is</w:t>
      </w:r>
    </w:p>
    <w:p w:rsidR="00D33CF3" w:rsidRDefault="00A14133">
      <w:pPr>
        <w:tabs>
          <w:tab w:val="left" w:pos="2257"/>
        </w:tabs>
        <w:spacing w:before="240" w:line="240" w:lineRule="auto"/>
      </w:pPr>
      <w:r>
        <w:rPr>
          <w:i/>
          <w:color w:val="222222"/>
          <w:sz w:val="24"/>
          <w:szCs w:val="24"/>
          <w:highlight w:val="white"/>
        </w:rPr>
        <w:t xml:space="preserve">                         (i) specified in this Contract or</w:t>
      </w:r>
    </w:p>
    <w:p w:rsidR="00D33CF3" w:rsidRDefault="00A14133">
      <w:pPr>
        <w:tabs>
          <w:tab w:val="left" w:pos="1980"/>
        </w:tabs>
        <w:spacing w:line="240" w:lineRule="auto"/>
      </w:pPr>
      <w:r>
        <w:rPr>
          <w:i/>
          <w:color w:val="222222"/>
          <w:sz w:val="24"/>
          <w:szCs w:val="24"/>
          <w:highlight w:val="white"/>
        </w:rPr>
        <w:t xml:space="preserve">                         (ii) which the Buyer has Approved prior to the Supplier incurring that         </w:t>
      </w:r>
      <w:r>
        <w:rPr>
          <w:i/>
          <w:color w:val="222222"/>
          <w:sz w:val="24"/>
          <w:szCs w:val="24"/>
          <w:highlight w:val="white"/>
        </w:rPr>
        <w:tab/>
        <w:t>expense or that disbur</w:t>
      </w:r>
      <w:r>
        <w:rPr>
          <w:i/>
          <w:color w:val="222222"/>
          <w:sz w:val="24"/>
          <w:szCs w:val="24"/>
          <w:highlight w:val="white"/>
        </w:rPr>
        <w:t xml:space="preserve">sement. The Supplier may not invoice the            </w:t>
      </w:r>
      <w:r>
        <w:rPr>
          <w:i/>
          <w:color w:val="222222"/>
          <w:sz w:val="24"/>
          <w:szCs w:val="24"/>
          <w:highlight w:val="white"/>
        </w:rPr>
        <w:tab/>
        <w:t>Buyer for any other expenses or any other disbursements</w:t>
      </w:r>
      <w:r>
        <w:rPr>
          <w:sz w:val="24"/>
          <w:szCs w:val="24"/>
          <w:highlight w:val="white"/>
        </w:rPr>
        <w:t xml:space="preserve">            </w:t>
      </w:r>
    </w:p>
    <w:p w:rsidR="00D33CF3" w:rsidRDefault="00D33CF3">
      <w:pPr>
        <w:tabs>
          <w:tab w:val="left" w:pos="2257"/>
        </w:tabs>
        <w:spacing w:line="240" w:lineRule="auto"/>
      </w:pPr>
    </w:p>
    <w:p w:rsidR="00D33CF3" w:rsidRDefault="00D33CF3">
      <w:pPr>
        <w:spacing w:line="240" w:lineRule="auto"/>
        <w:rPr>
          <w:b/>
          <w:sz w:val="24"/>
          <w:szCs w:val="24"/>
          <w:highlight w:val="white"/>
        </w:rPr>
      </w:pPr>
    </w:p>
    <w:p w:rsidR="00D33CF3" w:rsidRDefault="00A14133">
      <w:pPr>
        <w:spacing w:line="240" w:lineRule="auto"/>
      </w:pPr>
      <w:r>
        <w:rPr>
          <w:b/>
          <w:sz w:val="24"/>
          <w:szCs w:val="24"/>
          <w:highlight w:val="white"/>
        </w:rPr>
        <w:t>Call-off start date:</w:t>
      </w:r>
      <w:r>
        <w:rPr>
          <w:b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>8</w:t>
      </w:r>
      <w:r>
        <w:rPr>
          <w:b/>
          <w:sz w:val="40"/>
          <w:szCs w:val="40"/>
          <w:highlight w:val="white"/>
          <w:vertAlign w:val="superscript"/>
        </w:rPr>
        <w:t>th</w:t>
      </w:r>
      <w:r>
        <w:rPr>
          <w:b/>
          <w:sz w:val="24"/>
          <w:szCs w:val="24"/>
          <w:highlight w:val="white"/>
        </w:rPr>
        <w:t xml:space="preserve"> November 2022</w:t>
      </w:r>
    </w:p>
    <w:p w:rsidR="00D33CF3" w:rsidRDefault="00D33CF3">
      <w:pPr>
        <w:spacing w:line="240" w:lineRule="auto"/>
        <w:rPr>
          <w:sz w:val="24"/>
          <w:szCs w:val="24"/>
          <w:highlight w:val="white"/>
        </w:rPr>
      </w:pPr>
    </w:p>
    <w:p w:rsidR="00D33CF3" w:rsidRDefault="00A14133">
      <w:pPr>
        <w:spacing w:line="240" w:lineRule="auto"/>
      </w:pPr>
      <w:r>
        <w:rPr>
          <w:b/>
          <w:sz w:val="24"/>
          <w:szCs w:val="24"/>
          <w:highlight w:val="white"/>
        </w:rPr>
        <w:t xml:space="preserve">Call-off expiry date: </w:t>
      </w:r>
      <w:r>
        <w:rPr>
          <w:b/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>21</w:t>
      </w:r>
      <w:r>
        <w:rPr>
          <w:b/>
          <w:sz w:val="40"/>
          <w:szCs w:val="40"/>
          <w:highlight w:val="white"/>
          <w:vertAlign w:val="superscript"/>
        </w:rPr>
        <w:t>st</w:t>
      </w:r>
      <w:r>
        <w:rPr>
          <w:b/>
          <w:sz w:val="24"/>
          <w:szCs w:val="24"/>
          <w:highlight w:val="white"/>
        </w:rPr>
        <w:t xml:space="preserve"> February 2023</w:t>
      </w:r>
    </w:p>
    <w:p w:rsidR="00D33CF3" w:rsidRDefault="00D33CF3">
      <w:pPr>
        <w:spacing w:line="240" w:lineRule="auto"/>
        <w:rPr>
          <w:b/>
          <w:sz w:val="24"/>
          <w:szCs w:val="24"/>
          <w:highlight w:val="white"/>
        </w:rPr>
      </w:pPr>
    </w:p>
    <w:p w:rsidR="00D33CF3" w:rsidRDefault="00A14133">
      <w:pPr>
        <w:pStyle w:val="Heading3"/>
        <w:numPr>
          <w:ilvl w:val="2"/>
          <w:numId w:val="4"/>
        </w:numPr>
      </w:pPr>
      <w:bookmarkStart w:id="9" w:name="_2s8eyo1" w:colFirst="0" w:colLast="0"/>
      <w:bookmarkEnd w:id="9"/>
      <w:r>
        <w:rPr>
          <w:highlight w:val="white"/>
        </w:rPr>
        <w:t>Call-off deliverables:</w:t>
      </w:r>
    </w:p>
    <w:p w:rsidR="00D33CF3" w:rsidRDefault="00D33CF3">
      <w:pPr>
        <w:tabs>
          <w:tab w:val="left" w:pos="2257"/>
        </w:tabs>
        <w:spacing w:line="240" w:lineRule="auto"/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See details in Call-Off Schedule 20 (Call-Off Specification)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10" w:name="_17dp8vu" w:colFirst="0" w:colLast="0"/>
      <w:bookmarkEnd w:id="10"/>
      <w:r>
        <w:t>Security</w:t>
      </w:r>
    </w:p>
    <w:p w:rsidR="00D33CF3" w:rsidRDefault="00D33CF3">
      <w:pPr>
        <w:shd w:val="clear" w:color="auto" w:fill="FFFFFF"/>
        <w:tabs>
          <w:tab w:val="left" w:pos="0"/>
          <w:tab w:val="left" w:pos="2257"/>
        </w:tabs>
      </w:pPr>
    </w:p>
    <w:p w:rsidR="00D33CF3" w:rsidRDefault="00A14133">
      <w:pPr>
        <w:shd w:val="clear" w:color="auto" w:fill="FFFFFF"/>
        <w:tabs>
          <w:tab w:val="left" w:pos="0"/>
          <w:tab w:val="left" w:pos="2257"/>
        </w:tabs>
      </w:pPr>
      <w:r>
        <w:t>See details in schedule 9 Security management schedule for consultancy.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11" w:name="_3rdcrjn" w:colFirst="0" w:colLast="0"/>
      <w:bookmarkEnd w:id="11"/>
      <w:r>
        <w:rPr>
          <w:highlight w:val="white"/>
        </w:rPr>
        <w:t>Maximum liability</w:t>
      </w: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>The limitation of liability for this Call-Off Contract is stated in Clause 11.2 of the Core Terms.</w:t>
      </w:r>
    </w:p>
    <w:p w:rsidR="00D33CF3" w:rsidRDefault="00D33CF3">
      <w:pPr>
        <w:tabs>
          <w:tab w:val="left" w:pos="2257"/>
        </w:tabs>
        <w:spacing w:line="240" w:lineRule="auto"/>
        <w:rPr>
          <w:sz w:val="24"/>
          <w:szCs w:val="24"/>
          <w:highlight w:val="yellow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The Estimated Year 1 Charges used to calculate liability in the first contract year are up to £150,000 Ex-vat.</w:t>
      </w:r>
    </w:p>
    <w:p w:rsidR="00D33CF3" w:rsidRDefault="00D33CF3">
      <w:pPr>
        <w:tabs>
          <w:tab w:val="left" w:pos="2257"/>
        </w:tabs>
        <w:spacing w:line="240" w:lineRule="auto"/>
        <w:rPr>
          <w:b/>
          <w:sz w:val="12"/>
          <w:szCs w:val="12"/>
          <w:highlight w:val="white"/>
        </w:rPr>
      </w:pP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12" w:name="_26in1rg" w:colFirst="0" w:colLast="0"/>
      <w:bookmarkEnd w:id="12"/>
      <w:r>
        <w:t>Call-off charges</w:t>
      </w:r>
    </w:p>
    <w:p w:rsidR="00D33CF3" w:rsidRDefault="00D33CF3">
      <w:pPr>
        <w:tabs>
          <w:tab w:val="left" w:pos="2257"/>
        </w:tabs>
        <w:spacing w:line="240" w:lineRule="auto"/>
        <w:rPr>
          <w:sz w:val="24"/>
          <w:szCs w:val="24"/>
          <w:highlight w:val="white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See details in Call-Off Sc</w:t>
      </w:r>
      <w:r>
        <w:rPr>
          <w:sz w:val="24"/>
          <w:szCs w:val="24"/>
          <w:highlight w:val="white"/>
        </w:rPr>
        <w:t>hedule 5 (Pricing Details)</w:t>
      </w:r>
    </w:p>
    <w:p w:rsidR="00D33CF3" w:rsidRDefault="00D33CF3">
      <w:pPr>
        <w:tabs>
          <w:tab w:val="left" w:pos="2257"/>
        </w:tabs>
        <w:spacing w:line="240" w:lineRule="auto"/>
        <w:rPr>
          <w:sz w:val="24"/>
          <w:szCs w:val="24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:rsidR="00D33CF3" w:rsidRDefault="00D33CF3">
      <w:pPr>
        <w:tabs>
          <w:tab w:val="left" w:pos="2257"/>
        </w:tabs>
        <w:spacing w:line="240" w:lineRule="auto"/>
        <w:rPr>
          <w:sz w:val="24"/>
          <w:szCs w:val="24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>The Charges will not be impacted by any change to the Framework Prices. T</w:t>
      </w:r>
      <w:r>
        <w:rPr>
          <w:sz w:val="24"/>
          <w:szCs w:val="24"/>
        </w:rPr>
        <w:t>he Charges can only be changed by agreement in writing between the Buyer and the Supplier because of:</w:t>
      </w:r>
    </w:p>
    <w:p w:rsidR="00D33CF3" w:rsidRDefault="00D33CF3">
      <w:pPr>
        <w:tabs>
          <w:tab w:val="left" w:pos="2257"/>
        </w:tabs>
        <w:spacing w:line="240" w:lineRule="auto"/>
        <w:rPr>
          <w:sz w:val="24"/>
          <w:szCs w:val="24"/>
        </w:rPr>
      </w:pPr>
    </w:p>
    <w:p w:rsidR="00D33CF3" w:rsidRDefault="00A14133">
      <w:pPr>
        <w:numPr>
          <w:ilvl w:val="0"/>
          <w:numId w:val="1"/>
        </w:numPr>
        <w:tabs>
          <w:tab w:val="left" w:pos="-4223"/>
        </w:tabs>
        <w:spacing w:line="240" w:lineRule="auto"/>
      </w:pPr>
      <w:bookmarkStart w:id="13" w:name="_lnxbz9" w:colFirst="0" w:colLast="0"/>
      <w:bookmarkEnd w:id="13"/>
      <w:r>
        <w:rPr>
          <w:sz w:val="24"/>
          <w:szCs w:val="24"/>
        </w:rPr>
        <w:t>Specific Change in Law</w:t>
      </w:r>
    </w:p>
    <w:p w:rsidR="00D33CF3" w:rsidRDefault="00D33CF3"/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14" w:name="_35nkun2" w:colFirst="0" w:colLast="0"/>
      <w:bookmarkEnd w:id="14"/>
      <w:r>
        <w:t>Reimbursable expenses</w:t>
      </w: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 xml:space="preserve">All pricing should be inclusive of expenses. 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15" w:name="_1ksv4uv" w:colFirst="0" w:colLast="0"/>
      <w:bookmarkEnd w:id="15"/>
      <w:r>
        <w:lastRenderedPageBreak/>
        <w:t xml:space="preserve">Payment </w:t>
      </w:r>
      <w:r>
        <w:t>method</w:t>
      </w:r>
    </w:p>
    <w:p w:rsidR="00D33CF3" w:rsidRDefault="00A14133">
      <w:pPr>
        <w:tabs>
          <w:tab w:val="left" w:pos="2257"/>
        </w:tabs>
        <w:spacing w:line="240" w:lineRule="auto"/>
        <w:rPr>
          <w:color w:val="000000"/>
        </w:rPr>
      </w:pPr>
      <w:r>
        <w:rPr>
          <w:color w:val="000000"/>
        </w:rPr>
        <w:t>Monthly in arrears</w:t>
      </w:r>
    </w:p>
    <w:p w:rsidR="00682D5B" w:rsidRPr="00682D5B" w:rsidRDefault="00682D5B">
      <w:pPr>
        <w:pStyle w:val="Heading3"/>
        <w:numPr>
          <w:ilvl w:val="2"/>
          <w:numId w:val="4"/>
        </w:numPr>
        <w:tabs>
          <w:tab w:val="left" w:pos="2257"/>
        </w:tabs>
      </w:pPr>
      <w:bookmarkStart w:id="16" w:name="_44sinio" w:colFirst="0" w:colLast="0"/>
      <w:bookmarkEnd w:id="16"/>
      <w:r w:rsidRPr="00682D5B">
        <w:t>[Redacted]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r>
        <w:t>Buyer’s invoice address</w:t>
      </w:r>
    </w:p>
    <w:p w:rsidR="00D33CF3" w:rsidRDefault="00682D5B">
      <w:pPr>
        <w:tabs>
          <w:tab w:val="left" w:pos="2257"/>
        </w:tabs>
        <w:spacing w:line="240" w:lineRule="auto"/>
      </w:pPr>
      <w:r>
        <w:rPr>
          <w:b/>
        </w:rPr>
        <w:t>[Redacted]</w:t>
      </w:r>
    </w:p>
    <w:p w:rsidR="00D33CF3" w:rsidRDefault="00A14133">
      <w:pPr>
        <w:pStyle w:val="Heading3"/>
        <w:widowControl w:val="0"/>
        <w:numPr>
          <w:ilvl w:val="2"/>
          <w:numId w:val="4"/>
        </w:numPr>
        <w:tabs>
          <w:tab w:val="left" w:pos="2257"/>
        </w:tabs>
        <w:spacing w:line="240" w:lineRule="auto"/>
      </w:pPr>
      <w:bookmarkStart w:id="17" w:name="_2jxsxqh" w:colFirst="0" w:colLast="0"/>
      <w:bookmarkEnd w:id="17"/>
      <w:r>
        <w:t>FINAN</w:t>
      </w:r>
      <w:r>
        <w:t>CIAL TRANSPARENCY OBJECTIVES</w:t>
      </w: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The Financial Transparency Objectives do not apply to this Call-Off Contract.</w:t>
      </w:r>
    </w:p>
    <w:p w:rsidR="00D33CF3" w:rsidRDefault="00D33CF3">
      <w:pPr>
        <w:tabs>
          <w:tab w:val="left" w:pos="2257"/>
        </w:tabs>
        <w:spacing w:line="240" w:lineRule="auto"/>
        <w:rPr>
          <w:b/>
          <w:sz w:val="24"/>
          <w:szCs w:val="24"/>
          <w:highlight w:val="white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Buyer’s authorised representative</w:t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bookmarkStart w:id="18" w:name="_z337ya" w:colFirst="0" w:colLast="0"/>
      <w:bookmarkEnd w:id="18"/>
      <w:r w:rsidRPr="00682D5B">
        <w:t>[Redacted]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r>
        <w:t>B</w:t>
      </w:r>
      <w:r>
        <w:t>uyer’s security policy</w:t>
      </w:r>
    </w:p>
    <w:p w:rsidR="00D33CF3" w:rsidRDefault="00A14133">
      <w:pPr>
        <w:tabs>
          <w:tab w:val="left" w:pos="2257"/>
        </w:tabs>
        <w:spacing w:line="240" w:lineRule="auto"/>
      </w:pPr>
      <w:r>
        <w:rPr>
          <w:color w:val="000000"/>
        </w:rPr>
        <w:t>Appended at Order Schedule 9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19" w:name="_3j2qqm3" w:colFirst="0" w:colLast="0"/>
      <w:bookmarkEnd w:id="19"/>
      <w:r>
        <w:t>Supplier’s authorised representative</w:t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bookmarkStart w:id="20" w:name="_1y810tw" w:colFirst="0" w:colLast="0"/>
      <w:bookmarkEnd w:id="20"/>
      <w:r w:rsidRPr="00682D5B">
        <w:t>[Redacted]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r>
        <w:t>Supplier’s contract manager</w:t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bookmarkStart w:id="21" w:name="_4i7ojhp" w:colFirst="0" w:colLast="0"/>
      <w:bookmarkEnd w:id="21"/>
      <w:r w:rsidRPr="00682D5B">
        <w:t>[Redacted]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r>
        <w:t>Progress report frequency</w:t>
      </w:r>
    </w:p>
    <w:p w:rsidR="00D33CF3" w:rsidRDefault="00A14133">
      <w:pPr>
        <w:pStyle w:val="Heading2"/>
        <w:numPr>
          <w:ilvl w:val="1"/>
          <w:numId w:val="4"/>
        </w:numPr>
        <w:spacing w:before="120" w:after="120"/>
        <w:jc w:val="both"/>
      </w:pPr>
      <w:r>
        <w:rPr>
          <w:b w:val="0"/>
          <w:sz w:val="24"/>
          <w:szCs w:val="24"/>
        </w:rPr>
        <w:t>Order Schedule 20 - Specification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22" w:name="_2xcytpi" w:colFirst="0" w:colLast="0"/>
      <w:bookmarkEnd w:id="22"/>
      <w:r>
        <w:t>Progress meeting frequency</w:t>
      </w:r>
    </w:p>
    <w:p w:rsidR="00D33CF3" w:rsidRDefault="00A14133">
      <w:pPr>
        <w:pStyle w:val="Heading2"/>
        <w:numPr>
          <w:ilvl w:val="1"/>
          <w:numId w:val="4"/>
        </w:numPr>
        <w:spacing w:before="120" w:after="120"/>
        <w:jc w:val="both"/>
      </w:pPr>
      <w:r>
        <w:rPr>
          <w:b w:val="0"/>
          <w:sz w:val="24"/>
          <w:szCs w:val="24"/>
        </w:rPr>
        <w:t xml:space="preserve">There will be weekly review meetings with </w:t>
      </w:r>
      <w:r>
        <w:rPr>
          <w:b w:val="0"/>
          <w:sz w:val="24"/>
          <w:szCs w:val="24"/>
        </w:rPr>
        <w:t>the Programme Director. </w:t>
      </w:r>
    </w:p>
    <w:p w:rsidR="00D33CF3" w:rsidRDefault="00D33CF3">
      <w:pPr>
        <w:tabs>
          <w:tab w:val="left" w:pos="2257"/>
        </w:tabs>
        <w:spacing w:line="240" w:lineRule="auto"/>
        <w:rPr>
          <w:b/>
          <w:sz w:val="24"/>
          <w:szCs w:val="24"/>
        </w:rPr>
      </w:pPr>
    </w:p>
    <w:p w:rsidR="00D33CF3" w:rsidRDefault="00A14133">
      <w:pPr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Key staff</w:t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bookmarkStart w:id="23" w:name="_1ci93xb" w:colFirst="0" w:colLast="0"/>
      <w:bookmarkEnd w:id="23"/>
      <w:r w:rsidRPr="00682D5B">
        <w:t>[Redacted]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r>
        <w:t>Key subcontractor</w:t>
      </w:r>
    </w:p>
    <w:p w:rsidR="00D33CF3" w:rsidRDefault="00A14133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 xml:space="preserve">Not applicable 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24" w:name="_3whwml4" w:colFirst="0" w:colLast="0"/>
      <w:bookmarkEnd w:id="24"/>
      <w:r>
        <w:t>Commercially sensitive informat</w:t>
      </w:r>
      <w:r>
        <w:t>ion</w:t>
      </w:r>
    </w:p>
    <w:p w:rsidR="00D33CF3" w:rsidRDefault="00A14133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Call-Off Contract, code, solution designs, Supplier Bid response including Pricing.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25" w:name="_2bn6wsx" w:colFirst="0" w:colLast="0"/>
      <w:bookmarkEnd w:id="25"/>
      <w:r>
        <w:t>Service credits</w:t>
      </w:r>
    </w:p>
    <w:p w:rsidR="00D33CF3" w:rsidRDefault="00A14133">
      <w:r>
        <w:t>N/A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26" w:name="_qsh70q" w:colFirst="0" w:colLast="0"/>
      <w:bookmarkEnd w:id="26"/>
      <w:r>
        <w:lastRenderedPageBreak/>
        <w:t>Additional insurances</w:t>
      </w:r>
    </w:p>
    <w:p w:rsidR="00D33CF3" w:rsidRDefault="00A14133">
      <w:r>
        <w:t>N/A</w:t>
      </w:r>
    </w:p>
    <w:p w:rsidR="00D33CF3" w:rsidRDefault="00A14133">
      <w:pPr>
        <w:pStyle w:val="Heading3"/>
        <w:numPr>
          <w:ilvl w:val="2"/>
          <w:numId w:val="4"/>
        </w:numPr>
        <w:jc w:val="both"/>
      </w:pPr>
      <w:bookmarkStart w:id="27" w:name="_3as4poj" w:colFirst="0" w:colLast="0"/>
      <w:bookmarkEnd w:id="27"/>
      <w:r>
        <w:t>Guarantee</w:t>
      </w:r>
    </w:p>
    <w:p w:rsidR="00D33CF3" w:rsidRDefault="00A14133">
      <w:r>
        <w:t>N/A</w:t>
      </w:r>
    </w:p>
    <w:p w:rsidR="00D33CF3" w:rsidRDefault="00A14133">
      <w:pPr>
        <w:pStyle w:val="Heading3"/>
        <w:numPr>
          <w:ilvl w:val="2"/>
          <w:numId w:val="4"/>
        </w:numPr>
        <w:tabs>
          <w:tab w:val="left" w:pos="2257"/>
        </w:tabs>
      </w:pPr>
      <w:bookmarkStart w:id="28" w:name="_1pxezwc" w:colFirst="0" w:colLast="0"/>
      <w:bookmarkEnd w:id="28"/>
      <w:r>
        <w:t>Buyer’s environmental and social value policy</w:t>
      </w:r>
    </w:p>
    <w:p w:rsidR="00D33CF3" w:rsidRDefault="00A14133">
      <w:pPr>
        <w:tabs>
          <w:tab w:val="left" w:pos="2257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Supplier agrees, in providing the Deliverables and performing its obligations under the Order Contract, that it will comply with the social value commitments in Order Schedule 4 (Order Tender). </w:t>
      </w:r>
    </w:p>
    <w:p w:rsidR="00D33CF3" w:rsidRDefault="00D33CF3">
      <w:pPr>
        <w:tabs>
          <w:tab w:val="left" w:pos="2257"/>
        </w:tabs>
        <w:spacing w:line="240" w:lineRule="auto"/>
        <w:rPr>
          <w:color w:val="000000"/>
          <w:sz w:val="24"/>
          <w:szCs w:val="24"/>
        </w:rPr>
      </w:pPr>
    </w:p>
    <w:p w:rsidR="00D33CF3" w:rsidRDefault="00A14133">
      <w:pPr>
        <w:tabs>
          <w:tab w:val="left" w:pos="225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see Cabinet Office Environmental Policy May 2022.</w:t>
      </w:r>
    </w:p>
    <w:p w:rsidR="00D33CF3" w:rsidRDefault="00A14133">
      <w:pPr>
        <w:pStyle w:val="Heading3"/>
        <w:numPr>
          <w:ilvl w:val="2"/>
          <w:numId w:val="4"/>
        </w:numPr>
        <w:jc w:val="both"/>
      </w:pPr>
      <w:bookmarkStart w:id="29" w:name="_49x2ik5" w:colFirst="0" w:colLast="0"/>
      <w:bookmarkEnd w:id="29"/>
      <w:r>
        <w:t>Social value commitment</w:t>
      </w:r>
    </w:p>
    <w:p w:rsidR="00D33CF3" w:rsidRDefault="00A14133">
      <w:pPr>
        <w:spacing w:line="240" w:lineRule="auto"/>
        <w:jc w:val="both"/>
      </w:pPr>
      <w:r>
        <w:rPr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:rsidR="00D33CF3" w:rsidRDefault="00A14133">
      <w:pPr>
        <w:pStyle w:val="Heading3"/>
        <w:numPr>
          <w:ilvl w:val="2"/>
          <w:numId w:val="4"/>
        </w:numPr>
        <w:spacing w:before="0" w:after="240"/>
        <w:jc w:val="both"/>
      </w:pPr>
      <w:bookmarkStart w:id="30" w:name="_2p2csry" w:colFirst="0" w:colLast="0"/>
      <w:bookmarkEnd w:id="30"/>
      <w:r>
        <w:t>Formation of call off co</w:t>
      </w:r>
      <w:r>
        <w:t>ntract</w:t>
      </w:r>
    </w:p>
    <w:p w:rsidR="00D33CF3" w:rsidRDefault="00A14133">
      <w:pPr>
        <w:spacing w:after="240" w:line="240" w:lineRule="auto"/>
        <w:jc w:val="both"/>
      </w:pPr>
      <w:r>
        <w:rPr>
          <w:sz w:val="24"/>
          <w:szCs w:val="24"/>
        </w:rPr>
        <w:t>By signing and returning this Call-Off Order Form the Supplier agrees to enter a Call-Off Contract with the Buyer to provide the Services in accordance with the Call-Off Order Form and the Call-Off Terms.</w:t>
      </w:r>
    </w:p>
    <w:p w:rsidR="00D33CF3" w:rsidRDefault="00A14133">
      <w:pPr>
        <w:spacing w:after="240" w:line="240" w:lineRule="auto"/>
        <w:jc w:val="both"/>
      </w:pPr>
      <w:r>
        <w:rPr>
          <w:sz w:val="24"/>
          <w:szCs w:val="24"/>
        </w:rPr>
        <w:t>The Parties hereby acknowledge and agree that they have read the Call-Off Order Form and the Call-Off Terms and by signing below agree to be bound by this Call-Off Contract.</w:t>
      </w:r>
    </w:p>
    <w:p w:rsidR="00D33CF3" w:rsidRDefault="00A14133">
      <w:pPr>
        <w:spacing w:line="240" w:lineRule="auto"/>
      </w:pPr>
      <w:r>
        <w:rPr>
          <w:b/>
          <w:sz w:val="24"/>
          <w:szCs w:val="24"/>
        </w:rPr>
        <w:t>For and on behalf of the Supplier</w:t>
      </w:r>
      <w:r>
        <w:rPr>
          <w:sz w:val="24"/>
          <w:szCs w:val="24"/>
        </w:rPr>
        <w:t>:</w:t>
      </w:r>
    </w:p>
    <w:p w:rsidR="00D33CF3" w:rsidRDefault="00D33CF3">
      <w:pPr>
        <w:spacing w:line="240" w:lineRule="auto"/>
        <w:rPr>
          <w:color w:val="000000"/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sz w:val="24"/>
          <w:szCs w:val="24"/>
        </w:rPr>
        <w:t xml:space="preserve">Signature: </w:t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r w:rsidRPr="00682D5B">
        <w:t>[Redacted]</w:t>
      </w: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r w:rsidRPr="00682D5B">
        <w:t>[Redacted]</w:t>
      </w:r>
    </w:p>
    <w:p w:rsidR="00682D5B" w:rsidRDefault="00682D5B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sz w:val="24"/>
          <w:szCs w:val="24"/>
        </w:rPr>
        <w:t>Role: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</w:t>
      </w:r>
      <w:r>
        <w:rPr>
          <w:sz w:val="24"/>
          <w:szCs w:val="24"/>
        </w:rPr>
        <w:t>nior Director</w:t>
      </w: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>
        <w:rPr>
          <w:sz w:val="40"/>
          <w:szCs w:val="40"/>
          <w:vertAlign w:val="superscript"/>
        </w:rPr>
        <w:t>th</w:t>
      </w:r>
      <w:r>
        <w:rPr>
          <w:sz w:val="24"/>
          <w:szCs w:val="24"/>
        </w:rPr>
        <w:t xml:space="preserve"> November 2022</w:t>
      </w:r>
    </w:p>
    <w:p w:rsidR="00D33CF3" w:rsidRDefault="00D33CF3">
      <w:pPr>
        <w:spacing w:line="240" w:lineRule="auto"/>
        <w:rPr>
          <w:b/>
          <w:sz w:val="24"/>
          <w:szCs w:val="24"/>
        </w:rPr>
      </w:pPr>
    </w:p>
    <w:p w:rsidR="00D33CF3" w:rsidRDefault="00D33CF3">
      <w:pPr>
        <w:spacing w:line="240" w:lineRule="auto"/>
        <w:rPr>
          <w:b/>
          <w:sz w:val="24"/>
          <w:szCs w:val="24"/>
        </w:rPr>
      </w:pPr>
    </w:p>
    <w:p w:rsidR="00D33CF3" w:rsidRDefault="00D33CF3">
      <w:pPr>
        <w:spacing w:line="240" w:lineRule="auto"/>
        <w:rPr>
          <w:b/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b/>
          <w:sz w:val="24"/>
          <w:szCs w:val="24"/>
        </w:rPr>
        <w:t>For and on behalf of the Buyer</w:t>
      </w:r>
      <w:r>
        <w:rPr>
          <w:sz w:val="24"/>
          <w:szCs w:val="24"/>
        </w:rPr>
        <w:t>:</w:t>
      </w: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  <w:rPr>
          <w:noProof/>
        </w:rPr>
      </w:pPr>
      <w:r>
        <w:rPr>
          <w:sz w:val="24"/>
          <w:szCs w:val="24"/>
        </w:rPr>
        <w:t>Signature:</w:t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r w:rsidRPr="00682D5B">
        <w:lastRenderedPageBreak/>
        <w:t>[Redacted]</w:t>
      </w:r>
    </w:p>
    <w:p w:rsidR="00682D5B" w:rsidRDefault="00682D5B">
      <w:pPr>
        <w:spacing w:line="240" w:lineRule="auto"/>
      </w:pP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</w:p>
    <w:p w:rsidR="00682D5B" w:rsidRPr="00682D5B" w:rsidRDefault="00682D5B" w:rsidP="00682D5B">
      <w:pPr>
        <w:pStyle w:val="Heading3"/>
        <w:numPr>
          <w:ilvl w:val="2"/>
          <w:numId w:val="4"/>
        </w:numPr>
        <w:tabs>
          <w:tab w:val="left" w:pos="2257"/>
        </w:tabs>
      </w:pPr>
      <w:r w:rsidRPr="00682D5B">
        <w:t>[Redacted]</w:t>
      </w:r>
    </w:p>
    <w:p w:rsidR="00682D5B" w:rsidRDefault="00682D5B">
      <w:pPr>
        <w:spacing w:line="240" w:lineRule="auto"/>
      </w:pP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sz w:val="24"/>
          <w:szCs w:val="24"/>
        </w:rPr>
        <w:t>Role: Head of Commercial</w:t>
      </w:r>
    </w:p>
    <w:p w:rsidR="00D33CF3" w:rsidRDefault="00D33CF3">
      <w:pPr>
        <w:spacing w:line="240" w:lineRule="auto"/>
        <w:rPr>
          <w:sz w:val="24"/>
          <w:szCs w:val="24"/>
        </w:rPr>
      </w:pPr>
    </w:p>
    <w:p w:rsidR="00D33CF3" w:rsidRDefault="00A14133">
      <w:pPr>
        <w:spacing w:line="240" w:lineRule="auto"/>
      </w:pPr>
      <w:r>
        <w:rPr>
          <w:sz w:val="24"/>
          <w:szCs w:val="24"/>
        </w:rPr>
        <w:t>Date: 18</w:t>
      </w:r>
      <w:r>
        <w:rPr>
          <w:sz w:val="40"/>
          <w:szCs w:val="40"/>
          <w:vertAlign w:val="superscript"/>
        </w:rPr>
        <w:t>th</w:t>
      </w:r>
      <w:r>
        <w:rPr>
          <w:sz w:val="24"/>
          <w:szCs w:val="24"/>
        </w:rPr>
        <w:t xml:space="preserve"> November 2022</w:t>
      </w:r>
    </w:p>
    <w:p w:rsidR="00D33CF3" w:rsidRDefault="00D33CF3">
      <w:bookmarkStart w:id="31" w:name="_GoBack"/>
      <w:bookmarkEnd w:id="31"/>
    </w:p>
    <w:sectPr w:rsidR="00D33CF3">
      <w:headerReference w:type="default" r:id="rId7"/>
      <w:footerReference w:type="default" r:id="rId8"/>
      <w:pgSz w:w="11906" w:h="16838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33" w:rsidRDefault="00A14133">
      <w:pPr>
        <w:spacing w:line="240" w:lineRule="auto"/>
      </w:pPr>
      <w:r>
        <w:separator/>
      </w:r>
    </w:p>
  </w:endnote>
  <w:endnote w:type="continuationSeparator" w:id="0">
    <w:p w:rsidR="00A14133" w:rsidRDefault="00A14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F3" w:rsidRDefault="00A14133">
    <w:pPr>
      <w:jc w:val="right"/>
    </w:pPr>
    <w:r>
      <w:fldChar w:fldCharType="begin"/>
    </w:r>
    <w:r>
      <w:instrText>PAGE</w:instrText>
    </w:r>
    <w:r w:rsidR="00682D5B">
      <w:fldChar w:fldCharType="separate"/>
    </w:r>
    <w:r w:rsidR="00682D5B">
      <w:rPr>
        <w:noProof/>
      </w:rPr>
      <w:t>1</w:t>
    </w:r>
    <w:r>
      <w:fldChar w:fldCharType="end"/>
    </w:r>
  </w:p>
  <w:p w:rsidR="00D33CF3" w:rsidRDefault="00A14133">
    <w:r>
      <w:rPr>
        <w:rFonts w:ascii="Roboto" w:eastAsia="Roboto" w:hAnsi="Roboto" w:cs="Roboto"/>
        <w:color w:val="202124"/>
        <w:sz w:val="20"/>
        <w:szCs w:val="20"/>
        <w:highlight w:val="white"/>
      </w:rPr>
      <w:t>Framework: RM6187</w:t>
    </w:r>
    <w:r>
      <w:rPr>
        <w:rFonts w:ascii="Roboto" w:eastAsia="Roboto" w:hAnsi="Roboto" w:cs="Roboto"/>
        <w:color w:val="202124"/>
        <w:sz w:val="20"/>
        <w:szCs w:val="20"/>
        <w:highlight w:val="white"/>
      </w:rPr>
      <w:tab/>
      <w:t xml:space="preserve">                                           </w:t>
    </w:r>
    <w:r>
      <w:rPr>
        <w:rFonts w:ascii="Roboto" w:eastAsia="Roboto" w:hAnsi="Roboto" w:cs="Roboto"/>
        <w:color w:val="202124"/>
        <w:sz w:val="20"/>
        <w:szCs w:val="20"/>
        <w:highlight w:val="white"/>
      </w:rPr>
      <w:tab/>
    </w:r>
    <w:r>
      <w:rPr>
        <w:rFonts w:ascii="Roboto" w:eastAsia="Roboto" w:hAnsi="Roboto" w:cs="Roboto"/>
        <w:color w:val="202124"/>
        <w:sz w:val="20"/>
        <w:szCs w:val="20"/>
        <w:highlight w:val="white"/>
      </w:rPr>
      <w:tab/>
    </w:r>
  </w:p>
  <w:p w:rsidR="00D33CF3" w:rsidRDefault="00A14133">
    <w:r>
      <w:rPr>
        <w:rFonts w:ascii="Roboto" w:eastAsia="Roboto" w:hAnsi="Roboto" w:cs="Roboto"/>
        <w:color w:val="202124"/>
        <w:sz w:val="20"/>
        <w:szCs w:val="20"/>
        <w:highlight w:val="white"/>
      </w:rPr>
      <w:t>Model version: v3.7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33" w:rsidRDefault="00A14133">
      <w:pPr>
        <w:spacing w:line="240" w:lineRule="auto"/>
      </w:pPr>
      <w:r>
        <w:separator/>
      </w:r>
    </w:p>
  </w:footnote>
  <w:footnote w:type="continuationSeparator" w:id="0">
    <w:p w:rsidR="00A14133" w:rsidRDefault="00A14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F3" w:rsidRDefault="00A14133">
    <w:r>
      <w:rPr>
        <w:rFonts w:ascii="Roboto" w:eastAsia="Roboto" w:hAnsi="Roboto" w:cs="Roboto"/>
        <w:color w:val="202124"/>
        <w:sz w:val="20"/>
        <w:szCs w:val="20"/>
        <w:highlight w:val="white"/>
      </w:rPr>
      <w:t>Framework Schedule 6 (Order Form and Call-Off Schedules)</w:t>
    </w:r>
  </w:p>
  <w:p w:rsidR="00D33CF3" w:rsidRDefault="00A14133">
    <w:r>
      <w:rPr>
        <w:rFonts w:ascii="Roboto" w:eastAsia="Roboto" w:hAnsi="Roboto" w:cs="Roboto"/>
        <w:color w:val="202124"/>
        <w:sz w:val="20"/>
        <w:szCs w:val="20"/>
        <w:highlight w:val="white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102"/>
    <w:multiLevelType w:val="multilevel"/>
    <w:tmpl w:val="9C7CB6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9E3068"/>
    <w:multiLevelType w:val="multilevel"/>
    <w:tmpl w:val="6C14B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E860BA"/>
    <w:multiLevelType w:val="multilevel"/>
    <w:tmpl w:val="109A4C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5500"/>
    <w:multiLevelType w:val="multilevel"/>
    <w:tmpl w:val="53A098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B53603A"/>
    <w:multiLevelType w:val="multilevel"/>
    <w:tmpl w:val="9E46758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F3"/>
    <w:rsid w:val="00682D5B"/>
    <w:rsid w:val="00A14133"/>
    <w:rsid w:val="00D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99E1"/>
  <w15:docId w15:val="{A7C4637F-A95A-48D5-B74B-EA7E5334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80" w:line="240" w:lineRule="auto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spacing w:before="280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Dier</dc:creator>
  <cp:lastModifiedBy>Christopher Dier</cp:lastModifiedBy>
  <cp:revision>2</cp:revision>
  <dcterms:created xsi:type="dcterms:W3CDTF">2023-03-06T16:52:00Z</dcterms:created>
  <dcterms:modified xsi:type="dcterms:W3CDTF">2023-03-06T16:52:00Z</dcterms:modified>
</cp:coreProperties>
</file>