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rPr>
      </w:pPr>
      <w:r w:rsidDel="00000000" w:rsidR="00000000" w:rsidRPr="00000000">
        <w:rPr>
          <w:rFonts w:ascii="Arial" w:cs="Arial" w:eastAsia="Arial" w:hAnsi="Arial"/>
          <w:sz w:val="52"/>
          <w:szCs w:val="52"/>
          <w:rtl w:val="0"/>
        </w:rPr>
        <w:t xml:space="preserve">e</w:t>
      </w:r>
      <w:r w:rsidDel="00000000" w:rsidR="00000000" w:rsidRPr="00000000">
        <w:rPr>
          <w:rFonts w:ascii="Arial" w:cs="Arial" w:eastAsia="Arial" w:hAnsi="Arial"/>
          <w:color w:val="000000"/>
          <w:sz w:val="52"/>
          <w:szCs w:val="52"/>
          <w:rtl w:val="0"/>
        </w:rPr>
        <w:t xml:space="preserve">-Disclosure and Review Services RM6336</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w:t>
            <w:tab/>
            <w:t xml:space="preserve">What you need to know</w:t>
            <w:tab/>
            <w:t xml:space="preserve">5</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6</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t xml:space="preserve">6</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8</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8</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9</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9</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9</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22</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22</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200" w:line="276" w:lineRule="auto"/>
        <w:ind w:left="-28"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b w:val="1"/>
          <w:i w:val="1"/>
          <w:color w:val="000000"/>
          <w:highlight w:val="green"/>
        </w:rPr>
      </w:pPr>
      <w:r w:rsidDel="00000000" w:rsidR="00000000" w:rsidRPr="00000000">
        <w:rPr>
          <w:rtl w:val="0"/>
        </w:rPr>
      </w:r>
    </w:p>
    <w:p w:rsidR="00000000" w:rsidDel="00000000" w:rsidP="00000000" w:rsidRDefault="00000000" w:rsidRPr="00000000" w14:paraId="00000023">
      <w:pPr>
        <w:spacing w:after="200" w:line="276" w:lineRule="auto"/>
        <w:ind w:left="-28"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spacing w:after="60" w:before="60" w:lineRule="auto"/>
        <w:ind w:left="720" w:firstLine="0"/>
        <w:jc w:val="right"/>
        <w:rPr/>
      </w:pPr>
      <w:r w:rsidDel="00000000" w:rsidR="00000000" w:rsidRPr="00000000">
        <w:rPr>
          <w:rtl w:val="0"/>
        </w:rPr>
      </w:r>
    </w:p>
    <w:p w:rsidR="00000000" w:rsidDel="00000000" w:rsidP="00000000" w:rsidRDefault="00000000" w:rsidRPr="00000000" w14:paraId="00000025">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sz w:val="24"/>
          <w:szCs w:val="24"/>
          <w:rtl w:val="0"/>
        </w:rPr>
        <w:t xml:space="preserve">e-Disclosure and Review Services</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8">
      <w:pPr>
        <w:numPr>
          <w:ilvl w:val="0"/>
          <w:numId w:val="4"/>
        </w:numPr>
        <w:ind w:left="1701" w:hanging="283.0000000000001"/>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9">
      <w:pPr>
        <w:numPr>
          <w:ilvl w:val="0"/>
          <w:numId w:val="4"/>
        </w:numPr>
        <w:ind w:left="1701" w:hanging="283.0000000000001"/>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w:t>
      </w:r>
      <w:r w:rsidDel="00000000" w:rsidR="00000000" w:rsidRPr="00000000">
        <w:rPr>
          <w:rFonts w:ascii="Arial" w:cs="Arial" w:eastAsia="Arial" w:hAnsi="Arial"/>
          <w:sz w:val="24"/>
          <w:szCs w:val="24"/>
          <w:rtl w:val="0"/>
        </w:rPr>
        <w:t xml:space="preserve">at intention</w:t>
      </w:r>
      <w:r w:rsidDel="00000000" w:rsidR="00000000" w:rsidRPr="00000000">
        <w:rPr>
          <w:rFonts w:ascii="Arial" w:cs="Arial" w:eastAsia="Arial" w:hAnsi="Arial"/>
          <w:sz w:val="24"/>
          <w:szCs w:val="24"/>
          <w:rtl w:val="0"/>
        </w:rPr>
        <w:t xml:space="preserve"> to award and the Framework Contract award stage. </w:t>
      </w:r>
    </w:p>
    <w:p w:rsidR="00000000" w:rsidDel="00000000" w:rsidP="00000000" w:rsidRDefault="00000000" w:rsidRPr="00000000" w14:paraId="0000002B">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D">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3">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 Evidence of C</w:t>
      </w:r>
      <w:r w:rsidDel="00000000" w:rsidR="00000000" w:rsidRPr="00000000">
        <w:rPr>
          <w:rFonts w:ascii="Arial" w:cs="Arial" w:eastAsia="Arial" w:hAnsi="Arial"/>
          <w:b w:val="1"/>
          <w:sz w:val="24"/>
          <w:szCs w:val="24"/>
          <w:highlight w:val="white"/>
          <w:rtl w:val="0"/>
        </w:rPr>
        <w:t xml:space="preserve">ontract Certificate for Lot 1</w:t>
      </w:r>
      <w:r w:rsidDel="00000000" w:rsidR="00000000" w:rsidRPr="00000000">
        <w:rPr>
          <w:rFonts w:ascii="Arial" w:cs="Arial" w:eastAsia="Arial" w:hAnsi="Arial"/>
          <w:sz w:val="24"/>
          <w:szCs w:val="24"/>
          <w:highlight w:val="white"/>
          <w:rtl w:val="0"/>
        </w:rPr>
        <w:t xml:space="preserve"> – you and your contract referee must complete this template with evidence of your Lot 1 contract certificate. You need to complete 2 templates for Lot 1.</w:t>
      </w:r>
    </w:p>
    <w:p w:rsidR="00000000" w:rsidDel="00000000" w:rsidP="00000000" w:rsidRDefault="00000000" w:rsidRPr="00000000" w14:paraId="00000034">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(ii) Evidence of Contract Certificate for Lot 2 </w:t>
      </w:r>
      <w:r w:rsidDel="00000000" w:rsidR="00000000" w:rsidRPr="00000000">
        <w:rPr>
          <w:rFonts w:ascii="Arial" w:cs="Arial" w:eastAsia="Arial" w:hAnsi="Arial"/>
          <w:sz w:val="24"/>
          <w:szCs w:val="24"/>
          <w:highlight w:val="white"/>
          <w:rtl w:val="0"/>
        </w:rPr>
        <w:t xml:space="preserve">– you and your contract referee must complete this template with evidence of your Lot 2 contract certificate. You need to complete 2 templates for Lot 2.</w:t>
      </w:r>
    </w:p>
    <w:p w:rsidR="00000000" w:rsidDel="00000000" w:rsidP="00000000" w:rsidRDefault="00000000" w:rsidRPr="00000000" w14:paraId="00000035">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(iii) Evidence of Contract Certificate for Lot 3</w:t>
      </w:r>
      <w:r w:rsidDel="00000000" w:rsidR="00000000" w:rsidRPr="00000000">
        <w:rPr>
          <w:rFonts w:ascii="Arial" w:cs="Arial" w:eastAsia="Arial" w:hAnsi="Arial"/>
          <w:sz w:val="24"/>
          <w:szCs w:val="24"/>
          <w:highlight w:val="white"/>
          <w:rtl w:val="0"/>
        </w:rPr>
        <w:t xml:space="preserve"> – you and your contract referee must complete this template with evidence of your Lot 3 contract certificate. You need to complete 2 templates for Lot 3</w:t>
      </w:r>
    </w:p>
    <w:p w:rsidR="00000000" w:rsidDel="00000000" w:rsidP="00000000" w:rsidRDefault="00000000" w:rsidRPr="00000000" w14:paraId="00000036">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(iiii) Evidence of Contract Certificate for Lot 4</w:t>
      </w:r>
      <w:r w:rsidDel="00000000" w:rsidR="00000000" w:rsidRPr="00000000">
        <w:rPr>
          <w:rFonts w:ascii="Arial" w:cs="Arial" w:eastAsia="Arial" w:hAnsi="Arial"/>
          <w:sz w:val="24"/>
          <w:szCs w:val="24"/>
          <w:highlight w:val="white"/>
          <w:rtl w:val="0"/>
        </w:rPr>
        <w:t xml:space="preserve"> – you and your contract referee must complete this template with evidence of your Lot 4 contract certificate. You need to complete 2 templates for Lot 4.</w:t>
      </w:r>
      <w:r w:rsidDel="00000000" w:rsidR="00000000" w:rsidRPr="00000000">
        <w:rPr>
          <w:rtl w:val="0"/>
        </w:rPr>
      </w:r>
    </w:p>
    <w:p w:rsidR="00000000" w:rsidDel="00000000" w:rsidP="00000000" w:rsidRDefault="00000000" w:rsidRPr="00000000" w14:paraId="00000037">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Suite (commercial envelope)</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highlight w:val="white"/>
          <w:rtl w:val="0"/>
        </w:rPr>
        <w:t xml:space="preserve">Gold </w:t>
      </w:r>
      <w:r w:rsidDel="00000000" w:rsidR="00000000" w:rsidRPr="00000000">
        <w:rPr>
          <w:rFonts w:ascii="Arial" w:cs="Arial" w:eastAsia="Arial" w:hAnsi="Arial"/>
          <w:b w:val="1"/>
          <w:color w:val="000000"/>
          <w:sz w:val="24"/>
          <w:szCs w:val="24"/>
          <w:rtl w:val="0"/>
        </w:rPr>
        <w:t xml:space="preserve">FVRA To</w:t>
      </w:r>
      <w:r w:rsidDel="00000000" w:rsidR="00000000" w:rsidRPr="00000000">
        <w:rPr>
          <w:rFonts w:ascii="Arial" w:cs="Arial" w:eastAsia="Arial" w:hAnsi="Arial"/>
          <w:b w:val="1"/>
          <w:sz w:val="24"/>
          <w:szCs w:val="24"/>
          <w:rtl w:val="0"/>
        </w:rPr>
        <w:t xml:space="preserve">ol for Lot 2 and Lot 4</w:t>
      </w:r>
      <w:r w:rsidDel="00000000" w:rsidR="00000000" w:rsidRPr="00000000">
        <w:rPr>
          <w:rFonts w:ascii="Arial" w:cs="Arial" w:eastAsia="Arial" w:hAnsi="Arial"/>
          <w:sz w:val="24"/>
          <w:szCs w:val="24"/>
          <w:rtl w:val="0"/>
        </w:rPr>
        <w:t xml:space="preserve">. Or before being asked to complete </w:t>
      </w:r>
      <w:r w:rsidDel="00000000" w:rsidR="00000000" w:rsidRPr="00000000">
        <w:rPr>
          <w:rFonts w:ascii="Arial" w:cs="Arial" w:eastAsia="Arial" w:hAnsi="Arial"/>
          <w:b w:val="1"/>
          <w:sz w:val="24"/>
          <w:szCs w:val="24"/>
          <w:rtl w:val="0"/>
        </w:rPr>
        <w:t xml:space="preserve">Attachment 5b – </w:t>
      </w:r>
      <w:r w:rsidDel="00000000" w:rsidR="00000000" w:rsidRPr="00000000">
        <w:rPr>
          <w:rFonts w:ascii="Arial" w:cs="Arial" w:eastAsia="Arial" w:hAnsi="Arial"/>
          <w:b w:val="1"/>
          <w:sz w:val="24"/>
          <w:szCs w:val="24"/>
          <w:highlight w:val="white"/>
          <w:rtl w:val="0"/>
        </w:rPr>
        <w:t xml:space="preserve">Bronze </w:t>
      </w:r>
      <w:r w:rsidDel="00000000" w:rsidR="00000000" w:rsidRPr="00000000">
        <w:rPr>
          <w:rFonts w:ascii="Arial" w:cs="Arial" w:eastAsia="Arial" w:hAnsi="Arial"/>
          <w:b w:val="1"/>
          <w:sz w:val="24"/>
          <w:szCs w:val="24"/>
          <w:rtl w:val="0"/>
        </w:rPr>
        <w:t xml:space="preserve">FVRA Tool for Lot 1 and Lot 3. </w:t>
      </w:r>
    </w:p>
    <w:p w:rsidR="00000000" w:rsidDel="00000000" w:rsidP="00000000" w:rsidRDefault="00000000" w:rsidRPr="00000000" w14:paraId="0000003B">
      <w:pPr>
        <w:rPr>
          <w:rFonts w:ascii="Times New Roman" w:cs="Times New Roman" w:eastAsia="Times New Roman" w:hAnsi="Times New Roman"/>
          <w:color w:val="000000"/>
          <w:sz w:val="24"/>
          <w:szCs w:val="24"/>
        </w:rPr>
      </w:pPr>
      <w:r w:rsidDel="00000000" w:rsidR="00000000" w:rsidRPr="00000000">
        <w:rPr>
          <w:rFonts w:ascii="Arial" w:cs="Arial" w:eastAsia="Arial" w:hAnsi="Arial"/>
          <w:b w:val="1"/>
          <w:sz w:val="24"/>
          <w:szCs w:val="24"/>
          <w:rtl w:val="0"/>
        </w:rPr>
        <w:t xml:space="preserve">Attachment 5a (Gold) 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u w:val="single"/>
            <w:rtl w:val="0"/>
          </w:rPr>
          <w:t xml:space="preserve"> </w:t>
        </w:r>
      </w:hyperlink>
      <w:hyperlink r:id="rId12">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5b (Bronze) </w:t>
      </w:r>
      <w:r w:rsidDel="00000000" w:rsidR="00000000" w:rsidRPr="00000000">
        <w:rPr>
          <w:rFonts w:ascii="Arial" w:cs="Arial" w:eastAsia="Arial" w:hAnsi="Arial"/>
          <w:b w:val="1"/>
          <w:color w:val="000000"/>
          <w:sz w:val="24"/>
          <w:szCs w:val="24"/>
          <w:rtl w:val="0"/>
        </w:rPr>
        <w:t xml:space="preserve">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sz w:val="24"/>
          <w:szCs w:val="24"/>
          <w:rtl w:val="0"/>
        </w:rPr>
        <w:t xml:space="preserve">you and each consortium member must complete this and then upload to the relevant questions in Part 5 Financial Risk in the</w:t>
      </w:r>
      <w:hyperlink r:id="rId13">
        <w:r w:rsidDel="00000000" w:rsidR="00000000" w:rsidRPr="00000000">
          <w:rPr>
            <w:rFonts w:ascii="Arial" w:cs="Arial" w:eastAsia="Arial" w:hAnsi="Arial"/>
            <w:sz w:val="24"/>
            <w:szCs w:val="24"/>
            <w:u w:val="single"/>
            <w:rtl w:val="0"/>
          </w:rPr>
          <w:t xml:space="preserve"> </w:t>
        </w:r>
      </w:hyperlink>
      <w:hyperlink r:id="rId14">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sz w:val="24"/>
          <w:szCs w:val="24"/>
          <w:rtl w:val="0"/>
        </w:rPr>
        <w:t xml:space="preserve"> (qualification envelope).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relevant questions in the eSourcing Suite (qualification envelope).</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relevant questions in the eSourcing Suite (qualification envelope)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b w:val="1"/>
          <w:sz w:val="24"/>
          <w:szCs w:val="24"/>
          <w:highlight w:val="white"/>
          <w:rtl w:val="0"/>
        </w:rPr>
        <w:t xml:space="preserve">Framework / Contract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0">
      <w:pPr>
        <w:rPr>
          <w:rFonts w:ascii="Arial" w:cs="Arial" w:eastAsia="Arial" w:hAnsi="Arial"/>
          <w:color w:val="000000"/>
          <w:sz w:val="23"/>
          <w:szCs w:val="23"/>
          <w:highlight w:val="white"/>
        </w:rPr>
      </w:pPr>
      <w:r w:rsidDel="00000000" w:rsidR="00000000" w:rsidRPr="00000000">
        <w:rPr>
          <w:rFonts w:ascii="Arial" w:cs="Arial" w:eastAsia="Arial" w:hAnsi="Arial"/>
          <w:b w:val="1"/>
          <w:color w:val="000000"/>
          <w:sz w:val="23"/>
          <w:szCs w:val="23"/>
          <w:highlight w:val="white"/>
          <w:rtl w:val="0"/>
        </w:rPr>
        <w:t xml:space="preserve">Attachment 9</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Letter of intent to guarantee </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sz w:val="24"/>
          <w:szCs w:val="24"/>
          <w:highlight w:val="white"/>
          <w:rtl w:val="0"/>
        </w:rPr>
        <w:t xml:space="preserve">if you require a Guarantor this is the document that needs to be complete by a third party (Guarantor) to provide additional assurance to a Buyer that the supplier will meet their obligations under a call-off contract</w:t>
      </w:r>
      <w:r w:rsidDel="00000000" w:rsidR="00000000" w:rsidRPr="00000000">
        <w:rPr>
          <w:rtl w:val="0"/>
        </w:rPr>
      </w:r>
    </w:p>
    <w:p w:rsidR="00000000" w:rsidDel="00000000" w:rsidP="00000000" w:rsidRDefault="00000000" w:rsidRPr="00000000" w14:paraId="00000041">
      <w:pPr>
        <w:rPr>
          <w:rFonts w:ascii="Arial" w:cs="Arial" w:eastAsia="Arial" w:hAnsi="Arial"/>
          <w:color w:val="000000"/>
          <w:sz w:val="23"/>
          <w:szCs w:val="23"/>
          <w:highlight w:val="white"/>
        </w:rPr>
      </w:pPr>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this folder forms the Framework Contract and consists of: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23" w:right="0" w:hanging="360"/>
        <w:jc w:val="left"/>
        <w:rPr>
          <w:rFonts w:ascii="Arial" w:cs="Arial" w:eastAsia="Arial" w:hAnsi="Arial"/>
          <w:color w:val="0a0b0b"/>
          <w:sz w:val="24"/>
          <w:szCs w:val="24"/>
        </w:rPr>
      </w:pPr>
      <w:r w:rsidDel="00000000" w:rsidR="00000000" w:rsidRPr="00000000">
        <w:rPr>
          <w:rFonts w:ascii="Arial" w:cs="Arial" w:eastAsia="Arial" w:hAnsi="Arial"/>
          <w:color w:val="000000"/>
          <w:sz w:val="23"/>
          <w:szCs w:val="23"/>
          <w:highlight w:val="white"/>
          <w:rtl w:val="0"/>
        </w:rPr>
        <w:t xml:space="preserve">Core terms;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23" w:right="0" w:hanging="360"/>
        <w:jc w:val="left"/>
        <w:rPr>
          <w:rFonts w:ascii="Arial" w:cs="Arial" w:eastAsia="Arial" w:hAnsi="Arial"/>
          <w:color w:val="0a0b0b"/>
          <w:sz w:val="24"/>
          <w:szCs w:val="24"/>
        </w:rPr>
      </w:pPr>
      <w:r w:rsidDel="00000000" w:rsidR="00000000" w:rsidRPr="00000000">
        <w:rPr>
          <w:rFonts w:ascii="Arial" w:cs="Arial" w:eastAsia="Arial" w:hAnsi="Arial"/>
          <w:color w:val="000000"/>
          <w:sz w:val="23"/>
          <w:szCs w:val="23"/>
          <w:highlight w:val="white"/>
          <w:rtl w:val="0"/>
        </w:rPr>
        <w:t xml:space="preserve">Framework schedules;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23" w:right="0" w:hanging="360"/>
        <w:jc w:val="left"/>
        <w:rPr>
          <w:rFonts w:ascii="Arial" w:cs="Arial" w:eastAsia="Arial" w:hAnsi="Arial"/>
          <w:color w:val="0a0b0b"/>
          <w:sz w:val="24"/>
          <w:szCs w:val="24"/>
        </w:rPr>
      </w:pPr>
      <w:r w:rsidDel="00000000" w:rsidR="00000000" w:rsidRPr="00000000">
        <w:rPr>
          <w:rFonts w:ascii="Arial" w:cs="Arial" w:eastAsia="Arial" w:hAnsi="Arial"/>
          <w:color w:val="000000"/>
          <w:sz w:val="23"/>
          <w:szCs w:val="23"/>
          <w:highlight w:val="white"/>
          <w:rtl w:val="0"/>
        </w:rPr>
        <w:t xml:space="preserve">Joint schedules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23" w:right="0" w:hanging="360"/>
        <w:jc w:val="left"/>
        <w:rPr>
          <w:rFonts w:ascii="Arial" w:cs="Arial" w:eastAsia="Arial" w:hAnsi="Arial"/>
          <w:color w:val="0a0b0b"/>
          <w:sz w:val="24"/>
          <w:szCs w:val="24"/>
        </w:rPr>
      </w:pPr>
      <w:r w:rsidDel="00000000" w:rsidR="00000000" w:rsidRPr="00000000">
        <w:rPr>
          <w:rFonts w:ascii="Arial" w:cs="Arial" w:eastAsia="Arial" w:hAnsi="Arial"/>
          <w:color w:val="000000"/>
          <w:sz w:val="23"/>
          <w:szCs w:val="23"/>
          <w:highlight w:val="white"/>
          <w:rtl w:val="0"/>
        </w:rPr>
        <w:t xml:space="preserve">Call Off schedules; and</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23" w:right="0" w:hanging="360"/>
        <w:jc w:val="left"/>
        <w:rPr>
          <w:rFonts w:ascii="Arial" w:cs="Arial" w:eastAsia="Arial" w:hAnsi="Arial"/>
          <w:color w:val="0a0b0b"/>
          <w:sz w:val="24"/>
          <w:szCs w:val="24"/>
        </w:rPr>
      </w:pPr>
      <w:r w:rsidDel="00000000" w:rsidR="00000000" w:rsidRPr="00000000">
        <w:rPr>
          <w:rFonts w:ascii="Arial" w:cs="Arial" w:eastAsia="Arial" w:hAnsi="Arial"/>
          <w:color w:val="000000"/>
          <w:sz w:val="23"/>
          <w:szCs w:val="23"/>
          <w:highlight w:val="white"/>
          <w:rtl w:val="0"/>
        </w:rPr>
        <w:t xml:space="preserve">Framework award form (CCS will populate this at framework award)</w:t>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B">
      <w:pPr>
        <w:rPr>
          <w:rFonts w:ascii="Arial" w:cs="Arial" w:eastAsia="Arial" w:hAnsi="Arial"/>
          <w:sz w:val="24"/>
          <w:szCs w:val="24"/>
        </w:rPr>
      </w:pPr>
      <w:hyperlink r:id="rId15">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fob9te" w:id="2"/>
      <w:bookmarkEnd w:id="2"/>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A">
      <w:pPr>
        <w:numPr>
          <w:ilvl w:val="0"/>
          <w:numId w:val="4"/>
        </w:numPr>
        <w:ind w:left="1701" w:hanging="283.0000000000001"/>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B">
      <w:pPr>
        <w:numPr>
          <w:ilvl w:val="0"/>
          <w:numId w:val="4"/>
        </w:numPr>
        <w:ind w:left="1701" w:hanging="283.0000000000001"/>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C">
      <w:pPr>
        <w:numPr>
          <w:ilvl w:val="0"/>
          <w:numId w:val="4"/>
        </w:numPr>
        <w:ind w:left="1701" w:hanging="283.0000000000001"/>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0">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5">
      <w:pPr>
        <w:ind w:left="737" w:firstLine="0"/>
        <w:rPr>
          <w:rFonts w:ascii="Arial" w:cs="Arial" w:eastAsia="Arial" w:hAnsi="Arial"/>
          <w:sz w:val="24"/>
          <w:szCs w:val="24"/>
        </w:rPr>
      </w:pPr>
      <w:hyperlink r:id="rId16">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851"/>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 Procurement Note 01/22 Contracts with suppliers from Russia or Belarus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7">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240" w:lineRule="auto"/>
        <w:ind w:left="112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240" w:lineRule="auto"/>
        <w:ind w:left="1123" w:hanging="360"/>
        <w:rPr>
          <w:sz w:val="24"/>
          <w:szCs w:val="24"/>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D">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color w:val="000000"/>
          <w:sz w:val="34"/>
          <w:szCs w:val="34"/>
        </w:rPr>
      </w:pPr>
      <w:bookmarkStart w:colFirst="0" w:colLast="0" w:name="_heading=h.2et92p0" w:id="4"/>
      <w:bookmarkEnd w:id="4"/>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will be available to Buyers to provide Electronic Disclosure Services (“eDisclosure Services”) throughout the UK Public Sector. The Service requirements under the Lot-based structure of this Framework Contract span a wide and diverse customer base and require a variety of specialist services encompassed by the EDRM, but broadly some or all of the following eight (8) stages: </w:t>
      </w:r>
    </w:p>
    <w:p w:rsidR="00000000" w:rsidDel="00000000" w:rsidP="00000000" w:rsidRDefault="00000000" w:rsidRPr="00000000" w14:paraId="00000070">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tab/>
        <w:t xml:space="preserve">Strategic Oversight, Advice and Support</w:t>
      </w:r>
    </w:p>
    <w:p w:rsidR="00000000" w:rsidDel="00000000" w:rsidP="00000000" w:rsidRDefault="00000000" w:rsidRPr="00000000" w14:paraId="0000007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tab/>
        <w:t xml:space="preserve">Document Identification </w:t>
      </w:r>
    </w:p>
    <w:p w:rsidR="00000000" w:rsidDel="00000000" w:rsidP="00000000" w:rsidRDefault="00000000" w:rsidRPr="00000000" w14:paraId="0000007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tab/>
        <w:t xml:space="preserve">Document Preservation and Collection </w:t>
      </w:r>
    </w:p>
    <w:p w:rsidR="00000000" w:rsidDel="00000000" w:rsidP="00000000" w:rsidRDefault="00000000" w:rsidRPr="00000000" w14:paraId="0000007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tab/>
        <w:t xml:space="preserve">Document Processing </w:t>
      </w:r>
    </w:p>
    <w:p w:rsidR="00000000" w:rsidDel="00000000" w:rsidP="00000000" w:rsidRDefault="00000000" w:rsidRPr="00000000" w14:paraId="00000074">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tab/>
        <w:t xml:space="preserve">Document Review </w:t>
      </w:r>
    </w:p>
    <w:p w:rsidR="00000000" w:rsidDel="00000000" w:rsidP="00000000" w:rsidRDefault="00000000" w:rsidRPr="00000000" w14:paraId="0000007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tab/>
        <w:t xml:space="preserve">Document Production </w:t>
      </w:r>
    </w:p>
    <w:p w:rsidR="00000000" w:rsidDel="00000000" w:rsidP="00000000" w:rsidRDefault="00000000" w:rsidRPr="00000000" w14:paraId="00000076">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tab/>
        <w:t xml:space="preserve">Disclosure from Other Opponent Parties</w:t>
      </w:r>
    </w:p>
    <w:p w:rsidR="00000000" w:rsidDel="00000000" w:rsidP="00000000" w:rsidRDefault="00000000" w:rsidRPr="00000000" w14:paraId="0000007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tab/>
        <w:t xml:space="preserve">Presentation at Trial.</w:t>
      </w:r>
    </w:p>
    <w:p w:rsidR="00000000" w:rsidDel="00000000" w:rsidP="00000000" w:rsidRDefault="00000000" w:rsidRPr="00000000" w14:paraId="00000078">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r w:rsidDel="00000000" w:rsidR="00000000" w:rsidRPr="00000000">
        <w:rPr>
          <w:rtl w:val="0"/>
        </w:rPr>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tyjcwt" w:id="5"/>
      <w:bookmarkEnd w:id="5"/>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7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7C">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7E">
      <w:pPr>
        <w:spacing w:after="120" w:before="120" w:lineRule="auto"/>
        <w:rPr/>
      </w:pPr>
      <w:r w:rsidDel="00000000" w:rsidR="00000000" w:rsidRPr="00000000">
        <w:rPr>
          <w:rFonts w:ascii="Arial" w:cs="Arial" w:eastAsia="Arial" w:hAnsi="Arial"/>
          <w:sz w:val="24"/>
          <w:szCs w:val="24"/>
          <w:rtl w:val="0"/>
        </w:rPr>
        <w:t xml:space="preserve">We cannot guarantee any business through this Framework.</w:t>
      </w: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4"/>
          <w:szCs w:val="24"/>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rtl w:val="0"/>
        </w:rPr>
        <w:t xml:space="preserve">The Framework will be established for : </w:t>
      </w:r>
      <w:r w:rsidDel="00000000" w:rsidR="00000000" w:rsidRPr="00000000">
        <w:rPr>
          <w:rFonts w:ascii="Arial" w:cs="Arial" w:eastAsia="Arial" w:hAnsi="Arial"/>
          <w:sz w:val="24"/>
          <w:szCs w:val="24"/>
          <w:highlight w:val="white"/>
          <w:rtl w:val="0"/>
        </w:rPr>
        <w:t xml:space="preserve">48 months with no option to extend. </w:t>
      </w:r>
    </w:p>
    <w:p w:rsidR="00000000" w:rsidDel="00000000" w:rsidP="00000000" w:rsidRDefault="00000000" w:rsidRPr="00000000" w14:paraId="00000081">
      <w:pPr>
        <w:tabs>
          <w:tab w:val="left"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Framework will have 4 lots, the lots are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3">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4">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85">
            <w:pPr>
              <w:rPr/>
            </w:pPr>
            <w:r w:rsidDel="00000000" w:rsidR="00000000" w:rsidRPr="00000000">
              <w:rPr>
                <w:rtl w:val="0"/>
              </w:rPr>
              <w:t xml:space="preserve">Lot 1</w:t>
            </w:r>
          </w:p>
        </w:tc>
        <w:tc>
          <w:tcPr>
            <w:vAlign w:val="center"/>
          </w:tcPr>
          <w:p w:rsidR="00000000" w:rsidDel="00000000" w:rsidP="00000000" w:rsidRDefault="00000000" w:rsidRPr="00000000" w14:paraId="00000086">
            <w:pPr>
              <w:rPr/>
            </w:pPr>
            <w:r w:rsidDel="00000000" w:rsidR="00000000" w:rsidRPr="00000000">
              <w:rPr>
                <w:highlight w:val="white"/>
                <w:rtl w:val="0"/>
              </w:rPr>
              <w:t xml:space="preserve">Simple Low Volume Work Service Package for documents and data with a security classification up to ‘Official’ (and including ‘Official Sensitive’)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87">
            <w:pPr>
              <w:rPr/>
            </w:pPr>
            <w:r w:rsidDel="00000000" w:rsidR="00000000" w:rsidRPr="00000000">
              <w:rPr>
                <w:rtl w:val="0"/>
              </w:rPr>
              <w:t xml:space="preserve">Lot 2</w:t>
            </w:r>
          </w:p>
        </w:tc>
        <w:tc>
          <w:tcPr>
            <w:vAlign w:val="center"/>
          </w:tcPr>
          <w:p w:rsidR="00000000" w:rsidDel="00000000" w:rsidP="00000000" w:rsidRDefault="00000000" w:rsidRPr="00000000" w14:paraId="00000088">
            <w:pPr>
              <w:rPr/>
            </w:pPr>
            <w:r w:rsidDel="00000000" w:rsidR="00000000" w:rsidRPr="00000000">
              <w:rPr>
                <w:highlight w:val="white"/>
                <w:rtl w:val="0"/>
              </w:rPr>
              <w:t xml:space="preserve">End to End Service package for documents and data with a security classification up to ‘Official’ (and including ‘Official Sensitive’)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89">
            <w:pPr>
              <w:rPr/>
            </w:pPr>
            <w:r w:rsidDel="00000000" w:rsidR="00000000" w:rsidRPr="00000000">
              <w:rPr>
                <w:rtl w:val="0"/>
              </w:rPr>
              <w:t xml:space="preserve">Lot 3</w:t>
            </w:r>
          </w:p>
        </w:tc>
        <w:tc>
          <w:tcPr>
            <w:vAlign w:val="center"/>
          </w:tcPr>
          <w:p w:rsidR="00000000" w:rsidDel="00000000" w:rsidP="00000000" w:rsidRDefault="00000000" w:rsidRPr="00000000" w14:paraId="0000008A">
            <w:pPr>
              <w:rPr/>
            </w:pPr>
            <w:r w:rsidDel="00000000" w:rsidR="00000000" w:rsidRPr="00000000">
              <w:rPr>
                <w:highlight w:val="white"/>
                <w:rtl w:val="0"/>
              </w:rPr>
              <w:t xml:space="preserve">Document Reviewers for documents and data with a security classification up to ‘Official’ (and including ‘Official Sensitive’)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8B">
            <w:pPr>
              <w:rPr/>
            </w:pPr>
            <w:r w:rsidDel="00000000" w:rsidR="00000000" w:rsidRPr="00000000">
              <w:rPr>
                <w:rtl w:val="0"/>
              </w:rPr>
              <w:t xml:space="preserve">Lot 4</w:t>
            </w:r>
          </w:p>
        </w:tc>
        <w:tc>
          <w:tcPr>
            <w:vAlign w:val="center"/>
          </w:tcPr>
          <w:p w:rsidR="00000000" w:rsidDel="00000000" w:rsidP="00000000" w:rsidRDefault="00000000" w:rsidRPr="00000000" w14:paraId="0000008C">
            <w:pPr>
              <w:rPr>
                <w:highlight w:val="white"/>
              </w:rPr>
            </w:pPr>
            <w:r w:rsidDel="00000000" w:rsidR="00000000" w:rsidRPr="00000000">
              <w:rPr>
                <w:highlight w:val="white"/>
                <w:rtl w:val="0"/>
              </w:rPr>
              <w:t xml:space="preserve">End to End Service for documents and data with a security classification up to and including ‘Secret’ and ‘Top Secret’</w:t>
            </w:r>
          </w:p>
        </w:tc>
      </w:tr>
    </w:tb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1985"/>
        </w:tabs>
        <w:spacing w:after="120" w:before="120" w:line="240" w:lineRule="auto"/>
        <w:ind w:left="709"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Bidders can bid for one or </w:t>
      </w:r>
      <w:r w:rsidDel="00000000" w:rsidR="00000000" w:rsidRPr="00000000">
        <w:rPr>
          <w:rFonts w:ascii="Arial" w:cs="Arial" w:eastAsia="Arial" w:hAnsi="Arial"/>
          <w:color w:val="000000"/>
          <w:sz w:val="24"/>
          <w:szCs w:val="24"/>
          <w:rtl w:val="0"/>
        </w:rPr>
        <w:t xml:space="preserve">more </w:t>
      </w:r>
      <w:r w:rsidDel="00000000" w:rsidR="00000000" w:rsidRPr="00000000">
        <w:rPr>
          <w:rFonts w:ascii="Arial" w:cs="Arial" w:eastAsia="Arial" w:hAnsi="Arial"/>
          <w:color w:val="000000"/>
          <w:sz w:val="24"/>
          <w:szCs w:val="24"/>
          <w:highlight w:val="white"/>
          <w:rtl w:val="0"/>
        </w:rPr>
        <w:t xml:space="preserve">lots.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color w:val="000000"/>
          <w:sz w:val="24"/>
          <w:szCs w:val="24"/>
          <w:rtl w:val="0"/>
        </w:rPr>
        <w:t xml:space="preserve">number</w:t>
      </w:r>
      <w:r w:rsidDel="00000000" w:rsidR="00000000" w:rsidRPr="00000000">
        <w:rPr>
          <w:rFonts w:ascii="Arial" w:cs="Arial" w:eastAsia="Arial" w:hAnsi="Arial"/>
          <w:color w:val="000000"/>
          <w:sz w:val="24"/>
          <w:szCs w:val="24"/>
          <w:rtl w:val="0"/>
        </w:rPr>
        <w:t xml:space="preserve"> of suppliers to be awarded a Framework Contract for each lot is:</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639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5160"/>
        <w:tblGridChange w:id="0">
          <w:tblGrid>
            <w:gridCol w:w="1230"/>
            <w:gridCol w:w="516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1">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2">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3">
            <w:pPr>
              <w:rPr/>
            </w:pPr>
            <w:r w:rsidDel="00000000" w:rsidR="00000000" w:rsidRPr="00000000">
              <w:rPr>
                <w:rtl w:val="0"/>
              </w:rPr>
              <w:t xml:space="preserve">Lot 1</w:t>
            </w:r>
          </w:p>
        </w:tc>
        <w:tc>
          <w:tcPr>
            <w:vAlign w:val="center"/>
          </w:tcPr>
          <w:p w:rsidR="00000000" w:rsidDel="00000000" w:rsidP="00000000" w:rsidRDefault="00000000" w:rsidRPr="00000000" w14:paraId="00000094">
            <w:pPr>
              <w:rPr/>
            </w:pPr>
            <w:r w:rsidDel="00000000" w:rsidR="00000000" w:rsidRPr="00000000">
              <w:rPr>
                <w:rtl w:val="0"/>
              </w:rPr>
              <w:t xml:space="preserve">6</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5">
            <w:pPr>
              <w:rPr/>
            </w:pPr>
            <w:r w:rsidDel="00000000" w:rsidR="00000000" w:rsidRPr="00000000">
              <w:rPr>
                <w:rtl w:val="0"/>
              </w:rPr>
              <w:t xml:space="preserve">Lot 2</w:t>
            </w:r>
          </w:p>
        </w:tc>
        <w:tc>
          <w:tcPr>
            <w:vAlign w:val="center"/>
          </w:tcPr>
          <w:p w:rsidR="00000000" w:rsidDel="00000000" w:rsidP="00000000" w:rsidRDefault="00000000" w:rsidRPr="00000000" w14:paraId="00000096">
            <w:pPr>
              <w:rPr/>
            </w:pPr>
            <w:r w:rsidDel="00000000" w:rsidR="00000000" w:rsidRPr="00000000">
              <w:rPr>
                <w:rtl w:val="0"/>
              </w:rPr>
              <w:t xml:space="preserve">12</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7">
            <w:pPr>
              <w:rPr/>
            </w:pPr>
            <w:r w:rsidDel="00000000" w:rsidR="00000000" w:rsidRPr="00000000">
              <w:rPr>
                <w:rtl w:val="0"/>
              </w:rPr>
              <w:t xml:space="preserve">Lot 3</w:t>
            </w:r>
          </w:p>
        </w:tc>
        <w:tc>
          <w:tcPr>
            <w:vAlign w:val="center"/>
          </w:tcPr>
          <w:p w:rsidR="00000000" w:rsidDel="00000000" w:rsidP="00000000" w:rsidRDefault="00000000" w:rsidRPr="00000000" w14:paraId="00000098">
            <w:pPr>
              <w:rPr/>
            </w:pPr>
            <w:r w:rsidDel="00000000" w:rsidR="00000000" w:rsidRPr="00000000">
              <w:rPr>
                <w:rtl w:val="0"/>
              </w:rPr>
              <w:t xml:space="preserve">10</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9">
            <w:pPr>
              <w:rPr/>
            </w:pPr>
            <w:r w:rsidDel="00000000" w:rsidR="00000000" w:rsidRPr="00000000">
              <w:rPr>
                <w:rtl w:val="0"/>
              </w:rPr>
              <w:t xml:space="preserve">Lot 4</w:t>
            </w:r>
          </w:p>
        </w:tc>
        <w:tc>
          <w:tcPr>
            <w:vAlign w:val="center"/>
          </w:tcPr>
          <w:p w:rsidR="00000000" w:rsidDel="00000000" w:rsidP="00000000" w:rsidRDefault="00000000" w:rsidRPr="00000000" w14:paraId="0000009A">
            <w:pPr>
              <w:rPr/>
            </w:pPr>
            <w:r w:rsidDel="00000000" w:rsidR="00000000" w:rsidRPr="00000000">
              <w:rPr>
                <w:rtl w:val="0"/>
              </w:rPr>
              <w:t xml:space="preserve">6</w:t>
            </w:r>
          </w:p>
        </w:tc>
      </w:tr>
    </w:tbl>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t3h5sf" w:id="6"/>
      <w:bookmarkEnd w:id="6"/>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9F">
      <w:pPr>
        <w:numPr>
          <w:ilvl w:val="0"/>
          <w:numId w:val="5"/>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0">
      <w:pPr>
        <w:numPr>
          <w:ilvl w:val="0"/>
          <w:numId w:val="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4d34og8" w:id="7"/>
      <w:bookmarkEnd w:id="7"/>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A4">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5">
            <w:pPr>
              <w:spacing w:after="120" w:before="120" w:lineRule="auto"/>
              <w:rPr/>
            </w:pPr>
            <w:r w:rsidDel="00000000" w:rsidR="00000000" w:rsidRPr="00000000">
              <w:rPr>
                <w:rtl w:val="0"/>
              </w:rPr>
              <w:t xml:space="preserve">21/11/2022</w:t>
            </w:r>
          </w:p>
        </w:tc>
      </w:tr>
      <w:tr>
        <w:trPr>
          <w:cantSplit w:val="0"/>
          <w:tblHeader w:val="0"/>
        </w:trPr>
        <w:tc>
          <w:tcPr/>
          <w:p w:rsidR="00000000" w:rsidDel="00000000" w:rsidP="00000000" w:rsidRDefault="00000000" w:rsidRPr="00000000" w14:paraId="000000A6">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A7">
            <w:pPr>
              <w:spacing w:after="120" w:before="120" w:lineRule="auto"/>
              <w:rPr/>
            </w:pPr>
            <w:r w:rsidDel="00000000" w:rsidR="00000000" w:rsidRPr="00000000">
              <w:rPr>
                <w:rtl w:val="0"/>
              </w:rPr>
              <w:t xml:space="preserve">21/11/2022</w:t>
            </w:r>
          </w:p>
        </w:tc>
      </w:tr>
      <w:tr>
        <w:trPr>
          <w:cantSplit w:val="0"/>
          <w:tblHeader w:val="0"/>
        </w:trPr>
        <w:tc>
          <w:tcPr/>
          <w:p w:rsidR="00000000" w:rsidDel="00000000" w:rsidP="00000000" w:rsidRDefault="00000000" w:rsidRPr="00000000" w14:paraId="000000A8">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A9">
            <w:pPr>
              <w:rPr/>
            </w:pPr>
            <w:r w:rsidDel="00000000" w:rsidR="00000000" w:rsidRPr="00000000">
              <w:rPr>
                <w:rtl w:val="0"/>
              </w:rPr>
              <w:t xml:space="preserve">05/12/2022 </w:t>
            </w:r>
            <w:r w:rsidDel="00000000" w:rsidR="00000000" w:rsidRPr="00000000">
              <w:rPr>
                <w:highlight w:val="white"/>
                <w:rtl w:val="0"/>
              </w:rPr>
              <w:t xml:space="preserve">16:00hrs</w:t>
            </w:r>
            <w:r w:rsidDel="00000000" w:rsidR="00000000" w:rsidRPr="00000000">
              <w:rPr>
                <w:rtl w:val="0"/>
              </w:rPr>
            </w:r>
          </w:p>
        </w:tc>
      </w:tr>
      <w:tr>
        <w:trPr>
          <w:cantSplit w:val="0"/>
          <w:tblHeader w:val="0"/>
        </w:trPr>
        <w:tc>
          <w:tcPr/>
          <w:p w:rsidR="00000000" w:rsidDel="00000000" w:rsidP="00000000" w:rsidRDefault="00000000" w:rsidRPr="00000000" w14:paraId="000000AA">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AB">
            <w:pPr>
              <w:rPr/>
            </w:pPr>
            <w:r w:rsidDel="00000000" w:rsidR="00000000" w:rsidRPr="00000000">
              <w:rPr>
                <w:rtl w:val="0"/>
              </w:rPr>
              <w:t xml:space="preserve">12/12/2022</w:t>
            </w:r>
          </w:p>
        </w:tc>
      </w:tr>
      <w:tr>
        <w:trPr>
          <w:cantSplit w:val="0"/>
          <w:tblHeader w:val="0"/>
        </w:trPr>
        <w:tc>
          <w:tcPr/>
          <w:p w:rsidR="00000000" w:rsidDel="00000000" w:rsidP="00000000" w:rsidRDefault="00000000" w:rsidRPr="00000000" w14:paraId="000000AC">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AD">
            <w:pPr>
              <w:rPr/>
            </w:pPr>
            <w:r w:rsidDel="00000000" w:rsidR="00000000" w:rsidRPr="00000000">
              <w:rPr>
                <w:rtl w:val="0"/>
              </w:rPr>
              <w:t xml:space="preserve">20</w:t>
            </w:r>
            <w:r w:rsidDel="00000000" w:rsidR="00000000" w:rsidRPr="00000000">
              <w:rPr>
                <w:rtl w:val="0"/>
              </w:rPr>
              <w:t xml:space="preserve">/12/2022</w:t>
            </w:r>
            <w:r w:rsidDel="00000000" w:rsidR="00000000" w:rsidRPr="00000000">
              <w:rPr>
                <w:rtl w:val="0"/>
              </w:rPr>
              <w:t xml:space="preserve"> </w:t>
            </w:r>
            <w:r w:rsidDel="00000000" w:rsidR="00000000" w:rsidRPr="00000000">
              <w:rPr>
                <w:highlight w:val="white"/>
                <w:rtl w:val="0"/>
              </w:rPr>
              <w:t xml:space="preserve">16:00hrs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E">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AF">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0">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1">
            <w:pPr>
              <w:rPr/>
            </w:pPr>
            <w:r w:rsidDel="00000000" w:rsidR="00000000" w:rsidRPr="00000000">
              <w:rPr>
                <w:rtl w:val="0"/>
              </w:rPr>
              <w:t xml:space="preserve">24/02/2023</w:t>
            </w:r>
          </w:p>
        </w:tc>
      </w:tr>
      <w:tr>
        <w:trPr>
          <w:cantSplit w:val="0"/>
          <w:trHeight w:val="737" w:hRule="atLeast"/>
          <w:tblHeader w:val="0"/>
        </w:trPr>
        <w:tc>
          <w:tcPr/>
          <w:p w:rsidR="00000000" w:rsidDel="00000000" w:rsidP="00000000" w:rsidRDefault="00000000" w:rsidRPr="00000000" w14:paraId="000000B2">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3">
            <w:pPr>
              <w:rPr/>
            </w:pPr>
            <w:r w:rsidDel="00000000" w:rsidR="00000000" w:rsidRPr="00000000">
              <w:rPr>
                <w:rtl w:val="0"/>
              </w:rPr>
              <w:t xml:space="preserve">midnight at the end of  06/03/2023</w:t>
            </w:r>
          </w:p>
        </w:tc>
      </w:tr>
      <w:tr>
        <w:trPr>
          <w:cantSplit w:val="0"/>
          <w:tblHeader w:val="0"/>
        </w:trPr>
        <w:tc>
          <w:tcPr/>
          <w:p w:rsidR="00000000" w:rsidDel="00000000" w:rsidP="00000000" w:rsidRDefault="00000000" w:rsidRPr="00000000" w14:paraId="000000B4">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B5">
            <w:pPr>
              <w:rPr/>
            </w:pPr>
            <w:r w:rsidDel="00000000" w:rsidR="00000000" w:rsidRPr="00000000">
              <w:rPr>
                <w:rtl w:val="0"/>
              </w:rPr>
              <w:t xml:space="preserve">07/03/2023</w:t>
            </w:r>
          </w:p>
        </w:tc>
      </w:tr>
      <w:tr>
        <w:trPr>
          <w:cantSplit w:val="0"/>
          <w:tblHeader w:val="0"/>
        </w:trPr>
        <w:tc>
          <w:tcPr/>
          <w:p w:rsidR="00000000" w:rsidDel="00000000" w:rsidP="00000000" w:rsidRDefault="00000000" w:rsidRPr="00000000" w14:paraId="000000B6">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B7">
            <w:pPr>
              <w:rPr/>
            </w:pPr>
            <w:r w:rsidDel="00000000" w:rsidR="00000000" w:rsidRPr="00000000">
              <w:rPr>
                <w:rtl w:val="0"/>
              </w:rPr>
              <w:t xml:space="preserve">07/03/2023</w:t>
            </w:r>
          </w:p>
        </w:tc>
      </w:tr>
    </w:tbl>
    <w:p w:rsidR="00000000" w:rsidDel="00000000" w:rsidP="00000000" w:rsidRDefault="00000000" w:rsidRPr="00000000" w14:paraId="000000B8">
      <w:pPr>
        <w:rPr>
          <w:rFonts w:ascii="Arial" w:cs="Arial" w:eastAsia="Arial" w:hAnsi="Arial"/>
          <w:b w:val="1"/>
          <w:sz w:val="32"/>
          <w:szCs w:val="32"/>
        </w:rPr>
      </w:pPr>
      <w:bookmarkStart w:colFirst="0" w:colLast="0" w:name="_heading=h.2s8eyo1" w:id="8"/>
      <w:bookmarkEnd w:id="8"/>
      <w:r w:rsidDel="00000000" w:rsidR="00000000" w:rsidRPr="00000000">
        <w:rPr>
          <w:rtl w:val="0"/>
        </w:rPr>
      </w:r>
    </w:p>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7dp8vu" w:id="9"/>
      <w:bookmarkEnd w:id="9"/>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rdcrjn" w:id="10"/>
      <w:bookmarkEnd w:id="10"/>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C0">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p>
    <w:p w:rsidR="00000000" w:rsidDel="00000000" w:rsidP="00000000" w:rsidRDefault="00000000" w:rsidRPr="00000000" w14:paraId="000000C1">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26in1rg" w:id="11"/>
      <w:bookmarkEnd w:id="11"/>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0C4">
      <w:pPr>
        <w:numPr>
          <w:ilvl w:val="0"/>
          <w:numId w:val="6"/>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required services are not currently being provided either in-house or by a supplier</w:t>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are to be carried out in connection with a single specific event or task of short-term duration </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CB">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5nkun2" w:id="12"/>
      <w:bookmarkEnd w:id="12"/>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CD">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pPr>
      <w:bookmarkStart w:colFirst="0" w:colLast="0" w:name="_heading=h.1ksv4uv" w:id="13"/>
      <w:bookmarkEnd w:id="13"/>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CF">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color w:val="000000"/>
          <w:sz w:val="24"/>
          <w:szCs w:val="24"/>
          <w:rtl w:val="0"/>
        </w:rPr>
        <w:t xml:space="preserve">120 </w:t>
      </w:r>
      <w:r w:rsidDel="00000000" w:rsidR="00000000" w:rsidRPr="00000000">
        <w:rPr>
          <w:rFonts w:ascii="Arial" w:cs="Arial" w:eastAsia="Arial" w:hAnsi="Arial"/>
          <w:color w:val="000000"/>
          <w:sz w:val="24"/>
          <w:szCs w:val="24"/>
          <w:rtl w:val="0"/>
        </w:rPr>
        <w:t xml:space="preserve">days after the bid submission deadline.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D3">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w:t>
      </w:r>
      <w:r w:rsidDel="00000000" w:rsidR="00000000" w:rsidRPr="00000000">
        <w:rPr>
          <w:rFonts w:ascii="Arial" w:cs="Arial" w:eastAsia="Arial" w:hAnsi="Arial"/>
          <w:color w:val="000000"/>
          <w:sz w:val="24"/>
          <w:szCs w:val="24"/>
          <w:highlight w:val="white"/>
          <w:rtl w:val="0"/>
        </w:rPr>
        <w:t xml:space="preserve">or the same lot</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rtl w:val="0"/>
        </w:rPr>
        <w:t xml:space="preserve"> we may make further enquiries. For example, where you submit a bid:</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DC">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bookmarkStart w:colFirst="0" w:colLast="0" w:name="_heading=h.44sinio" w:id="14"/>
      <w:bookmarkEnd w:id="14"/>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20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59"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59"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20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E5">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7">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require a consortium to form a specific legal entity when signing a Framework Contract.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EA">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EC">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ED">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EE">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0">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bookmarkStart w:colFirst="0" w:colLast="0" w:name="_heading=h.2jxsxqh" w:id="15"/>
      <w:bookmarkEnd w:id="15"/>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2">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3">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4">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6">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F8">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9">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A">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FB">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0FC">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0FD">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0FE">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FF">
      <w:pPr>
        <w:numPr>
          <w:ilvl w:val="0"/>
          <w:numId w:val="4"/>
        </w:numPr>
        <w:ind w:left="1985" w:hanging="566"/>
        <w:rPr>
          <w:rFonts w:ascii="Arial" w:cs="Arial" w:eastAsia="Arial" w:hAnsi="Arial"/>
          <w:color w:val="0a0b0b"/>
          <w:sz w:val="24"/>
          <w:szCs w:val="24"/>
        </w:rPr>
      </w:pPr>
      <w:r w:rsidDel="00000000" w:rsidR="00000000" w:rsidRPr="00000000">
        <w:rPr>
          <w:rtl w:val="0"/>
        </w:rPr>
      </w:r>
    </w:p>
    <w:p w:rsidR="00000000" w:rsidDel="00000000" w:rsidP="00000000" w:rsidRDefault="00000000" w:rsidRPr="00000000" w14:paraId="00000100">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1">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2">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3">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4">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5">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6">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7">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8">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0A">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0B">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0C">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0D">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0E">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0">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2">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3">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6">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19">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1A">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1B">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1D">
      <w:pPr>
        <w:numPr>
          <w:ilvl w:val="1"/>
          <w:numId w:val="7"/>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0">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z337ya" w:id="16"/>
      <w:bookmarkEnd w:id="16"/>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21">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w:t>
      </w:r>
    </w:p>
    <w:p w:rsidR="00000000" w:rsidDel="00000000" w:rsidP="00000000" w:rsidRDefault="00000000" w:rsidRPr="00000000" w14:paraId="000001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Core terms </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24">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Schedules </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7">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28">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29">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Framework award form</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w:t>
      </w:r>
      <w:r w:rsidDel="00000000" w:rsidR="00000000" w:rsidRPr="00000000">
        <w:rPr>
          <w:rFonts w:ascii="Arial" w:cs="Arial" w:eastAsia="Arial" w:hAnsi="Arial"/>
          <w:color w:val="000000"/>
          <w:sz w:val="24"/>
          <w:szCs w:val="24"/>
          <w:highlight w:val="white"/>
          <w:rtl w:val="0"/>
        </w:rPr>
        <w:t xml:space="preserve">10</w:t>
      </w:r>
      <w:r w:rsidDel="00000000" w:rsidR="00000000" w:rsidRPr="00000000">
        <w:rPr>
          <w:rFonts w:ascii="Arial" w:cs="Arial" w:eastAsia="Arial" w:hAnsi="Arial"/>
          <w:color w:val="000000"/>
          <w:sz w:val="24"/>
          <w:szCs w:val="24"/>
          <w:rtl w:val="0"/>
        </w:rPr>
        <w:t xml:space="preserve"> days of being asked. If you do not sign and return, we will withdraw our offer of a Framework agreement.</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Order form</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36">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7">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38">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39">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3A">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709"/>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3D">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3E">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contract documents</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[add link to your procurement pipeline page]. </w:t>
      </w:r>
    </w:p>
    <w:p w:rsidR="00000000" w:rsidDel="00000000" w:rsidP="00000000" w:rsidRDefault="00000000" w:rsidRPr="00000000" w14:paraId="00000143">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57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5190"/>
        <w:gridCol w:w="1410"/>
        <w:tblGridChange w:id="0">
          <w:tblGrid>
            <w:gridCol w:w="2970"/>
            <w:gridCol w:w="5190"/>
            <w:gridCol w:w="1410"/>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sz w:val="28"/>
                <w:szCs w:val="28"/>
              </w:rPr>
            </w:pPr>
            <w:r w:rsidDel="00000000" w:rsidR="00000000" w:rsidRPr="00000000">
              <w:rPr>
                <w:sz w:val="28"/>
                <w:szCs w:val="28"/>
                <w:rtl w:val="0"/>
              </w:rPr>
              <w:t xml:space="preserve">Document title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48">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49">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6A">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6B">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6C">
            <w:pPr>
              <w:widowControl w:val="0"/>
              <w:spacing w:after="80" w:lineRule="auto"/>
              <w:rPr/>
            </w:pPr>
            <w:r w:rsidDel="00000000" w:rsidR="00000000" w:rsidRPr="00000000">
              <w:rPr>
                <w:rtl w:val="0"/>
              </w:rPr>
            </w:r>
          </w:p>
          <w:p w:rsidR="00000000" w:rsidDel="00000000" w:rsidP="00000000" w:rsidRDefault="00000000" w:rsidRPr="00000000" w14:paraId="0000016D">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6E">
            <w:pPr>
              <w:widowControl w:val="0"/>
              <w:spacing w:after="80" w:lineRule="auto"/>
              <w:rPr/>
            </w:pPr>
            <w:r w:rsidDel="00000000" w:rsidR="00000000" w:rsidRPr="00000000">
              <w:rPr>
                <w:rtl w:val="0"/>
              </w:rPr>
            </w:r>
          </w:p>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t xml:space="preserve">Refer to </w:t>
            </w:r>
            <w:hyperlink r:id="rId18">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b w:val="1"/>
              </w:rPr>
            </w:pPr>
            <w:r w:rsidDel="00000000" w:rsidR="00000000" w:rsidRPr="00000000">
              <w:rPr>
                <w:b w:val="1"/>
                <w:rtl w:val="0"/>
              </w:rPr>
              <w:t xml:space="preserve">Joint Schedule 7 (Financial Difficulties)</w:t>
            </w:r>
          </w:p>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Details about Visibility of Sub-Contract</w:t>
            </w:r>
          </w:p>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Opportunities in the Supply Chain</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sz w:val="22"/>
                <w:szCs w:val="22"/>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D1">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D5">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Rule="auto"/>
              <w:rPr/>
            </w:pPr>
            <w:r w:rsidDel="00000000" w:rsidR="00000000" w:rsidRPr="00000000">
              <w:rPr>
                <w:rtl w:val="0"/>
              </w:rPr>
            </w:r>
          </w:p>
        </w:tc>
      </w:tr>
    </w:tbl>
    <w:p w:rsidR="00000000" w:rsidDel="00000000" w:rsidP="00000000" w:rsidRDefault="00000000" w:rsidRPr="00000000" w14:paraId="000001D8">
      <w:pPr>
        <w:tabs>
          <w:tab w:val="left" w:pos="2290"/>
        </w:tabs>
        <w:spacing w:after="200" w:line="276" w:lineRule="auto"/>
        <w:rPr/>
      </w:pPr>
      <w:r w:rsidDel="00000000" w:rsidR="00000000" w:rsidRPr="00000000">
        <w:rPr>
          <w:rtl w:val="0"/>
        </w:rPr>
        <w:tab/>
      </w:r>
    </w:p>
    <w:p w:rsidR="00000000" w:rsidDel="00000000" w:rsidP="00000000" w:rsidRDefault="00000000" w:rsidRPr="00000000" w14:paraId="000001D9">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j2qqm3" w:id="17"/>
      <w:bookmarkEnd w:id="17"/>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DA">
      <w:pPr>
        <w:numPr>
          <w:ilvl w:val="1"/>
          <w:numId w:val="9"/>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8"/>
      <w:bookmarkEnd w:id="18"/>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D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D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D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D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D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E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E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E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E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E4">
      <w:pPr>
        <w:numPr>
          <w:ilvl w:val="1"/>
          <w:numId w:val="9"/>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20" w:before="24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before="24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color w:val="000000"/>
          <w:sz w:val="34"/>
          <w:szCs w:val="34"/>
        </w:rPr>
      </w:pPr>
      <w:bookmarkStart w:colFirst="0" w:colLast="0" w:name="_heading=h.4i7ojhp" w:id="19"/>
      <w:bookmarkEnd w:id="19"/>
      <w:r w:rsidDel="00000000" w:rsidR="00000000" w:rsidRPr="00000000">
        <w:rPr>
          <w:rFonts w:ascii="Arial" w:cs="Arial" w:eastAsia="Arial" w:hAnsi="Arial"/>
          <w:b w:val="1"/>
          <w:color w:val="000000"/>
          <w:sz w:val="32"/>
          <w:szCs w:val="32"/>
          <w:rtl w:val="0"/>
        </w:rPr>
        <w:t xml:space="preserve">The Armed Forces Covenant</w:t>
      </w:r>
      <w:r w:rsidDel="00000000" w:rsidR="00000000" w:rsidRPr="00000000">
        <w:rPr>
          <w:rtl w:val="0"/>
        </w:rPr>
      </w:r>
    </w:p>
    <w:p w:rsidR="00000000" w:rsidDel="00000000" w:rsidP="00000000" w:rsidRDefault="00000000" w:rsidRPr="00000000" w14:paraId="000001E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9">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A">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B">
      <w:pPr>
        <w:numPr>
          <w:ilvl w:val="0"/>
          <w:numId w:val="4"/>
        </w:numPr>
        <w:ind w:left="1985" w:hanging="566"/>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9">
        <w:r w:rsidDel="00000000" w:rsidR="00000000" w:rsidRPr="00000000">
          <w:rPr>
            <w:rFonts w:ascii="Arial" w:cs="Arial" w:eastAsia="Arial" w:hAnsi="Arial"/>
            <w:color w:val="000000"/>
            <w:sz w:val="24"/>
            <w:szCs w:val="24"/>
            <w:rtl w:val="0"/>
          </w:rPr>
          <w:t xml:space="preserve"> </w:t>
        </w:r>
      </w:hyperlink>
      <w:hyperlink r:id="rId20">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rPr>
          <w:rFonts w:ascii="Arial" w:cs="Arial" w:eastAsia="Arial" w:hAnsi="Arial"/>
          <w:color w:val="000000"/>
        </w:rPr>
      </w:pPr>
      <w:hyperlink r:id="rId21">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EF">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2">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3" w:type="default"/>
      <w:footerReference r:id="rId24" w:type="default"/>
      <w:footerReference r:id="rId25"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22</w:t>
    </w: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tl w:val="0"/>
      </w:rPr>
      <w:t xml:space="preserve">6336</w:t>
    </w:r>
    <w:r w:rsidDel="00000000" w:rsidR="00000000" w:rsidRPr="00000000">
      <w:rPr>
        <w:rFonts w:ascii="Arial" w:cs="Arial" w:eastAsia="Arial" w:hAnsi="Arial"/>
        <w:sz w:val="20"/>
        <w:szCs w:val="20"/>
        <w:rtl w:val="0"/>
      </w:rPr>
      <w:t xml:space="preserve"> e</w:t>
    </w:r>
    <w:r w:rsidDel="00000000" w:rsidR="00000000" w:rsidRPr="00000000">
      <w:rPr>
        <w:rFonts w:ascii="Arial" w:cs="Arial" w:eastAsia="Arial" w:hAnsi="Arial"/>
        <w:color w:val="000000"/>
        <w:sz w:val="20"/>
        <w:szCs w:val="20"/>
        <w:rtl w:val="0"/>
      </w:rPr>
      <w:t xml:space="preserve">-Disclosure and Review Services Framework </w:t>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28</w:t>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tl w:val="0"/>
      </w:rPr>
      <w:t xml:space="preserve">6336</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18"/>
        <w:szCs w:val="18"/>
        <w:rtl w:val="0"/>
      </w:rPr>
      <w:t xml:space="preserve">e-Disclosure and Review Services</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1"/>
      <w:lvlJc w:val="left"/>
      <w:pPr>
        <w:ind w:left="720" w:hanging="360"/>
      </w:pPr>
      <w:rPr>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30"/>
        <w:szCs w:val="30"/>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919" w:hanging="360"/>
      </w:pPr>
      <w:rPr>
        <w:rFonts w:ascii="Noto Sans" w:cs="Noto Sans" w:eastAsia="Noto Sans" w:hAnsi="Noto San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w:cs="Noto Sans" w:eastAsia="Noto Sans" w:hAnsi="Noto Sans"/>
      </w:rPr>
    </w:lvl>
    <w:lvl w:ilvl="3">
      <w:start w:val="1"/>
      <w:numFmt w:val="bullet"/>
      <w:lvlText w:val="●"/>
      <w:lvlJc w:val="left"/>
      <w:pPr>
        <w:ind w:left="3050" w:hanging="360"/>
      </w:pPr>
      <w:rPr>
        <w:rFonts w:ascii="Noto Sans" w:cs="Noto Sans" w:eastAsia="Noto Sans" w:hAnsi="Noto San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w:cs="Noto Sans" w:eastAsia="Noto Sans" w:hAnsi="Noto Sans"/>
      </w:rPr>
    </w:lvl>
    <w:lvl w:ilvl="6">
      <w:start w:val="1"/>
      <w:numFmt w:val="bullet"/>
      <w:lvlText w:val="●"/>
      <w:lvlJc w:val="left"/>
      <w:pPr>
        <w:ind w:left="5210" w:hanging="360"/>
      </w:pPr>
      <w:rPr>
        <w:rFonts w:ascii="Noto Sans" w:cs="Noto Sans" w:eastAsia="Noto Sans" w:hAnsi="Noto San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w:cs="Noto Sans" w:eastAsia="Noto Sans" w:hAnsi="Noto San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8">
    <w:lvl w:ilvl="0">
      <w:start w:val="1"/>
      <w:numFmt w:val="bullet"/>
      <w:lvlText w:val="●"/>
      <w:lvlJc w:val="left"/>
      <w:pPr>
        <w:ind w:left="1264" w:hanging="360"/>
      </w:pPr>
      <w:rPr>
        <w:rFonts w:ascii="Noto Sans" w:cs="Noto Sans" w:eastAsia="Noto Sans" w:hAnsi="Noto San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w:cs="Noto Sans" w:eastAsia="Noto Sans" w:hAnsi="Noto Sans"/>
      </w:rPr>
    </w:lvl>
    <w:lvl w:ilvl="3">
      <w:start w:val="1"/>
      <w:numFmt w:val="bullet"/>
      <w:lvlText w:val="●"/>
      <w:lvlJc w:val="left"/>
      <w:pPr>
        <w:ind w:left="3424" w:hanging="360"/>
      </w:pPr>
      <w:rPr>
        <w:rFonts w:ascii="Noto Sans" w:cs="Noto Sans" w:eastAsia="Noto Sans" w:hAnsi="Noto San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w:cs="Noto Sans" w:eastAsia="Noto Sans" w:hAnsi="Noto Sans"/>
      </w:rPr>
    </w:lvl>
    <w:lvl w:ilvl="6">
      <w:start w:val="1"/>
      <w:numFmt w:val="bullet"/>
      <w:lvlText w:val="●"/>
      <w:lvlJc w:val="left"/>
      <w:pPr>
        <w:ind w:left="5584" w:hanging="360"/>
      </w:pPr>
      <w:rPr>
        <w:rFonts w:ascii="Noto Sans" w:cs="Noto Sans" w:eastAsia="Noto Sans" w:hAnsi="Noto San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w:cs="Noto Sans" w:eastAsia="Noto Sans" w:hAnsi="Noto Sans"/>
      </w:rPr>
    </w:lvl>
  </w:abstractNum>
  <w:abstractNum w:abstractNumId="9">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orporate-covenant-pledge" TargetMode="External"/><Relationship Id="rId22" Type="http://schemas.openxmlformats.org/officeDocument/2006/relationships/hyperlink" Target="mailto:covenant-mailbox@mod.uk" TargetMode="External"/><Relationship Id="rId21" Type="http://schemas.openxmlformats.org/officeDocument/2006/relationships/hyperlink" Target="https://www.gov.uk/government/uploads/system/uploads/attachment_data/file/649954/20171005_Armed_Forces_Covenant_Guidance_Notes_for_Businesses.pdf"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crowncommercialservice.bravosolution.co.uk/"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crowncommercialservice.bravosolution.co.uk/" TargetMode="External"/><Relationship Id="rId12" Type="http://schemas.openxmlformats.org/officeDocument/2006/relationships/hyperlink" Target="https://crowncommercialservice.bravosolution.co.uk/" TargetMode="External"/><Relationship Id="rId15" Type="http://schemas.openxmlformats.org/officeDocument/2006/relationships/hyperlink" Target="https://www.gov.uk/government/publications/esourcing-tool-guidance-for-suppliers" TargetMode="External"/><Relationship Id="rId14" Type="http://schemas.openxmlformats.org/officeDocument/2006/relationships/hyperlink" Target="https://crowncommercialservice.bravosolution.co.uk/" TargetMode="External"/><Relationship Id="rId17" Type="http://schemas.openxmlformats.org/officeDocument/2006/relationships/hyperlink" Target="https://www.gov.uk/government/publications/procurement-policy-note-0122-contracts-with-suppliers-from-russia-and-belarus" TargetMode="External"/><Relationship Id="rId16"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orporate-covenant-pledge" TargetMode="External"/><Relationship Id="rId18" Type="http://schemas.openxmlformats.org/officeDocument/2006/relationships/hyperlink" Target="https://www.ncsc.gov.uk/information/cyber-essentials-fa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Kwq7wENjODBQ2jVzhlIDwv2DKQ==">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2022-10-25T08:56:00Z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