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95EAC" w14:textId="29B1B4DE" w:rsidR="009A7319" w:rsidRDefault="009A7319" w:rsidP="5038F522">
      <w:pPr>
        <w:spacing w:after="200" w:line="240" w:lineRule="auto"/>
        <w:jc w:val="center"/>
        <w:rPr>
          <w:rFonts w:ascii="Arial" w:eastAsia="Arial" w:hAnsi="Arial" w:cs="Arial"/>
          <w:b/>
          <w:bCs/>
          <w:color w:val="000000" w:themeColor="text1"/>
          <w:sz w:val="32"/>
          <w:szCs w:val="32"/>
        </w:rPr>
      </w:pPr>
      <w:r>
        <w:rPr>
          <w:rFonts w:cs="Arial"/>
          <w:b/>
          <w:noProof/>
          <w:lang w:eastAsia="en-GB"/>
        </w:rPr>
        <w:drawing>
          <wp:anchor distT="0" distB="0" distL="114300" distR="114300" simplePos="0" relativeHeight="251659264" behindDoc="0" locked="0" layoutInCell="1" allowOverlap="1" wp14:anchorId="4DB028A9" wp14:editId="05CBD396">
            <wp:simplePos x="0" y="0"/>
            <wp:positionH relativeFrom="margin">
              <wp:posOffset>4972050</wp:posOffset>
            </wp:positionH>
            <wp:positionV relativeFrom="paragraph">
              <wp:posOffset>-382270</wp:posOffset>
            </wp:positionV>
            <wp:extent cx="1066800" cy="495300"/>
            <wp:effectExtent l="0" t="0" r="0" b="0"/>
            <wp:wrapNone/>
            <wp:docPr id="1" name="Picture 1" descr="C:\Users\lwhitehead\AppData\Local\Microsoft\Windows\Temporary Internet Files\Content.Outlook\VPMD9SCK\NHS England logo_NHS Blue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hitehead\AppData\Local\Microsoft\Windows\Temporary Internet Files\Content.Outlook\VPMD9SCK\NHS England logo_NHS Blue_RGB (2).jpg"/>
                    <pic:cNvPicPr>
                      <a:picLocks noChangeAspect="1" noChangeArrowheads="1"/>
                    </pic:cNvPicPr>
                  </pic:nvPicPr>
                  <pic:blipFill>
                    <a:blip r:embed="rId10">
                      <a:extLst>
                        <a:ext uri="{28A0092B-C50C-407E-A947-70E740481C1C}">
                          <a14:useLocalDpi xmlns:a14="http://schemas.microsoft.com/office/drawing/2010/main" val="0"/>
                        </a:ext>
                      </a:extLst>
                    </a:blip>
                    <a:srcRect b="41573"/>
                    <a:stretch>
                      <a:fillRect/>
                    </a:stretch>
                  </pic:blipFill>
                  <pic:spPr bwMode="auto">
                    <a:xfrm>
                      <a:off x="0" y="0"/>
                      <a:ext cx="1066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6B3E8" w14:textId="03CCECCB" w:rsidR="5038F522" w:rsidRPr="00F659B6" w:rsidRDefault="5038F522" w:rsidP="00F659B6">
      <w:pPr>
        <w:spacing w:after="200" w:line="240" w:lineRule="auto"/>
        <w:jc w:val="center"/>
        <w:rPr>
          <w:rFonts w:ascii="Arial" w:eastAsia="Arial" w:hAnsi="Arial" w:cs="Arial"/>
          <w:color w:val="548DD4"/>
          <w:sz w:val="24"/>
          <w:szCs w:val="24"/>
        </w:rPr>
      </w:pPr>
    </w:p>
    <w:p w14:paraId="1BA9BB7C" w14:textId="64F6B823" w:rsidR="004162C2" w:rsidRPr="00F659B6" w:rsidRDefault="00130D5C" w:rsidP="00F659B6">
      <w:pPr>
        <w:spacing w:after="200" w:line="240" w:lineRule="auto"/>
        <w:jc w:val="center"/>
        <w:rPr>
          <w:b/>
          <w:bCs/>
          <w:sz w:val="24"/>
          <w:szCs w:val="24"/>
        </w:rPr>
      </w:pPr>
      <w:r>
        <w:rPr>
          <w:rFonts w:ascii="Arial" w:hAnsi="Arial" w:cs="Arial"/>
          <w:b/>
          <w:bCs/>
          <w:sz w:val="24"/>
          <w:szCs w:val="24"/>
        </w:rPr>
        <w:t>Independent r</w:t>
      </w:r>
      <w:r w:rsidR="1D783147" w:rsidRPr="00F659B6">
        <w:rPr>
          <w:rFonts w:ascii="Arial" w:hAnsi="Arial" w:cs="Arial"/>
          <w:b/>
          <w:bCs/>
          <w:sz w:val="24"/>
          <w:szCs w:val="24"/>
        </w:rPr>
        <w:t xml:space="preserve">eview of </w:t>
      </w:r>
      <w:r>
        <w:rPr>
          <w:rFonts w:ascii="Arial" w:hAnsi="Arial" w:cs="Arial"/>
          <w:b/>
          <w:bCs/>
          <w:sz w:val="24"/>
          <w:szCs w:val="24"/>
        </w:rPr>
        <w:t>s</w:t>
      </w:r>
      <w:r w:rsidR="1D783147" w:rsidRPr="00F659B6">
        <w:rPr>
          <w:rFonts w:ascii="Arial" w:hAnsi="Arial" w:cs="Arial"/>
          <w:b/>
          <w:bCs/>
          <w:sz w:val="24"/>
          <w:szCs w:val="24"/>
        </w:rPr>
        <w:t xml:space="preserve">ervices for adults with a learning disability and </w:t>
      </w:r>
      <w:r w:rsidR="007A62CF" w:rsidRPr="00F659B6">
        <w:rPr>
          <w:rFonts w:ascii="Arial" w:hAnsi="Arial" w:cs="Arial"/>
          <w:b/>
          <w:bCs/>
          <w:sz w:val="24"/>
          <w:szCs w:val="24"/>
        </w:rPr>
        <w:t xml:space="preserve">autistic adults </w:t>
      </w:r>
      <w:r w:rsidR="1D783147" w:rsidRPr="00F659B6">
        <w:rPr>
          <w:rFonts w:ascii="Arial" w:hAnsi="Arial" w:cs="Arial"/>
          <w:b/>
          <w:bCs/>
          <w:sz w:val="24"/>
          <w:szCs w:val="24"/>
        </w:rPr>
        <w:t>in</w:t>
      </w:r>
      <w:r w:rsidR="00EC53E2">
        <w:rPr>
          <w:rFonts w:ascii="Arial" w:hAnsi="Arial" w:cs="Arial"/>
          <w:b/>
          <w:bCs/>
          <w:sz w:val="24"/>
          <w:szCs w:val="24"/>
        </w:rPr>
        <w:t xml:space="preserve"> </w:t>
      </w:r>
      <w:r w:rsidR="003816E2">
        <w:rPr>
          <w:rFonts w:ascii="Arial" w:hAnsi="Arial" w:cs="Arial"/>
          <w:b/>
          <w:bCs/>
          <w:sz w:val="24"/>
          <w:szCs w:val="24"/>
        </w:rPr>
        <w:t>health and justice services</w:t>
      </w:r>
      <w:r w:rsidR="00EC53E2">
        <w:rPr>
          <w:rFonts w:ascii="Arial" w:hAnsi="Arial" w:cs="Arial"/>
          <w:b/>
          <w:bCs/>
          <w:sz w:val="24"/>
          <w:szCs w:val="24"/>
        </w:rPr>
        <w:t xml:space="preserve"> in the east of England</w:t>
      </w:r>
    </w:p>
    <w:p w14:paraId="08766DF7" w14:textId="5E103579" w:rsidR="004162C2" w:rsidRPr="00AB01FE" w:rsidRDefault="00F75F81" w:rsidP="5F0D75ED">
      <w:pPr>
        <w:spacing w:after="200" w:line="240" w:lineRule="auto"/>
        <w:ind w:left="2160" w:hanging="2160"/>
        <w:jc w:val="center"/>
        <w:rPr>
          <w:b/>
          <w:bCs/>
          <w:sz w:val="28"/>
          <w:szCs w:val="28"/>
        </w:rPr>
      </w:pPr>
      <w:r w:rsidRPr="5F0D75ED">
        <w:rPr>
          <w:b/>
          <w:bCs/>
          <w:sz w:val="28"/>
          <w:szCs w:val="28"/>
        </w:rPr>
        <w:t>Service Specification</w:t>
      </w:r>
      <w:r w:rsidR="00E250DB" w:rsidRPr="5F0D75ED">
        <w:rPr>
          <w:b/>
          <w:bCs/>
          <w:sz w:val="28"/>
          <w:szCs w:val="28"/>
        </w:rPr>
        <w:t xml:space="preserve"> </w:t>
      </w:r>
    </w:p>
    <w:p w14:paraId="08FA08B0" w14:textId="77777777" w:rsidR="00F75F81" w:rsidRPr="001767AD" w:rsidRDefault="00F75F81" w:rsidP="004162C2">
      <w:pPr>
        <w:jc w:val="both"/>
        <w:rPr>
          <w:b/>
          <w:bCs/>
        </w:rPr>
      </w:pPr>
    </w:p>
    <w:p w14:paraId="7AAD24D7" w14:textId="4D0DB317" w:rsidR="00426E36" w:rsidRPr="00D83CBB" w:rsidRDefault="00426E36" w:rsidP="00D83CBB">
      <w:pPr>
        <w:pStyle w:val="ListParagraph"/>
        <w:numPr>
          <w:ilvl w:val="0"/>
          <w:numId w:val="17"/>
        </w:numPr>
        <w:jc w:val="both"/>
        <w:rPr>
          <w:b/>
          <w:bCs/>
        </w:rPr>
      </w:pPr>
      <w:r w:rsidRPr="00D83CBB">
        <w:rPr>
          <w:b/>
          <w:bCs/>
        </w:rPr>
        <w:t>Introduction</w:t>
      </w:r>
    </w:p>
    <w:p w14:paraId="431C1A6D" w14:textId="21DC29D9" w:rsidR="004162C2" w:rsidRPr="001767AD" w:rsidRDefault="004162C2" w:rsidP="004162C2">
      <w:pPr>
        <w:jc w:val="both"/>
      </w:pPr>
      <w:r w:rsidRPr="001767AD">
        <w:rPr>
          <w:b/>
          <w:bCs/>
          <w:i/>
          <w:iCs/>
        </w:rPr>
        <w:t>Meeting the healthcare needs of adults with a learning disability and autistic adults in prison</w:t>
      </w:r>
      <w:r w:rsidRPr="001767AD">
        <w:t xml:space="preserve"> was published in September 2021 and is designed to support commissioners, </w:t>
      </w:r>
      <w:r w:rsidR="001767A2" w:rsidRPr="001767AD">
        <w:t xml:space="preserve">healthcare </w:t>
      </w:r>
      <w:r w:rsidRPr="001767AD">
        <w:t xml:space="preserve">providers and </w:t>
      </w:r>
      <w:r w:rsidR="00EC53E2">
        <w:t>HM Prisons and Probation Service</w:t>
      </w:r>
      <w:r w:rsidRPr="001767AD">
        <w:t xml:space="preserve"> to develop appropriate pathways and provision and to establish a whole prison approach to meeting the needs of people with a learning disability and autistic people in prison</w:t>
      </w:r>
      <w:r w:rsidR="001767A2" w:rsidRPr="001767AD">
        <w:t xml:space="preserve">. The document is centred around the following five principles: </w:t>
      </w:r>
    </w:p>
    <w:p w14:paraId="0B62388A" w14:textId="6125517F" w:rsidR="004162C2" w:rsidRPr="001767AD" w:rsidRDefault="004162C2" w:rsidP="004162C2">
      <w:pPr>
        <w:pStyle w:val="ListParagraph"/>
        <w:numPr>
          <w:ilvl w:val="0"/>
          <w:numId w:val="1"/>
        </w:numPr>
      </w:pPr>
      <w:r w:rsidRPr="001767AD">
        <w:t xml:space="preserve">A rights-based approach to care </w:t>
      </w:r>
    </w:p>
    <w:p w14:paraId="04FDC94A" w14:textId="78822239" w:rsidR="004162C2" w:rsidRPr="001767AD" w:rsidRDefault="004162C2" w:rsidP="004162C2">
      <w:pPr>
        <w:pStyle w:val="ListParagraph"/>
        <w:numPr>
          <w:ilvl w:val="0"/>
          <w:numId w:val="1"/>
        </w:numPr>
      </w:pPr>
      <w:r w:rsidRPr="001767AD">
        <w:t>Person-centred care</w:t>
      </w:r>
    </w:p>
    <w:p w14:paraId="6E390BA9" w14:textId="335E150C" w:rsidR="004162C2" w:rsidRPr="001767AD" w:rsidRDefault="004162C2" w:rsidP="004162C2">
      <w:pPr>
        <w:pStyle w:val="ListParagraph"/>
        <w:numPr>
          <w:ilvl w:val="0"/>
          <w:numId w:val="1"/>
        </w:numPr>
      </w:pPr>
      <w:r w:rsidRPr="001767AD">
        <w:t>Early identification and appropriate support</w:t>
      </w:r>
    </w:p>
    <w:p w14:paraId="29F4A0C1" w14:textId="11A0DEBF" w:rsidR="004162C2" w:rsidRPr="001767AD" w:rsidRDefault="004162C2" w:rsidP="004162C2">
      <w:pPr>
        <w:pStyle w:val="ListParagraph"/>
        <w:numPr>
          <w:ilvl w:val="0"/>
          <w:numId w:val="1"/>
        </w:numPr>
      </w:pPr>
      <w:r w:rsidRPr="001767AD">
        <w:t>Informed workforce</w:t>
      </w:r>
    </w:p>
    <w:p w14:paraId="340A383F" w14:textId="557F72E7" w:rsidR="004162C2" w:rsidRPr="001767AD" w:rsidRDefault="004162C2" w:rsidP="004162C2">
      <w:pPr>
        <w:pStyle w:val="ListParagraph"/>
        <w:numPr>
          <w:ilvl w:val="0"/>
          <w:numId w:val="1"/>
        </w:numPr>
      </w:pPr>
      <w:r w:rsidRPr="001767AD">
        <w:t>Working in partnership</w:t>
      </w:r>
    </w:p>
    <w:p w14:paraId="490CE94A" w14:textId="4540A314" w:rsidR="009C7E70" w:rsidRDefault="009C7E70" w:rsidP="009C7E70">
      <w:r>
        <w:t xml:space="preserve">In recent years, there has been a move from a medical to a social model of supporting people with learning disability and autism.  This means that the NHS’s role is </w:t>
      </w:r>
      <w:r w:rsidR="004A4CEB">
        <w:t xml:space="preserve">to do with diagnosing and assessing people, and prescribing appropriate medication, while partners </w:t>
      </w:r>
      <w:r w:rsidR="00C42EDE">
        <w:t xml:space="preserve">in local authorities and education </w:t>
      </w:r>
      <w:r w:rsidR="004A4CEB">
        <w:t xml:space="preserve">have roles in supporting people </w:t>
      </w:r>
      <w:r w:rsidR="00C42EDE">
        <w:t xml:space="preserve">to having fulfilling lives.  This approach should be </w:t>
      </w:r>
      <w:r w:rsidR="00DB14C2">
        <w:t>applied in custody as well as in community.</w:t>
      </w:r>
    </w:p>
    <w:p w14:paraId="228A1440" w14:textId="345252EE" w:rsidR="00B32E9C" w:rsidRPr="001767AD" w:rsidRDefault="00B32E9C" w:rsidP="009C7E70">
      <w:r>
        <w:t xml:space="preserve">It is possible that people are received </w:t>
      </w:r>
      <w:proofErr w:type="gramStart"/>
      <w:r>
        <w:t>in to</w:t>
      </w:r>
      <w:proofErr w:type="gramEnd"/>
      <w:r>
        <w:t xml:space="preserve"> prison having never received a diagnosis of learning disability and/or autism.  </w:t>
      </w:r>
      <w:r w:rsidR="00FA6737">
        <w:t xml:space="preserve">  This means that </w:t>
      </w:r>
      <w:r w:rsidR="00942C8E">
        <w:t xml:space="preserve">there is an opportunity, through reception screening and through </w:t>
      </w:r>
      <w:r w:rsidR="00913C7A">
        <w:t>an approach which aims to identify undiagnosed, unsupported learning disability and/or  autism</w:t>
      </w:r>
      <w:r w:rsidR="00BD1BCB">
        <w:t>, to improve  outcomes and  reduce inequalities</w:t>
      </w:r>
      <w:r w:rsidR="00C1290E">
        <w:t xml:space="preserve"> for some people, both while they are in custody and afterwards.  The aim of the review is to make recommendations which will enable </w:t>
      </w:r>
      <w:r w:rsidR="0053072D">
        <w:t>the</w:t>
      </w:r>
      <w:r w:rsidR="00C1290E">
        <w:t xml:space="preserve"> commission</w:t>
      </w:r>
      <w:r w:rsidR="0053072D">
        <w:t xml:space="preserve">ing </w:t>
      </w:r>
      <w:proofErr w:type="gramStart"/>
      <w:r w:rsidR="0053072D">
        <w:t xml:space="preserve">of </w:t>
      </w:r>
      <w:r w:rsidR="00C1290E">
        <w:t xml:space="preserve"> services</w:t>
      </w:r>
      <w:proofErr w:type="gramEnd"/>
      <w:r w:rsidR="00C1290E">
        <w:t xml:space="preserve"> </w:t>
      </w:r>
      <w:r w:rsidR="0053072D">
        <w:t>which improve outcomes for people who have a diagnosis, and those who do not yet have one.</w:t>
      </w:r>
    </w:p>
    <w:p w14:paraId="170D4122" w14:textId="2DA35598" w:rsidR="00426E36" w:rsidRPr="001767AD" w:rsidRDefault="00426E36" w:rsidP="00D83CBB">
      <w:pPr>
        <w:pStyle w:val="ListParagraph"/>
        <w:numPr>
          <w:ilvl w:val="0"/>
          <w:numId w:val="17"/>
        </w:numPr>
        <w:rPr>
          <w:b/>
          <w:bCs/>
        </w:rPr>
      </w:pPr>
      <w:r w:rsidRPr="001767AD">
        <w:rPr>
          <w:b/>
          <w:bCs/>
        </w:rPr>
        <w:t>Independent Review Requirements</w:t>
      </w:r>
    </w:p>
    <w:p w14:paraId="6D3E0BEF" w14:textId="4875DCF9" w:rsidR="001767A2" w:rsidRPr="001767AD" w:rsidRDefault="001767A2" w:rsidP="001767A2">
      <w:pPr>
        <w:jc w:val="both"/>
      </w:pPr>
      <w:r>
        <w:t>NHS England and NHS Improvement (</w:t>
      </w:r>
      <w:r w:rsidR="004E132C">
        <w:t>east of England</w:t>
      </w:r>
      <w:r>
        <w:t xml:space="preserve">) wishes to commission an independent review of the current services and pathways for those in its adult prisons (see </w:t>
      </w:r>
      <w:r w:rsidRPr="13CE318B">
        <w:rPr>
          <w:b/>
          <w:bCs/>
        </w:rPr>
        <w:t>Appendix 1</w:t>
      </w:r>
      <w:r>
        <w:t xml:space="preserve"> for the full list) against the expectations set out within </w:t>
      </w:r>
      <w:r w:rsidRPr="13CE318B">
        <w:rPr>
          <w:b/>
          <w:bCs/>
          <w:i/>
          <w:iCs/>
        </w:rPr>
        <w:t>Meeting the healthcare needs of adults with a learning disability</w:t>
      </w:r>
      <w:r w:rsidRPr="13CE318B">
        <w:rPr>
          <w:rStyle w:val="FootnoteReference"/>
          <w:b/>
          <w:bCs/>
          <w:i/>
          <w:iCs/>
        </w:rPr>
        <w:footnoteReference w:id="1"/>
      </w:r>
      <w:r w:rsidRPr="13CE318B">
        <w:rPr>
          <w:b/>
          <w:bCs/>
          <w:i/>
          <w:iCs/>
        </w:rPr>
        <w:t xml:space="preserve"> and autistic adults in prison</w:t>
      </w:r>
      <w:r>
        <w:t xml:space="preserve"> </w:t>
      </w:r>
    </w:p>
    <w:p w14:paraId="502C22E4" w14:textId="77777777" w:rsidR="00CC2143" w:rsidRPr="00C42EDE" w:rsidRDefault="00426E36" w:rsidP="5313645B">
      <w:pPr>
        <w:jc w:val="both"/>
        <w:rPr>
          <w:i/>
          <w:iCs/>
        </w:rPr>
      </w:pPr>
      <w:r w:rsidRPr="00C42EDE">
        <w:rPr>
          <w:i/>
          <w:iCs/>
        </w:rPr>
        <w:t>Definition</w:t>
      </w:r>
    </w:p>
    <w:p w14:paraId="720B248D" w14:textId="0185685F" w:rsidR="00426E36" w:rsidRPr="001767AD" w:rsidRDefault="00CC2143" w:rsidP="5313645B">
      <w:pPr>
        <w:jc w:val="both"/>
        <w:rPr>
          <w:u w:val="single"/>
        </w:rPr>
      </w:pPr>
      <w:r>
        <w:t>The review relates to a</w:t>
      </w:r>
      <w:r w:rsidR="00426E36" w:rsidRPr="001767AD">
        <w:t>ny prisoner (aged 18 years and over) with a learning disability and/or autism</w:t>
      </w:r>
      <w:r w:rsidR="77995E4C" w:rsidRPr="001767AD">
        <w:t>.</w:t>
      </w:r>
    </w:p>
    <w:p w14:paraId="2C55D297" w14:textId="6D8FAC3D" w:rsidR="001767A2" w:rsidRPr="001767AD" w:rsidRDefault="001767A2" w:rsidP="001767A2">
      <w:pPr>
        <w:jc w:val="both"/>
      </w:pPr>
      <w:r w:rsidRPr="001767AD">
        <w:lastRenderedPageBreak/>
        <w:t xml:space="preserve">The review is required to </w:t>
      </w:r>
      <w:r w:rsidR="00BF202A">
        <w:t xml:space="preserve">identify the current arrangements for </w:t>
      </w:r>
      <w:r w:rsidR="00A423CB">
        <w:t>ensuring that people with a learning disability and autistic people</w:t>
      </w:r>
      <w:r w:rsidR="00AA604A">
        <w:t xml:space="preserve"> are </w:t>
      </w:r>
      <w:r w:rsidR="00DB14C2">
        <w:t xml:space="preserve">identified, </w:t>
      </w:r>
      <w:proofErr w:type="gramStart"/>
      <w:r w:rsidR="00DB14C2">
        <w:t>assessed</w:t>
      </w:r>
      <w:proofErr w:type="gramEnd"/>
      <w:r w:rsidR="002C098C">
        <w:t xml:space="preserve"> and </w:t>
      </w:r>
      <w:r w:rsidR="00AA604A">
        <w:t xml:space="preserve">supported in prison, the preferred arrangements, and the ways in which </w:t>
      </w:r>
      <w:r w:rsidR="00FB01D0">
        <w:t>the preferred arrangements could be achieved.  The review will look at the following specific areas and questions:</w:t>
      </w:r>
    </w:p>
    <w:p w14:paraId="47EEF802" w14:textId="415BE378" w:rsidR="00016C13" w:rsidRPr="00934E8D" w:rsidRDefault="00DD570F" w:rsidP="00934E8D">
      <w:pPr>
        <w:pStyle w:val="ListParagraph"/>
        <w:numPr>
          <w:ilvl w:val="0"/>
          <w:numId w:val="18"/>
        </w:numPr>
        <w:spacing w:after="0" w:line="240" w:lineRule="auto"/>
        <w:jc w:val="both"/>
        <w:textAlignment w:val="center"/>
        <w:rPr>
          <w:i/>
          <w:iCs/>
          <w:lang w:eastAsia="en-GB"/>
        </w:rPr>
      </w:pPr>
      <w:r w:rsidRPr="00934E8D">
        <w:rPr>
          <w:b/>
          <w:bCs/>
          <w:lang w:eastAsia="en-GB"/>
        </w:rPr>
        <w:t>Size of population/cohort</w:t>
      </w:r>
      <w:r>
        <w:rPr>
          <w:lang w:eastAsia="en-GB"/>
        </w:rPr>
        <w:t xml:space="preserve">     </w:t>
      </w:r>
      <w:r w:rsidR="00316BE4" w:rsidRPr="001767AD">
        <w:rPr>
          <w:lang w:eastAsia="en-GB"/>
        </w:rPr>
        <w:t xml:space="preserve">The indicative prevalence of prisoners with a learning disability </w:t>
      </w:r>
      <w:r w:rsidR="056AF4A7" w:rsidRPr="001767AD">
        <w:rPr>
          <w:lang w:eastAsia="en-GB"/>
        </w:rPr>
        <w:t xml:space="preserve">and / </w:t>
      </w:r>
      <w:r w:rsidR="00316BE4" w:rsidRPr="001767AD">
        <w:rPr>
          <w:lang w:eastAsia="en-GB"/>
        </w:rPr>
        <w:t xml:space="preserve">or autism, </w:t>
      </w:r>
      <w:r w:rsidR="008F1E30">
        <w:rPr>
          <w:lang w:eastAsia="en-GB"/>
        </w:rPr>
        <w:t>per prison</w:t>
      </w:r>
      <w:r w:rsidR="00316BE4" w:rsidRPr="001767AD">
        <w:rPr>
          <w:lang w:eastAsia="en-GB"/>
        </w:rPr>
        <w:t>, using local Health Needs Assessment data or relevant national prevalence data.</w:t>
      </w:r>
      <w:r w:rsidR="1E903CBD" w:rsidRPr="001767AD">
        <w:rPr>
          <w:lang w:eastAsia="en-GB"/>
        </w:rPr>
        <w:t xml:space="preserve"> </w:t>
      </w:r>
      <w:r w:rsidR="00712AF5" w:rsidRPr="001767AD">
        <w:rPr>
          <w:lang w:eastAsia="en-GB"/>
        </w:rPr>
        <w:t xml:space="preserve">Within this analysis specific consideration also needs to be given </w:t>
      </w:r>
      <w:r w:rsidR="00BA68C6" w:rsidRPr="001767AD">
        <w:rPr>
          <w:lang w:eastAsia="en-GB"/>
        </w:rPr>
        <w:t xml:space="preserve">to </w:t>
      </w:r>
      <w:r w:rsidR="00A34365" w:rsidRPr="001767AD">
        <w:rPr>
          <w:lang w:eastAsia="en-GB"/>
        </w:rPr>
        <w:t>protected characteristic</w:t>
      </w:r>
      <w:r w:rsidR="0071315C" w:rsidRPr="001767AD">
        <w:rPr>
          <w:lang w:eastAsia="en-GB"/>
        </w:rPr>
        <w:t>s</w:t>
      </w:r>
      <w:r w:rsidR="00CF653C" w:rsidRPr="001767AD">
        <w:rPr>
          <w:lang w:eastAsia="en-GB"/>
        </w:rPr>
        <w:t xml:space="preserve"> implications and differences. </w:t>
      </w:r>
    </w:p>
    <w:p w14:paraId="52CA4C66" w14:textId="77777777" w:rsidR="00016C13" w:rsidRDefault="00016C13" w:rsidP="00016C13">
      <w:pPr>
        <w:spacing w:after="0" w:line="240" w:lineRule="auto"/>
        <w:ind w:left="720"/>
        <w:jc w:val="both"/>
        <w:textAlignment w:val="center"/>
        <w:rPr>
          <w:i/>
          <w:iCs/>
          <w:lang w:eastAsia="en-GB"/>
        </w:rPr>
      </w:pPr>
    </w:p>
    <w:p w14:paraId="40443766" w14:textId="3B0CD1F9" w:rsidR="00975557" w:rsidRPr="00934E8D" w:rsidRDefault="00DD570F" w:rsidP="00934E8D">
      <w:pPr>
        <w:pStyle w:val="ListParagraph"/>
        <w:numPr>
          <w:ilvl w:val="0"/>
          <w:numId w:val="18"/>
        </w:numPr>
        <w:spacing w:after="0" w:line="240" w:lineRule="auto"/>
        <w:jc w:val="both"/>
        <w:textAlignment w:val="center"/>
        <w:rPr>
          <w:i/>
          <w:iCs/>
          <w:lang w:eastAsia="en-GB"/>
        </w:rPr>
      </w:pPr>
      <w:r w:rsidRPr="00934E8D">
        <w:rPr>
          <w:b/>
          <w:bCs/>
          <w:lang w:eastAsia="en-GB"/>
        </w:rPr>
        <w:t>Screening and assessment</w:t>
      </w:r>
      <w:r>
        <w:rPr>
          <w:lang w:eastAsia="en-GB"/>
        </w:rPr>
        <w:t xml:space="preserve">        </w:t>
      </w:r>
      <w:r w:rsidR="00426E36" w:rsidRPr="001767AD">
        <w:rPr>
          <w:lang w:eastAsia="en-GB"/>
        </w:rPr>
        <w:t xml:space="preserve">What screening is undertaken prior to arriving within prison, </w:t>
      </w:r>
      <w:r w:rsidR="00DF0E86" w:rsidRPr="001767AD">
        <w:rPr>
          <w:lang w:eastAsia="en-GB"/>
        </w:rPr>
        <w:t xml:space="preserve">for example </w:t>
      </w:r>
      <w:r w:rsidR="00426E36" w:rsidRPr="001767AD">
        <w:rPr>
          <w:lang w:eastAsia="en-GB"/>
        </w:rPr>
        <w:t>within Police Custod</w:t>
      </w:r>
      <w:r w:rsidR="00825091" w:rsidRPr="001767AD">
        <w:rPr>
          <w:lang w:eastAsia="en-GB"/>
        </w:rPr>
        <w:t xml:space="preserve">y, </w:t>
      </w:r>
      <w:r w:rsidR="00426E36" w:rsidRPr="001767AD">
        <w:rPr>
          <w:lang w:eastAsia="en-GB"/>
        </w:rPr>
        <w:t xml:space="preserve">by Liaison and Diversion </w:t>
      </w:r>
      <w:r w:rsidR="00DF0E86" w:rsidRPr="001767AD">
        <w:rPr>
          <w:lang w:eastAsia="en-GB"/>
        </w:rPr>
        <w:t>S</w:t>
      </w:r>
      <w:r w:rsidR="00426E36" w:rsidRPr="001767AD">
        <w:rPr>
          <w:lang w:eastAsia="en-GB"/>
        </w:rPr>
        <w:t xml:space="preserve">ervices </w:t>
      </w:r>
      <w:r w:rsidR="00A24D5F" w:rsidRPr="001767AD">
        <w:rPr>
          <w:lang w:eastAsia="en-GB"/>
        </w:rPr>
        <w:t xml:space="preserve">or by </w:t>
      </w:r>
      <w:r w:rsidR="00FA5405">
        <w:rPr>
          <w:lang w:eastAsia="en-GB"/>
        </w:rPr>
        <w:t>Secure training centres</w:t>
      </w:r>
      <w:r w:rsidR="0010781B">
        <w:rPr>
          <w:lang w:eastAsia="en-GB"/>
        </w:rPr>
        <w:t xml:space="preserve">/ secure </w:t>
      </w:r>
      <w:proofErr w:type="spellStart"/>
      <w:r w:rsidR="0010781B">
        <w:rPr>
          <w:lang w:eastAsia="en-GB"/>
        </w:rPr>
        <w:t>childrens</w:t>
      </w:r>
      <w:proofErr w:type="spellEnd"/>
      <w:r w:rsidR="0010781B">
        <w:rPr>
          <w:lang w:eastAsia="en-GB"/>
        </w:rPr>
        <w:t xml:space="preserve"> homes or other similar units</w:t>
      </w:r>
      <w:r w:rsidR="008D6157">
        <w:rPr>
          <w:lang w:eastAsia="en-GB"/>
        </w:rPr>
        <w:t xml:space="preserve"> (see </w:t>
      </w:r>
      <w:r w:rsidR="008D6157" w:rsidRPr="00934E8D">
        <w:rPr>
          <w:b/>
          <w:bCs/>
          <w:lang w:eastAsia="en-GB"/>
        </w:rPr>
        <w:t>Appendix 2</w:t>
      </w:r>
      <w:r w:rsidR="008D6157">
        <w:rPr>
          <w:lang w:eastAsia="en-GB"/>
        </w:rPr>
        <w:t xml:space="preserve"> for details)</w:t>
      </w:r>
      <w:r w:rsidR="006B41F7" w:rsidRPr="001767AD">
        <w:rPr>
          <w:lang w:eastAsia="en-GB"/>
        </w:rPr>
        <w:t>,</w:t>
      </w:r>
      <w:r w:rsidR="00426E36" w:rsidRPr="001767AD">
        <w:rPr>
          <w:lang w:eastAsia="en-GB"/>
        </w:rPr>
        <w:t xml:space="preserve"> and how is this information shared as the patient passes along the criminal justice pathway</w:t>
      </w:r>
      <w:r w:rsidR="00DF0E86" w:rsidRPr="001767AD">
        <w:rPr>
          <w:lang w:eastAsia="en-GB"/>
        </w:rPr>
        <w:t>?</w:t>
      </w:r>
    </w:p>
    <w:p w14:paraId="140E2624" w14:textId="77777777" w:rsidR="00975557" w:rsidRDefault="00975557" w:rsidP="00975557">
      <w:pPr>
        <w:pStyle w:val="ListParagraph"/>
        <w:rPr>
          <w:lang w:eastAsia="en-GB"/>
        </w:rPr>
      </w:pPr>
    </w:p>
    <w:p w14:paraId="613EDF9F" w14:textId="5D580597" w:rsidR="00975557" w:rsidRPr="00934E8D" w:rsidRDefault="001767A2" w:rsidP="00934E8D">
      <w:pPr>
        <w:pStyle w:val="ListParagraph"/>
        <w:numPr>
          <w:ilvl w:val="0"/>
          <w:numId w:val="18"/>
        </w:numPr>
        <w:spacing w:after="0" w:line="240" w:lineRule="auto"/>
        <w:jc w:val="both"/>
        <w:textAlignment w:val="center"/>
        <w:rPr>
          <w:i/>
          <w:iCs/>
          <w:lang w:eastAsia="en-GB"/>
        </w:rPr>
      </w:pPr>
      <w:r w:rsidRPr="001767AD">
        <w:rPr>
          <w:lang w:eastAsia="en-GB"/>
        </w:rPr>
        <w:t xml:space="preserve">What screening is in place for learning disability </w:t>
      </w:r>
      <w:r w:rsidR="442445C2" w:rsidRPr="001767AD">
        <w:rPr>
          <w:lang w:eastAsia="en-GB"/>
        </w:rPr>
        <w:t xml:space="preserve">and / </w:t>
      </w:r>
      <w:r w:rsidRPr="001767AD">
        <w:rPr>
          <w:lang w:eastAsia="en-GB"/>
        </w:rPr>
        <w:t xml:space="preserve">or autism in </w:t>
      </w:r>
      <w:r w:rsidR="00592A6B">
        <w:rPr>
          <w:lang w:eastAsia="en-GB"/>
        </w:rPr>
        <w:t xml:space="preserve">each </w:t>
      </w:r>
      <w:r w:rsidRPr="001767AD">
        <w:rPr>
          <w:lang w:eastAsia="en-GB"/>
        </w:rPr>
        <w:t>prison</w:t>
      </w:r>
      <w:r w:rsidR="00DF0E86" w:rsidRPr="001767AD">
        <w:rPr>
          <w:lang w:eastAsia="en-GB"/>
        </w:rPr>
        <w:t>?</w:t>
      </w:r>
    </w:p>
    <w:p w14:paraId="3D67D8B8" w14:textId="77777777" w:rsidR="00975557" w:rsidRPr="00016C13" w:rsidRDefault="00975557" w:rsidP="00934E8D">
      <w:pPr>
        <w:numPr>
          <w:ilvl w:val="1"/>
          <w:numId w:val="18"/>
        </w:numPr>
        <w:spacing w:after="0" w:line="240" w:lineRule="auto"/>
        <w:jc w:val="both"/>
        <w:textAlignment w:val="center"/>
        <w:rPr>
          <w:i/>
          <w:iCs/>
          <w:lang w:eastAsia="en-GB"/>
        </w:rPr>
      </w:pPr>
      <w:r w:rsidRPr="001767AD">
        <w:rPr>
          <w:lang w:eastAsia="en-GB"/>
        </w:rPr>
        <w:t xml:space="preserve">If screening and assessment is undertaken </w:t>
      </w:r>
      <w:r>
        <w:rPr>
          <w:lang w:eastAsia="en-GB"/>
        </w:rPr>
        <w:t xml:space="preserve">what tools are used? </w:t>
      </w:r>
    </w:p>
    <w:p w14:paraId="53F1DFF6" w14:textId="77777777" w:rsidR="00975557" w:rsidRPr="001767AD" w:rsidRDefault="00975557" w:rsidP="00934E8D">
      <w:pPr>
        <w:numPr>
          <w:ilvl w:val="1"/>
          <w:numId w:val="18"/>
        </w:numPr>
        <w:spacing w:after="0" w:line="240" w:lineRule="auto"/>
        <w:jc w:val="both"/>
        <w:textAlignment w:val="center"/>
        <w:rPr>
          <w:i/>
          <w:iCs/>
          <w:lang w:eastAsia="en-GB"/>
        </w:rPr>
      </w:pPr>
      <w:r w:rsidRPr="001767AD">
        <w:rPr>
          <w:lang w:eastAsia="en-GB"/>
        </w:rPr>
        <w:t xml:space="preserve">If screening and assessment is not undertaken </w:t>
      </w:r>
    </w:p>
    <w:p w14:paraId="0129C766" w14:textId="77777777" w:rsidR="00975557" w:rsidRPr="001767AD" w:rsidRDefault="00975557" w:rsidP="00934E8D">
      <w:pPr>
        <w:numPr>
          <w:ilvl w:val="2"/>
          <w:numId w:val="18"/>
        </w:numPr>
        <w:spacing w:after="0" w:line="240" w:lineRule="auto"/>
        <w:jc w:val="both"/>
        <w:textAlignment w:val="center"/>
        <w:rPr>
          <w:i/>
          <w:iCs/>
          <w:lang w:eastAsia="en-GB"/>
        </w:rPr>
      </w:pPr>
      <w:r w:rsidRPr="001767AD">
        <w:rPr>
          <w:lang w:eastAsia="en-GB"/>
        </w:rPr>
        <w:t>What other sources of information are or could be utilised – i.e. review of SCR</w:t>
      </w:r>
    </w:p>
    <w:p w14:paraId="3AD33E2A" w14:textId="77777777" w:rsidR="00975557" w:rsidRPr="001767AD" w:rsidRDefault="00975557" w:rsidP="00934E8D">
      <w:pPr>
        <w:numPr>
          <w:ilvl w:val="2"/>
          <w:numId w:val="18"/>
        </w:numPr>
        <w:spacing w:after="0" w:line="240" w:lineRule="auto"/>
        <w:jc w:val="both"/>
        <w:textAlignment w:val="center"/>
        <w:rPr>
          <w:i/>
          <w:iCs/>
          <w:lang w:eastAsia="en-GB"/>
        </w:rPr>
      </w:pPr>
      <w:r w:rsidRPr="001767AD">
        <w:rPr>
          <w:lang w:eastAsia="en-GB"/>
        </w:rPr>
        <w:t xml:space="preserve">what models could be adopted? </w:t>
      </w:r>
    </w:p>
    <w:p w14:paraId="7CAABD3C" w14:textId="77777777" w:rsidR="004B0FA3" w:rsidRPr="001767AD" w:rsidRDefault="004B0FA3" w:rsidP="004B0FA3">
      <w:pPr>
        <w:spacing w:after="0" w:line="240" w:lineRule="auto"/>
        <w:ind w:left="2160"/>
        <w:jc w:val="both"/>
        <w:textAlignment w:val="center"/>
        <w:rPr>
          <w:i/>
          <w:lang w:eastAsia="en-GB"/>
        </w:rPr>
      </w:pPr>
    </w:p>
    <w:p w14:paraId="1E40CF96" w14:textId="092FA790" w:rsidR="00975557" w:rsidRPr="00EB469C" w:rsidRDefault="00DF0E86" w:rsidP="00934E8D">
      <w:pPr>
        <w:numPr>
          <w:ilvl w:val="0"/>
          <w:numId w:val="18"/>
        </w:numPr>
        <w:spacing w:after="0" w:line="240" w:lineRule="auto"/>
        <w:jc w:val="both"/>
        <w:textAlignment w:val="center"/>
        <w:rPr>
          <w:i/>
          <w:iCs/>
          <w:lang w:eastAsia="en-GB"/>
        </w:rPr>
      </w:pPr>
      <w:r w:rsidRPr="001767AD">
        <w:rPr>
          <w:lang w:eastAsia="en-GB"/>
        </w:rPr>
        <w:t>W</w:t>
      </w:r>
      <w:r w:rsidR="001767A2" w:rsidRPr="001767AD">
        <w:rPr>
          <w:lang w:eastAsia="en-GB"/>
        </w:rPr>
        <w:t xml:space="preserve">hat formal assessments </w:t>
      </w:r>
      <w:r w:rsidRPr="001767AD">
        <w:rPr>
          <w:lang w:eastAsia="en-GB"/>
        </w:rPr>
        <w:t xml:space="preserve">should be undertaken </w:t>
      </w:r>
      <w:r w:rsidR="001767A2" w:rsidRPr="001767AD">
        <w:rPr>
          <w:lang w:eastAsia="en-GB"/>
        </w:rPr>
        <w:t>after</w:t>
      </w:r>
      <w:r w:rsidRPr="001767AD">
        <w:rPr>
          <w:lang w:eastAsia="en-GB"/>
        </w:rPr>
        <w:t xml:space="preserve"> screening</w:t>
      </w:r>
      <w:r w:rsidR="00840D8A">
        <w:rPr>
          <w:lang w:eastAsia="en-GB"/>
        </w:rPr>
        <w:t xml:space="preserve"> </w:t>
      </w:r>
      <w:r w:rsidR="002C098C">
        <w:rPr>
          <w:lang w:eastAsia="en-GB"/>
        </w:rPr>
        <w:t xml:space="preserve">in custody </w:t>
      </w:r>
      <w:r w:rsidR="00840D8A">
        <w:rPr>
          <w:lang w:eastAsia="en-GB"/>
        </w:rPr>
        <w:t>identifies likely learning disability</w:t>
      </w:r>
      <w:r w:rsidR="004B136D">
        <w:rPr>
          <w:lang w:eastAsia="en-GB"/>
        </w:rPr>
        <w:t xml:space="preserve"> or autism</w:t>
      </w:r>
      <w:r w:rsidRPr="001767AD">
        <w:rPr>
          <w:lang w:eastAsia="en-GB"/>
        </w:rPr>
        <w:t xml:space="preserve">? </w:t>
      </w:r>
      <w:r w:rsidR="001767A2" w:rsidRPr="001767AD">
        <w:rPr>
          <w:lang w:eastAsia="en-GB"/>
        </w:rPr>
        <w:t xml:space="preserve"> </w:t>
      </w:r>
    </w:p>
    <w:p w14:paraId="55D8EAE8" w14:textId="77777777" w:rsidR="00EB469C" w:rsidRDefault="00EB469C" w:rsidP="00EB469C">
      <w:pPr>
        <w:spacing w:after="0" w:line="240" w:lineRule="auto"/>
        <w:ind w:left="720"/>
        <w:jc w:val="both"/>
        <w:textAlignment w:val="center"/>
        <w:rPr>
          <w:i/>
          <w:iCs/>
          <w:lang w:eastAsia="en-GB"/>
        </w:rPr>
      </w:pPr>
    </w:p>
    <w:p w14:paraId="0CD33C3C" w14:textId="5E4EEA61" w:rsidR="00975557" w:rsidRDefault="00DD570F" w:rsidP="00934E8D">
      <w:pPr>
        <w:numPr>
          <w:ilvl w:val="0"/>
          <w:numId w:val="18"/>
        </w:numPr>
        <w:spacing w:after="0" w:line="240" w:lineRule="auto"/>
        <w:jc w:val="both"/>
        <w:textAlignment w:val="center"/>
        <w:rPr>
          <w:i/>
          <w:iCs/>
          <w:lang w:eastAsia="en-GB"/>
        </w:rPr>
      </w:pPr>
      <w:r w:rsidRPr="00DD570F">
        <w:rPr>
          <w:b/>
          <w:bCs/>
          <w:lang w:eastAsia="en-GB"/>
        </w:rPr>
        <w:t>Workforce capability</w:t>
      </w:r>
      <w:r>
        <w:rPr>
          <w:lang w:eastAsia="en-GB"/>
        </w:rPr>
        <w:t xml:space="preserve">     </w:t>
      </w:r>
      <w:r w:rsidR="00F75F81" w:rsidRPr="001767AD">
        <w:rPr>
          <w:lang w:eastAsia="en-GB"/>
        </w:rPr>
        <w:t xml:space="preserve">What training is in place for healthcare and prison staff </w:t>
      </w:r>
      <w:r w:rsidR="00592A6B">
        <w:rPr>
          <w:lang w:eastAsia="en-GB"/>
        </w:rPr>
        <w:t xml:space="preserve">in each prison </w:t>
      </w:r>
      <w:r w:rsidR="00F75F81" w:rsidRPr="001767AD">
        <w:rPr>
          <w:lang w:eastAsia="en-GB"/>
        </w:rPr>
        <w:t>regarding learning disability and autism?</w:t>
      </w:r>
    </w:p>
    <w:p w14:paraId="1EBA8CDC" w14:textId="77777777" w:rsidR="00975557" w:rsidRDefault="00975557" w:rsidP="00975557">
      <w:pPr>
        <w:pStyle w:val="ListParagraph"/>
        <w:rPr>
          <w:lang w:eastAsia="en-GB"/>
        </w:rPr>
      </w:pPr>
    </w:p>
    <w:p w14:paraId="5803702F" w14:textId="209BD35C" w:rsidR="00356676" w:rsidRPr="00EB469C" w:rsidRDefault="00975557" w:rsidP="00934E8D">
      <w:pPr>
        <w:numPr>
          <w:ilvl w:val="0"/>
          <w:numId w:val="18"/>
        </w:numPr>
        <w:spacing w:after="0" w:line="240" w:lineRule="auto"/>
        <w:jc w:val="both"/>
        <w:textAlignment w:val="center"/>
        <w:rPr>
          <w:i/>
          <w:iCs/>
          <w:lang w:eastAsia="en-GB"/>
        </w:rPr>
      </w:pPr>
      <w:r>
        <w:rPr>
          <w:lang w:eastAsia="en-GB"/>
        </w:rPr>
        <w:t>D</w:t>
      </w:r>
      <w:r w:rsidR="00F75F81" w:rsidRPr="001767AD">
        <w:rPr>
          <w:lang w:eastAsia="en-GB"/>
        </w:rPr>
        <w:t>o healthcare and prison staff feel confident in recognising, engaging, and supporting a prisoner who may have a learning disability and/or autism?</w:t>
      </w:r>
      <w:r w:rsidR="00F472A0">
        <w:rPr>
          <w:lang w:eastAsia="en-GB"/>
        </w:rPr>
        <w:t xml:space="preserve"> This includes both within the prison but also when escorting / transferring to external services. </w:t>
      </w:r>
    </w:p>
    <w:p w14:paraId="31255CF1" w14:textId="77777777" w:rsidR="00EB469C" w:rsidRDefault="00EB469C" w:rsidP="00EB469C">
      <w:pPr>
        <w:spacing w:after="0" w:line="240" w:lineRule="auto"/>
        <w:jc w:val="both"/>
        <w:textAlignment w:val="center"/>
        <w:rPr>
          <w:i/>
          <w:iCs/>
          <w:lang w:eastAsia="en-GB"/>
        </w:rPr>
      </w:pPr>
    </w:p>
    <w:p w14:paraId="2C74A6F8" w14:textId="6A595652" w:rsidR="00356676" w:rsidRDefault="00DD570F" w:rsidP="00934E8D">
      <w:pPr>
        <w:numPr>
          <w:ilvl w:val="0"/>
          <w:numId w:val="18"/>
        </w:numPr>
        <w:spacing w:after="0" w:line="240" w:lineRule="auto"/>
        <w:jc w:val="both"/>
        <w:textAlignment w:val="center"/>
        <w:rPr>
          <w:i/>
          <w:iCs/>
          <w:lang w:eastAsia="en-GB"/>
        </w:rPr>
      </w:pPr>
      <w:r w:rsidRPr="00DD570F">
        <w:rPr>
          <w:b/>
          <w:bCs/>
          <w:lang w:eastAsia="en-GB"/>
        </w:rPr>
        <w:t>Support for people with a learning disability and autistic people</w:t>
      </w:r>
      <w:r>
        <w:rPr>
          <w:lang w:eastAsia="en-GB"/>
        </w:rPr>
        <w:t xml:space="preserve"> </w:t>
      </w:r>
      <w:r w:rsidR="001767A2" w:rsidRPr="001767AD">
        <w:rPr>
          <w:lang w:eastAsia="en-GB"/>
        </w:rPr>
        <w:t>What appropriate reasonable adjustments should be provided, regardless of whether the</w:t>
      </w:r>
      <w:r w:rsidR="00DF0E86" w:rsidRPr="001767AD">
        <w:rPr>
          <w:lang w:eastAsia="en-GB"/>
        </w:rPr>
        <w:t xml:space="preserve"> patient </w:t>
      </w:r>
      <w:r w:rsidR="001767A2" w:rsidRPr="001767AD">
        <w:rPr>
          <w:lang w:eastAsia="en-GB"/>
        </w:rPr>
        <w:t>ha</w:t>
      </w:r>
      <w:r w:rsidR="54CB3C30" w:rsidRPr="001767AD">
        <w:rPr>
          <w:lang w:eastAsia="en-GB"/>
        </w:rPr>
        <w:t>s</w:t>
      </w:r>
      <w:r w:rsidR="001767A2" w:rsidRPr="001767AD">
        <w:rPr>
          <w:lang w:eastAsia="en-GB"/>
        </w:rPr>
        <w:t xml:space="preserve"> a confirmed diagnosis</w:t>
      </w:r>
      <w:r w:rsidR="00245396" w:rsidRPr="001767AD">
        <w:rPr>
          <w:lang w:eastAsia="en-GB"/>
        </w:rPr>
        <w:t>?</w:t>
      </w:r>
      <w:r w:rsidR="001767A2" w:rsidRPr="001767AD">
        <w:rPr>
          <w:lang w:eastAsia="en-GB"/>
        </w:rPr>
        <w:t xml:space="preserve">   </w:t>
      </w:r>
      <w:r w:rsidR="003372FD">
        <w:rPr>
          <w:lang w:eastAsia="en-GB"/>
        </w:rPr>
        <w:t xml:space="preserve">What examples are there of </w:t>
      </w:r>
      <w:r w:rsidR="00D835B2">
        <w:rPr>
          <w:lang w:eastAsia="en-GB"/>
        </w:rPr>
        <w:t xml:space="preserve">effective support, put in place by local authorities under their Care Act responsibilities, </w:t>
      </w:r>
      <w:r w:rsidR="00600F65">
        <w:rPr>
          <w:lang w:eastAsia="en-GB"/>
        </w:rPr>
        <w:t>in East of England prisons?  What gaps are there?</w:t>
      </w:r>
    </w:p>
    <w:p w14:paraId="123640B4" w14:textId="77777777" w:rsidR="00356676" w:rsidRDefault="00356676" w:rsidP="00356676">
      <w:pPr>
        <w:pStyle w:val="ListParagraph"/>
        <w:rPr>
          <w:lang w:eastAsia="en-GB"/>
        </w:rPr>
      </w:pPr>
    </w:p>
    <w:p w14:paraId="58FDCEEC" w14:textId="1CB3C845" w:rsidR="00356676" w:rsidRDefault="00C53CB3" w:rsidP="00934E8D">
      <w:pPr>
        <w:numPr>
          <w:ilvl w:val="0"/>
          <w:numId w:val="18"/>
        </w:numPr>
        <w:spacing w:after="0" w:line="240" w:lineRule="auto"/>
        <w:jc w:val="both"/>
        <w:textAlignment w:val="center"/>
        <w:rPr>
          <w:i/>
          <w:iCs/>
          <w:lang w:eastAsia="en-GB"/>
        </w:rPr>
      </w:pPr>
      <w:r>
        <w:rPr>
          <w:lang w:eastAsia="en-GB"/>
        </w:rPr>
        <w:t xml:space="preserve">Does the </w:t>
      </w:r>
      <w:r w:rsidR="001767A2" w:rsidRPr="001767AD">
        <w:rPr>
          <w:lang w:eastAsia="en-GB"/>
        </w:rPr>
        <w:t xml:space="preserve">Healthcare service </w:t>
      </w:r>
      <w:r w:rsidR="00600F65">
        <w:rPr>
          <w:lang w:eastAsia="en-GB"/>
        </w:rPr>
        <w:t xml:space="preserve">in each prison </w:t>
      </w:r>
      <w:r>
        <w:rPr>
          <w:lang w:eastAsia="en-GB"/>
        </w:rPr>
        <w:t xml:space="preserve">have a </w:t>
      </w:r>
      <w:r w:rsidR="001767A2" w:rsidRPr="001767AD">
        <w:rPr>
          <w:lang w:eastAsia="en-GB"/>
        </w:rPr>
        <w:t>specific learning disability and autism care pathway in place that cover</w:t>
      </w:r>
      <w:r>
        <w:rPr>
          <w:lang w:eastAsia="en-GB"/>
        </w:rPr>
        <w:t>s</w:t>
      </w:r>
      <w:r w:rsidR="001767A2" w:rsidRPr="001767AD">
        <w:rPr>
          <w:lang w:eastAsia="en-GB"/>
        </w:rPr>
        <w:t xml:space="preserve"> screening, support, </w:t>
      </w:r>
      <w:proofErr w:type="gramStart"/>
      <w:r w:rsidR="001767A2" w:rsidRPr="001767AD">
        <w:rPr>
          <w:lang w:eastAsia="en-GB"/>
        </w:rPr>
        <w:t>assessments</w:t>
      </w:r>
      <w:proofErr w:type="gramEnd"/>
      <w:r w:rsidR="001767A2" w:rsidRPr="001767AD">
        <w:rPr>
          <w:lang w:eastAsia="en-GB"/>
        </w:rPr>
        <w:t xml:space="preserve"> and referral for specialist interventions</w:t>
      </w:r>
      <w:r w:rsidR="00600F65">
        <w:rPr>
          <w:lang w:eastAsia="en-GB"/>
        </w:rPr>
        <w:t>?</w:t>
      </w:r>
    </w:p>
    <w:p w14:paraId="08515481" w14:textId="77777777" w:rsidR="00EB469C" w:rsidRPr="00EB469C" w:rsidRDefault="00EB469C" w:rsidP="00EB469C">
      <w:pPr>
        <w:spacing w:after="0" w:line="240" w:lineRule="auto"/>
        <w:ind w:left="720"/>
        <w:jc w:val="both"/>
        <w:textAlignment w:val="center"/>
        <w:rPr>
          <w:i/>
          <w:iCs/>
          <w:lang w:eastAsia="en-GB"/>
        </w:rPr>
      </w:pPr>
    </w:p>
    <w:p w14:paraId="0967C94A" w14:textId="00EC67A8" w:rsidR="00356676" w:rsidRDefault="001767A2" w:rsidP="00934E8D">
      <w:pPr>
        <w:numPr>
          <w:ilvl w:val="0"/>
          <w:numId w:val="18"/>
        </w:numPr>
        <w:spacing w:after="0" w:line="240" w:lineRule="auto"/>
        <w:jc w:val="both"/>
        <w:textAlignment w:val="center"/>
        <w:rPr>
          <w:i/>
          <w:iCs/>
          <w:lang w:eastAsia="en-GB"/>
        </w:rPr>
      </w:pPr>
      <w:r w:rsidRPr="001767AD">
        <w:rPr>
          <w:lang w:eastAsia="en-GB"/>
        </w:rPr>
        <w:t>What access is there</w:t>
      </w:r>
      <w:r w:rsidR="00DF0E86" w:rsidRPr="001767AD">
        <w:rPr>
          <w:lang w:eastAsia="en-GB"/>
        </w:rPr>
        <w:t xml:space="preserve"> from prison in</w:t>
      </w:r>
      <w:r w:rsidRPr="001767AD">
        <w:rPr>
          <w:lang w:eastAsia="en-GB"/>
        </w:rPr>
        <w:t xml:space="preserve">to specialist services (for example </w:t>
      </w:r>
      <w:r w:rsidRPr="001767AD">
        <w:t xml:space="preserve">speech and language therapy and specialist mental health or other health treatment programmes)? </w:t>
      </w:r>
    </w:p>
    <w:p w14:paraId="72D0B746" w14:textId="77777777" w:rsidR="00356676" w:rsidRPr="001767AD" w:rsidRDefault="00356676" w:rsidP="00934E8D">
      <w:pPr>
        <w:numPr>
          <w:ilvl w:val="1"/>
          <w:numId w:val="18"/>
        </w:numPr>
        <w:spacing w:after="0" w:line="240" w:lineRule="auto"/>
        <w:textAlignment w:val="center"/>
        <w:rPr>
          <w:lang w:eastAsia="en-GB"/>
        </w:rPr>
      </w:pPr>
      <w:r w:rsidRPr="001767AD">
        <w:rPr>
          <w:lang w:eastAsia="en-GB"/>
        </w:rPr>
        <w:t xml:space="preserve">Where there are gaps or obstacles what is required and what is the most suitable delivery model (e.g. in-house provision, community in reach or external referral) by establishment? </w:t>
      </w:r>
    </w:p>
    <w:p w14:paraId="6DA1CA09" w14:textId="77777777" w:rsidR="00356676" w:rsidRDefault="00356676" w:rsidP="00356676">
      <w:pPr>
        <w:pStyle w:val="ListParagraph"/>
        <w:rPr>
          <w:rFonts w:eastAsia="Times New Roman"/>
        </w:rPr>
      </w:pPr>
    </w:p>
    <w:p w14:paraId="60ED4F70" w14:textId="4FFA028C" w:rsidR="00356676" w:rsidRPr="00356676" w:rsidRDefault="00DF0E86" w:rsidP="00934E8D">
      <w:pPr>
        <w:numPr>
          <w:ilvl w:val="0"/>
          <w:numId w:val="18"/>
        </w:numPr>
        <w:spacing w:after="0" w:line="240" w:lineRule="auto"/>
        <w:jc w:val="both"/>
        <w:textAlignment w:val="center"/>
        <w:rPr>
          <w:i/>
          <w:iCs/>
          <w:lang w:eastAsia="en-GB"/>
        </w:rPr>
      </w:pPr>
      <w:r w:rsidRPr="00356676">
        <w:rPr>
          <w:rFonts w:eastAsia="Times New Roman"/>
        </w:rPr>
        <w:t>What is the current provision of</w:t>
      </w:r>
      <w:r w:rsidR="00A2704A" w:rsidRPr="00356676">
        <w:rPr>
          <w:rFonts w:eastAsia="Times New Roman"/>
        </w:rPr>
        <w:t xml:space="preserve"> prison </w:t>
      </w:r>
      <w:r w:rsidRPr="00356676">
        <w:rPr>
          <w:rFonts w:eastAsia="Times New Roman"/>
        </w:rPr>
        <w:t>le</w:t>
      </w:r>
      <w:r w:rsidR="001767A2" w:rsidRPr="00356676">
        <w:rPr>
          <w:rFonts w:eastAsia="Times New Roman"/>
        </w:rPr>
        <w:t>arning disability practitioner</w:t>
      </w:r>
      <w:r w:rsidRPr="00356676">
        <w:rPr>
          <w:rFonts w:eastAsia="Times New Roman"/>
        </w:rPr>
        <w:t>s and where are the gaps</w:t>
      </w:r>
      <w:r w:rsidR="001767A2" w:rsidRPr="00356676">
        <w:rPr>
          <w:rFonts w:eastAsia="Times New Roman"/>
        </w:rPr>
        <w:t>? </w:t>
      </w:r>
    </w:p>
    <w:p w14:paraId="13313D91" w14:textId="77777777" w:rsidR="00356676" w:rsidRPr="001767AD" w:rsidRDefault="00356676" w:rsidP="00934E8D">
      <w:pPr>
        <w:pStyle w:val="ListParagraph"/>
        <w:numPr>
          <w:ilvl w:val="1"/>
          <w:numId w:val="18"/>
        </w:numPr>
        <w:spacing w:after="0" w:line="240" w:lineRule="auto"/>
        <w:contextualSpacing w:val="0"/>
        <w:rPr>
          <w:rFonts w:eastAsia="Times New Roman"/>
        </w:rPr>
      </w:pPr>
      <w:r w:rsidRPr="001767AD">
        <w:rPr>
          <w:rFonts w:eastAsia="Times New Roman"/>
        </w:rPr>
        <w:t xml:space="preserve">What type of healthcare professionals / skills are needed and where? </w:t>
      </w:r>
    </w:p>
    <w:p w14:paraId="63139D38" w14:textId="77777777" w:rsidR="00356676" w:rsidRPr="001767AD" w:rsidRDefault="00356676" w:rsidP="00934E8D">
      <w:pPr>
        <w:pStyle w:val="ListParagraph"/>
        <w:numPr>
          <w:ilvl w:val="1"/>
          <w:numId w:val="18"/>
        </w:numPr>
        <w:spacing w:after="0" w:line="240" w:lineRule="auto"/>
        <w:contextualSpacing w:val="0"/>
        <w:rPr>
          <w:rFonts w:eastAsia="Times New Roman"/>
        </w:rPr>
      </w:pPr>
      <w:r w:rsidRPr="001767AD">
        <w:rPr>
          <w:rFonts w:eastAsia="Times New Roman"/>
        </w:rPr>
        <w:t xml:space="preserve">What </w:t>
      </w:r>
      <w:r w:rsidRPr="001767AD">
        <w:rPr>
          <w:lang w:eastAsia="en-GB"/>
        </w:rPr>
        <w:t>is the most suitable delivery model (e.g. regional roving resource, prison specific resource)?</w:t>
      </w:r>
    </w:p>
    <w:p w14:paraId="1EA3F66C" w14:textId="77777777" w:rsidR="00356676" w:rsidRDefault="00356676" w:rsidP="00356676">
      <w:pPr>
        <w:spacing w:after="0" w:line="240" w:lineRule="auto"/>
        <w:ind w:left="720"/>
        <w:jc w:val="both"/>
        <w:textAlignment w:val="center"/>
        <w:rPr>
          <w:i/>
          <w:iCs/>
          <w:lang w:eastAsia="en-GB"/>
        </w:rPr>
      </w:pPr>
    </w:p>
    <w:p w14:paraId="3F66C30B" w14:textId="64554719" w:rsidR="00356676" w:rsidRPr="00356676" w:rsidRDefault="00A2704A" w:rsidP="00934E8D">
      <w:pPr>
        <w:numPr>
          <w:ilvl w:val="0"/>
          <w:numId w:val="18"/>
        </w:numPr>
        <w:spacing w:after="0" w:line="240" w:lineRule="auto"/>
        <w:jc w:val="both"/>
        <w:textAlignment w:val="center"/>
        <w:rPr>
          <w:i/>
          <w:iCs/>
          <w:lang w:eastAsia="en-GB"/>
        </w:rPr>
      </w:pPr>
      <w:r w:rsidRPr="00356676">
        <w:rPr>
          <w:rFonts w:eastAsia="Times New Roman"/>
        </w:rPr>
        <w:t>What models of lea</w:t>
      </w:r>
      <w:r w:rsidR="001767A2" w:rsidRPr="00356676">
        <w:rPr>
          <w:rFonts w:eastAsia="Times New Roman"/>
        </w:rPr>
        <w:t>rning disability and autism healthcare champion</w:t>
      </w:r>
      <w:r w:rsidRPr="00356676">
        <w:rPr>
          <w:rFonts w:eastAsia="Times New Roman"/>
        </w:rPr>
        <w:t>s are in place</w:t>
      </w:r>
      <w:r w:rsidR="001767A2" w:rsidRPr="00356676">
        <w:rPr>
          <w:rFonts w:eastAsia="Times New Roman"/>
        </w:rPr>
        <w:t xml:space="preserve">? </w:t>
      </w:r>
    </w:p>
    <w:p w14:paraId="36957C93" w14:textId="77777777" w:rsidR="00356676" w:rsidRDefault="00356676" w:rsidP="00356676">
      <w:pPr>
        <w:spacing w:after="0" w:line="240" w:lineRule="auto"/>
        <w:ind w:left="720"/>
        <w:jc w:val="both"/>
        <w:textAlignment w:val="center"/>
        <w:rPr>
          <w:i/>
          <w:iCs/>
          <w:lang w:eastAsia="en-GB"/>
        </w:rPr>
      </w:pPr>
    </w:p>
    <w:p w14:paraId="0457C68D" w14:textId="5156224C" w:rsidR="00356676" w:rsidRPr="00060337" w:rsidRDefault="4B3F4712" w:rsidP="00934E8D">
      <w:pPr>
        <w:numPr>
          <w:ilvl w:val="0"/>
          <w:numId w:val="18"/>
        </w:numPr>
        <w:spacing w:after="0" w:line="240" w:lineRule="auto"/>
        <w:jc w:val="both"/>
        <w:textAlignment w:val="center"/>
        <w:rPr>
          <w:i/>
          <w:iCs/>
          <w:lang w:eastAsia="en-GB"/>
        </w:rPr>
      </w:pPr>
      <w:r w:rsidRPr="001767AD">
        <w:t xml:space="preserve">Is medication usage for this cohort being monitored? </w:t>
      </w:r>
      <w:r w:rsidR="007558CE" w:rsidRPr="001767AD">
        <w:t xml:space="preserve">Is there evidence of over </w:t>
      </w:r>
      <w:r w:rsidR="006876CA" w:rsidRPr="001767AD">
        <w:t>medication of this client group and what steps could be taken to address this</w:t>
      </w:r>
      <w:r w:rsidR="00A5763C" w:rsidRPr="001767AD">
        <w:t>?</w:t>
      </w:r>
    </w:p>
    <w:p w14:paraId="5FABF1D1" w14:textId="77777777" w:rsidR="00060337" w:rsidRDefault="00060337" w:rsidP="00060337">
      <w:pPr>
        <w:pStyle w:val="ListParagraph"/>
        <w:rPr>
          <w:i/>
          <w:iCs/>
          <w:lang w:eastAsia="en-GB"/>
        </w:rPr>
      </w:pPr>
    </w:p>
    <w:p w14:paraId="706EA48F" w14:textId="5A52B47A" w:rsidR="00060337" w:rsidRPr="00060337" w:rsidRDefault="00060337" w:rsidP="00934E8D">
      <w:pPr>
        <w:numPr>
          <w:ilvl w:val="0"/>
          <w:numId w:val="18"/>
        </w:numPr>
        <w:spacing w:after="0" w:line="240" w:lineRule="auto"/>
        <w:jc w:val="both"/>
        <w:textAlignment w:val="center"/>
        <w:rPr>
          <w:lang w:eastAsia="en-GB"/>
        </w:rPr>
      </w:pPr>
      <w:r w:rsidRPr="00060337">
        <w:rPr>
          <w:lang w:eastAsia="en-GB"/>
        </w:rPr>
        <w:t>Is there</w:t>
      </w:r>
      <w:r>
        <w:rPr>
          <w:lang w:eastAsia="en-GB"/>
        </w:rPr>
        <w:t xml:space="preserve"> equitable </w:t>
      </w:r>
      <w:r w:rsidRPr="00060337">
        <w:rPr>
          <w:lang w:eastAsia="en-GB"/>
        </w:rPr>
        <w:t>access to physical health services (b</w:t>
      </w:r>
      <w:r>
        <w:rPr>
          <w:lang w:eastAsia="en-GB"/>
        </w:rPr>
        <w:t>o</w:t>
      </w:r>
      <w:r w:rsidRPr="00060337">
        <w:rPr>
          <w:lang w:eastAsia="en-GB"/>
        </w:rPr>
        <w:t>th within and externally to the prison)</w:t>
      </w:r>
      <w:r w:rsidR="001866CD">
        <w:rPr>
          <w:lang w:eastAsia="en-GB"/>
        </w:rPr>
        <w:t>?</w:t>
      </w:r>
      <w:r w:rsidR="00C778FC">
        <w:rPr>
          <w:lang w:eastAsia="en-GB"/>
        </w:rPr>
        <w:t xml:space="preserve"> Are those who have been identified to have LD and/or autism </w:t>
      </w:r>
      <w:r w:rsidR="00275CE0">
        <w:rPr>
          <w:lang w:eastAsia="en-GB"/>
        </w:rPr>
        <w:t xml:space="preserve">offered health checks, screening and immunisations as appropriate, and are they </w:t>
      </w:r>
      <w:r w:rsidR="001E07E9">
        <w:rPr>
          <w:lang w:eastAsia="en-GB"/>
        </w:rPr>
        <w:t>supported to understand what these are, why they are beneficial and to explore their reasons for not accepting them, if they don’t?</w:t>
      </w:r>
    </w:p>
    <w:p w14:paraId="3668CCBD" w14:textId="77777777" w:rsidR="00356676" w:rsidRDefault="00356676" w:rsidP="00356676">
      <w:pPr>
        <w:pStyle w:val="ListParagraph"/>
        <w:rPr>
          <w:rFonts w:eastAsia="Times New Roman"/>
        </w:rPr>
      </w:pPr>
    </w:p>
    <w:p w14:paraId="67A7FDDA" w14:textId="1A1C29F4" w:rsidR="00356676" w:rsidRDefault="00566A1E" w:rsidP="00934E8D">
      <w:pPr>
        <w:numPr>
          <w:ilvl w:val="0"/>
          <w:numId w:val="18"/>
        </w:numPr>
        <w:spacing w:after="0" w:line="240" w:lineRule="auto"/>
        <w:jc w:val="both"/>
        <w:textAlignment w:val="center"/>
        <w:rPr>
          <w:i/>
          <w:iCs/>
          <w:lang w:eastAsia="en-GB"/>
        </w:rPr>
      </w:pPr>
      <w:r w:rsidRPr="00566A1E">
        <w:rPr>
          <w:rFonts w:eastAsia="Times New Roman"/>
          <w:b/>
          <w:bCs/>
        </w:rPr>
        <w:t>Partnership working</w:t>
      </w:r>
      <w:r>
        <w:rPr>
          <w:rFonts w:eastAsia="Times New Roman"/>
        </w:rPr>
        <w:t xml:space="preserve"> </w:t>
      </w:r>
      <w:r w:rsidR="001767A2" w:rsidRPr="00356676">
        <w:rPr>
          <w:rFonts w:eastAsia="Times New Roman"/>
        </w:rPr>
        <w:t>Is Joint care planning with other health and social care services undertaken</w:t>
      </w:r>
      <w:r>
        <w:rPr>
          <w:rFonts w:eastAsia="Times New Roman"/>
        </w:rPr>
        <w:t>, and if it is, how is this evidenced?</w:t>
      </w:r>
    </w:p>
    <w:p w14:paraId="32C294B3" w14:textId="77777777" w:rsidR="00356676" w:rsidRDefault="00356676" w:rsidP="00356676">
      <w:pPr>
        <w:pStyle w:val="ListParagraph"/>
        <w:rPr>
          <w:rFonts w:eastAsia="Times New Roman"/>
        </w:rPr>
      </w:pPr>
    </w:p>
    <w:p w14:paraId="24EC4212" w14:textId="37984551" w:rsidR="001767A2" w:rsidRPr="00356676" w:rsidRDefault="00A2704A" w:rsidP="00934E8D">
      <w:pPr>
        <w:numPr>
          <w:ilvl w:val="0"/>
          <w:numId w:val="18"/>
        </w:numPr>
        <w:spacing w:after="0" w:line="240" w:lineRule="auto"/>
        <w:jc w:val="both"/>
        <w:textAlignment w:val="center"/>
        <w:rPr>
          <w:i/>
          <w:iCs/>
          <w:lang w:eastAsia="en-GB"/>
        </w:rPr>
      </w:pPr>
      <w:r w:rsidRPr="00356676">
        <w:rPr>
          <w:rFonts w:eastAsia="Times New Roman"/>
        </w:rPr>
        <w:t>Is i</w:t>
      </w:r>
      <w:r w:rsidR="001767A2" w:rsidRPr="00356676">
        <w:rPr>
          <w:rFonts w:eastAsia="Times New Roman"/>
        </w:rPr>
        <w:t>nformation shar</w:t>
      </w:r>
      <w:r w:rsidRPr="00356676">
        <w:rPr>
          <w:rFonts w:eastAsia="Times New Roman"/>
        </w:rPr>
        <w:t xml:space="preserve">ed along the criminal justice pathway between health and criminal justice partners? </w:t>
      </w:r>
    </w:p>
    <w:p w14:paraId="0E58AEAE" w14:textId="2D9BC97A" w:rsidR="420197D1" w:rsidRPr="001767AD" w:rsidRDefault="420197D1" w:rsidP="00016C13">
      <w:pPr>
        <w:pStyle w:val="ListParagraph"/>
        <w:tabs>
          <w:tab w:val="num" w:pos="567"/>
        </w:tabs>
        <w:ind w:left="1440" w:hanging="578"/>
        <w:rPr>
          <w:lang w:eastAsia="en-GB"/>
        </w:rPr>
      </w:pPr>
    </w:p>
    <w:p w14:paraId="7B02702C" w14:textId="6D93B11E" w:rsidR="00356676" w:rsidRDefault="00356676" w:rsidP="00356676">
      <w:pPr>
        <w:pStyle w:val="ListParagraph"/>
        <w:ind w:left="567"/>
        <w:rPr>
          <w:lang w:eastAsia="en-GB"/>
        </w:rPr>
      </w:pPr>
      <w:r>
        <w:rPr>
          <w:lang w:eastAsia="en-GB"/>
        </w:rPr>
        <w:t xml:space="preserve">For each of the </w:t>
      </w:r>
      <w:r w:rsidR="00423C3E">
        <w:rPr>
          <w:lang w:eastAsia="en-GB"/>
        </w:rPr>
        <w:t>points above the r</w:t>
      </w:r>
      <w:r>
        <w:rPr>
          <w:lang w:eastAsia="en-GB"/>
        </w:rPr>
        <w:t xml:space="preserve">eview is </w:t>
      </w:r>
      <w:r w:rsidR="00423C3E">
        <w:rPr>
          <w:lang w:eastAsia="en-GB"/>
        </w:rPr>
        <w:t>required</w:t>
      </w:r>
      <w:r>
        <w:rPr>
          <w:lang w:eastAsia="en-GB"/>
        </w:rPr>
        <w:t xml:space="preserve"> to identify:</w:t>
      </w:r>
    </w:p>
    <w:p w14:paraId="7004603C" w14:textId="6BE8B3A0" w:rsidR="00356676" w:rsidRDefault="00423C3E" w:rsidP="00356676">
      <w:pPr>
        <w:pStyle w:val="ListParagraph"/>
        <w:numPr>
          <w:ilvl w:val="0"/>
          <w:numId w:val="16"/>
        </w:numPr>
        <w:rPr>
          <w:lang w:eastAsia="en-GB"/>
        </w:rPr>
      </w:pPr>
      <w:r>
        <w:rPr>
          <w:lang w:eastAsia="en-GB"/>
        </w:rPr>
        <w:t>Gaps and / or obstacles</w:t>
      </w:r>
    </w:p>
    <w:p w14:paraId="593FE501" w14:textId="5CC364CD" w:rsidR="004B0FA3" w:rsidRDefault="004B0FA3" w:rsidP="00356676">
      <w:pPr>
        <w:pStyle w:val="ListParagraph"/>
        <w:numPr>
          <w:ilvl w:val="0"/>
          <w:numId w:val="16"/>
        </w:numPr>
        <w:rPr>
          <w:lang w:eastAsia="en-GB"/>
        </w:rPr>
      </w:pPr>
      <w:r>
        <w:rPr>
          <w:lang w:eastAsia="en-GB"/>
        </w:rPr>
        <w:t>Risks</w:t>
      </w:r>
    </w:p>
    <w:p w14:paraId="74D2AC93" w14:textId="6C67F1AA" w:rsidR="00423C3E" w:rsidRDefault="00423C3E" w:rsidP="00356676">
      <w:pPr>
        <w:pStyle w:val="ListParagraph"/>
        <w:numPr>
          <w:ilvl w:val="0"/>
          <w:numId w:val="16"/>
        </w:numPr>
        <w:rPr>
          <w:lang w:eastAsia="en-GB"/>
        </w:rPr>
      </w:pPr>
      <w:r>
        <w:rPr>
          <w:lang w:eastAsia="en-GB"/>
        </w:rPr>
        <w:t xml:space="preserve">Areas of good practice </w:t>
      </w:r>
    </w:p>
    <w:p w14:paraId="5E8F86A9" w14:textId="725C3BB7" w:rsidR="00130D5C" w:rsidRPr="000A2130" w:rsidRDefault="00EF6CB5" w:rsidP="00831455">
      <w:pPr>
        <w:pStyle w:val="ListParagraph"/>
        <w:numPr>
          <w:ilvl w:val="0"/>
          <w:numId w:val="16"/>
        </w:numPr>
        <w:rPr>
          <w:b/>
          <w:bCs/>
          <w:u w:val="single"/>
        </w:rPr>
      </w:pPr>
      <w:r>
        <w:rPr>
          <w:lang w:eastAsia="en-GB"/>
        </w:rPr>
        <w:t xml:space="preserve">Possible </w:t>
      </w:r>
      <w:r w:rsidR="00423C3E">
        <w:rPr>
          <w:lang w:eastAsia="en-GB"/>
        </w:rPr>
        <w:t xml:space="preserve">remedial options </w:t>
      </w:r>
    </w:p>
    <w:p w14:paraId="576BCA86" w14:textId="77777777" w:rsidR="000A2130" w:rsidRPr="000A2130" w:rsidRDefault="000A2130" w:rsidP="000A2130">
      <w:pPr>
        <w:pStyle w:val="ListParagraph"/>
        <w:ind w:left="1287"/>
        <w:rPr>
          <w:b/>
          <w:bCs/>
          <w:u w:val="single"/>
        </w:rPr>
      </w:pPr>
    </w:p>
    <w:p w14:paraId="1A31522E" w14:textId="370FDE7C" w:rsidR="00316BE4" w:rsidRPr="00D83CBB" w:rsidRDefault="00316BE4" w:rsidP="00D83CBB">
      <w:pPr>
        <w:pStyle w:val="ListParagraph"/>
        <w:numPr>
          <w:ilvl w:val="0"/>
          <w:numId w:val="17"/>
        </w:numPr>
        <w:rPr>
          <w:b/>
          <w:bCs/>
          <w:u w:val="single"/>
        </w:rPr>
      </w:pPr>
      <w:r w:rsidRPr="00D83CBB">
        <w:rPr>
          <w:b/>
          <w:bCs/>
          <w:u w:val="single"/>
        </w:rPr>
        <w:t>Methodology</w:t>
      </w:r>
    </w:p>
    <w:p w14:paraId="651625F7" w14:textId="7E8177A1" w:rsidR="009B79FB" w:rsidRPr="00934E8D" w:rsidRDefault="009B79FB" w:rsidP="00934E8D">
      <w:pPr>
        <w:pStyle w:val="ListParagraph"/>
        <w:numPr>
          <w:ilvl w:val="0"/>
          <w:numId w:val="12"/>
        </w:numPr>
        <w:rPr>
          <w:rFonts w:cstheme="minorHAnsi"/>
        </w:rPr>
      </w:pPr>
      <w:r w:rsidRPr="00934E8D">
        <w:rPr>
          <w:rFonts w:cstheme="minorHAnsi"/>
        </w:rPr>
        <w:t>Several national pieces of work on neurodiversity have been completed or are underway. Th</w:t>
      </w:r>
      <w:r w:rsidR="00AD1872">
        <w:rPr>
          <w:rFonts w:cstheme="minorHAnsi"/>
        </w:rPr>
        <w:t>e</w:t>
      </w:r>
      <w:r w:rsidRPr="00934E8D">
        <w:rPr>
          <w:rFonts w:cstheme="minorHAnsi"/>
        </w:rPr>
        <w:t>s</w:t>
      </w:r>
      <w:r w:rsidR="00AD1872">
        <w:rPr>
          <w:rFonts w:cstheme="minorHAnsi"/>
        </w:rPr>
        <w:t>e</w:t>
      </w:r>
      <w:r w:rsidRPr="00934E8D">
        <w:rPr>
          <w:rFonts w:cstheme="minorHAnsi"/>
        </w:rPr>
        <w:t xml:space="preserve"> include:</w:t>
      </w:r>
    </w:p>
    <w:p w14:paraId="1DBB6460" w14:textId="77777777" w:rsidR="009B79FB" w:rsidRPr="001767AD" w:rsidRDefault="009B79FB" w:rsidP="005E3A6A">
      <w:pPr>
        <w:pStyle w:val="ListParagraph"/>
        <w:numPr>
          <w:ilvl w:val="1"/>
          <w:numId w:val="12"/>
        </w:numPr>
        <w:rPr>
          <w:lang w:val="en-US"/>
        </w:rPr>
      </w:pPr>
      <w:r w:rsidRPr="001767AD">
        <w:rPr>
          <w:lang w:val="en-US"/>
        </w:rPr>
        <w:t xml:space="preserve">A recent </w:t>
      </w:r>
      <w:proofErr w:type="spellStart"/>
      <w:r w:rsidRPr="001767AD">
        <w:rPr>
          <w:lang w:val="en-US"/>
        </w:rPr>
        <w:t>MoJ</w:t>
      </w:r>
      <w:proofErr w:type="spellEnd"/>
      <w:r w:rsidRPr="001767AD">
        <w:rPr>
          <w:lang w:val="en-US"/>
        </w:rPr>
        <w:t xml:space="preserve">/HMPPS Call for Evidence on adult neurodiversity in the criminal justice system which has provided a significant resource of information. </w:t>
      </w:r>
    </w:p>
    <w:p w14:paraId="39068314" w14:textId="77777777" w:rsidR="009B79FB" w:rsidRPr="001767AD" w:rsidRDefault="009B79FB" w:rsidP="005E3A6A">
      <w:pPr>
        <w:pStyle w:val="ListParagraph"/>
        <w:numPr>
          <w:ilvl w:val="1"/>
          <w:numId w:val="12"/>
        </w:numPr>
        <w:rPr>
          <w:rFonts w:cstheme="minorHAnsi"/>
        </w:rPr>
      </w:pPr>
      <w:r w:rsidRPr="001767AD">
        <w:rPr>
          <w:lang w:val="en-US"/>
        </w:rPr>
        <w:t xml:space="preserve">The </w:t>
      </w:r>
      <w:proofErr w:type="spellStart"/>
      <w:r w:rsidRPr="001767AD">
        <w:rPr>
          <w:lang w:val="en-US"/>
        </w:rPr>
        <w:t>MoJ</w:t>
      </w:r>
      <w:proofErr w:type="spellEnd"/>
      <w:r w:rsidRPr="001767AD">
        <w:rPr>
          <w:lang w:val="en-US"/>
        </w:rPr>
        <w:t xml:space="preserve"> are in talks about a universal neurodiversity screening tool for prisons and have a steering group on identification tools.</w:t>
      </w:r>
    </w:p>
    <w:p w14:paraId="49DF65B0" w14:textId="77777777" w:rsidR="009B79FB" w:rsidRPr="001767AD" w:rsidRDefault="009B79FB" w:rsidP="005E3A6A">
      <w:pPr>
        <w:pStyle w:val="ListParagraph"/>
        <w:numPr>
          <w:ilvl w:val="1"/>
          <w:numId w:val="12"/>
        </w:numPr>
        <w:rPr>
          <w:rFonts w:cstheme="minorHAnsi"/>
        </w:rPr>
      </w:pPr>
      <w:r w:rsidRPr="001767AD">
        <w:t>User Voice are completing a 15-prison peer led research into neurodiversity needs</w:t>
      </w:r>
    </w:p>
    <w:p w14:paraId="1A4CFF76" w14:textId="69958399" w:rsidR="009B79FB" w:rsidRDefault="009B79FB" w:rsidP="005E3A6A">
      <w:pPr>
        <w:pStyle w:val="ListParagraph"/>
        <w:ind w:left="360"/>
      </w:pPr>
      <w:r w:rsidRPr="001767AD">
        <w:t xml:space="preserve">The findings and outcomes of these activities should be considered in the review’s methodology and information sources.  </w:t>
      </w:r>
    </w:p>
    <w:p w14:paraId="27E669A9" w14:textId="77777777" w:rsidR="005E3A6A" w:rsidRPr="001767AD" w:rsidRDefault="005E3A6A" w:rsidP="005E3A6A">
      <w:pPr>
        <w:pStyle w:val="ListParagraph"/>
        <w:ind w:left="360"/>
      </w:pPr>
    </w:p>
    <w:p w14:paraId="3EED774F" w14:textId="0CEADB90" w:rsidR="00316BE4" w:rsidRPr="005E3A6A" w:rsidRDefault="00316BE4" w:rsidP="3EA3F007">
      <w:pPr>
        <w:pStyle w:val="ListParagraph"/>
        <w:numPr>
          <w:ilvl w:val="0"/>
          <w:numId w:val="12"/>
        </w:numPr>
        <w:rPr>
          <w:rFonts w:eastAsiaTheme="minorEastAsia"/>
          <w:i/>
          <w:iCs/>
        </w:rPr>
      </w:pPr>
      <w:r>
        <w:t>A mix</w:t>
      </w:r>
      <w:r w:rsidR="00ED30DC">
        <w:t>ed</w:t>
      </w:r>
      <w:r>
        <w:t xml:space="preserve"> methodology is </w:t>
      </w:r>
      <w:r w:rsidR="00ED30DC">
        <w:t>anticipated as being required,</w:t>
      </w:r>
      <w:r>
        <w:t xml:space="preserve"> ranging from desk top reviews, to staff</w:t>
      </w:r>
      <w:r w:rsidR="242B394E">
        <w:t xml:space="preserve"> (health and cust</w:t>
      </w:r>
      <w:r w:rsidR="00BC53CC">
        <w:t>o</w:t>
      </w:r>
      <w:r w:rsidR="242B394E">
        <w:t xml:space="preserve">dial) </w:t>
      </w:r>
      <w:r>
        <w:t>and prisoner focus groups and surveys and si</w:t>
      </w:r>
      <w:r w:rsidR="0B75B098">
        <w:t>t</w:t>
      </w:r>
      <w:r>
        <w:t xml:space="preserve">e visits. </w:t>
      </w:r>
    </w:p>
    <w:p w14:paraId="69407745" w14:textId="77777777" w:rsidR="005E3A6A" w:rsidRPr="005E3A6A" w:rsidRDefault="005E3A6A" w:rsidP="005E3A6A">
      <w:pPr>
        <w:pStyle w:val="ListParagraph"/>
        <w:ind w:left="360"/>
        <w:rPr>
          <w:rFonts w:eastAsiaTheme="minorEastAsia"/>
          <w:i/>
        </w:rPr>
      </w:pPr>
    </w:p>
    <w:p w14:paraId="300DA849" w14:textId="6449678C" w:rsidR="00ED30DC" w:rsidRDefault="4044B114" w:rsidP="00ED30DC">
      <w:pPr>
        <w:pStyle w:val="ListParagraph"/>
        <w:numPr>
          <w:ilvl w:val="0"/>
          <w:numId w:val="12"/>
        </w:numPr>
      </w:pPr>
      <w:r w:rsidRPr="001767AD">
        <w:t xml:space="preserve">It is required that all </w:t>
      </w:r>
      <w:r w:rsidR="00756E65">
        <w:t>east of England</w:t>
      </w:r>
      <w:r w:rsidRPr="001767AD">
        <w:t xml:space="preserve"> prison healthcare providers and Prison Governors/Directors are included in the project, potentially via questionnaires</w:t>
      </w:r>
      <w:r w:rsidR="001B6CC9">
        <w:t>, telephone interviews and/</w:t>
      </w:r>
      <w:r w:rsidRPr="001767AD">
        <w:t xml:space="preserve"> </w:t>
      </w:r>
      <w:r w:rsidR="7AD19D32" w:rsidRPr="001767AD">
        <w:t xml:space="preserve">or </w:t>
      </w:r>
      <w:r w:rsidRPr="001767AD">
        <w:t>on</w:t>
      </w:r>
      <w:r w:rsidR="002960E2" w:rsidRPr="001767AD">
        <w:t>-</w:t>
      </w:r>
      <w:r w:rsidRPr="001767AD">
        <w:t xml:space="preserve">line surveys. </w:t>
      </w:r>
    </w:p>
    <w:p w14:paraId="43B8EA0E" w14:textId="77777777" w:rsidR="00ED30DC" w:rsidRDefault="00ED30DC" w:rsidP="00ED30DC">
      <w:pPr>
        <w:pStyle w:val="ListParagraph"/>
        <w:ind w:left="360"/>
      </w:pPr>
    </w:p>
    <w:p w14:paraId="4060EF62" w14:textId="71124E9A" w:rsidR="60142A4F" w:rsidRPr="001767AD" w:rsidRDefault="00E00BEB" w:rsidP="005E3A6A">
      <w:pPr>
        <w:pStyle w:val="ListParagraph"/>
        <w:numPr>
          <w:ilvl w:val="0"/>
          <w:numId w:val="12"/>
        </w:numPr>
      </w:pPr>
      <w:r>
        <w:t>The revie</w:t>
      </w:r>
      <w:r w:rsidR="00CC497A">
        <w:t xml:space="preserve">w needs to be </w:t>
      </w:r>
      <w:r w:rsidR="009348CF">
        <w:t xml:space="preserve">approached </w:t>
      </w:r>
      <w:r w:rsidR="00CC497A">
        <w:t>according to the different categories of prison and their populations:</w:t>
      </w:r>
    </w:p>
    <w:p w14:paraId="2F26C059" w14:textId="36FC23CC" w:rsidR="60142A4F" w:rsidRPr="001767AD" w:rsidRDefault="60142A4F" w:rsidP="005E3A6A">
      <w:pPr>
        <w:pStyle w:val="ListParagraph"/>
        <w:numPr>
          <w:ilvl w:val="1"/>
          <w:numId w:val="13"/>
        </w:numPr>
        <w:rPr>
          <w:i/>
          <w:iCs/>
        </w:rPr>
      </w:pPr>
      <w:r w:rsidRPr="001767AD">
        <w:rPr>
          <w:i/>
          <w:iCs/>
        </w:rPr>
        <w:t>Cat A</w:t>
      </w:r>
      <w:r w:rsidR="00CC497A">
        <w:rPr>
          <w:i/>
          <w:iCs/>
        </w:rPr>
        <w:t xml:space="preserve"> and cat B high secure (</w:t>
      </w:r>
      <w:r w:rsidR="00767C27">
        <w:rPr>
          <w:i/>
          <w:iCs/>
        </w:rPr>
        <w:t xml:space="preserve">HMPs </w:t>
      </w:r>
      <w:proofErr w:type="spellStart"/>
      <w:r w:rsidR="00CC497A">
        <w:rPr>
          <w:i/>
          <w:iCs/>
        </w:rPr>
        <w:t>Whitemoor</w:t>
      </w:r>
      <w:proofErr w:type="spellEnd"/>
      <w:r w:rsidR="00CC497A">
        <w:rPr>
          <w:i/>
          <w:iCs/>
        </w:rPr>
        <w:t xml:space="preserve"> and Woodhill)</w:t>
      </w:r>
    </w:p>
    <w:p w14:paraId="2FC02097" w14:textId="5AC44003" w:rsidR="60142A4F" w:rsidRPr="001767AD" w:rsidRDefault="60142A4F" w:rsidP="005E3A6A">
      <w:pPr>
        <w:pStyle w:val="ListParagraph"/>
        <w:numPr>
          <w:ilvl w:val="1"/>
          <w:numId w:val="13"/>
        </w:numPr>
        <w:rPr>
          <w:i/>
          <w:iCs/>
        </w:rPr>
      </w:pPr>
      <w:r w:rsidRPr="001767AD">
        <w:rPr>
          <w:i/>
          <w:iCs/>
        </w:rPr>
        <w:t xml:space="preserve">Cat B </w:t>
      </w:r>
      <w:r w:rsidR="00CC497A">
        <w:rPr>
          <w:i/>
          <w:iCs/>
        </w:rPr>
        <w:t>reception prisons (</w:t>
      </w:r>
      <w:r w:rsidR="00767C27">
        <w:rPr>
          <w:i/>
          <w:iCs/>
        </w:rPr>
        <w:t xml:space="preserve">HMPs </w:t>
      </w:r>
      <w:r w:rsidR="00CC497A">
        <w:rPr>
          <w:i/>
          <w:iCs/>
        </w:rPr>
        <w:t xml:space="preserve">Norwich, Bedford, </w:t>
      </w:r>
      <w:proofErr w:type="gramStart"/>
      <w:r w:rsidR="00001F72">
        <w:rPr>
          <w:i/>
          <w:iCs/>
        </w:rPr>
        <w:t>P</w:t>
      </w:r>
      <w:r w:rsidR="00CC497A">
        <w:rPr>
          <w:i/>
          <w:iCs/>
        </w:rPr>
        <w:t>eterborough</w:t>
      </w:r>
      <w:proofErr w:type="gramEnd"/>
      <w:r w:rsidR="00CC497A">
        <w:rPr>
          <w:i/>
          <w:iCs/>
        </w:rPr>
        <w:t xml:space="preserve"> and </w:t>
      </w:r>
      <w:r w:rsidR="00125DD2">
        <w:rPr>
          <w:i/>
          <w:iCs/>
        </w:rPr>
        <w:t>Chelmsford)</w:t>
      </w:r>
      <w:r w:rsidR="00CC497A">
        <w:rPr>
          <w:i/>
          <w:iCs/>
        </w:rPr>
        <w:t xml:space="preserve"> </w:t>
      </w:r>
    </w:p>
    <w:p w14:paraId="1B0260F8" w14:textId="1A17DB70" w:rsidR="60142A4F" w:rsidRPr="001767AD" w:rsidRDefault="60142A4F" w:rsidP="005E3A6A">
      <w:pPr>
        <w:pStyle w:val="ListParagraph"/>
        <w:numPr>
          <w:ilvl w:val="1"/>
          <w:numId w:val="13"/>
        </w:numPr>
        <w:rPr>
          <w:i/>
          <w:iCs/>
        </w:rPr>
      </w:pPr>
      <w:r w:rsidRPr="001767AD">
        <w:rPr>
          <w:i/>
          <w:iCs/>
        </w:rPr>
        <w:t>Cat C</w:t>
      </w:r>
      <w:r w:rsidR="00125DD2">
        <w:rPr>
          <w:i/>
          <w:iCs/>
        </w:rPr>
        <w:t xml:space="preserve"> training and resettlement prisons</w:t>
      </w:r>
      <w:r w:rsidR="00D82226">
        <w:rPr>
          <w:i/>
          <w:iCs/>
        </w:rPr>
        <w:t xml:space="preserve"> (</w:t>
      </w:r>
      <w:r w:rsidR="00767C27">
        <w:rPr>
          <w:i/>
          <w:iCs/>
        </w:rPr>
        <w:t xml:space="preserve">HMPs </w:t>
      </w:r>
      <w:r w:rsidR="00D82226">
        <w:rPr>
          <w:i/>
          <w:iCs/>
        </w:rPr>
        <w:t>Highpoint,</w:t>
      </w:r>
      <w:r w:rsidR="00AF149E">
        <w:rPr>
          <w:i/>
          <w:iCs/>
        </w:rPr>
        <w:t xml:space="preserve"> The Mount, </w:t>
      </w:r>
      <w:proofErr w:type="gramStart"/>
      <w:r w:rsidR="00AF149E">
        <w:rPr>
          <w:i/>
          <w:iCs/>
        </w:rPr>
        <w:t>Warren  Hill</w:t>
      </w:r>
      <w:proofErr w:type="gramEnd"/>
      <w:r w:rsidR="00AF149E">
        <w:rPr>
          <w:i/>
          <w:iCs/>
        </w:rPr>
        <w:t xml:space="preserve">, Wayland </w:t>
      </w:r>
      <w:r w:rsidR="00EB06B1">
        <w:rPr>
          <w:i/>
          <w:iCs/>
        </w:rPr>
        <w:t>)</w:t>
      </w:r>
    </w:p>
    <w:p w14:paraId="6613C8C3" w14:textId="5CACC465" w:rsidR="60142A4F" w:rsidRPr="001767AD" w:rsidRDefault="00125DD2" w:rsidP="005E3A6A">
      <w:pPr>
        <w:pStyle w:val="ListParagraph"/>
        <w:numPr>
          <w:ilvl w:val="1"/>
          <w:numId w:val="13"/>
        </w:numPr>
        <w:rPr>
          <w:i/>
          <w:iCs/>
        </w:rPr>
      </w:pPr>
      <w:r>
        <w:rPr>
          <w:i/>
          <w:iCs/>
        </w:rPr>
        <w:t>Cat C sex offender prison</w:t>
      </w:r>
      <w:r w:rsidR="00D82226">
        <w:rPr>
          <w:i/>
          <w:iCs/>
        </w:rPr>
        <w:t>s</w:t>
      </w:r>
      <w:r>
        <w:rPr>
          <w:i/>
          <w:iCs/>
        </w:rPr>
        <w:t xml:space="preserve"> (</w:t>
      </w:r>
      <w:r w:rsidR="00767C27">
        <w:rPr>
          <w:i/>
          <w:iCs/>
        </w:rPr>
        <w:t xml:space="preserve">HMPs </w:t>
      </w:r>
      <w:proofErr w:type="spellStart"/>
      <w:r>
        <w:rPr>
          <w:i/>
          <w:iCs/>
        </w:rPr>
        <w:t>Littl</w:t>
      </w:r>
      <w:r w:rsidR="00D82226">
        <w:rPr>
          <w:i/>
          <w:iCs/>
        </w:rPr>
        <w:t>e</w:t>
      </w:r>
      <w:r>
        <w:rPr>
          <w:i/>
          <w:iCs/>
        </w:rPr>
        <w:t>hey</w:t>
      </w:r>
      <w:proofErr w:type="spellEnd"/>
      <w:r>
        <w:rPr>
          <w:i/>
          <w:iCs/>
        </w:rPr>
        <w:t xml:space="preserve"> and Bure)</w:t>
      </w:r>
    </w:p>
    <w:p w14:paraId="5DF6427C" w14:textId="46DADEEB" w:rsidR="60142A4F" w:rsidRDefault="60142A4F" w:rsidP="005E3A6A">
      <w:pPr>
        <w:pStyle w:val="ListParagraph"/>
        <w:numPr>
          <w:ilvl w:val="1"/>
          <w:numId w:val="13"/>
        </w:numPr>
        <w:rPr>
          <w:i/>
          <w:iCs/>
        </w:rPr>
      </w:pPr>
      <w:r w:rsidRPr="001767AD">
        <w:rPr>
          <w:i/>
          <w:iCs/>
        </w:rPr>
        <w:t>Women’s</w:t>
      </w:r>
      <w:r w:rsidR="00125DD2">
        <w:rPr>
          <w:i/>
          <w:iCs/>
        </w:rPr>
        <w:t xml:space="preserve"> prison (HMP Peterborough)</w:t>
      </w:r>
    </w:p>
    <w:p w14:paraId="55A6C539" w14:textId="665E6307" w:rsidR="00EB06B1" w:rsidRDefault="00EB06B1" w:rsidP="005E3A6A">
      <w:pPr>
        <w:pStyle w:val="ListParagraph"/>
        <w:numPr>
          <w:ilvl w:val="1"/>
          <w:numId w:val="13"/>
        </w:numPr>
        <w:rPr>
          <w:i/>
          <w:iCs/>
        </w:rPr>
      </w:pPr>
      <w:r>
        <w:rPr>
          <w:i/>
          <w:iCs/>
        </w:rPr>
        <w:t xml:space="preserve">Cat D </w:t>
      </w:r>
      <w:proofErr w:type="gramStart"/>
      <w:r>
        <w:rPr>
          <w:i/>
          <w:iCs/>
        </w:rPr>
        <w:t>prison  (</w:t>
      </w:r>
      <w:proofErr w:type="gramEnd"/>
      <w:r>
        <w:rPr>
          <w:i/>
          <w:iCs/>
        </w:rPr>
        <w:t xml:space="preserve">HMP </w:t>
      </w:r>
      <w:proofErr w:type="spellStart"/>
      <w:r>
        <w:rPr>
          <w:i/>
          <w:iCs/>
        </w:rPr>
        <w:t>Hollesley</w:t>
      </w:r>
      <w:proofErr w:type="spellEnd"/>
      <w:r>
        <w:rPr>
          <w:i/>
          <w:iCs/>
        </w:rPr>
        <w:t xml:space="preserve"> Bay)</w:t>
      </w:r>
    </w:p>
    <w:p w14:paraId="4E09F1C3" w14:textId="4CA01725" w:rsidR="009348CF" w:rsidRPr="004960E2" w:rsidRDefault="009348CF" w:rsidP="009348CF">
      <w:r w:rsidRPr="004960E2">
        <w:t xml:space="preserve">Where there </w:t>
      </w:r>
      <w:r w:rsidR="004960E2">
        <w:t>are</w:t>
      </w:r>
      <w:r w:rsidRPr="004960E2">
        <w:t xml:space="preserve"> more than two prisons in a </w:t>
      </w:r>
      <w:proofErr w:type="gramStart"/>
      <w:r w:rsidRPr="004960E2">
        <w:t>category,  the</w:t>
      </w:r>
      <w:proofErr w:type="gramEnd"/>
      <w:r w:rsidRPr="004960E2">
        <w:t xml:space="preserve"> author may </w:t>
      </w:r>
      <w:r w:rsidR="008063A1" w:rsidRPr="004960E2">
        <w:t xml:space="preserve">adopt an approach that ensures that findings are robust for that category without necessarily using the same </w:t>
      </w:r>
      <w:r w:rsidR="004960E2" w:rsidRPr="004960E2">
        <w:t>arrangements for obtaining information from all prisons in that category.</w:t>
      </w:r>
    </w:p>
    <w:p w14:paraId="142DDCE5" w14:textId="77777777" w:rsidR="00701AFC" w:rsidRPr="001767AD" w:rsidRDefault="00701AFC" w:rsidP="00701AFC">
      <w:pPr>
        <w:pStyle w:val="ListParagraph"/>
        <w:ind w:left="1080"/>
        <w:rPr>
          <w:i/>
          <w:iCs/>
        </w:rPr>
      </w:pPr>
    </w:p>
    <w:p w14:paraId="77DC9FBD" w14:textId="02CA1111" w:rsidR="008B050F" w:rsidRDefault="00001F72" w:rsidP="005E3A6A">
      <w:pPr>
        <w:pStyle w:val="ListParagraph"/>
        <w:numPr>
          <w:ilvl w:val="0"/>
          <w:numId w:val="12"/>
        </w:numPr>
        <w:jc w:val="both"/>
      </w:pPr>
      <w:r>
        <w:t xml:space="preserve">To support the </w:t>
      </w:r>
      <w:r w:rsidR="008D0155">
        <w:t>findings of the review,</w:t>
      </w:r>
      <w:r w:rsidR="008B050F" w:rsidRPr="001767AD">
        <w:t xml:space="preserve"> an agreed number of case</w:t>
      </w:r>
      <w:r w:rsidR="003867CC" w:rsidRPr="001767AD">
        <w:t xml:space="preserve"> studies </w:t>
      </w:r>
      <w:r w:rsidR="008B050F" w:rsidRPr="001767AD">
        <w:t xml:space="preserve">are required to be </w:t>
      </w:r>
      <w:r w:rsidR="0082023D">
        <w:t>obtained</w:t>
      </w:r>
      <w:r w:rsidR="008B050F" w:rsidRPr="001767AD">
        <w:t>. NHS E/I (</w:t>
      </w:r>
      <w:r w:rsidR="008D0155">
        <w:t>East of England</w:t>
      </w:r>
      <w:r w:rsidR="008B050F" w:rsidRPr="001767AD">
        <w:t>) will facilitate engagement and access to providers across the pathway (health and criminal justice)</w:t>
      </w:r>
      <w:r w:rsidR="003867CC" w:rsidRPr="001767AD">
        <w:t xml:space="preserve">. </w:t>
      </w:r>
      <w:r w:rsidR="00AB367D" w:rsidRPr="001767AD">
        <w:t xml:space="preserve"> These could focus on prisoners </w:t>
      </w:r>
      <w:r w:rsidR="003867CC" w:rsidRPr="001767AD">
        <w:t xml:space="preserve">who reach the threshold for </w:t>
      </w:r>
      <w:r w:rsidR="00AB367D" w:rsidRPr="001767AD">
        <w:t>inpatient</w:t>
      </w:r>
      <w:r w:rsidR="003867CC" w:rsidRPr="001767AD">
        <w:t xml:space="preserve"> beds to understand </w:t>
      </w:r>
      <w:r w:rsidR="00AB367D" w:rsidRPr="001767AD">
        <w:t>the</w:t>
      </w:r>
      <w:r w:rsidR="005A1BAD" w:rsidRPr="001767AD">
        <w:t xml:space="preserve">ir </w:t>
      </w:r>
      <w:r w:rsidR="00AB367D" w:rsidRPr="001767AD">
        <w:t xml:space="preserve">journey into prison and </w:t>
      </w:r>
      <w:r w:rsidR="005A1BAD" w:rsidRPr="001767AD">
        <w:t xml:space="preserve">if/ </w:t>
      </w:r>
      <w:r w:rsidR="00AB367D" w:rsidRPr="001767AD">
        <w:t xml:space="preserve">how they have been </w:t>
      </w:r>
      <w:r w:rsidR="00AB62B5" w:rsidRPr="001767AD">
        <w:t>engage</w:t>
      </w:r>
      <w:r w:rsidR="00CC20A3">
        <w:t>d</w:t>
      </w:r>
      <w:r w:rsidR="00AB367D" w:rsidRPr="001767AD">
        <w:t xml:space="preserve"> and </w:t>
      </w:r>
      <w:r w:rsidR="00AB62B5" w:rsidRPr="001767AD">
        <w:t>supported</w:t>
      </w:r>
      <w:r w:rsidR="00AB367D" w:rsidRPr="001767AD">
        <w:t xml:space="preserve"> by </w:t>
      </w:r>
      <w:r w:rsidR="00AB62B5" w:rsidRPr="001767AD">
        <w:t xml:space="preserve">services up to that point. </w:t>
      </w:r>
    </w:p>
    <w:p w14:paraId="45F25C7D" w14:textId="77777777" w:rsidR="005E3A6A" w:rsidRPr="001767AD" w:rsidRDefault="005E3A6A" w:rsidP="005E3A6A">
      <w:pPr>
        <w:pStyle w:val="ListParagraph"/>
        <w:ind w:left="360"/>
        <w:jc w:val="both"/>
      </w:pPr>
    </w:p>
    <w:p w14:paraId="62AF4658" w14:textId="5EAF2EDF" w:rsidR="00E250DB" w:rsidRPr="001767AD" w:rsidRDefault="00E250DB" w:rsidP="005E3A6A">
      <w:pPr>
        <w:pStyle w:val="ListParagraph"/>
        <w:numPr>
          <w:ilvl w:val="0"/>
          <w:numId w:val="12"/>
        </w:numPr>
        <w:spacing w:line="257" w:lineRule="auto"/>
        <w:jc w:val="both"/>
      </w:pPr>
      <w:r>
        <w:t xml:space="preserve">The review must include people with Lived Experience as an active partner in this review. This will </w:t>
      </w:r>
      <w:r w:rsidRPr="3EA3F007">
        <w:rPr>
          <w:rFonts w:eastAsiaTheme="minorEastAsia"/>
        </w:rPr>
        <w:t xml:space="preserve">include undertaking the information gathering element of the project and testing recommendations being made in the main report. </w:t>
      </w:r>
    </w:p>
    <w:p w14:paraId="76B9ABCB" w14:textId="20CBAD6F" w:rsidR="00E250DB" w:rsidRPr="001767AD" w:rsidRDefault="00E250DB" w:rsidP="3EA3F007">
      <w:pPr>
        <w:spacing w:line="257" w:lineRule="auto"/>
        <w:jc w:val="both"/>
        <w:rPr>
          <w:rFonts w:eastAsiaTheme="minorEastAsia"/>
        </w:rPr>
      </w:pPr>
    </w:p>
    <w:p w14:paraId="4CF213FF" w14:textId="301047FF" w:rsidR="00E250DB" w:rsidRPr="001767AD" w:rsidRDefault="0082023D" w:rsidP="005E3A6A">
      <w:pPr>
        <w:pStyle w:val="ListParagraph"/>
        <w:numPr>
          <w:ilvl w:val="0"/>
          <w:numId w:val="12"/>
        </w:numPr>
        <w:spacing w:line="257" w:lineRule="auto"/>
        <w:jc w:val="both"/>
      </w:pPr>
      <w:r w:rsidRPr="0082023D">
        <w:rPr>
          <w:rFonts w:eastAsiaTheme="minorEastAsia"/>
          <w:b/>
          <w:bCs/>
        </w:rPr>
        <w:t xml:space="preserve">Safeguarding   </w:t>
      </w:r>
      <w:r>
        <w:rPr>
          <w:rFonts w:eastAsiaTheme="minorEastAsia"/>
        </w:rPr>
        <w:t xml:space="preserve">  </w:t>
      </w:r>
      <w:r w:rsidR="76E91E81" w:rsidRPr="3EA3F007">
        <w:rPr>
          <w:rFonts w:eastAsiaTheme="minorEastAsia"/>
        </w:rPr>
        <w:t xml:space="preserve"> The organisation and individuals undertaking the project must </w:t>
      </w:r>
      <w:r w:rsidR="00995F8C" w:rsidRPr="3EA3F007">
        <w:rPr>
          <w:rFonts w:eastAsiaTheme="minorEastAsia"/>
        </w:rPr>
        <w:t>have an up to date DB</w:t>
      </w:r>
      <w:r w:rsidR="00FA0B0C" w:rsidRPr="3EA3F007">
        <w:rPr>
          <w:rFonts w:eastAsiaTheme="minorEastAsia"/>
        </w:rPr>
        <w:t>S</w:t>
      </w:r>
      <w:r w:rsidR="00D94467" w:rsidRPr="3EA3F007">
        <w:rPr>
          <w:rFonts w:eastAsiaTheme="minorEastAsia"/>
        </w:rPr>
        <w:t xml:space="preserve"> check</w:t>
      </w:r>
      <w:r w:rsidR="00FA0B0C" w:rsidRPr="3EA3F007">
        <w:rPr>
          <w:rFonts w:eastAsiaTheme="minorEastAsia"/>
        </w:rPr>
        <w:t xml:space="preserve"> </w:t>
      </w:r>
      <w:r w:rsidR="00981D6A" w:rsidRPr="3EA3F007">
        <w:rPr>
          <w:rFonts w:eastAsiaTheme="minorEastAsia"/>
        </w:rPr>
        <w:t>and</w:t>
      </w:r>
      <w:r w:rsidR="00D94467" w:rsidRPr="3EA3F007">
        <w:rPr>
          <w:rFonts w:eastAsiaTheme="minorEastAsia"/>
        </w:rPr>
        <w:t xml:space="preserve"> appropriate</w:t>
      </w:r>
      <w:r w:rsidR="00981D6A" w:rsidRPr="3EA3F007">
        <w:rPr>
          <w:rFonts w:eastAsiaTheme="minorEastAsia"/>
        </w:rPr>
        <w:t xml:space="preserve"> safeguarding training</w:t>
      </w:r>
      <w:r w:rsidR="00B75742" w:rsidRPr="3EA3F007">
        <w:rPr>
          <w:rFonts w:eastAsiaTheme="minorEastAsia"/>
        </w:rPr>
        <w:t xml:space="preserve"> and will comply with </w:t>
      </w:r>
      <w:r>
        <w:rPr>
          <w:rFonts w:eastAsiaTheme="minorEastAsia"/>
        </w:rPr>
        <w:t>s</w:t>
      </w:r>
      <w:r w:rsidR="00B75742" w:rsidRPr="3EA3F007">
        <w:rPr>
          <w:rFonts w:eastAsiaTheme="minorEastAsia"/>
        </w:rPr>
        <w:t>afeguarding requirements</w:t>
      </w:r>
      <w:r w:rsidR="00D40830" w:rsidRPr="3EA3F007">
        <w:rPr>
          <w:rFonts w:eastAsiaTheme="minorEastAsia"/>
        </w:rPr>
        <w:t xml:space="preserve"> at all times.</w:t>
      </w:r>
      <w:r w:rsidR="76E91E81" w:rsidRPr="3EA3F007">
        <w:rPr>
          <w:rFonts w:eastAsiaTheme="minorEastAsia"/>
        </w:rPr>
        <w:t xml:space="preserve"> </w:t>
      </w:r>
    </w:p>
    <w:p w14:paraId="238D5E4B" w14:textId="77777777" w:rsidR="005E3A6A" w:rsidRPr="001767AD" w:rsidRDefault="005E3A6A" w:rsidP="001767A2">
      <w:pPr>
        <w:rPr>
          <w:b/>
          <w:bCs/>
          <w:u w:val="single"/>
        </w:rPr>
      </w:pPr>
    </w:p>
    <w:p w14:paraId="2CEC7728" w14:textId="26C6CBC2" w:rsidR="001767A2" w:rsidRPr="00D83CBB" w:rsidRDefault="00426E36" w:rsidP="00D83CBB">
      <w:pPr>
        <w:pStyle w:val="ListParagraph"/>
        <w:numPr>
          <w:ilvl w:val="0"/>
          <w:numId w:val="17"/>
        </w:numPr>
        <w:rPr>
          <w:b/>
          <w:bCs/>
          <w:u w:val="single"/>
        </w:rPr>
      </w:pPr>
      <w:r w:rsidRPr="00D83CBB">
        <w:rPr>
          <w:b/>
          <w:bCs/>
          <w:u w:val="single"/>
        </w:rPr>
        <w:t xml:space="preserve">Final </w:t>
      </w:r>
      <w:r w:rsidR="001767A2" w:rsidRPr="00D83CBB">
        <w:rPr>
          <w:b/>
          <w:bCs/>
          <w:u w:val="single"/>
        </w:rPr>
        <w:t>Report</w:t>
      </w:r>
      <w:r w:rsidRPr="00D83CBB">
        <w:rPr>
          <w:b/>
          <w:bCs/>
          <w:u w:val="single"/>
        </w:rPr>
        <w:t xml:space="preserve"> Requirements</w:t>
      </w:r>
    </w:p>
    <w:p w14:paraId="78857A62" w14:textId="66B30CCB" w:rsidR="00BA5F76" w:rsidRPr="001767AD" w:rsidRDefault="006A2CCF" w:rsidP="00000C57">
      <w:pPr>
        <w:jc w:val="both"/>
      </w:pPr>
      <w:r>
        <w:t>The</w:t>
      </w:r>
      <w:r w:rsidR="00BA5F76" w:rsidRPr="001767AD">
        <w:t xml:space="preserve"> report </w:t>
      </w:r>
      <w:r>
        <w:t>must</w:t>
      </w:r>
      <w:r w:rsidR="00BA5F76" w:rsidRPr="001767AD">
        <w:t xml:space="preserve"> have </w:t>
      </w:r>
      <w:r w:rsidR="00426E36" w:rsidRPr="001767AD">
        <w:t>clear and evidenced</w:t>
      </w:r>
    </w:p>
    <w:p w14:paraId="7D7478DE" w14:textId="4C248D67" w:rsidR="00BA5F76" w:rsidRPr="001767AD" w:rsidRDefault="00BA5F76" w:rsidP="00000C57">
      <w:pPr>
        <w:pStyle w:val="ListParagraph"/>
        <w:numPr>
          <w:ilvl w:val="0"/>
          <w:numId w:val="6"/>
        </w:numPr>
        <w:jc w:val="both"/>
      </w:pPr>
      <w:r w:rsidRPr="001767AD">
        <w:t xml:space="preserve">Generic findings and </w:t>
      </w:r>
      <w:r w:rsidR="00426E36" w:rsidRPr="001767AD">
        <w:t xml:space="preserve">SMART </w:t>
      </w:r>
      <w:r w:rsidR="001767A2" w:rsidRPr="001767AD">
        <w:t>recommen</w:t>
      </w:r>
      <w:r w:rsidRPr="001767AD">
        <w:t>d</w:t>
      </w:r>
      <w:r w:rsidR="001767A2" w:rsidRPr="001767AD">
        <w:t>ations</w:t>
      </w:r>
      <w:r w:rsidR="7F0B8EA0" w:rsidRPr="001767AD">
        <w:t xml:space="preserve">, e.g. those </w:t>
      </w:r>
      <w:r w:rsidRPr="001767AD">
        <w:t>common across all</w:t>
      </w:r>
      <w:r w:rsidR="0B4E43C1" w:rsidRPr="001767AD">
        <w:t xml:space="preserve">/ several </w:t>
      </w:r>
      <w:r w:rsidRPr="001767AD">
        <w:t>sites</w:t>
      </w:r>
    </w:p>
    <w:p w14:paraId="50463BA1" w14:textId="13E5DB83" w:rsidR="00BA5F76" w:rsidRPr="001767AD" w:rsidRDefault="00BA5F76" w:rsidP="00000C57">
      <w:pPr>
        <w:pStyle w:val="ListParagraph"/>
        <w:numPr>
          <w:ilvl w:val="0"/>
          <w:numId w:val="6"/>
        </w:numPr>
        <w:jc w:val="both"/>
      </w:pPr>
      <w:r w:rsidRPr="001767AD">
        <w:t xml:space="preserve">Specific findings and </w:t>
      </w:r>
      <w:r w:rsidR="00426E36" w:rsidRPr="001767AD">
        <w:t xml:space="preserve">SMART </w:t>
      </w:r>
      <w:r w:rsidRPr="001767AD">
        <w:t>recommendations broken down by</w:t>
      </w:r>
      <w:r w:rsidR="765DF42F" w:rsidRPr="001767AD">
        <w:t xml:space="preserve"> establishment and </w:t>
      </w:r>
      <w:r w:rsidRPr="001767AD">
        <w:t>ICS area (See Appendix 2) where these have been identified</w:t>
      </w:r>
    </w:p>
    <w:p w14:paraId="47369698" w14:textId="2B1723B5" w:rsidR="0071315C" w:rsidRPr="001767AD" w:rsidRDefault="0071315C" w:rsidP="00000C57">
      <w:pPr>
        <w:pStyle w:val="ListParagraph"/>
        <w:numPr>
          <w:ilvl w:val="0"/>
          <w:numId w:val="6"/>
        </w:numPr>
        <w:jc w:val="both"/>
      </w:pPr>
      <w:r w:rsidRPr="001767AD">
        <w:t xml:space="preserve">Specific findings and SMART recommendations for those with one or more protected characteristics.  </w:t>
      </w:r>
    </w:p>
    <w:p w14:paraId="254E0EDE" w14:textId="77777777" w:rsidR="0071315C" w:rsidRPr="001767AD" w:rsidRDefault="0071315C" w:rsidP="00000C57">
      <w:pPr>
        <w:pStyle w:val="ListParagraph"/>
        <w:ind w:left="765"/>
        <w:jc w:val="both"/>
      </w:pPr>
    </w:p>
    <w:p w14:paraId="5BD5BCF7" w14:textId="6421D955" w:rsidR="0D7390EA" w:rsidRPr="00D83CBB" w:rsidRDefault="0D7390EA" w:rsidP="00D83CBB">
      <w:pPr>
        <w:pStyle w:val="ListParagraph"/>
        <w:numPr>
          <w:ilvl w:val="0"/>
          <w:numId w:val="17"/>
        </w:numPr>
        <w:rPr>
          <w:b/>
          <w:bCs/>
          <w:u w:val="single"/>
        </w:rPr>
      </w:pPr>
      <w:r w:rsidRPr="00D83CBB">
        <w:rPr>
          <w:b/>
          <w:bCs/>
          <w:u w:val="single"/>
        </w:rPr>
        <w:t xml:space="preserve">Timescales and </w:t>
      </w:r>
      <w:r w:rsidR="00267101" w:rsidRPr="00D83CBB">
        <w:rPr>
          <w:b/>
          <w:bCs/>
          <w:u w:val="single"/>
        </w:rPr>
        <w:t>Price</w:t>
      </w:r>
    </w:p>
    <w:p w14:paraId="4E885D9F" w14:textId="0CF8767D" w:rsidR="0D7390EA" w:rsidRPr="001767AD" w:rsidRDefault="0D7390EA" w:rsidP="5313645B">
      <w:r w:rsidRPr="001767AD">
        <w:t>Providers are asked to provide an ou</w:t>
      </w:r>
      <w:r w:rsidR="732C99E6" w:rsidRPr="001767AD">
        <w:t>t</w:t>
      </w:r>
      <w:r w:rsidRPr="001767AD">
        <w:t>line timetable to complete this review along with the costs</w:t>
      </w:r>
      <w:r w:rsidR="5C848DF1" w:rsidRPr="001767AD">
        <w:t>, as part of the bid (see</w:t>
      </w:r>
      <w:r w:rsidR="5C6A848C" w:rsidRPr="001767AD">
        <w:t xml:space="preserve"> bid template</w:t>
      </w:r>
      <w:r w:rsidR="5C848DF1" w:rsidRPr="001767AD">
        <w:t>)</w:t>
      </w:r>
      <w:r w:rsidR="40070E00" w:rsidRPr="001767AD">
        <w:t xml:space="preserve">. </w:t>
      </w:r>
      <w:r w:rsidR="00D83CBB">
        <w:t xml:space="preserve"> </w:t>
      </w:r>
      <w:r w:rsidR="00D83CBB" w:rsidRPr="001E4F31">
        <w:rPr>
          <w:u w:val="single"/>
        </w:rPr>
        <w:t xml:space="preserve">Bids must be received by </w:t>
      </w:r>
      <w:r w:rsidR="00642C7C" w:rsidRPr="001E4F31">
        <w:rPr>
          <w:u w:val="single"/>
        </w:rPr>
        <w:t>17.00 on Tuesday 18</w:t>
      </w:r>
      <w:r w:rsidR="00642C7C" w:rsidRPr="001E4F31">
        <w:rPr>
          <w:u w:val="single"/>
          <w:vertAlign w:val="superscript"/>
        </w:rPr>
        <w:t>th</w:t>
      </w:r>
      <w:r w:rsidR="00642C7C" w:rsidRPr="001E4F31">
        <w:rPr>
          <w:u w:val="single"/>
        </w:rPr>
        <w:t xml:space="preserve"> January 2022.</w:t>
      </w:r>
      <w:r w:rsidR="00642C7C">
        <w:t xml:space="preserve">   </w:t>
      </w:r>
      <w:r w:rsidR="006667AC">
        <w:t xml:space="preserve">Bidders will be notified of the outcome by </w:t>
      </w:r>
      <w:r w:rsidR="007634F7">
        <w:t>21</w:t>
      </w:r>
      <w:r w:rsidR="007634F7" w:rsidRPr="007634F7">
        <w:rPr>
          <w:vertAlign w:val="superscript"/>
        </w:rPr>
        <w:t>st</w:t>
      </w:r>
      <w:r w:rsidR="007634F7">
        <w:t xml:space="preserve"> January 2022 and must be able to mobilise and begin the work shortly afterwards.   The final draft of the report must be sent to Claire Weston at NHS England (east) by </w:t>
      </w:r>
      <w:r w:rsidR="00306BBD">
        <w:t>9.5.2022.</w:t>
      </w:r>
    </w:p>
    <w:p w14:paraId="2FCA2FFD" w14:textId="436AA438" w:rsidR="00217F44" w:rsidRDefault="00CA184A" w:rsidP="5313645B">
      <w:r>
        <w:t>The agreed price will be paid in stages.  25% will be paid at the initiation of the work, 25%</w:t>
      </w:r>
      <w:r w:rsidR="40070E00" w:rsidRPr="001767AD">
        <w:t xml:space="preserve"> at two agreed review points and </w:t>
      </w:r>
      <w:r>
        <w:t xml:space="preserve">the final residual payment </w:t>
      </w:r>
      <w:r w:rsidR="40070E00" w:rsidRPr="001767AD">
        <w:t xml:space="preserve">upon receipt of the agreed final </w:t>
      </w:r>
      <w:r w:rsidR="003A49D0">
        <w:t xml:space="preserve">draft of the </w:t>
      </w:r>
      <w:r w:rsidR="40070E00" w:rsidRPr="001767AD">
        <w:t xml:space="preserve">report. </w:t>
      </w:r>
    </w:p>
    <w:p w14:paraId="0D3BD539" w14:textId="74F0447C" w:rsidR="00F37E3E" w:rsidRDefault="00F37E3E" w:rsidP="5313645B">
      <w:r>
        <w:t>The transaction will be covered by the NHS standard contract (short form) and bidders should satisfy themselves that they are happy to accept these by reviewing the contract on the NHS website.</w:t>
      </w:r>
    </w:p>
    <w:p w14:paraId="40803D1C" w14:textId="10A3CB0F" w:rsidR="00861FED" w:rsidRDefault="00861FED" w:rsidP="5313645B">
      <w:r>
        <w:t>The maximum value available for the review and report is £30 000.</w:t>
      </w:r>
    </w:p>
    <w:p w14:paraId="60EA3653" w14:textId="6D4E0B1D" w:rsidR="00217F44" w:rsidRPr="003A49D0" w:rsidRDefault="00217F44" w:rsidP="5313645B">
      <w:pPr>
        <w:rPr>
          <w:b/>
          <w:bCs/>
          <w:u w:val="single"/>
        </w:rPr>
      </w:pPr>
      <w:r w:rsidRPr="003A49D0">
        <w:rPr>
          <w:b/>
          <w:bCs/>
          <w:u w:val="single"/>
        </w:rPr>
        <w:t>Author/provider</w:t>
      </w:r>
    </w:p>
    <w:p w14:paraId="660D4574" w14:textId="3403B3A2" w:rsidR="00217F44" w:rsidRDefault="00F37E3E" w:rsidP="5313645B">
      <w:r>
        <w:t xml:space="preserve">The review is a clinical service.   </w:t>
      </w:r>
      <w:r w:rsidR="00217F44">
        <w:t xml:space="preserve">The author/provider of the review and report </w:t>
      </w:r>
      <w:r w:rsidR="00CA184A">
        <w:t xml:space="preserve">must be able to </w:t>
      </w:r>
      <w:r w:rsidR="003A49D0">
        <w:t xml:space="preserve">demonstrate their suitability to undertake their work by their </w:t>
      </w:r>
      <w:r w:rsidR="00920D9C">
        <w:t xml:space="preserve">expertise and </w:t>
      </w:r>
      <w:r w:rsidR="003A49D0">
        <w:t>previous</w:t>
      </w:r>
      <w:r w:rsidR="00920D9C">
        <w:t xml:space="preserve"> experience in the design and/or provision of services to people with learning disability and/or autism</w:t>
      </w:r>
      <w:r w:rsidR="0038593A">
        <w:t>,</w:t>
      </w:r>
      <w:r w:rsidR="00267101">
        <w:t xml:space="preserve"> and </w:t>
      </w:r>
      <w:r w:rsidR="00E71605">
        <w:t>their understanding of the needs of people with learning disability and/or autism</w:t>
      </w:r>
      <w:r w:rsidR="00267101">
        <w:t>. These may be demonstrated by their ability to access the expertise of others for the purposes of the review and report</w:t>
      </w:r>
      <w:r w:rsidR="00EE41E9">
        <w:t xml:space="preserve">, and the bid must set out clearly how they intend to secure the services and advice of others </w:t>
      </w:r>
      <w:r>
        <w:t>if this is planned.</w:t>
      </w:r>
    </w:p>
    <w:p w14:paraId="0D0F26F2" w14:textId="1955C445" w:rsidR="00B96502" w:rsidRDefault="00B96502" w:rsidP="5313645B"/>
    <w:p w14:paraId="0A5740F2" w14:textId="1CDFFF88" w:rsidR="00B96502" w:rsidRPr="002C1E12" w:rsidRDefault="00B96502" w:rsidP="5313645B">
      <w:pPr>
        <w:rPr>
          <w:b/>
          <w:bCs/>
          <w:u w:val="single"/>
        </w:rPr>
      </w:pPr>
      <w:r w:rsidRPr="002C1E12">
        <w:rPr>
          <w:b/>
          <w:bCs/>
          <w:u w:val="single"/>
        </w:rPr>
        <w:t>Evaluation of bids</w:t>
      </w:r>
    </w:p>
    <w:p w14:paraId="585ABC00" w14:textId="688CCEB3" w:rsidR="00B96502" w:rsidRDefault="00B96502" w:rsidP="5313645B">
      <w:r>
        <w:t xml:space="preserve">Bids will be evaluated according to their quality (60%) and their price (40%).  </w:t>
      </w:r>
    </w:p>
    <w:p w14:paraId="1FB9083E" w14:textId="7E2E1DC6" w:rsidR="001B34A6" w:rsidRDefault="001B34A6" w:rsidP="5313645B">
      <w:r>
        <w:t>The scoring methodology will be as follows: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880"/>
      </w:tblGrid>
      <w:tr w:rsidR="001B34A6" w:rsidRPr="00731105" w14:paraId="78A7C42C" w14:textId="77777777" w:rsidTr="00C36880">
        <w:tc>
          <w:tcPr>
            <w:tcW w:w="754" w:type="dxa"/>
            <w:shd w:val="clear" w:color="auto" w:fill="auto"/>
          </w:tcPr>
          <w:p w14:paraId="640523FD" w14:textId="4A7CBDF5" w:rsidR="001B34A6" w:rsidRPr="00731105" w:rsidRDefault="001B34A6" w:rsidP="006B754F">
            <w:pPr>
              <w:spacing w:after="0" w:line="240" w:lineRule="auto"/>
              <w:rPr>
                <w:rFonts w:ascii="Arial" w:eastAsia="Times New Roman" w:hAnsi="Arial" w:cs="Arial"/>
                <w:lang w:eastAsia="en-GB"/>
              </w:rPr>
            </w:pPr>
            <w:r>
              <w:rPr>
                <w:rFonts w:ascii="Arial" w:eastAsia="Times New Roman" w:hAnsi="Arial" w:cs="Arial"/>
                <w:lang w:eastAsia="en-GB"/>
              </w:rPr>
              <w:t>score</w:t>
            </w:r>
          </w:p>
        </w:tc>
        <w:tc>
          <w:tcPr>
            <w:tcW w:w="8880" w:type="dxa"/>
            <w:shd w:val="clear" w:color="auto" w:fill="auto"/>
          </w:tcPr>
          <w:p w14:paraId="34429054" w14:textId="77777777" w:rsidR="001B34A6" w:rsidRPr="003B01C0" w:rsidRDefault="001B34A6" w:rsidP="006B754F">
            <w:pPr>
              <w:spacing w:after="0" w:line="240" w:lineRule="auto"/>
              <w:rPr>
                <w:rFonts w:ascii="Arial" w:eastAsia="Times New Roman" w:hAnsi="Arial" w:cs="Arial"/>
                <w:sz w:val="20"/>
                <w:szCs w:val="20"/>
                <w:lang w:eastAsia="en-GB"/>
              </w:rPr>
            </w:pPr>
          </w:p>
        </w:tc>
      </w:tr>
      <w:tr w:rsidR="001B34A6" w:rsidRPr="00731105" w14:paraId="36F2EF97" w14:textId="77777777" w:rsidTr="00C36880">
        <w:tc>
          <w:tcPr>
            <w:tcW w:w="754" w:type="dxa"/>
            <w:shd w:val="clear" w:color="auto" w:fill="auto"/>
          </w:tcPr>
          <w:p w14:paraId="571DCE22" w14:textId="77777777" w:rsidR="001B34A6" w:rsidRPr="00731105" w:rsidRDefault="001B34A6" w:rsidP="006B754F">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880" w:type="dxa"/>
            <w:shd w:val="clear" w:color="auto" w:fill="auto"/>
          </w:tcPr>
          <w:p w14:paraId="2D79DBD3" w14:textId="77777777" w:rsidR="001B34A6" w:rsidRPr="003B01C0" w:rsidRDefault="001B34A6" w:rsidP="006B754F">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1B34A6" w:rsidRPr="00731105" w14:paraId="3F88E061" w14:textId="77777777" w:rsidTr="00C36880">
        <w:tc>
          <w:tcPr>
            <w:tcW w:w="754" w:type="dxa"/>
            <w:shd w:val="clear" w:color="auto" w:fill="auto"/>
          </w:tcPr>
          <w:p w14:paraId="20DE47B4" w14:textId="77777777" w:rsidR="001B34A6" w:rsidRPr="00731105" w:rsidRDefault="001B34A6" w:rsidP="006B754F">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880" w:type="dxa"/>
            <w:shd w:val="clear" w:color="auto" w:fill="auto"/>
          </w:tcPr>
          <w:p w14:paraId="0A7181B0" w14:textId="77777777" w:rsidR="001B34A6" w:rsidRPr="003B01C0" w:rsidRDefault="001B34A6" w:rsidP="006B754F">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1B34A6" w:rsidRPr="00731105" w14:paraId="6D3FB247" w14:textId="77777777" w:rsidTr="00C36880">
        <w:tc>
          <w:tcPr>
            <w:tcW w:w="754" w:type="dxa"/>
            <w:shd w:val="clear" w:color="auto" w:fill="auto"/>
          </w:tcPr>
          <w:p w14:paraId="0114BFDC" w14:textId="77777777" w:rsidR="001B34A6" w:rsidRPr="00731105" w:rsidRDefault="001B34A6" w:rsidP="006B754F">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880" w:type="dxa"/>
            <w:shd w:val="clear" w:color="auto" w:fill="auto"/>
          </w:tcPr>
          <w:p w14:paraId="14110D80" w14:textId="77777777" w:rsidR="001B34A6" w:rsidRPr="003B01C0" w:rsidRDefault="001B34A6" w:rsidP="006B754F">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1B34A6" w:rsidRPr="00731105" w14:paraId="3E7ECF91" w14:textId="77777777" w:rsidTr="00C36880">
        <w:tc>
          <w:tcPr>
            <w:tcW w:w="754" w:type="dxa"/>
            <w:shd w:val="clear" w:color="auto" w:fill="auto"/>
          </w:tcPr>
          <w:p w14:paraId="3FA73DC6" w14:textId="77777777" w:rsidR="001B34A6" w:rsidRPr="00731105" w:rsidRDefault="001B34A6" w:rsidP="006B754F">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880" w:type="dxa"/>
            <w:shd w:val="clear" w:color="auto" w:fill="auto"/>
          </w:tcPr>
          <w:p w14:paraId="0DF9AD6C" w14:textId="77777777" w:rsidR="001B34A6" w:rsidRPr="003B01C0" w:rsidRDefault="001B34A6" w:rsidP="006B754F">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14:paraId="331266F9" w14:textId="77777777" w:rsidR="001B34A6" w:rsidRDefault="001B34A6" w:rsidP="5313645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F0E25" w:rsidRPr="006915EC" w14:paraId="5BA412F2" w14:textId="77777777" w:rsidTr="00C36880">
        <w:tc>
          <w:tcPr>
            <w:tcW w:w="9776" w:type="dxa"/>
            <w:shd w:val="clear" w:color="auto" w:fill="auto"/>
          </w:tcPr>
          <w:p w14:paraId="1902AB3C" w14:textId="77777777" w:rsidR="008F0E25" w:rsidRPr="006915EC" w:rsidRDefault="008F0E25" w:rsidP="006B754F">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14:paraId="166FD752" w14:textId="77777777" w:rsidR="008F0E25" w:rsidRPr="006915EC" w:rsidRDefault="008F0E25" w:rsidP="006B754F">
            <w:pPr>
              <w:spacing w:after="0" w:line="240" w:lineRule="auto"/>
              <w:rPr>
                <w:rFonts w:ascii="Arial" w:eastAsia="Times New Roman" w:hAnsi="Arial" w:cs="Arial"/>
                <w:b/>
                <w:sz w:val="20"/>
                <w:szCs w:val="20"/>
                <w:lang w:eastAsia="en-GB"/>
              </w:rPr>
            </w:pPr>
          </w:p>
        </w:tc>
      </w:tr>
      <w:tr w:rsidR="008F0E25" w:rsidRPr="006915EC" w14:paraId="2AF3BF04" w14:textId="77777777" w:rsidTr="00C36880">
        <w:tc>
          <w:tcPr>
            <w:tcW w:w="9776" w:type="dxa"/>
            <w:shd w:val="clear" w:color="auto" w:fill="auto"/>
          </w:tcPr>
          <w:p w14:paraId="19389689" w14:textId="77777777" w:rsidR="008F0E25" w:rsidRPr="006915EC" w:rsidRDefault="008F0E25" w:rsidP="006B754F">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8F0E25" w:rsidRPr="006915EC" w14:paraId="368A3172" w14:textId="77777777" w:rsidTr="00C36880">
        <w:trPr>
          <w:trHeight w:val="521"/>
        </w:trPr>
        <w:tc>
          <w:tcPr>
            <w:tcW w:w="9776" w:type="dxa"/>
            <w:shd w:val="clear" w:color="auto" w:fill="auto"/>
          </w:tcPr>
          <w:p w14:paraId="63F3CD99" w14:textId="77777777" w:rsidR="008F0E25" w:rsidRDefault="008F0E25" w:rsidP="008F0E25">
            <w:pPr>
              <w:numPr>
                <w:ilvl w:val="0"/>
                <w:numId w:val="19"/>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p w14:paraId="1B235BEC" w14:textId="77777777" w:rsidR="008F0E25" w:rsidRPr="006915EC" w:rsidRDefault="008F0E25" w:rsidP="008F0E25">
            <w:pPr>
              <w:numPr>
                <w:ilvl w:val="0"/>
                <w:numId w:val="19"/>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author will adopt a rational approach to undertaking the work, so that conclusions and recommendations can be reached which are valid and can be relied on.</w:t>
            </w:r>
          </w:p>
        </w:tc>
      </w:tr>
      <w:tr w:rsidR="008F0E25" w:rsidRPr="006915EC" w14:paraId="4B9CD820" w14:textId="77777777" w:rsidTr="00C36880">
        <w:trPr>
          <w:trHeight w:val="540"/>
        </w:trPr>
        <w:tc>
          <w:tcPr>
            <w:tcW w:w="9776" w:type="dxa"/>
            <w:shd w:val="clear" w:color="auto" w:fill="auto"/>
          </w:tcPr>
          <w:p w14:paraId="6E97AB8B" w14:textId="77777777" w:rsidR="008F0E25" w:rsidRPr="006915EC" w:rsidRDefault="008F0E25" w:rsidP="008F0E25">
            <w:pPr>
              <w:numPr>
                <w:ilvl w:val="0"/>
                <w:numId w:val="19"/>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comprehensive and suitable methodology will be used to collect/obtain the data required</w:t>
            </w:r>
            <w:r>
              <w:rPr>
                <w:rFonts w:ascii="Arial" w:eastAsia="Times New Roman" w:hAnsi="Arial" w:cs="Arial"/>
                <w:sz w:val="20"/>
                <w:szCs w:val="20"/>
                <w:lang w:eastAsia="en-GB"/>
              </w:rPr>
              <w:t xml:space="preserve">, and to </w:t>
            </w:r>
            <w:proofErr w:type="gramStart"/>
            <w:r>
              <w:rPr>
                <w:rFonts w:ascii="Arial" w:eastAsia="Times New Roman" w:hAnsi="Arial" w:cs="Arial"/>
                <w:sz w:val="20"/>
                <w:szCs w:val="20"/>
                <w:lang w:eastAsia="en-GB"/>
              </w:rPr>
              <w:t>synthesise  data</w:t>
            </w:r>
            <w:proofErr w:type="gramEnd"/>
            <w:r>
              <w:rPr>
                <w:rFonts w:ascii="Arial" w:eastAsia="Times New Roman" w:hAnsi="Arial" w:cs="Arial"/>
                <w:sz w:val="20"/>
                <w:szCs w:val="20"/>
                <w:lang w:eastAsia="en-GB"/>
              </w:rPr>
              <w:t xml:space="preserve"> from different sources.</w:t>
            </w:r>
          </w:p>
        </w:tc>
      </w:tr>
      <w:tr w:rsidR="008F0E25" w:rsidRPr="006915EC" w14:paraId="5FBDF55E" w14:textId="77777777" w:rsidTr="00C36880">
        <w:trPr>
          <w:trHeight w:val="645"/>
        </w:trPr>
        <w:tc>
          <w:tcPr>
            <w:tcW w:w="9776" w:type="dxa"/>
            <w:shd w:val="clear" w:color="auto" w:fill="auto"/>
          </w:tcPr>
          <w:p w14:paraId="5B1C1B5D" w14:textId="77777777" w:rsidR="008F0E25" w:rsidRPr="006915EC" w:rsidRDefault="008F0E25" w:rsidP="008F0E25">
            <w:pPr>
              <w:numPr>
                <w:ilvl w:val="0"/>
                <w:numId w:val="19"/>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14:paraId="6052B386" w14:textId="77777777" w:rsidR="008F0E25" w:rsidRPr="006915EC" w:rsidRDefault="008F0E25" w:rsidP="006B754F">
            <w:pPr>
              <w:spacing w:after="0" w:line="240" w:lineRule="auto"/>
              <w:ind w:left="720"/>
              <w:rPr>
                <w:rFonts w:ascii="Arial" w:eastAsia="Times New Roman" w:hAnsi="Arial" w:cs="Arial"/>
                <w:sz w:val="20"/>
                <w:szCs w:val="20"/>
                <w:lang w:eastAsia="en-GB"/>
              </w:rPr>
            </w:pPr>
          </w:p>
        </w:tc>
      </w:tr>
      <w:tr w:rsidR="008F0E25" w:rsidRPr="006915EC" w14:paraId="2AEBAF85" w14:textId="77777777" w:rsidTr="00C36880">
        <w:trPr>
          <w:trHeight w:val="379"/>
        </w:trPr>
        <w:tc>
          <w:tcPr>
            <w:tcW w:w="9776" w:type="dxa"/>
            <w:shd w:val="clear" w:color="auto" w:fill="auto"/>
          </w:tcPr>
          <w:p w14:paraId="157B0140" w14:textId="77777777" w:rsidR="008F0E25" w:rsidRPr="006915EC" w:rsidRDefault="008F0E25" w:rsidP="008F0E25">
            <w:pPr>
              <w:numPr>
                <w:ilvl w:val="0"/>
                <w:numId w:val="19"/>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8F0E25" w:rsidRPr="006915EC" w14:paraId="4CAA0278" w14:textId="77777777" w:rsidTr="00C36880">
        <w:tc>
          <w:tcPr>
            <w:tcW w:w="9776" w:type="dxa"/>
            <w:shd w:val="clear" w:color="auto" w:fill="auto"/>
          </w:tcPr>
          <w:p w14:paraId="151F6753" w14:textId="3BDCAD1E" w:rsidR="008F0E25" w:rsidRPr="006915EC" w:rsidRDefault="00725CA0" w:rsidP="008F0E25">
            <w:pPr>
              <w:numPr>
                <w:ilvl w:val="0"/>
                <w:numId w:val="19"/>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w:t>
            </w:r>
            <w:r w:rsidR="008F0E25" w:rsidRPr="006915EC">
              <w:rPr>
                <w:rFonts w:ascii="Arial" w:eastAsia="Times New Roman" w:hAnsi="Arial" w:cs="Arial"/>
                <w:sz w:val="20"/>
                <w:szCs w:val="20"/>
                <w:lang w:eastAsia="en-GB"/>
              </w:rPr>
              <w:t>uitably competent staff</w:t>
            </w:r>
            <w:r w:rsidR="008F0E25">
              <w:rPr>
                <w:rFonts w:ascii="Arial" w:eastAsia="Times New Roman" w:hAnsi="Arial" w:cs="Arial"/>
                <w:sz w:val="20"/>
                <w:szCs w:val="20"/>
                <w:lang w:eastAsia="en-GB"/>
              </w:rPr>
              <w:t xml:space="preserve"> who have relevant experience</w:t>
            </w:r>
            <w:r>
              <w:rPr>
                <w:rFonts w:ascii="Arial" w:eastAsia="Times New Roman" w:hAnsi="Arial" w:cs="Arial"/>
                <w:sz w:val="20"/>
                <w:szCs w:val="20"/>
                <w:lang w:eastAsia="en-GB"/>
              </w:rPr>
              <w:t xml:space="preserve"> will be engaged</w:t>
            </w:r>
          </w:p>
          <w:p w14:paraId="70CB91EC" w14:textId="77777777" w:rsidR="008F0E25" w:rsidRPr="006915EC" w:rsidRDefault="008F0E25" w:rsidP="006B754F">
            <w:pPr>
              <w:spacing w:after="0" w:line="240" w:lineRule="auto"/>
              <w:rPr>
                <w:rFonts w:ascii="Arial" w:eastAsia="Times New Roman" w:hAnsi="Arial" w:cs="Arial"/>
                <w:sz w:val="20"/>
                <w:szCs w:val="20"/>
                <w:lang w:eastAsia="en-GB"/>
              </w:rPr>
            </w:pPr>
          </w:p>
        </w:tc>
      </w:tr>
      <w:tr w:rsidR="008F0E25" w:rsidRPr="006915EC" w14:paraId="59B85F28" w14:textId="77777777" w:rsidTr="00C36880">
        <w:tc>
          <w:tcPr>
            <w:tcW w:w="9776" w:type="dxa"/>
            <w:shd w:val="clear" w:color="auto" w:fill="auto"/>
          </w:tcPr>
          <w:p w14:paraId="312D99A0" w14:textId="444C2D88" w:rsidR="008F0E25" w:rsidRPr="006915EC" w:rsidRDefault="00725CA0" w:rsidP="008F0E25">
            <w:pPr>
              <w:numPr>
                <w:ilvl w:val="0"/>
                <w:numId w:val="19"/>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Their </w:t>
            </w:r>
            <w:r w:rsidR="008F0E25" w:rsidRPr="006915EC">
              <w:rPr>
                <w:rFonts w:ascii="Arial" w:eastAsia="Times New Roman" w:hAnsi="Arial" w:cs="Arial"/>
                <w:sz w:val="20"/>
                <w:szCs w:val="20"/>
                <w:lang w:eastAsia="en-GB"/>
              </w:rPr>
              <w:t xml:space="preserve">understanding and application </w:t>
            </w:r>
            <w:proofErr w:type="gramStart"/>
            <w:r w:rsidR="008F0E25" w:rsidRPr="006915EC">
              <w:rPr>
                <w:rFonts w:ascii="Arial" w:eastAsia="Times New Roman" w:hAnsi="Arial" w:cs="Arial"/>
                <w:sz w:val="20"/>
                <w:szCs w:val="20"/>
                <w:lang w:eastAsia="en-GB"/>
              </w:rPr>
              <w:t>of,</w:t>
            </w:r>
            <w:proofErr w:type="gramEnd"/>
            <w:r w:rsidR="008F0E25" w:rsidRPr="006915EC">
              <w:rPr>
                <w:rFonts w:ascii="Arial" w:eastAsia="Times New Roman" w:hAnsi="Arial" w:cs="Arial"/>
                <w:sz w:val="20"/>
                <w:szCs w:val="20"/>
                <w:lang w:eastAsia="en-GB"/>
              </w:rPr>
              <w:t xml:space="preserve"> data confidentiality and information governance issues</w:t>
            </w:r>
            <w:r>
              <w:rPr>
                <w:rFonts w:ascii="Arial" w:eastAsia="Times New Roman" w:hAnsi="Arial" w:cs="Arial"/>
                <w:sz w:val="20"/>
                <w:szCs w:val="20"/>
                <w:lang w:eastAsia="en-GB"/>
              </w:rPr>
              <w:t xml:space="preserve"> is satisfactory</w:t>
            </w:r>
            <w:r w:rsidR="008F0E25" w:rsidRPr="006915EC">
              <w:rPr>
                <w:rFonts w:ascii="Arial" w:eastAsia="Times New Roman" w:hAnsi="Arial" w:cs="Arial"/>
                <w:sz w:val="20"/>
                <w:szCs w:val="20"/>
                <w:lang w:eastAsia="en-GB"/>
              </w:rPr>
              <w:t>.</w:t>
            </w:r>
          </w:p>
          <w:p w14:paraId="3D6B5569" w14:textId="77777777" w:rsidR="008F0E25" w:rsidRPr="006915EC" w:rsidRDefault="008F0E25" w:rsidP="006B754F">
            <w:pPr>
              <w:spacing w:after="0" w:line="240" w:lineRule="auto"/>
              <w:rPr>
                <w:rFonts w:ascii="Arial" w:eastAsia="Times New Roman" w:hAnsi="Arial" w:cs="Arial"/>
                <w:sz w:val="20"/>
                <w:szCs w:val="20"/>
                <w:lang w:eastAsia="en-GB"/>
              </w:rPr>
            </w:pPr>
          </w:p>
        </w:tc>
      </w:tr>
      <w:tr w:rsidR="008F0E25" w:rsidRPr="006915EC" w14:paraId="7CA4CE0A" w14:textId="77777777" w:rsidTr="00C36880">
        <w:tc>
          <w:tcPr>
            <w:tcW w:w="9776" w:type="dxa"/>
            <w:shd w:val="clear" w:color="auto" w:fill="auto"/>
          </w:tcPr>
          <w:p w14:paraId="11275C59" w14:textId="77777777" w:rsidR="008F0E25" w:rsidRPr="006915EC" w:rsidRDefault="008F0E25" w:rsidP="008F0E25">
            <w:pPr>
              <w:numPr>
                <w:ilvl w:val="0"/>
                <w:numId w:val="19"/>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14:paraId="2E0E7B81" w14:textId="77777777" w:rsidR="008F0E25" w:rsidRPr="006915EC" w:rsidRDefault="008F0E25" w:rsidP="006B754F">
            <w:pPr>
              <w:spacing w:after="0" w:line="240" w:lineRule="auto"/>
              <w:ind w:left="360"/>
              <w:rPr>
                <w:rFonts w:ascii="Arial" w:eastAsia="Times New Roman" w:hAnsi="Arial" w:cs="Arial"/>
                <w:sz w:val="20"/>
                <w:szCs w:val="20"/>
                <w:lang w:eastAsia="en-GB"/>
              </w:rPr>
            </w:pPr>
          </w:p>
        </w:tc>
      </w:tr>
      <w:tr w:rsidR="008F0E25" w:rsidRPr="006915EC" w14:paraId="50C41021" w14:textId="77777777" w:rsidTr="00C36880">
        <w:tc>
          <w:tcPr>
            <w:tcW w:w="9776" w:type="dxa"/>
            <w:shd w:val="clear" w:color="auto" w:fill="auto"/>
          </w:tcPr>
          <w:p w14:paraId="59814F17" w14:textId="77777777" w:rsidR="008F0E25" w:rsidRPr="006915EC" w:rsidRDefault="008F0E25" w:rsidP="006B754F">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Pr="006915EC">
              <w:rPr>
                <w:rFonts w:ascii="Arial" w:eastAsia="Times New Roman" w:hAnsi="Arial" w:cs="Arial"/>
                <w:b/>
                <w:sz w:val="20"/>
                <w:szCs w:val="20"/>
                <w:lang w:eastAsia="en-GB"/>
              </w:rPr>
              <w:t>– Weighted at 40% of total score</w:t>
            </w:r>
          </w:p>
        </w:tc>
      </w:tr>
      <w:tr w:rsidR="008F0E25" w:rsidRPr="006915EC" w14:paraId="549B3321" w14:textId="77777777" w:rsidTr="00C36880">
        <w:tc>
          <w:tcPr>
            <w:tcW w:w="9776" w:type="dxa"/>
            <w:shd w:val="clear" w:color="auto" w:fill="auto"/>
          </w:tcPr>
          <w:p w14:paraId="0CAB959D" w14:textId="3FEAEB12" w:rsidR="008F0E25" w:rsidRPr="006915EC" w:rsidRDefault="00C36880" w:rsidP="006B754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w:t>
            </w:r>
            <w:r w:rsidR="008F0E25" w:rsidRPr="006915EC">
              <w:rPr>
                <w:rFonts w:ascii="Arial" w:eastAsia="Times New Roman" w:hAnsi="Arial" w:cs="Arial"/>
                <w:sz w:val="20"/>
                <w:szCs w:val="20"/>
                <w:lang w:eastAsia="en-GB"/>
              </w:rPr>
              <w:t xml:space="preserve">he bid with the lowest score </w:t>
            </w:r>
            <w:r>
              <w:rPr>
                <w:rFonts w:ascii="Arial" w:eastAsia="Times New Roman" w:hAnsi="Arial" w:cs="Arial"/>
                <w:sz w:val="20"/>
                <w:szCs w:val="20"/>
                <w:lang w:eastAsia="en-GB"/>
              </w:rPr>
              <w:t xml:space="preserve">will </w:t>
            </w:r>
            <w:r w:rsidR="008F0E25" w:rsidRPr="006915EC">
              <w:rPr>
                <w:rFonts w:ascii="Arial" w:eastAsia="Times New Roman" w:hAnsi="Arial" w:cs="Arial"/>
                <w:sz w:val="20"/>
                <w:szCs w:val="20"/>
                <w:lang w:eastAsia="en-GB"/>
              </w:rPr>
              <w:t>scor</w:t>
            </w:r>
            <w:r>
              <w:rPr>
                <w:rFonts w:ascii="Arial" w:eastAsia="Times New Roman" w:hAnsi="Arial" w:cs="Arial"/>
                <w:sz w:val="20"/>
                <w:szCs w:val="20"/>
                <w:lang w:eastAsia="en-GB"/>
              </w:rPr>
              <w:t>e</w:t>
            </w:r>
            <w:r w:rsidR="008F0E25" w:rsidRPr="006915EC">
              <w:rPr>
                <w:rFonts w:ascii="Arial" w:eastAsia="Times New Roman" w:hAnsi="Arial" w:cs="Arial"/>
                <w:sz w:val="20"/>
                <w:szCs w:val="20"/>
                <w:lang w:eastAsia="en-GB"/>
              </w:rPr>
              <w:t xml:space="preserve"> 100</w:t>
            </w:r>
            <w:r>
              <w:rPr>
                <w:rFonts w:ascii="Arial" w:eastAsia="Times New Roman" w:hAnsi="Arial" w:cs="Arial"/>
                <w:sz w:val="20"/>
                <w:szCs w:val="20"/>
                <w:lang w:eastAsia="en-GB"/>
              </w:rPr>
              <w:t>. O</w:t>
            </w:r>
            <w:r w:rsidR="008F0E25" w:rsidRPr="006915EC">
              <w:rPr>
                <w:rFonts w:ascii="Arial" w:eastAsia="Times New Roman" w:hAnsi="Arial" w:cs="Arial"/>
                <w:sz w:val="20"/>
                <w:szCs w:val="20"/>
                <w:lang w:eastAsia="en-GB"/>
              </w:rPr>
              <w:t>ther bidder prices being expressed as an inverse proportion.</w:t>
            </w:r>
          </w:p>
          <w:p w14:paraId="2D97506C" w14:textId="77777777" w:rsidR="008F0E25" w:rsidRPr="006915EC" w:rsidRDefault="008F0E25" w:rsidP="006B754F">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14:paraId="20F51567" w14:textId="77777777" w:rsidR="008F0E25" w:rsidRPr="006915EC" w:rsidRDefault="008F0E25" w:rsidP="006B754F">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A – </w:t>
            </w:r>
            <w:proofErr w:type="gramStart"/>
            <w:r>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w:t>
            </w:r>
            <w:proofErr w:type="gramEnd"/>
            <w:r w:rsidRPr="006915EC">
              <w:rPr>
                <w:rFonts w:ascii="Arial" w:eastAsia="Times New Roman" w:hAnsi="Arial" w:cs="Arial"/>
                <w:i/>
                <w:sz w:val="20"/>
                <w:szCs w:val="20"/>
                <w:lang w:eastAsia="en-GB"/>
              </w:rPr>
              <w:t>30,000 = scores 100</w:t>
            </w:r>
          </w:p>
          <w:p w14:paraId="7542E5E9" w14:textId="77777777" w:rsidR="008F0E25" w:rsidRPr="006915EC" w:rsidRDefault="008F0E25" w:rsidP="006B754F">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B – </w:t>
            </w:r>
            <w:proofErr w:type="gramStart"/>
            <w:r>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w:t>
            </w:r>
            <w:proofErr w:type="gramEnd"/>
            <w:r w:rsidRPr="006915EC">
              <w:rPr>
                <w:rFonts w:ascii="Arial" w:eastAsia="Times New Roman" w:hAnsi="Arial" w:cs="Arial"/>
                <w:i/>
                <w:sz w:val="20"/>
                <w:szCs w:val="20"/>
                <w:lang w:eastAsia="en-GB"/>
              </w:rPr>
              <w:t>40,000 = scores 75</w:t>
            </w:r>
          </w:p>
          <w:p w14:paraId="227AFF27" w14:textId="77777777" w:rsidR="008F0E25" w:rsidRPr="006915EC" w:rsidRDefault="008F0E25" w:rsidP="006B754F">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w:t>
            </w:r>
            <w:proofErr w:type="gramStart"/>
            <w:r w:rsidRPr="006915EC">
              <w:rPr>
                <w:rFonts w:ascii="Arial" w:eastAsia="Times New Roman" w:hAnsi="Arial" w:cs="Arial"/>
                <w:i/>
                <w:sz w:val="20"/>
                <w:szCs w:val="20"/>
                <w:lang w:eastAsia="en-GB"/>
              </w:rPr>
              <w:t>C  -</w:t>
            </w:r>
            <w:proofErr w:type="gramEnd"/>
            <w:r w:rsidRPr="006915EC">
              <w:rPr>
                <w:rFonts w:ascii="Arial" w:eastAsia="Times New Roman" w:hAnsi="Arial" w:cs="Arial"/>
                <w:i/>
                <w:sz w:val="20"/>
                <w:szCs w:val="20"/>
                <w:lang w:eastAsia="en-GB"/>
              </w:rPr>
              <w:t xml:space="preserve"> </w:t>
            </w:r>
            <w:r>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14:paraId="639B3709" w14:textId="77777777" w:rsidR="008F0E25" w:rsidRPr="006915EC" w:rsidRDefault="008F0E25" w:rsidP="006B754F">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 xml:space="preserve">Bid D – </w:t>
            </w:r>
            <w:proofErr w:type="gramStart"/>
            <w:r>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w:t>
            </w:r>
            <w:proofErr w:type="gramEnd"/>
            <w:r w:rsidRPr="006915EC">
              <w:rPr>
                <w:rFonts w:ascii="Arial" w:eastAsia="Times New Roman" w:hAnsi="Arial" w:cs="Arial"/>
                <w:i/>
                <w:sz w:val="20"/>
                <w:szCs w:val="20"/>
                <w:lang w:eastAsia="en-GB"/>
              </w:rPr>
              <w:t>60,000 = scores 50</w:t>
            </w:r>
          </w:p>
        </w:tc>
      </w:tr>
    </w:tbl>
    <w:p w14:paraId="32F83B1A" w14:textId="78001EFF" w:rsidR="00834DC8" w:rsidRDefault="00834DC8" w:rsidP="5313645B"/>
    <w:p w14:paraId="37B21293" w14:textId="457F67A5" w:rsidR="00834DC8" w:rsidRDefault="00834DC8" w:rsidP="5313645B"/>
    <w:p w14:paraId="43B80167" w14:textId="051AABCE" w:rsidR="00834DC8" w:rsidRDefault="00834DC8" w:rsidP="5313645B"/>
    <w:p w14:paraId="6B3DBA13" w14:textId="77777777" w:rsidR="00834DC8" w:rsidRDefault="00834DC8" w:rsidP="5313645B"/>
    <w:p w14:paraId="33D5BDAF" w14:textId="3A186C9B" w:rsidR="0082023D" w:rsidRDefault="0082023D" w:rsidP="5313645B"/>
    <w:p w14:paraId="560B39F8" w14:textId="07BBB9C3" w:rsidR="00834DC8" w:rsidRDefault="00834DC8" w:rsidP="5313645B"/>
    <w:p w14:paraId="47D21913" w14:textId="6218C052" w:rsidR="00834DC8" w:rsidRDefault="00834DC8" w:rsidP="5313645B"/>
    <w:p w14:paraId="6A97027F" w14:textId="3E47B3E1" w:rsidR="00834DC8" w:rsidRDefault="00834DC8" w:rsidP="5313645B"/>
    <w:p w14:paraId="5FCC8E3C" w14:textId="45798949" w:rsidR="00834DC8" w:rsidRDefault="00834DC8" w:rsidP="5313645B"/>
    <w:p w14:paraId="6294882A" w14:textId="77389A82" w:rsidR="00834DC8" w:rsidRDefault="00834DC8" w:rsidP="5313645B"/>
    <w:p w14:paraId="518C529B" w14:textId="0F49D502" w:rsidR="00834DC8" w:rsidRDefault="00834DC8" w:rsidP="5313645B"/>
    <w:p w14:paraId="1E7D7942" w14:textId="4EA1900C" w:rsidR="00834DC8" w:rsidRDefault="00834DC8" w:rsidP="5313645B"/>
    <w:p w14:paraId="2720099B" w14:textId="131D52B5" w:rsidR="00834DC8" w:rsidRDefault="00834DC8" w:rsidP="5313645B"/>
    <w:p w14:paraId="66FAA399" w14:textId="3863071D" w:rsidR="00834DC8" w:rsidRDefault="00834DC8" w:rsidP="5313645B"/>
    <w:p w14:paraId="4A14B7E7" w14:textId="17E006FE" w:rsidR="00834DC8" w:rsidRDefault="00834DC8" w:rsidP="5313645B"/>
    <w:p w14:paraId="0878EB3C" w14:textId="21E50FAD" w:rsidR="00834DC8" w:rsidRDefault="00834DC8" w:rsidP="5313645B"/>
    <w:p w14:paraId="6B972022" w14:textId="1FB8B2B6" w:rsidR="00834DC8" w:rsidRDefault="00834DC8" w:rsidP="5313645B"/>
    <w:p w14:paraId="0BACBB6C" w14:textId="77777777" w:rsidR="00834DC8" w:rsidRPr="001767AD" w:rsidRDefault="00834DC8" w:rsidP="5313645B"/>
    <w:p w14:paraId="73710F20" w14:textId="12472067" w:rsidR="5C848DF1" w:rsidRDefault="5C848DF1" w:rsidP="5313645B">
      <w:pPr>
        <w:rPr>
          <w:b/>
          <w:bCs/>
          <w:u w:val="single"/>
        </w:rPr>
      </w:pPr>
      <w:r w:rsidRPr="5313645B">
        <w:rPr>
          <w:b/>
          <w:bCs/>
          <w:u w:val="single"/>
        </w:rPr>
        <w:t xml:space="preserve">Appendix 1 – List of </w:t>
      </w:r>
      <w:r w:rsidR="3D71F8DC" w:rsidRPr="5313645B">
        <w:rPr>
          <w:b/>
          <w:bCs/>
          <w:u w:val="single"/>
        </w:rPr>
        <w:t xml:space="preserve">Adult </w:t>
      </w:r>
      <w:r w:rsidRPr="5313645B">
        <w:rPr>
          <w:b/>
          <w:bCs/>
          <w:u w:val="single"/>
        </w:rPr>
        <w:t>Prison Sites</w:t>
      </w:r>
      <w:r w:rsidR="00166B4A">
        <w:rPr>
          <w:b/>
          <w:bCs/>
          <w:u w:val="single"/>
        </w:rPr>
        <w:t xml:space="preserve">, secure </w:t>
      </w:r>
      <w:proofErr w:type="spellStart"/>
      <w:r w:rsidR="00166B4A">
        <w:rPr>
          <w:b/>
          <w:bCs/>
          <w:u w:val="single"/>
        </w:rPr>
        <w:t>childrens</w:t>
      </w:r>
      <w:proofErr w:type="spellEnd"/>
      <w:r w:rsidR="00166B4A">
        <w:rPr>
          <w:b/>
          <w:bCs/>
          <w:u w:val="single"/>
        </w:rPr>
        <w:t xml:space="preserve"> homes sand secure training centres</w:t>
      </w:r>
    </w:p>
    <w:tbl>
      <w:tblPr>
        <w:tblStyle w:val="TableGrid"/>
        <w:tblW w:w="9067" w:type="dxa"/>
        <w:tblLayout w:type="fixed"/>
        <w:tblLook w:val="06A0" w:firstRow="1" w:lastRow="0" w:firstColumn="1" w:lastColumn="0" w:noHBand="1" w:noVBand="1"/>
      </w:tblPr>
      <w:tblGrid>
        <w:gridCol w:w="4106"/>
        <w:gridCol w:w="4961"/>
      </w:tblGrid>
      <w:tr w:rsidR="5313645B" w14:paraId="6958D81D" w14:textId="77777777" w:rsidTr="00532564">
        <w:trPr>
          <w:trHeight w:val="300"/>
        </w:trPr>
        <w:tc>
          <w:tcPr>
            <w:tcW w:w="4106" w:type="dxa"/>
            <w:shd w:val="clear" w:color="auto" w:fill="C5E0B3" w:themeFill="accent6" w:themeFillTint="66"/>
          </w:tcPr>
          <w:p w14:paraId="44AD39C9" w14:textId="0B4FC116" w:rsidR="5C848DF1" w:rsidRDefault="00F74792" w:rsidP="5313645B">
            <w:pPr>
              <w:rPr>
                <w:rFonts w:eastAsiaTheme="minorEastAsia"/>
                <w:b/>
                <w:bCs/>
              </w:rPr>
            </w:pPr>
            <w:r>
              <w:rPr>
                <w:rFonts w:eastAsiaTheme="minorEastAsia"/>
                <w:b/>
                <w:bCs/>
              </w:rPr>
              <w:t>Prisons</w:t>
            </w:r>
          </w:p>
        </w:tc>
        <w:tc>
          <w:tcPr>
            <w:tcW w:w="4961" w:type="dxa"/>
            <w:shd w:val="clear" w:color="auto" w:fill="C5E0B3" w:themeFill="accent6" w:themeFillTint="66"/>
          </w:tcPr>
          <w:p w14:paraId="7D324445" w14:textId="2DD18867" w:rsidR="5C848DF1" w:rsidRDefault="00F74792" w:rsidP="5313645B">
            <w:pPr>
              <w:rPr>
                <w:rFonts w:eastAsiaTheme="minorEastAsia"/>
                <w:b/>
                <w:bCs/>
              </w:rPr>
            </w:pPr>
            <w:r>
              <w:rPr>
                <w:rFonts w:eastAsiaTheme="minorEastAsia"/>
                <w:b/>
                <w:bCs/>
              </w:rPr>
              <w:t>Lead Provider</w:t>
            </w:r>
          </w:p>
        </w:tc>
      </w:tr>
      <w:tr w:rsidR="007E2BA8" w14:paraId="22A0C057" w14:textId="77777777" w:rsidTr="00532564">
        <w:tc>
          <w:tcPr>
            <w:tcW w:w="4106" w:type="dxa"/>
          </w:tcPr>
          <w:p w14:paraId="53FD861F" w14:textId="022E3D43" w:rsidR="007E2BA8" w:rsidRPr="00803B40" w:rsidRDefault="00DD53AD" w:rsidP="5313645B">
            <w:pPr>
              <w:rPr>
                <w:rFonts w:eastAsiaTheme="minorEastAsia"/>
              </w:rPr>
            </w:pPr>
            <w:r w:rsidRPr="00803B40">
              <w:rPr>
                <w:rFonts w:eastAsiaTheme="minorEastAsia"/>
              </w:rPr>
              <w:t xml:space="preserve">HMP </w:t>
            </w:r>
            <w:proofErr w:type="spellStart"/>
            <w:r w:rsidRPr="00803B40">
              <w:rPr>
                <w:rFonts w:eastAsiaTheme="minorEastAsia"/>
              </w:rPr>
              <w:t>Whitemoor</w:t>
            </w:r>
            <w:proofErr w:type="spellEnd"/>
          </w:p>
        </w:tc>
        <w:tc>
          <w:tcPr>
            <w:tcW w:w="4961" w:type="dxa"/>
          </w:tcPr>
          <w:p w14:paraId="400F363E" w14:textId="2CD2D264" w:rsidR="007E2BA8" w:rsidRDefault="00B400A2" w:rsidP="5313645B">
            <w:pPr>
              <w:rPr>
                <w:rFonts w:eastAsiaTheme="minorEastAsia"/>
              </w:rPr>
            </w:pPr>
            <w:r>
              <w:rPr>
                <w:rFonts w:eastAsiaTheme="minorEastAsia"/>
              </w:rPr>
              <w:t>Northamptonshire Healthcare Foundation Trust</w:t>
            </w:r>
          </w:p>
        </w:tc>
      </w:tr>
      <w:tr w:rsidR="5313645B" w14:paraId="720169C1" w14:textId="77777777" w:rsidTr="00532564">
        <w:tc>
          <w:tcPr>
            <w:tcW w:w="4106" w:type="dxa"/>
          </w:tcPr>
          <w:p w14:paraId="3437D03E" w14:textId="67970CD3" w:rsidR="1D6CEC57" w:rsidRDefault="00B400A2" w:rsidP="5313645B">
            <w:pPr>
              <w:rPr>
                <w:rFonts w:eastAsiaTheme="minorEastAsia"/>
              </w:rPr>
            </w:pPr>
            <w:r>
              <w:rPr>
                <w:rFonts w:eastAsiaTheme="minorEastAsia"/>
              </w:rPr>
              <w:t>HMP Woodhill</w:t>
            </w:r>
          </w:p>
        </w:tc>
        <w:tc>
          <w:tcPr>
            <w:tcW w:w="4961" w:type="dxa"/>
          </w:tcPr>
          <w:p w14:paraId="26374EB7" w14:textId="6C7E9BB7" w:rsidR="5313645B" w:rsidRDefault="005652CA" w:rsidP="5313645B">
            <w:pPr>
              <w:rPr>
                <w:rFonts w:eastAsiaTheme="minorEastAsia"/>
              </w:rPr>
            </w:pPr>
            <w:r>
              <w:rPr>
                <w:rFonts w:eastAsiaTheme="minorEastAsia"/>
              </w:rPr>
              <w:t>Central and North West London Foundation trust</w:t>
            </w:r>
          </w:p>
        </w:tc>
      </w:tr>
      <w:tr w:rsidR="5313645B" w14:paraId="57E58177" w14:textId="77777777" w:rsidTr="00532564">
        <w:tc>
          <w:tcPr>
            <w:tcW w:w="4106" w:type="dxa"/>
          </w:tcPr>
          <w:p w14:paraId="62679E8A" w14:textId="4F8D432A" w:rsidR="1D6CEC57" w:rsidRDefault="00B400A2" w:rsidP="5313645B">
            <w:pPr>
              <w:rPr>
                <w:rFonts w:eastAsiaTheme="minorEastAsia"/>
              </w:rPr>
            </w:pPr>
            <w:r>
              <w:rPr>
                <w:rFonts w:eastAsiaTheme="minorEastAsia"/>
              </w:rPr>
              <w:t>HMP Bedford</w:t>
            </w:r>
          </w:p>
        </w:tc>
        <w:tc>
          <w:tcPr>
            <w:tcW w:w="4961" w:type="dxa"/>
          </w:tcPr>
          <w:p w14:paraId="45187C1D" w14:textId="4AFAE4C8" w:rsidR="5313645B" w:rsidRDefault="00B400A2" w:rsidP="5313645B">
            <w:pPr>
              <w:rPr>
                <w:rFonts w:eastAsiaTheme="minorEastAsia"/>
              </w:rPr>
            </w:pPr>
            <w:r>
              <w:rPr>
                <w:rFonts w:eastAsiaTheme="minorEastAsia"/>
              </w:rPr>
              <w:t>Northamptonshire Healthcare Foundation Trust</w:t>
            </w:r>
          </w:p>
        </w:tc>
      </w:tr>
      <w:tr w:rsidR="5313645B" w14:paraId="28A2885E" w14:textId="77777777" w:rsidTr="00532564">
        <w:tc>
          <w:tcPr>
            <w:tcW w:w="4106" w:type="dxa"/>
          </w:tcPr>
          <w:p w14:paraId="423512CB" w14:textId="6CC92C72" w:rsidR="1D6CEC57" w:rsidRDefault="00B400A2" w:rsidP="5313645B">
            <w:pPr>
              <w:rPr>
                <w:rFonts w:eastAsiaTheme="minorEastAsia"/>
              </w:rPr>
            </w:pPr>
            <w:r>
              <w:rPr>
                <w:rFonts w:eastAsiaTheme="minorEastAsia"/>
              </w:rPr>
              <w:t>HMP Peterborough</w:t>
            </w:r>
          </w:p>
        </w:tc>
        <w:tc>
          <w:tcPr>
            <w:tcW w:w="4961" w:type="dxa"/>
          </w:tcPr>
          <w:p w14:paraId="34515E67" w14:textId="528A3D45" w:rsidR="5313645B" w:rsidRDefault="00B06DA3" w:rsidP="5313645B">
            <w:pPr>
              <w:rPr>
                <w:rFonts w:eastAsiaTheme="minorEastAsia"/>
              </w:rPr>
            </w:pPr>
            <w:r>
              <w:rPr>
                <w:rFonts w:eastAsiaTheme="minorEastAsia"/>
              </w:rPr>
              <w:t xml:space="preserve">Sodexo, </w:t>
            </w:r>
            <w:r w:rsidR="00B400A2">
              <w:rPr>
                <w:rFonts w:eastAsiaTheme="minorEastAsia"/>
              </w:rPr>
              <w:t>Northamptonshire Healthcare Foundation Trust</w:t>
            </w:r>
          </w:p>
        </w:tc>
      </w:tr>
      <w:tr w:rsidR="5313645B" w14:paraId="1C0B327A" w14:textId="77777777" w:rsidTr="00532564">
        <w:tc>
          <w:tcPr>
            <w:tcW w:w="4106" w:type="dxa"/>
          </w:tcPr>
          <w:p w14:paraId="53FF084B" w14:textId="42EFAEC9" w:rsidR="1D6CEC57" w:rsidRDefault="00B400A2" w:rsidP="5313645B">
            <w:pPr>
              <w:rPr>
                <w:rFonts w:eastAsiaTheme="minorEastAsia"/>
              </w:rPr>
            </w:pPr>
            <w:r>
              <w:rPr>
                <w:rFonts w:eastAsiaTheme="minorEastAsia"/>
              </w:rPr>
              <w:t>HMP Norwich</w:t>
            </w:r>
          </w:p>
        </w:tc>
        <w:tc>
          <w:tcPr>
            <w:tcW w:w="4961" w:type="dxa"/>
          </w:tcPr>
          <w:p w14:paraId="2300338A" w14:textId="1B4EBAC6" w:rsidR="5313645B" w:rsidRDefault="00217F44" w:rsidP="5313645B">
            <w:pPr>
              <w:rPr>
                <w:rFonts w:eastAsiaTheme="minorEastAsia"/>
              </w:rPr>
            </w:pPr>
            <w:r>
              <w:t>HCRG Care Services Limited (formerly Virgin Care)</w:t>
            </w:r>
            <w:r w:rsidR="00B06DA3">
              <w:t xml:space="preserve">, </w:t>
            </w:r>
          </w:p>
        </w:tc>
      </w:tr>
      <w:tr w:rsidR="5313645B" w14:paraId="3C1A0A11" w14:textId="77777777" w:rsidTr="00532564">
        <w:tc>
          <w:tcPr>
            <w:tcW w:w="4106" w:type="dxa"/>
          </w:tcPr>
          <w:p w14:paraId="681A4131" w14:textId="5AABE1A7" w:rsidR="1D6CEC57" w:rsidRDefault="00B400A2" w:rsidP="5313645B">
            <w:pPr>
              <w:rPr>
                <w:rFonts w:eastAsiaTheme="minorEastAsia"/>
              </w:rPr>
            </w:pPr>
            <w:r>
              <w:rPr>
                <w:rFonts w:eastAsiaTheme="minorEastAsia"/>
              </w:rPr>
              <w:t>HMP Chelmsford</w:t>
            </w:r>
          </w:p>
        </w:tc>
        <w:tc>
          <w:tcPr>
            <w:tcW w:w="4961" w:type="dxa"/>
          </w:tcPr>
          <w:p w14:paraId="4961A005" w14:textId="4FC90603" w:rsidR="5313645B" w:rsidRPr="00B06DA3" w:rsidRDefault="00627024" w:rsidP="5313645B">
            <w:r>
              <w:rPr>
                <w:rFonts w:eastAsiaTheme="minorEastAsia"/>
              </w:rPr>
              <w:t>CRG Medical</w:t>
            </w:r>
            <w:r w:rsidR="00B06DA3">
              <w:rPr>
                <w:rFonts w:eastAsiaTheme="minorEastAsia"/>
              </w:rPr>
              <w:t>,</w:t>
            </w:r>
            <w:r w:rsidR="00B06DA3">
              <w:t xml:space="preserve"> Forward Trust</w:t>
            </w:r>
          </w:p>
        </w:tc>
      </w:tr>
      <w:tr w:rsidR="5313645B" w14:paraId="4D0A106C" w14:textId="77777777" w:rsidTr="00532564">
        <w:trPr>
          <w:trHeight w:val="300"/>
        </w:trPr>
        <w:tc>
          <w:tcPr>
            <w:tcW w:w="4106" w:type="dxa"/>
          </w:tcPr>
          <w:p w14:paraId="69F74412" w14:textId="297698BE" w:rsidR="1D6CEC57" w:rsidRDefault="00B400A2" w:rsidP="5313645B">
            <w:pPr>
              <w:rPr>
                <w:rFonts w:eastAsiaTheme="minorEastAsia"/>
              </w:rPr>
            </w:pPr>
            <w:r>
              <w:rPr>
                <w:rFonts w:eastAsiaTheme="minorEastAsia"/>
              </w:rPr>
              <w:t>HMP Highpoint</w:t>
            </w:r>
          </w:p>
        </w:tc>
        <w:tc>
          <w:tcPr>
            <w:tcW w:w="4961" w:type="dxa"/>
          </w:tcPr>
          <w:p w14:paraId="064716D2" w14:textId="452FEFE9" w:rsidR="5313645B" w:rsidRDefault="00627024" w:rsidP="5313645B">
            <w:pPr>
              <w:rPr>
                <w:rFonts w:eastAsiaTheme="minorEastAsia"/>
              </w:rPr>
            </w:pPr>
            <w:r>
              <w:rPr>
                <w:rFonts w:eastAsiaTheme="minorEastAsia"/>
              </w:rPr>
              <w:t>Practice Plus Group</w:t>
            </w:r>
            <w:r w:rsidR="002D035E">
              <w:rPr>
                <w:rFonts w:eastAsiaTheme="minorEastAsia"/>
              </w:rPr>
              <w:t xml:space="preserve">, </w:t>
            </w:r>
            <w:r w:rsidR="002D035E">
              <w:t>Forward Trust</w:t>
            </w:r>
          </w:p>
        </w:tc>
      </w:tr>
      <w:tr w:rsidR="5313645B" w14:paraId="4D103C17" w14:textId="77777777" w:rsidTr="00532564">
        <w:tc>
          <w:tcPr>
            <w:tcW w:w="4106" w:type="dxa"/>
          </w:tcPr>
          <w:p w14:paraId="757F7C8E" w14:textId="1E1493C2" w:rsidR="1D6CEC57" w:rsidRDefault="00B400A2" w:rsidP="5313645B">
            <w:pPr>
              <w:rPr>
                <w:rFonts w:eastAsiaTheme="minorEastAsia"/>
              </w:rPr>
            </w:pPr>
            <w:r>
              <w:rPr>
                <w:rFonts w:eastAsiaTheme="minorEastAsia"/>
              </w:rPr>
              <w:t>HMP The Mount</w:t>
            </w:r>
          </w:p>
        </w:tc>
        <w:tc>
          <w:tcPr>
            <w:tcW w:w="4961" w:type="dxa"/>
          </w:tcPr>
          <w:p w14:paraId="4B28A089" w14:textId="299D4A0C" w:rsidR="5313645B" w:rsidRDefault="00627024" w:rsidP="5313645B">
            <w:pPr>
              <w:rPr>
                <w:rFonts w:eastAsiaTheme="minorEastAsia"/>
              </w:rPr>
            </w:pPr>
            <w:r>
              <w:rPr>
                <w:rFonts w:eastAsiaTheme="minorEastAsia"/>
              </w:rPr>
              <w:t>Practice Plus Group</w:t>
            </w:r>
            <w:r w:rsidR="002D035E">
              <w:rPr>
                <w:rFonts w:eastAsiaTheme="minorEastAsia"/>
              </w:rPr>
              <w:t xml:space="preserve">, </w:t>
            </w:r>
            <w:r w:rsidR="002D035E">
              <w:t>Forward Trust</w:t>
            </w:r>
          </w:p>
        </w:tc>
      </w:tr>
      <w:tr w:rsidR="5313645B" w14:paraId="10A21460" w14:textId="77777777" w:rsidTr="00532564">
        <w:tc>
          <w:tcPr>
            <w:tcW w:w="4106" w:type="dxa"/>
          </w:tcPr>
          <w:p w14:paraId="51B1B2AE" w14:textId="47BF9E08" w:rsidR="1D6CEC57" w:rsidRDefault="00B400A2" w:rsidP="5313645B">
            <w:pPr>
              <w:rPr>
                <w:rFonts w:eastAsiaTheme="minorEastAsia"/>
              </w:rPr>
            </w:pPr>
            <w:r>
              <w:rPr>
                <w:rFonts w:eastAsiaTheme="minorEastAsia"/>
              </w:rPr>
              <w:t>HMP Wayland</w:t>
            </w:r>
          </w:p>
        </w:tc>
        <w:tc>
          <w:tcPr>
            <w:tcW w:w="4961" w:type="dxa"/>
          </w:tcPr>
          <w:p w14:paraId="4E95C64A" w14:textId="672B1309" w:rsidR="5313645B" w:rsidRPr="002D035E" w:rsidRDefault="00627024" w:rsidP="5313645B">
            <w:r>
              <w:rPr>
                <w:rFonts w:eastAsiaTheme="minorEastAsia"/>
              </w:rPr>
              <w:t>Practice Plus Group</w:t>
            </w:r>
            <w:r w:rsidR="002D035E">
              <w:rPr>
                <w:rFonts w:eastAsiaTheme="minorEastAsia"/>
              </w:rPr>
              <w:t>,</w:t>
            </w:r>
            <w:r w:rsidR="002D035E">
              <w:t xml:space="preserve"> Forward Trust</w:t>
            </w:r>
          </w:p>
        </w:tc>
      </w:tr>
      <w:tr w:rsidR="5313645B" w14:paraId="66A3552A" w14:textId="77777777" w:rsidTr="00532564">
        <w:tc>
          <w:tcPr>
            <w:tcW w:w="4106" w:type="dxa"/>
          </w:tcPr>
          <w:p w14:paraId="1E64A7AF" w14:textId="7F9362EF" w:rsidR="1D6CEC57" w:rsidRDefault="00B400A2" w:rsidP="5313645B">
            <w:pPr>
              <w:rPr>
                <w:rFonts w:eastAsiaTheme="minorEastAsia"/>
              </w:rPr>
            </w:pPr>
            <w:r>
              <w:rPr>
                <w:rFonts w:eastAsiaTheme="minorEastAsia"/>
              </w:rPr>
              <w:t>HMP Warren Hill</w:t>
            </w:r>
          </w:p>
        </w:tc>
        <w:tc>
          <w:tcPr>
            <w:tcW w:w="4961" w:type="dxa"/>
          </w:tcPr>
          <w:p w14:paraId="675322B3" w14:textId="2C405EA4" w:rsidR="5313645B" w:rsidRDefault="00627024" w:rsidP="5313645B">
            <w:pPr>
              <w:rPr>
                <w:rFonts w:eastAsiaTheme="minorEastAsia"/>
              </w:rPr>
            </w:pPr>
            <w:r>
              <w:rPr>
                <w:rFonts w:eastAsiaTheme="minorEastAsia"/>
              </w:rPr>
              <w:t>Practice Plus Group</w:t>
            </w:r>
            <w:r w:rsidR="002D035E">
              <w:rPr>
                <w:rFonts w:eastAsiaTheme="minorEastAsia"/>
              </w:rPr>
              <w:t xml:space="preserve">, </w:t>
            </w:r>
            <w:r w:rsidR="002D035E">
              <w:t>Forward Trust</w:t>
            </w:r>
          </w:p>
        </w:tc>
      </w:tr>
      <w:tr w:rsidR="5313645B" w14:paraId="62A72FFB" w14:textId="77777777" w:rsidTr="00532564">
        <w:tc>
          <w:tcPr>
            <w:tcW w:w="4106" w:type="dxa"/>
          </w:tcPr>
          <w:p w14:paraId="3395BB52" w14:textId="4C551BE3" w:rsidR="1D6CEC57" w:rsidRDefault="00B400A2" w:rsidP="5313645B">
            <w:pPr>
              <w:rPr>
                <w:rFonts w:eastAsiaTheme="minorEastAsia"/>
              </w:rPr>
            </w:pPr>
            <w:r>
              <w:rPr>
                <w:rFonts w:eastAsiaTheme="minorEastAsia"/>
              </w:rPr>
              <w:t xml:space="preserve">HMP </w:t>
            </w:r>
            <w:proofErr w:type="spellStart"/>
            <w:r>
              <w:rPr>
                <w:rFonts w:eastAsiaTheme="minorEastAsia"/>
              </w:rPr>
              <w:t>Littlehey</w:t>
            </w:r>
            <w:proofErr w:type="spellEnd"/>
          </w:p>
        </w:tc>
        <w:tc>
          <w:tcPr>
            <w:tcW w:w="4961" w:type="dxa"/>
          </w:tcPr>
          <w:p w14:paraId="26352687" w14:textId="781BB638" w:rsidR="5313645B" w:rsidRDefault="00B400A2" w:rsidP="5313645B">
            <w:pPr>
              <w:rPr>
                <w:rFonts w:eastAsiaTheme="minorEastAsia"/>
              </w:rPr>
            </w:pPr>
            <w:r>
              <w:rPr>
                <w:rFonts w:eastAsiaTheme="minorEastAsia"/>
              </w:rPr>
              <w:t>Northamptonshire Healthcare Foundation Trust</w:t>
            </w:r>
          </w:p>
        </w:tc>
      </w:tr>
      <w:tr w:rsidR="5313645B" w14:paraId="13D724FD" w14:textId="77777777" w:rsidTr="00532564">
        <w:tc>
          <w:tcPr>
            <w:tcW w:w="4106" w:type="dxa"/>
          </w:tcPr>
          <w:p w14:paraId="542D2E73" w14:textId="6C4B5E18" w:rsidR="1D6CEC57" w:rsidRDefault="00B400A2" w:rsidP="5313645B">
            <w:pPr>
              <w:rPr>
                <w:rFonts w:eastAsiaTheme="minorEastAsia"/>
              </w:rPr>
            </w:pPr>
            <w:r>
              <w:rPr>
                <w:rFonts w:eastAsiaTheme="minorEastAsia"/>
              </w:rPr>
              <w:t>HMP Bure</w:t>
            </w:r>
          </w:p>
        </w:tc>
        <w:tc>
          <w:tcPr>
            <w:tcW w:w="4961" w:type="dxa"/>
          </w:tcPr>
          <w:p w14:paraId="1BDA3628" w14:textId="569146E5" w:rsidR="5313645B" w:rsidRDefault="00627024" w:rsidP="5313645B">
            <w:pPr>
              <w:rPr>
                <w:rFonts w:eastAsiaTheme="minorEastAsia"/>
              </w:rPr>
            </w:pPr>
            <w:r>
              <w:rPr>
                <w:rFonts w:eastAsiaTheme="minorEastAsia"/>
              </w:rPr>
              <w:t>Practice Plus Group</w:t>
            </w:r>
            <w:r w:rsidR="002D035E">
              <w:rPr>
                <w:rFonts w:eastAsiaTheme="minorEastAsia"/>
              </w:rPr>
              <w:t xml:space="preserve">, </w:t>
            </w:r>
            <w:r w:rsidR="002D035E">
              <w:t>Forward Trust</w:t>
            </w:r>
          </w:p>
        </w:tc>
      </w:tr>
      <w:tr w:rsidR="5313645B" w14:paraId="2769CE13" w14:textId="77777777" w:rsidTr="00532564">
        <w:tc>
          <w:tcPr>
            <w:tcW w:w="4106" w:type="dxa"/>
          </w:tcPr>
          <w:p w14:paraId="12318FA4" w14:textId="42581999" w:rsidR="5313645B" w:rsidRDefault="00803B40" w:rsidP="5313645B">
            <w:pPr>
              <w:rPr>
                <w:rFonts w:eastAsiaTheme="minorEastAsia"/>
              </w:rPr>
            </w:pPr>
            <w:r>
              <w:rPr>
                <w:rFonts w:eastAsiaTheme="minorEastAsia"/>
              </w:rPr>
              <w:t>HMP Peterborough (</w:t>
            </w:r>
            <w:proofErr w:type="spellStart"/>
            <w:r>
              <w:rPr>
                <w:rFonts w:eastAsiaTheme="minorEastAsia"/>
              </w:rPr>
              <w:t>womens</w:t>
            </w:r>
            <w:proofErr w:type="spellEnd"/>
            <w:r>
              <w:rPr>
                <w:rFonts w:eastAsiaTheme="minorEastAsia"/>
              </w:rPr>
              <w:t>)</w:t>
            </w:r>
          </w:p>
        </w:tc>
        <w:tc>
          <w:tcPr>
            <w:tcW w:w="4961" w:type="dxa"/>
          </w:tcPr>
          <w:p w14:paraId="2200C648" w14:textId="4353BCB9" w:rsidR="00F74792" w:rsidRDefault="002D035E" w:rsidP="5313645B">
            <w:pPr>
              <w:rPr>
                <w:rFonts w:eastAsiaTheme="minorEastAsia"/>
              </w:rPr>
            </w:pPr>
            <w:r>
              <w:rPr>
                <w:rFonts w:eastAsiaTheme="minorEastAsia"/>
              </w:rPr>
              <w:t xml:space="preserve">Sodexo, </w:t>
            </w:r>
            <w:r w:rsidR="00803B40">
              <w:rPr>
                <w:rFonts w:eastAsiaTheme="minorEastAsia"/>
              </w:rPr>
              <w:t>Northamptonshire Healthcare Foundation Trust</w:t>
            </w:r>
          </w:p>
        </w:tc>
      </w:tr>
      <w:tr w:rsidR="00F74792" w14:paraId="77435847" w14:textId="77777777" w:rsidTr="00532564">
        <w:tc>
          <w:tcPr>
            <w:tcW w:w="4106" w:type="dxa"/>
          </w:tcPr>
          <w:p w14:paraId="179C15FE" w14:textId="54610561" w:rsidR="00F74792" w:rsidRPr="00803B40" w:rsidRDefault="00803B40" w:rsidP="5313645B">
            <w:pPr>
              <w:rPr>
                <w:rFonts w:eastAsiaTheme="minorEastAsia"/>
              </w:rPr>
            </w:pPr>
            <w:r w:rsidRPr="00803B40">
              <w:rPr>
                <w:rFonts w:eastAsiaTheme="minorEastAsia"/>
              </w:rPr>
              <w:t xml:space="preserve">HMP </w:t>
            </w:r>
            <w:proofErr w:type="spellStart"/>
            <w:r w:rsidRPr="00803B40">
              <w:rPr>
                <w:rFonts w:eastAsiaTheme="minorEastAsia"/>
              </w:rPr>
              <w:t>Hollesley</w:t>
            </w:r>
            <w:proofErr w:type="spellEnd"/>
            <w:r w:rsidRPr="00803B40">
              <w:rPr>
                <w:rFonts w:eastAsiaTheme="minorEastAsia"/>
              </w:rPr>
              <w:t xml:space="preserve"> Bay</w:t>
            </w:r>
          </w:p>
        </w:tc>
        <w:tc>
          <w:tcPr>
            <w:tcW w:w="4961" w:type="dxa"/>
          </w:tcPr>
          <w:p w14:paraId="5A046FD6" w14:textId="4EA85873" w:rsidR="00F74792" w:rsidRDefault="00627024" w:rsidP="5313645B">
            <w:pPr>
              <w:rPr>
                <w:rFonts w:eastAsiaTheme="minorEastAsia"/>
              </w:rPr>
            </w:pPr>
            <w:r>
              <w:rPr>
                <w:rFonts w:eastAsiaTheme="minorEastAsia"/>
              </w:rPr>
              <w:t>Practice Plus Group</w:t>
            </w:r>
            <w:r w:rsidR="002D035E">
              <w:rPr>
                <w:rFonts w:eastAsiaTheme="minorEastAsia"/>
              </w:rPr>
              <w:t xml:space="preserve">, </w:t>
            </w:r>
            <w:r w:rsidR="002D035E">
              <w:t>Forward Trust</w:t>
            </w:r>
          </w:p>
        </w:tc>
      </w:tr>
      <w:tr w:rsidR="00F74792" w14:paraId="79718FD1" w14:textId="77777777" w:rsidTr="00532564">
        <w:tc>
          <w:tcPr>
            <w:tcW w:w="4106" w:type="dxa"/>
          </w:tcPr>
          <w:p w14:paraId="2F733202" w14:textId="6B064355" w:rsidR="00F74792" w:rsidRDefault="00F74792" w:rsidP="2C90F853">
            <w:pPr>
              <w:rPr>
                <w:rFonts w:eastAsiaTheme="minorEastAsia"/>
              </w:rPr>
            </w:pPr>
          </w:p>
        </w:tc>
        <w:tc>
          <w:tcPr>
            <w:tcW w:w="4961" w:type="dxa"/>
          </w:tcPr>
          <w:p w14:paraId="57390BC8" w14:textId="4EA8CB62" w:rsidR="2C90F853" w:rsidRDefault="2C90F853" w:rsidP="2C90F853">
            <w:pPr>
              <w:rPr>
                <w:rFonts w:eastAsiaTheme="minorEastAsia"/>
              </w:rPr>
            </w:pPr>
          </w:p>
        </w:tc>
      </w:tr>
      <w:tr w:rsidR="00F74792" w14:paraId="2EB708E1" w14:textId="77777777" w:rsidTr="00532564">
        <w:tc>
          <w:tcPr>
            <w:tcW w:w="4106" w:type="dxa"/>
          </w:tcPr>
          <w:p w14:paraId="67867716" w14:textId="09311351" w:rsidR="00F74792" w:rsidRDefault="008F1EEA" w:rsidP="5313645B">
            <w:pPr>
              <w:rPr>
                <w:rFonts w:eastAsiaTheme="minorEastAsia"/>
              </w:rPr>
            </w:pPr>
            <w:r>
              <w:rPr>
                <w:rFonts w:eastAsiaTheme="minorEastAsia"/>
              </w:rPr>
              <w:t xml:space="preserve">Clare Lodge (secure </w:t>
            </w:r>
            <w:proofErr w:type="spellStart"/>
            <w:r>
              <w:rPr>
                <w:rFonts w:eastAsiaTheme="minorEastAsia"/>
              </w:rPr>
              <w:t>childrens</w:t>
            </w:r>
            <w:proofErr w:type="spellEnd"/>
            <w:r>
              <w:rPr>
                <w:rFonts w:eastAsiaTheme="minorEastAsia"/>
              </w:rPr>
              <w:t xml:space="preserve"> home)</w:t>
            </w:r>
          </w:p>
        </w:tc>
        <w:tc>
          <w:tcPr>
            <w:tcW w:w="4961" w:type="dxa"/>
          </w:tcPr>
          <w:p w14:paraId="5D2EA571" w14:textId="1966E318" w:rsidR="2C90F853" w:rsidRDefault="008F1EEA" w:rsidP="2C90F853">
            <w:pPr>
              <w:rPr>
                <w:rFonts w:eastAsiaTheme="minorEastAsia"/>
              </w:rPr>
            </w:pPr>
            <w:r>
              <w:rPr>
                <w:rFonts w:eastAsiaTheme="minorEastAsia"/>
              </w:rPr>
              <w:t>Cambridge Partnership Foundation Trust</w:t>
            </w:r>
          </w:p>
        </w:tc>
      </w:tr>
      <w:tr w:rsidR="00F74792" w14:paraId="5032A524" w14:textId="77777777" w:rsidTr="00532564">
        <w:tc>
          <w:tcPr>
            <w:tcW w:w="4106" w:type="dxa"/>
          </w:tcPr>
          <w:p w14:paraId="57BF4D28" w14:textId="73D0D598" w:rsidR="00F74792" w:rsidRDefault="008F1EEA" w:rsidP="5313645B">
            <w:pPr>
              <w:rPr>
                <w:rFonts w:eastAsiaTheme="minorEastAsia"/>
              </w:rPr>
            </w:pPr>
            <w:r>
              <w:rPr>
                <w:rFonts w:eastAsiaTheme="minorEastAsia"/>
              </w:rPr>
              <w:t>Oakhill (secure training centre)</w:t>
            </w:r>
          </w:p>
        </w:tc>
        <w:tc>
          <w:tcPr>
            <w:tcW w:w="4961" w:type="dxa"/>
          </w:tcPr>
          <w:p w14:paraId="60FFCB99" w14:textId="1C76A156" w:rsidR="00F74792" w:rsidRDefault="008F1EEA" w:rsidP="5313645B">
            <w:pPr>
              <w:rPr>
                <w:rFonts w:eastAsiaTheme="minorEastAsia"/>
              </w:rPr>
            </w:pPr>
            <w:r>
              <w:rPr>
                <w:rFonts w:eastAsiaTheme="minorEastAsia"/>
              </w:rPr>
              <w:t>G4S</w:t>
            </w:r>
          </w:p>
        </w:tc>
      </w:tr>
    </w:tbl>
    <w:p w14:paraId="6F7E1CF3" w14:textId="62AEB61A" w:rsidR="5313645B" w:rsidRDefault="5313645B" w:rsidP="5313645B">
      <w:pPr>
        <w:rPr>
          <w:rFonts w:eastAsiaTheme="minorEastAsia"/>
        </w:rPr>
      </w:pPr>
    </w:p>
    <w:p w14:paraId="23BB57AD" w14:textId="7E70D09C" w:rsidR="5C848DF1" w:rsidRDefault="5C848DF1" w:rsidP="5313645B">
      <w:pPr>
        <w:rPr>
          <w:b/>
          <w:bCs/>
          <w:u w:val="single"/>
        </w:rPr>
      </w:pPr>
      <w:r w:rsidRPr="5313645B">
        <w:rPr>
          <w:b/>
          <w:bCs/>
          <w:u w:val="single"/>
        </w:rPr>
        <w:t xml:space="preserve">Appendix 2: </w:t>
      </w:r>
      <w:r w:rsidR="00BB7148">
        <w:rPr>
          <w:b/>
          <w:bCs/>
          <w:u w:val="single"/>
        </w:rPr>
        <w:t xml:space="preserve">Liaison and Diversion </w:t>
      </w:r>
      <w:r w:rsidR="00F34224">
        <w:rPr>
          <w:b/>
          <w:bCs/>
          <w:u w:val="single"/>
        </w:rPr>
        <w:t>services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972"/>
        <w:gridCol w:w="6095"/>
      </w:tblGrid>
      <w:tr w:rsidR="00602BE2" w:rsidRPr="00602BE2" w14:paraId="6F548CC4" w14:textId="77777777" w:rsidTr="008F328A">
        <w:trPr>
          <w:trHeight w:val="397"/>
        </w:trPr>
        <w:tc>
          <w:tcPr>
            <w:tcW w:w="2972" w:type="dxa"/>
            <w:shd w:val="clear" w:color="auto" w:fill="E2EFD9" w:themeFill="accent6" w:themeFillTint="33"/>
            <w:vAlign w:val="center"/>
          </w:tcPr>
          <w:p w14:paraId="2C9AA97D" w14:textId="0FA2F483" w:rsidR="00602BE2" w:rsidRPr="00602BE2" w:rsidRDefault="00602BE2" w:rsidP="00602BE2">
            <w:pPr>
              <w:spacing w:after="0" w:line="240" w:lineRule="auto"/>
              <w:rPr>
                <w:rFonts w:eastAsia="Times New Roman" w:cstheme="minorHAnsi"/>
                <w:b/>
                <w:bCs/>
                <w:color w:val="000000"/>
                <w:lang w:eastAsia="en-GB"/>
              </w:rPr>
            </w:pPr>
            <w:r w:rsidRPr="00602BE2">
              <w:rPr>
                <w:rFonts w:eastAsia="Times New Roman" w:cstheme="minorHAnsi"/>
                <w:b/>
                <w:bCs/>
                <w:color w:val="000000"/>
                <w:lang w:eastAsia="en-GB"/>
              </w:rPr>
              <w:t>Area</w:t>
            </w:r>
          </w:p>
        </w:tc>
        <w:tc>
          <w:tcPr>
            <w:tcW w:w="6095" w:type="dxa"/>
            <w:shd w:val="clear" w:color="auto" w:fill="E2EFD9" w:themeFill="accent6" w:themeFillTint="33"/>
            <w:vAlign w:val="center"/>
          </w:tcPr>
          <w:p w14:paraId="4464EFE9" w14:textId="5B3E861C" w:rsidR="00602BE2" w:rsidRPr="00602BE2" w:rsidRDefault="00602BE2" w:rsidP="00602BE2">
            <w:pPr>
              <w:spacing w:after="0" w:line="240" w:lineRule="auto"/>
              <w:rPr>
                <w:rFonts w:eastAsia="Times New Roman" w:cstheme="minorHAnsi"/>
                <w:b/>
                <w:bCs/>
                <w:color w:val="000000"/>
                <w:lang w:eastAsia="en-GB"/>
              </w:rPr>
            </w:pPr>
            <w:r w:rsidRPr="00602BE2">
              <w:rPr>
                <w:rFonts w:eastAsia="Times New Roman" w:cstheme="minorHAnsi"/>
                <w:b/>
                <w:bCs/>
                <w:color w:val="000000"/>
                <w:lang w:eastAsia="en-GB"/>
              </w:rPr>
              <w:t>Provider</w:t>
            </w:r>
          </w:p>
        </w:tc>
      </w:tr>
      <w:tr w:rsidR="00602BE2" w:rsidRPr="00602BE2" w14:paraId="27733EBA" w14:textId="77777777" w:rsidTr="00835640">
        <w:trPr>
          <w:trHeight w:val="397"/>
        </w:trPr>
        <w:tc>
          <w:tcPr>
            <w:tcW w:w="2972" w:type="dxa"/>
            <w:shd w:val="clear" w:color="000000" w:fill="FFFFFF"/>
            <w:vAlign w:val="center"/>
          </w:tcPr>
          <w:p w14:paraId="02385C68" w14:textId="49C5E4F5" w:rsidR="00602BE2" w:rsidRPr="00602BE2" w:rsidRDefault="00F37E3E" w:rsidP="00602BE2">
            <w:pPr>
              <w:spacing w:after="0" w:line="240" w:lineRule="auto"/>
              <w:rPr>
                <w:rFonts w:eastAsia="Times New Roman" w:cstheme="minorHAnsi"/>
                <w:color w:val="000000"/>
                <w:lang w:eastAsia="en-GB"/>
              </w:rPr>
            </w:pPr>
            <w:r>
              <w:rPr>
                <w:rFonts w:eastAsia="Times New Roman" w:cstheme="minorHAnsi"/>
                <w:color w:val="000000"/>
                <w:lang w:eastAsia="en-GB"/>
              </w:rPr>
              <w:t>Milton Keynes</w:t>
            </w:r>
          </w:p>
        </w:tc>
        <w:tc>
          <w:tcPr>
            <w:tcW w:w="6095" w:type="dxa"/>
            <w:vAlign w:val="center"/>
          </w:tcPr>
          <w:p w14:paraId="473DC31E" w14:textId="0486CE8A" w:rsidR="00602BE2" w:rsidRPr="00602BE2" w:rsidRDefault="00BF31CA" w:rsidP="00602BE2">
            <w:pPr>
              <w:spacing w:after="0" w:line="240" w:lineRule="auto"/>
              <w:rPr>
                <w:rFonts w:eastAsia="Times New Roman" w:cstheme="minorHAnsi"/>
                <w:color w:val="000000"/>
                <w:lang w:eastAsia="en-GB"/>
              </w:rPr>
            </w:pPr>
            <w:r>
              <w:rPr>
                <w:rFonts w:eastAsia="Times New Roman" w:cstheme="minorHAnsi"/>
                <w:color w:val="000000"/>
                <w:lang w:eastAsia="en-GB"/>
              </w:rPr>
              <w:t xml:space="preserve">Berkshire </w:t>
            </w:r>
            <w:r w:rsidR="00430C2A">
              <w:rPr>
                <w:rFonts w:eastAsia="Times New Roman" w:cstheme="minorHAnsi"/>
                <w:color w:val="000000"/>
                <w:lang w:eastAsia="en-GB"/>
              </w:rPr>
              <w:t>H</w:t>
            </w:r>
            <w:r>
              <w:rPr>
                <w:rFonts w:eastAsia="Times New Roman" w:cstheme="minorHAnsi"/>
                <w:color w:val="000000"/>
                <w:lang w:eastAsia="en-GB"/>
              </w:rPr>
              <w:t xml:space="preserve">ealthcare </w:t>
            </w:r>
            <w:proofErr w:type="gramStart"/>
            <w:r w:rsidR="002C2D60">
              <w:rPr>
                <w:rFonts w:eastAsia="Times New Roman" w:cstheme="minorHAnsi"/>
                <w:color w:val="000000"/>
                <w:lang w:eastAsia="en-GB"/>
              </w:rPr>
              <w:t>T</w:t>
            </w:r>
            <w:r>
              <w:rPr>
                <w:rFonts w:eastAsia="Times New Roman" w:cstheme="minorHAnsi"/>
                <w:color w:val="000000"/>
                <w:lang w:eastAsia="en-GB"/>
              </w:rPr>
              <w:t xml:space="preserve">rust  </w:t>
            </w:r>
            <w:r w:rsidR="00DD3CDE">
              <w:rPr>
                <w:rFonts w:eastAsia="Times New Roman" w:cstheme="minorHAnsi"/>
                <w:color w:val="000000"/>
                <w:lang w:eastAsia="en-GB"/>
              </w:rPr>
              <w:t>(</w:t>
            </w:r>
            <w:proofErr w:type="gramEnd"/>
            <w:r>
              <w:rPr>
                <w:rFonts w:eastAsia="Times New Roman" w:cstheme="minorHAnsi"/>
                <w:color w:val="000000"/>
                <w:lang w:eastAsia="en-GB"/>
              </w:rPr>
              <w:t>contract held by NHS England South</w:t>
            </w:r>
            <w:r w:rsidR="00DD3CDE">
              <w:rPr>
                <w:rFonts w:eastAsia="Times New Roman" w:cstheme="minorHAnsi"/>
                <w:color w:val="000000"/>
                <w:lang w:eastAsia="en-GB"/>
              </w:rPr>
              <w:t xml:space="preserve"> covering all of Thames valley policing)</w:t>
            </w:r>
          </w:p>
        </w:tc>
      </w:tr>
      <w:tr w:rsidR="00602BE2" w:rsidRPr="00602BE2" w14:paraId="1F8F7748" w14:textId="77777777" w:rsidTr="00835640">
        <w:trPr>
          <w:trHeight w:val="397"/>
        </w:trPr>
        <w:tc>
          <w:tcPr>
            <w:tcW w:w="2972" w:type="dxa"/>
            <w:shd w:val="clear" w:color="000000" w:fill="FFFFFF"/>
            <w:vAlign w:val="center"/>
          </w:tcPr>
          <w:p w14:paraId="0B3A3479" w14:textId="74888928" w:rsidR="00602BE2" w:rsidRPr="00602BE2" w:rsidRDefault="00F37E3E" w:rsidP="00602BE2">
            <w:pPr>
              <w:spacing w:after="0" w:line="240" w:lineRule="auto"/>
              <w:rPr>
                <w:rFonts w:eastAsia="Times New Roman" w:cstheme="minorHAnsi"/>
                <w:color w:val="000000"/>
                <w:lang w:eastAsia="en-GB"/>
              </w:rPr>
            </w:pPr>
            <w:r>
              <w:rPr>
                <w:rFonts w:eastAsia="Times New Roman" w:cstheme="minorHAnsi"/>
                <w:color w:val="000000"/>
                <w:lang w:eastAsia="en-GB"/>
              </w:rPr>
              <w:t>Norfolk</w:t>
            </w:r>
          </w:p>
        </w:tc>
        <w:tc>
          <w:tcPr>
            <w:tcW w:w="6095" w:type="dxa"/>
            <w:vAlign w:val="center"/>
          </w:tcPr>
          <w:p w14:paraId="52FBC3B2" w14:textId="039493D5" w:rsidR="00602BE2" w:rsidRPr="00602BE2" w:rsidRDefault="00BF31CA" w:rsidP="00602BE2">
            <w:pPr>
              <w:spacing w:after="0" w:line="240" w:lineRule="auto"/>
              <w:rPr>
                <w:rFonts w:eastAsia="Times New Roman" w:cstheme="minorHAnsi"/>
                <w:color w:val="000000"/>
                <w:lang w:eastAsia="en-GB"/>
              </w:rPr>
            </w:pPr>
            <w:r>
              <w:rPr>
                <w:rFonts w:eastAsia="Times New Roman" w:cstheme="minorHAnsi"/>
                <w:color w:val="000000"/>
                <w:lang w:eastAsia="en-GB"/>
              </w:rPr>
              <w:t>Norfolk and Suffolk Foundation Trust</w:t>
            </w:r>
          </w:p>
        </w:tc>
      </w:tr>
      <w:tr w:rsidR="00602BE2" w:rsidRPr="00602BE2" w14:paraId="00E59CE0" w14:textId="77777777" w:rsidTr="00835640">
        <w:trPr>
          <w:trHeight w:val="397"/>
        </w:trPr>
        <w:tc>
          <w:tcPr>
            <w:tcW w:w="2972" w:type="dxa"/>
            <w:shd w:val="clear" w:color="000000" w:fill="FFFFFF"/>
            <w:vAlign w:val="center"/>
          </w:tcPr>
          <w:p w14:paraId="5DDFC30C" w14:textId="7532B3F0" w:rsidR="00602BE2" w:rsidRPr="00602BE2" w:rsidRDefault="00F37E3E" w:rsidP="00602BE2">
            <w:pPr>
              <w:spacing w:after="0" w:line="240" w:lineRule="auto"/>
              <w:rPr>
                <w:rFonts w:eastAsia="Times New Roman" w:cstheme="minorHAnsi"/>
                <w:color w:val="000000"/>
                <w:lang w:eastAsia="en-GB"/>
              </w:rPr>
            </w:pPr>
            <w:r>
              <w:rPr>
                <w:rFonts w:eastAsia="Times New Roman" w:cstheme="minorHAnsi"/>
                <w:color w:val="000000"/>
                <w:lang w:eastAsia="en-GB"/>
              </w:rPr>
              <w:t>Suffolk</w:t>
            </w:r>
          </w:p>
        </w:tc>
        <w:tc>
          <w:tcPr>
            <w:tcW w:w="6095" w:type="dxa"/>
            <w:vAlign w:val="center"/>
          </w:tcPr>
          <w:p w14:paraId="6C4A7E8B" w14:textId="2758B14D" w:rsidR="00602BE2" w:rsidRPr="00602BE2" w:rsidRDefault="00BF31CA" w:rsidP="00602BE2">
            <w:pPr>
              <w:spacing w:after="0" w:line="240" w:lineRule="auto"/>
              <w:rPr>
                <w:rFonts w:eastAsia="Times New Roman" w:cstheme="minorHAnsi"/>
                <w:color w:val="000000"/>
                <w:lang w:eastAsia="en-GB"/>
              </w:rPr>
            </w:pPr>
            <w:r>
              <w:rPr>
                <w:rFonts w:eastAsia="Times New Roman" w:cstheme="minorHAnsi"/>
                <w:color w:val="000000"/>
                <w:lang w:eastAsia="en-GB"/>
              </w:rPr>
              <w:t>Norfolk and Suffolk Foundation Trust</w:t>
            </w:r>
          </w:p>
        </w:tc>
      </w:tr>
      <w:tr w:rsidR="00602BE2" w:rsidRPr="00602BE2" w14:paraId="00B33A7A" w14:textId="77777777" w:rsidTr="00835640">
        <w:trPr>
          <w:trHeight w:val="397"/>
        </w:trPr>
        <w:tc>
          <w:tcPr>
            <w:tcW w:w="2972" w:type="dxa"/>
            <w:shd w:val="clear" w:color="000000" w:fill="FFFFFF"/>
            <w:vAlign w:val="center"/>
          </w:tcPr>
          <w:p w14:paraId="03BFF2F4" w14:textId="093EE6D5" w:rsidR="00602BE2" w:rsidRPr="00602BE2" w:rsidRDefault="00F37E3E" w:rsidP="00602BE2">
            <w:pPr>
              <w:spacing w:after="0" w:line="240" w:lineRule="auto"/>
              <w:rPr>
                <w:rFonts w:eastAsia="Times New Roman" w:cstheme="minorHAnsi"/>
                <w:color w:val="000000"/>
                <w:lang w:eastAsia="en-GB"/>
              </w:rPr>
            </w:pPr>
            <w:r>
              <w:rPr>
                <w:rFonts w:eastAsia="Times New Roman" w:cstheme="minorHAnsi"/>
                <w:color w:val="000000"/>
                <w:lang w:eastAsia="en-GB"/>
              </w:rPr>
              <w:t>Hertfor</w:t>
            </w:r>
            <w:r w:rsidR="00B92610">
              <w:rPr>
                <w:rFonts w:eastAsia="Times New Roman" w:cstheme="minorHAnsi"/>
                <w:color w:val="000000"/>
                <w:lang w:eastAsia="en-GB"/>
              </w:rPr>
              <w:t>d</w:t>
            </w:r>
            <w:r>
              <w:rPr>
                <w:rFonts w:eastAsia="Times New Roman" w:cstheme="minorHAnsi"/>
                <w:color w:val="000000"/>
                <w:lang w:eastAsia="en-GB"/>
              </w:rPr>
              <w:t>shire</w:t>
            </w:r>
          </w:p>
        </w:tc>
        <w:tc>
          <w:tcPr>
            <w:tcW w:w="6095" w:type="dxa"/>
            <w:vAlign w:val="center"/>
          </w:tcPr>
          <w:p w14:paraId="75D8293F" w14:textId="71DC4161" w:rsidR="00602BE2" w:rsidRPr="00602BE2" w:rsidRDefault="00BF31CA" w:rsidP="00602BE2">
            <w:pPr>
              <w:spacing w:after="0" w:line="240" w:lineRule="auto"/>
              <w:rPr>
                <w:rFonts w:eastAsia="Times New Roman" w:cstheme="minorHAnsi"/>
                <w:color w:val="000000"/>
                <w:lang w:eastAsia="en-GB"/>
              </w:rPr>
            </w:pPr>
            <w:r>
              <w:rPr>
                <w:rFonts w:eastAsia="Times New Roman" w:cstheme="minorHAnsi"/>
                <w:color w:val="000000"/>
                <w:lang w:eastAsia="en-GB"/>
              </w:rPr>
              <w:t xml:space="preserve">East London Foundation </w:t>
            </w:r>
            <w:r w:rsidR="00430C2A">
              <w:rPr>
                <w:rFonts w:eastAsia="Times New Roman" w:cstheme="minorHAnsi"/>
                <w:color w:val="000000"/>
                <w:lang w:eastAsia="en-GB"/>
              </w:rPr>
              <w:t>T</w:t>
            </w:r>
            <w:r>
              <w:rPr>
                <w:rFonts w:eastAsia="Times New Roman" w:cstheme="minorHAnsi"/>
                <w:color w:val="000000"/>
                <w:lang w:eastAsia="en-GB"/>
              </w:rPr>
              <w:t>rust</w:t>
            </w:r>
          </w:p>
        </w:tc>
      </w:tr>
      <w:tr w:rsidR="00BF31CA" w:rsidRPr="00602BE2" w14:paraId="271320D7" w14:textId="77777777" w:rsidTr="00835640">
        <w:trPr>
          <w:trHeight w:val="397"/>
        </w:trPr>
        <w:tc>
          <w:tcPr>
            <w:tcW w:w="2972" w:type="dxa"/>
            <w:shd w:val="clear" w:color="000000" w:fill="FFFFFF"/>
            <w:vAlign w:val="center"/>
          </w:tcPr>
          <w:p w14:paraId="76D713CA" w14:textId="6A8C545A" w:rsidR="00BF31CA" w:rsidRPr="00602BE2" w:rsidRDefault="00BF31CA" w:rsidP="00BF31CA">
            <w:pPr>
              <w:spacing w:after="0" w:line="240" w:lineRule="auto"/>
              <w:rPr>
                <w:rFonts w:eastAsia="Times New Roman" w:cstheme="minorHAnsi"/>
                <w:color w:val="000000"/>
                <w:lang w:eastAsia="en-GB"/>
              </w:rPr>
            </w:pPr>
            <w:r>
              <w:rPr>
                <w:rFonts w:eastAsia="Times New Roman" w:cstheme="minorHAnsi"/>
                <w:color w:val="000000"/>
                <w:lang w:eastAsia="en-GB"/>
              </w:rPr>
              <w:t>Bedfordshire</w:t>
            </w:r>
          </w:p>
        </w:tc>
        <w:tc>
          <w:tcPr>
            <w:tcW w:w="6095" w:type="dxa"/>
            <w:vAlign w:val="center"/>
          </w:tcPr>
          <w:p w14:paraId="341F1270" w14:textId="07168034" w:rsidR="00BF31CA" w:rsidRPr="00602BE2" w:rsidRDefault="00BF31CA" w:rsidP="00BF31CA">
            <w:pPr>
              <w:spacing w:after="0" w:line="240" w:lineRule="auto"/>
              <w:rPr>
                <w:rFonts w:eastAsia="Times New Roman" w:cstheme="minorHAnsi"/>
                <w:color w:val="000000"/>
                <w:lang w:eastAsia="en-GB"/>
              </w:rPr>
            </w:pPr>
            <w:r>
              <w:rPr>
                <w:rFonts w:eastAsia="Times New Roman" w:cstheme="minorHAnsi"/>
                <w:color w:val="000000"/>
                <w:lang w:eastAsia="en-GB"/>
              </w:rPr>
              <w:t xml:space="preserve">East London Foundation </w:t>
            </w:r>
            <w:r w:rsidR="00430C2A">
              <w:rPr>
                <w:rFonts w:eastAsia="Times New Roman" w:cstheme="minorHAnsi"/>
                <w:color w:val="000000"/>
                <w:lang w:eastAsia="en-GB"/>
              </w:rPr>
              <w:t>T</w:t>
            </w:r>
            <w:r>
              <w:rPr>
                <w:rFonts w:eastAsia="Times New Roman" w:cstheme="minorHAnsi"/>
                <w:color w:val="000000"/>
                <w:lang w:eastAsia="en-GB"/>
              </w:rPr>
              <w:t>rust</w:t>
            </w:r>
          </w:p>
        </w:tc>
      </w:tr>
      <w:tr w:rsidR="00BF31CA" w:rsidRPr="00602BE2" w14:paraId="191AB29C" w14:textId="77777777" w:rsidTr="00835640">
        <w:trPr>
          <w:trHeight w:val="397"/>
        </w:trPr>
        <w:tc>
          <w:tcPr>
            <w:tcW w:w="2972" w:type="dxa"/>
            <w:shd w:val="clear" w:color="000000" w:fill="FFFFFF"/>
            <w:vAlign w:val="center"/>
          </w:tcPr>
          <w:p w14:paraId="23DF9CE4" w14:textId="637560A6" w:rsidR="00BF31CA" w:rsidRPr="00602BE2" w:rsidRDefault="00BF31CA" w:rsidP="00BF31CA">
            <w:pPr>
              <w:spacing w:after="0" w:line="240" w:lineRule="auto"/>
              <w:rPr>
                <w:rFonts w:eastAsia="Times New Roman" w:cstheme="minorHAnsi"/>
                <w:color w:val="000000"/>
                <w:lang w:eastAsia="en-GB"/>
              </w:rPr>
            </w:pPr>
            <w:r>
              <w:rPr>
                <w:rFonts w:eastAsia="Times New Roman" w:cstheme="minorHAnsi"/>
                <w:color w:val="000000"/>
                <w:lang w:eastAsia="en-GB"/>
              </w:rPr>
              <w:t>Cambridgeshire</w:t>
            </w:r>
          </w:p>
        </w:tc>
        <w:tc>
          <w:tcPr>
            <w:tcW w:w="6095" w:type="dxa"/>
            <w:vAlign w:val="center"/>
          </w:tcPr>
          <w:p w14:paraId="5492A6ED" w14:textId="180A8108" w:rsidR="00BF31CA" w:rsidRPr="00602BE2" w:rsidRDefault="00BF31CA" w:rsidP="00BF31CA">
            <w:pPr>
              <w:spacing w:after="0" w:line="240" w:lineRule="auto"/>
              <w:rPr>
                <w:rFonts w:eastAsia="Times New Roman" w:cstheme="minorHAnsi"/>
                <w:color w:val="000000"/>
                <w:lang w:eastAsia="en-GB"/>
              </w:rPr>
            </w:pPr>
            <w:r>
              <w:rPr>
                <w:rFonts w:eastAsia="Times New Roman" w:cstheme="minorHAnsi"/>
                <w:color w:val="000000"/>
                <w:lang w:eastAsia="en-GB"/>
              </w:rPr>
              <w:t>Cambridge and Peterborough Foundation Trust</w:t>
            </w:r>
          </w:p>
        </w:tc>
      </w:tr>
      <w:tr w:rsidR="00BF31CA" w:rsidRPr="00602BE2" w14:paraId="7876B86A" w14:textId="77777777" w:rsidTr="008F328A">
        <w:trPr>
          <w:trHeight w:val="397"/>
        </w:trPr>
        <w:tc>
          <w:tcPr>
            <w:tcW w:w="2972" w:type="dxa"/>
            <w:shd w:val="clear" w:color="000000" w:fill="FFFFFF"/>
            <w:vAlign w:val="center"/>
          </w:tcPr>
          <w:p w14:paraId="789B8BC3" w14:textId="42B5FF86" w:rsidR="00BF31CA" w:rsidRPr="00602BE2" w:rsidRDefault="00BF31CA" w:rsidP="00BF31CA">
            <w:pPr>
              <w:spacing w:after="0" w:line="240" w:lineRule="auto"/>
              <w:rPr>
                <w:rFonts w:eastAsia="Times New Roman" w:cstheme="minorHAnsi"/>
                <w:color w:val="000000"/>
                <w:lang w:eastAsia="en-GB"/>
              </w:rPr>
            </w:pPr>
            <w:r>
              <w:rPr>
                <w:rFonts w:eastAsia="Times New Roman" w:cstheme="minorHAnsi"/>
                <w:color w:val="000000"/>
                <w:lang w:eastAsia="en-GB"/>
              </w:rPr>
              <w:t>Essex</w:t>
            </w:r>
          </w:p>
        </w:tc>
        <w:tc>
          <w:tcPr>
            <w:tcW w:w="6095" w:type="dxa"/>
            <w:vAlign w:val="center"/>
          </w:tcPr>
          <w:p w14:paraId="024DA9C6" w14:textId="6B6A8D5C" w:rsidR="00BF31CA" w:rsidRPr="00602BE2" w:rsidRDefault="00430C2A" w:rsidP="00BF31CA">
            <w:pPr>
              <w:spacing w:after="0" w:line="240" w:lineRule="auto"/>
              <w:rPr>
                <w:rFonts w:eastAsia="Times New Roman" w:cstheme="minorHAnsi"/>
                <w:color w:val="000000"/>
                <w:lang w:eastAsia="en-GB"/>
              </w:rPr>
            </w:pPr>
            <w:r>
              <w:rPr>
                <w:rFonts w:eastAsia="Times New Roman" w:cstheme="minorHAnsi"/>
                <w:color w:val="000000"/>
                <w:lang w:eastAsia="en-GB"/>
              </w:rPr>
              <w:t>Essex Partnership University Trust</w:t>
            </w:r>
          </w:p>
        </w:tc>
      </w:tr>
    </w:tbl>
    <w:p w14:paraId="5ED1F6FF" w14:textId="37FD8EC5" w:rsidR="00602BE2" w:rsidRDefault="00602BE2" w:rsidP="5313645B">
      <w:pPr>
        <w:rPr>
          <w:b/>
          <w:bCs/>
          <w:u w:val="single"/>
        </w:rPr>
      </w:pPr>
    </w:p>
    <w:p w14:paraId="6F6C9D6D" w14:textId="7A08B6E6" w:rsidR="5313645B" w:rsidRDefault="5313645B"/>
    <w:p w14:paraId="57C68CE8" w14:textId="1E81DA74" w:rsidR="00BB7148" w:rsidRDefault="00BB7148" w:rsidP="00BB7148">
      <w:pPr>
        <w:rPr>
          <w:b/>
          <w:bCs/>
          <w:u w:val="single"/>
        </w:rPr>
      </w:pPr>
      <w:r w:rsidRPr="5313645B">
        <w:rPr>
          <w:b/>
          <w:bCs/>
          <w:u w:val="single"/>
        </w:rPr>
        <w:t xml:space="preserve">Appendix </w:t>
      </w:r>
      <w:r>
        <w:rPr>
          <w:b/>
          <w:bCs/>
          <w:u w:val="single"/>
        </w:rPr>
        <w:t>3</w:t>
      </w:r>
      <w:r w:rsidRPr="5313645B">
        <w:rPr>
          <w:b/>
          <w:bCs/>
          <w:u w:val="single"/>
        </w:rPr>
        <w:t xml:space="preserve">: </w:t>
      </w:r>
      <w:r>
        <w:rPr>
          <w:b/>
          <w:bCs/>
          <w:u w:val="single"/>
        </w:rPr>
        <w:t>Integrated Care Systems</w:t>
      </w:r>
    </w:p>
    <w:tbl>
      <w:tblPr>
        <w:tblStyle w:val="TableGrid"/>
        <w:tblW w:w="0" w:type="auto"/>
        <w:tblLayout w:type="fixed"/>
        <w:tblLook w:val="06A0" w:firstRow="1" w:lastRow="0" w:firstColumn="1" w:lastColumn="0" w:noHBand="1" w:noVBand="1"/>
      </w:tblPr>
      <w:tblGrid>
        <w:gridCol w:w="4508"/>
        <w:gridCol w:w="4508"/>
      </w:tblGrid>
      <w:tr w:rsidR="00BB7148" w14:paraId="5EFF87B0" w14:textId="77777777" w:rsidTr="002A5433">
        <w:tc>
          <w:tcPr>
            <w:tcW w:w="4508" w:type="dxa"/>
            <w:shd w:val="clear" w:color="auto" w:fill="C5E0B3" w:themeFill="accent6" w:themeFillTint="66"/>
          </w:tcPr>
          <w:p w14:paraId="7718898D" w14:textId="54096ACD" w:rsidR="00BB7148" w:rsidRDefault="00BB7148" w:rsidP="002A5433">
            <w:pPr>
              <w:rPr>
                <w:rFonts w:eastAsiaTheme="minorEastAsia"/>
                <w:b/>
                <w:bCs/>
              </w:rPr>
            </w:pPr>
          </w:p>
        </w:tc>
        <w:tc>
          <w:tcPr>
            <w:tcW w:w="4508" w:type="dxa"/>
            <w:shd w:val="clear" w:color="auto" w:fill="C5E0B3" w:themeFill="accent6" w:themeFillTint="66"/>
          </w:tcPr>
          <w:p w14:paraId="0361EE4C" w14:textId="08531D15" w:rsidR="00BB7148" w:rsidRDefault="00BB7148" w:rsidP="002A5433">
            <w:pPr>
              <w:rPr>
                <w:rFonts w:eastAsiaTheme="minorEastAsia"/>
                <w:b/>
                <w:bCs/>
              </w:rPr>
            </w:pPr>
          </w:p>
        </w:tc>
      </w:tr>
      <w:tr w:rsidR="00BB7148" w14:paraId="3B0F9E6E" w14:textId="77777777" w:rsidTr="002A5433">
        <w:tc>
          <w:tcPr>
            <w:tcW w:w="4508" w:type="dxa"/>
          </w:tcPr>
          <w:p w14:paraId="0C055FFB" w14:textId="73E44579" w:rsidR="00BB7148" w:rsidRDefault="00B92610" w:rsidP="002A5433">
            <w:pPr>
              <w:rPr>
                <w:rFonts w:eastAsiaTheme="minorEastAsia"/>
              </w:rPr>
            </w:pPr>
            <w:r>
              <w:rPr>
                <w:rFonts w:eastAsiaTheme="minorEastAsia"/>
              </w:rPr>
              <w:t>Norfolk and Waveney</w:t>
            </w:r>
          </w:p>
        </w:tc>
        <w:tc>
          <w:tcPr>
            <w:tcW w:w="4508" w:type="dxa"/>
          </w:tcPr>
          <w:p w14:paraId="453FC905" w14:textId="194943CF" w:rsidR="00BB7148" w:rsidRDefault="00B92610" w:rsidP="002A5433">
            <w:pPr>
              <w:rPr>
                <w:rFonts w:eastAsiaTheme="minorEastAsia"/>
              </w:rPr>
            </w:pPr>
            <w:r>
              <w:rPr>
                <w:rFonts w:eastAsiaTheme="minorEastAsia"/>
              </w:rPr>
              <w:t xml:space="preserve">Bedfordshire, </w:t>
            </w:r>
            <w:proofErr w:type="gramStart"/>
            <w:r>
              <w:rPr>
                <w:rFonts w:eastAsiaTheme="minorEastAsia"/>
              </w:rPr>
              <w:t>Luton</w:t>
            </w:r>
            <w:proofErr w:type="gramEnd"/>
            <w:r>
              <w:rPr>
                <w:rFonts w:eastAsiaTheme="minorEastAsia"/>
              </w:rPr>
              <w:t xml:space="preserve"> and Milton Keynes</w:t>
            </w:r>
          </w:p>
        </w:tc>
      </w:tr>
      <w:tr w:rsidR="00BB7148" w14:paraId="4C01A446" w14:textId="77777777" w:rsidTr="002A5433">
        <w:tc>
          <w:tcPr>
            <w:tcW w:w="4508" w:type="dxa"/>
          </w:tcPr>
          <w:p w14:paraId="613DC517" w14:textId="485D86B2" w:rsidR="00BB7148" w:rsidRDefault="00B92610" w:rsidP="002A5433">
            <w:pPr>
              <w:rPr>
                <w:rFonts w:eastAsiaTheme="minorEastAsia"/>
              </w:rPr>
            </w:pPr>
            <w:r>
              <w:rPr>
                <w:rFonts w:eastAsiaTheme="minorEastAsia"/>
              </w:rPr>
              <w:t>Suffolk and North East Essex</w:t>
            </w:r>
          </w:p>
        </w:tc>
        <w:tc>
          <w:tcPr>
            <w:tcW w:w="4508" w:type="dxa"/>
          </w:tcPr>
          <w:p w14:paraId="19BEE91C" w14:textId="684BE4D2" w:rsidR="00BB7148" w:rsidRDefault="00BF222E" w:rsidP="002A5433">
            <w:pPr>
              <w:rPr>
                <w:rFonts w:eastAsiaTheme="minorEastAsia"/>
              </w:rPr>
            </w:pPr>
            <w:r>
              <w:rPr>
                <w:rFonts w:eastAsiaTheme="minorEastAsia"/>
              </w:rPr>
              <w:t>Mid and South Essex</w:t>
            </w:r>
          </w:p>
        </w:tc>
      </w:tr>
      <w:tr w:rsidR="00BB7148" w14:paraId="7D4BC643" w14:textId="77777777" w:rsidTr="002A5433">
        <w:tc>
          <w:tcPr>
            <w:tcW w:w="4508" w:type="dxa"/>
          </w:tcPr>
          <w:p w14:paraId="7607E7BE" w14:textId="5642FC21" w:rsidR="00BB7148" w:rsidRDefault="00B92610" w:rsidP="002A5433">
            <w:pPr>
              <w:rPr>
                <w:rFonts w:eastAsiaTheme="minorEastAsia"/>
              </w:rPr>
            </w:pPr>
            <w:r>
              <w:rPr>
                <w:rFonts w:eastAsiaTheme="minorEastAsia"/>
              </w:rPr>
              <w:t>Cambridge and Peterborough</w:t>
            </w:r>
          </w:p>
        </w:tc>
        <w:tc>
          <w:tcPr>
            <w:tcW w:w="4508" w:type="dxa"/>
          </w:tcPr>
          <w:p w14:paraId="28526DD1" w14:textId="031779E6" w:rsidR="00BB7148" w:rsidRDefault="00BB7148" w:rsidP="002A5433">
            <w:pPr>
              <w:rPr>
                <w:rFonts w:eastAsiaTheme="minorEastAsia"/>
              </w:rPr>
            </w:pPr>
          </w:p>
        </w:tc>
      </w:tr>
      <w:tr w:rsidR="00BB7148" w14:paraId="19E9373A" w14:textId="77777777" w:rsidTr="002A5433">
        <w:tc>
          <w:tcPr>
            <w:tcW w:w="4508" w:type="dxa"/>
          </w:tcPr>
          <w:p w14:paraId="5F01E249" w14:textId="5ABC7D57" w:rsidR="00BB7148" w:rsidRDefault="00B92610" w:rsidP="002A5433">
            <w:pPr>
              <w:rPr>
                <w:rFonts w:eastAsiaTheme="minorEastAsia"/>
              </w:rPr>
            </w:pPr>
            <w:r>
              <w:rPr>
                <w:rFonts w:eastAsiaTheme="minorEastAsia"/>
              </w:rPr>
              <w:t>Herts and West Essex</w:t>
            </w:r>
          </w:p>
        </w:tc>
        <w:tc>
          <w:tcPr>
            <w:tcW w:w="4508" w:type="dxa"/>
          </w:tcPr>
          <w:p w14:paraId="665304BA" w14:textId="36AC2F51" w:rsidR="00BB7148" w:rsidRDefault="00BB7148" w:rsidP="002A5433">
            <w:pPr>
              <w:rPr>
                <w:rFonts w:eastAsiaTheme="minorEastAsia"/>
              </w:rPr>
            </w:pPr>
          </w:p>
        </w:tc>
      </w:tr>
      <w:tr w:rsidR="00BB7148" w14:paraId="0CCD3137" w14:textId="77777777" w:rsidTr="002A5433">
        <w:tc>
          <w:tcPr>
            <w:tcW w:w="4508" w:type="dxa"/>
          </w:tcPr>
          <w:p w14:paraId="22F875E0" w14:textId="3AE11BC2" w:rsidR="00BB7148" w:rsidRDefault="00BB7148" w:rsidP="002A5433">
            <w:pPr>
              <w:rPr>
                <w:rFonts w:eastAsiaTheme="minorEastAsia"/>
              </w:rPr>
            </w:pPr>
          </w:p>
        </w:tc>
        <w:tc>
          <w:tcPr>
            <w:tcW w:w="4508" w:type="dxa"/>
          </w:tcPr>
          <w:p w14:paraId="30CEE8FE" w14:textId="06A00A34" w:rsidR="00BB7148" w:rsidRDefault="00BB7148" w:rsidP="002A5433">
            <w:pPr>
              <w:rPr>
                <w:rFonts w:eastAsiaTheme="minorEastAsia"/>
              </w:rPr>
            </w:pPr>
          </w:p>
        </w:tc>
      </w:tr>
      <w:tr w:rsidR="00BB7148" w14:paraId="67A91BBB" w14:textId="77777777" w:rsidTr="002A5433">
        <w:tc>
          <w:tcPr>
            <w:tcW w:w="4508" w:type="dxa"/>
          </w:tcPr>
          <w:p w14:paraId="36E5D5C3" w14:textId="68F2A8BB" w:rsidR="00BB7148" w:rsidRDefault="00BB7148" w:rsidP="002A5433">
            <w:pPr>
              <w:rPr>
                <w:rFonts w:eastAsiaTheme="minorEastAsia"/>
              </w:rPr>
            </w:pPr>
          </w:p>
        </w:tc>
        <w:tc>
          <w:tcPr>
            <w:tcW w:w="4508" w:type="dxa"/>
          </w:tcPr>
          <w:p w14:paraId="2A4657F5" w14:textId="77777777" w:rsidR="00BB7148" w:rsidRDefault="00BB7148" w:rsidP="002A5433">
            <w:pPr>
              <w:rPr>
                <w:rFonts w:eastAsiaTheme="minorEastAsia"/>
              </w:rPr>
            </w:pPr>
          </w:p>
        </w:tc>
      </w:tr>
    </w:tbl>
    <w:p w14:paraId="5D99CAF2" w14:textId="77777777" w:rsidR="00BB7148" w:rsidRDefault="00BB7148" w:rsidP="00BB7148"/>
    <w:p w14:paraId="700B82F9" w14:textId="77777777" w:rsidR="00BB7148" w:rsidRDefault="00BB7148" w:rsidP="00BB7148"/>
    <w:p w14:paraId="796E2EDF" w14:textId="3B8F3DD4" w:rsidR="5313645B" w:rsidRDefault="5313645B" w:rsidP="5313645B">
      <w:pPr>
        <w:pStyle w:val="ListParagraph"/>
        <w:ind w:left="765"/>
      </w:pPr>
    </w:p>
    <w:p w14:paraId="0E0DEFE0" w14:textId="3B8F3DD4" w:rsidR="5313645B" w:rsidRDefault="5313645B" w:rsidP="5313645B">
      <w:pPr>
        <w:pStyle w:val="ListParagraph"/>
        <w:ind w:left="765"/>
      </w:pPr>
    </w:p>
    <w:p w14:paraId="057A9A8F" w14:textId="3B8F3DD4" w:rsidR="5313645B" w:rsidRDefault="5313645B" w:rsidP="5313645B">
      <w:pPr>
        <w:pStyle w:val="ListParagraph"/>
        <w:ind w:left="765"/>
      </w:pPr>
    </w:p>
    <w:sectPr w:rsidR="531364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5374F" w14:textId="77777777" w:rsidR="0055235A" w:rsidRDefault="0055235A" w:rsidP="007E2BA8">
      <w:pPr>
        <w:spacing w:after="0" w:line="240" w:lineRule="auto"/>
      </w:pPr>
      <w:r>
        <w:separator/>
      </w:r>
    </w:p>
  </w:endnote>
  <w:endnote w:type="continuationSeparator" w:id="0">
    <w:p w14:paraId="37B7407D" w14:textId="77777777" w:rsidR="0055235A" w:rsidRDefault="0055235A" w:rsidP="007E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48E1E" w14:textId="77777777" w:rsidR="007E2BA8" w:rsidRDefault="007E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26006064"/>
      <w:docPartObj>
        <w:docPartGallery w:val="Page Numbers (Bottom of Page)"/>
        <w:docPartUnique/>
      </w:docPartObj>
    </w:sdtPr>
    <w:sdtEndPr>
      <w:rPr>
        <w:noProof/>
      </w:rPr>
    </w:sdtEndPr>
    <w:sdtContent>
      <w:p w14:paraId="3D2AC8DC" w14:textId="1C7E5ABB" w:rsidR="007E2BA8" w:rsidRPr="007E2BA8" w:rsidRDefault="007E2BA8">
        <w:pPr>
          <w:pStyle w:val="Footer"/>
          <w:jc w:val="right"/>
          <w:rPr>
            <w:sz w:val="16"/>
            <w:szCs w:val="16"/>
          </w:rPr>
        </w:pPr>
        <w:r w:rsidRPr="007E2BA8">
          <w:rPr>
            <w:sz w:val="16"/>
            <w:szCs w:val="16"/>
          </w:rPr>
          <w:fldChar w:fldCharType="begin"/>
        </w:r>
        <w:r w:rsidRPr="007E2BA8">
          <w:rPr>
            <w:sz w:val="16"/>
            <w:szCs w:val="16"/>
          </w:rPr>
          <w:instrText xml:space="preserve"> PAGE   \* MERGEFORMAT </w:instrText>
        </w:r>
        <w:r w:rsidRPr="007E2BA8">
          <w:rPr>
            <w:sz w:val="16"/>
            <w:szCs w:val="16"/>
          </w:rPr>
          <w:fldChar w:fldCharType="separate"/>
        </w:r>
        <w:r w:rsidRPr="007E2BA8">
          <w:rPr>
            <w:noProof/>
            <w:sz w:val="16"/>
            <w:szCs w:val="16"/>
          </w:rPr>
          <w:t>2</w:t>
        </w:r>
        <w:r w:rsidRPr="007E2BA8">
          <w:rPr>
            <w:noProof/>
            <w:sz w:val="16"/>
            <w:szCs w:val="16"/>
          </w:rPr>
          <w:fldChar w:fldCharType="end"/>
        </w:r>
      </w:p>
    </w:sdtContent>
  </w:sdt>
  <w:p w14:paraId="44768AA5" w14:textId="77777777" w:rsidR="007E2BA8" w:rsidRDefault="007E2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7914" w14:textId="77777777" w:rsidR="007E2BA8" w:rsidRDefault="007E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70E33" w14:textId="77777777" w:rsidR="0055235A" w:rsidRDefault="0055235A" w:rsidP="007E2BA8">
      <w:pPr>
        <w:spacing w:after="0" w:line="240" w:lineRule="auto"/>
      </w:pPr>
      <w:r>
        <w:separator/>
      </w:r>
    </w:p>
  </w:footnote>
  <w:footnote w:type="continuationSeparator" w:id="0">
    <w:p w14:paraId="4E8D5A0C" w14:textId="77777777" w:rsidR="0055235A" w:rsidRDefault="0055235A" w:rsidP="007E2BA8">
      <w:pPr>
        <w:spacing w:after="0" w:line="240" w:lineRule="auto"/>
      </w:pPr>
      <w:r>
        <w:continuationSeparator/>
      </w:r>
    </w:p>
  </w:footnote>
  <w:footnote w:id="1">
    <w:p w14:paraId="27FFCBCF" w14:textId="5938BCDF" w:rsidR="13CE318B" w:rsidRDefault="13CE318B" w:rsidP="13CE318B">
      <w:pPr>
        <w:pStyle w:val="FootnoteText"/>
        <w:rPr>
          <w:i/>
          <w:iCs/>
          <w:sz w:val="16"/>
          <w:szCs w:val="16"/>
        </w:rPr>
      </w:pPr>
      <w:r w:rsidRPr="13CE318B">
        <w:rPr>
          <w:rStyle w:val="FootnoteReference"/>
          <w:i/>
          <w:iCs/>
          <w:sz w:val="16"/>
          <w:szCs w:val="16"/>
        </w:rPr>
        <w:footnoteRef/>
      </w:r>
      <w:r w:rsidRPr="13CE318B">
        <w:rPr>
          <w:i/>
          <w:iCs/>
          <w:sz w:val="16"/>
          <w:szCs w:val="16"/>
        </w:rPr>
        <w:t xml:space="preserve"> Learning Difficulty is out of scope for this project, as are other forms of neurodiversity.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2B57" w14:textId="77777777" w:rsidR="007E2BA8" w:rsidRDefault="007E2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3D14" w14:textId="77777777" w:rsidR="007E2BA8" w:rsidRDefault="007E2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FF60" w14:textId="77777777" w:rsidR="007E2BA8" w:rsidRDefault="007E2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E0D"/>
    <w:multiLevelType w:val="hybridMultilevel"/>
    <w:tmpl w:val="152CA3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7026135"/>
    <w:multiLevelType w:val="hybridMultilevel"/>
    <w:tmpl w:val="1944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866D5"/>
    <w:multiLevelType w:val="multilevel"/>
    <w:tmpl w:val="668EB164"/>
    <w:lvl w:ilvl="0">
      <w:start w:val="3"/>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9C0510"/>
    <w:multiLevelType w:val="hybridMultilevel"/>
    <w:tmpl w:val="B986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433C1"/>
    <w:multiLevelType w:val="multilevel"/>
    <w:tmpl w:val="6F64DDF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130B0"/>
    <w:multiLevelType w:val="hybridMultilevel"/>
    <w:tmpl w:val="850A32B8"/>
    <w:lvl w:ilvl="0" w:tplc="0A9450DC">
      <w:start w:val="1"/>
      <w:numFmt w:val="lowerRoman"/>
      <w:lvlText w:val="%1."/>
      <w:lvlJc w:val="left"/>
      <w:pPr>
        <w:ind w:left="360" w:hanging="360"/>
      </w:pPr>
      <w:rPr>
        <w:rFonts w:asciiTheme="minorHAnsi" w:eastAsiaTheme="minorHAnsi"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B440B3"/>
    <w:multiLevelType w:val="hybridMultilevel"/>
    <w:tmpl w:val="939AE8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97E58D6"/>
    <w:multiLevelType w:val="hybridMultilevel"/>
    <w:tmpl w:val="9E885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D111D"/>
    <w:multiLevelType w:val="multilevel"/>
    <w:tmpl w:val="6F64DDF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71DFC"/>
    <w:multiLevelType w:val="hybridMultilevel"/>
    <w:tmpl w:val="EE24A1C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9478D8"/>
    <w:multiLevelType w:val="hybridMultilevel"/>
    <w:tmpl w:val="230041A6"/>
    <w:lvl w:ilvl="0" w:tplc="80E8D0B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D305FC"/>
    <w:multiLevelType w:val="hybridMultilevel"/>
    <w:tmpl w:val="8684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D2057"/>
    <w:multiLevelType w:val="hybridMultilevel"/>
    <w:tmpl w:val="E22410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53DE2"/>
    <w:multiLevelType w:val="multilevel"/>
    <w:tmpl w:val="119E2B38"/>
    <w:lvl w:ilvl="0">
      <w:start w:val="3"/>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9028F"/>
    <w:multiLevelType w:val="hybridMultilevel"/>
    <w:tmpl w:val="D81E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F2ED3"/>
    <w:multiLevelType w:val="hybridMultilevel"/>
    <w:tmpl w:val="FA621E3A"/>
    <w:lvl w:ilvl="0" w:tplc="C8922C90">
      <w:start w:val="1"/>
      <w:numFmt w:val="lowerLetter"/>
      <w:lvlText w:val="%1."/>
      <w:lvlJc w:val="lef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637D87"/>
    <w:multiLevelType w:val="hybridMultilevel"/>
    <w:tmpl w:val="765AEA30"/>
    <w:lvl w:ilvl="0" w:tplc="9C12D42E">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7"/>
  </w:num>
  <w:num w:numId="6">
    <w:abstractNumId w:val="6"/>
  </w:num>
  <w:num w:numId="7">
    <w:abstractNumId w:val="7"/>
  </w:num>
  <w:num w:numId="8">
    <w:abstractNumId w:val="12"/>
  </w:num>
  <w:num w:numId="9">
    <w:abstractNumId w:val="15"/>
  </w:num>
  <w:num w:numId="10">
    <w:abstractNumId w:val="8"/>
  </w:num>
  <w:num w:numId="11">
    <w:abstractNumId w:val="13"/>
  </w:num>
  <w:num w:numId="12">
    <w:abstractNumId w:val="5"/>
  </w:num>
  <w:num w:numId="13">
    <w:abstractNumId w:val="9"/>
  </w:num>
  <w:num w:numId="14">
    <w:abstractNumId w:val="11"/>
  </w:num>
  <w:num w:numId="15">
    <w:abstractNumId w:val="10"/>
  </w:num>
  <w:num w:numId="16">
    <w:abstractNumId w:val="0"/>
  </w:num>
  <w:num w:numId="17">
    <w:abstractNumId w:val="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C2"/>
    <w:rsid w:val="00000A3F"/>
    <w:rsid w:val="00000C57"/>
    <w:rsid w:val="00001F72"/>
    <w:rsid w:val="00016C13"/>
    <w:rsid w:val="000270E2"/>
    <w:rsid w:val="00031B3D"/>
    <w:rsid w:val="00060337"/>
    <w:rsid w:val="000628E0"/>
    <w:rsid w:val="00096481"/>
    <w:rsid w:val="000A2130"/>
    <w:rsid w:val="0010781B"/>
    <w:rsid w:val="00112BF1"/>
    <w:rsid w:val="00125DD2"/>
    <w:rsid w:val="00130D5C"/>
    <w:rsid w:val="00166B4A"/>
    <w:rsid w:val="001767A2"/>
    <w:rsid w:val="001767AD"/>
    <w:rsid w:val="00180DB5"/>
    <w:rsid w:val="001866CD"/>
    <w:rsid w:val="001A0A6D"/>
    <w:rsid w:val="001B34A6"/>
    <w:rsid w:val="001B6CC9"/>
    <w:rsid w:val="001D1194"/>
    <w:rsid w:val="001D1F6A"/>
    <w:rsid w:val="001D44A9"/>
    <w:rsid w:val="001E07E9"/>
    <w:rsid w:val="001E4F31"/>
    <w:rsid w:val="0020300B"/>
    <w:rsid w:val="00217F44"/>
    <w:rsid w:val="002224A2"/>
    <w:rsid w:val="0022639F"/>
    <w:rsid w:val="00245396"/>
    <w:rsid w:val="00267101"/>
    <w:rsid w:val="00275CE0"/>
    <w:rsid w:val="002960E2"/>
    <w:rsid w:val="002C098C"/>
    <w:rsid w:val="002C1E12"/>
    <w:rsid w:val="002C2D60"/>
    <w:rsid w:val="002D035E"/>
    <w:rsid w:val="002D7D04"/>
    <w:rsid w:val="00306BBD"/>
    <w:rsid w:val="00316BE4"/>
    <w:rsid w:val="003372FD"/>
    <w:rsid w:val="00356676"/>
    <w:rsid w:val="003816E2"/>
    <w:rsid w:val="00382C3E"/>
    <w:rsid w:val="0038593A"/>
    <w:rsid w:val="003867CC"/>
    <w:rsid w:val="003A49D0"/>
    <w:rsid w:val="0040211B"/>
    <w:rsid w:val="00403DC4"/>
    <w:rsid w:val="004162C2"/>
    <w:rsid w:val="00416459"/>
    <w:rsid w:val="00423C3E"/>
    <w:rsid w:val="00426E36"/>
    <w:rsid w:val="00430C2A"/>
    <w:rsid w:val="00431C9B"/>
    <w:rsid w:val="00442890"/>
    <w:rsid w:val="00455D02"/>
    <w:rsid w:val="004632E9"/>
    <w:rsid w:val="004960E2"/>
    <w:rsid w:val="004A0E22"/>
    <w:rsid w:val="004A4CEB"/>
    <w:rsid w:val="004B0FA3"/>
    <w:rsid w:val="004B136D"/>
    <w:rsid w:val="004E132C"/>
    <w:rsid w:val="0050012C"/>
    <w:rsid w:val="0053072D"/>
    <w:rsid w:val="00532564"/>
    <w:rsid w:val="0055235A"/>
    <w:rsid w:val="00563D43"/>
    <w:rsid w:val="005652CA"/>
    <w:rsid w:val="00566A1E"/>
    <w:rsid w:val="00575418"/>
    <w:rsid w:val="00592A6B"/>
    <w:rsid w:val="005A1BAD"/>
    <w:rsid w:val="005E3A6A"/>
    <w:rsid w:val="00600F65"/>
    <w:rsid w:val="00602BE2"/>
    <w:rsid w:val="00627024"/>
    <w:rsid w:val="00642C7C"/>
    <w:rsid w:val="006662C7"/>
    <w:rsid w:val="006667AC"/>
    <w:rsid w:val="006876CA"/>
    <w:rsid w:val="006A2CCF"/>
    <w:rsid w:val="006B17ED"/>
    <w:rsid w:val="006B41F7"/>
    <w:rsid w:val="006E3540"/>
    <w:rsid w:val="006E3AE1"/>
    <w:rsid w:val="00701AFC"/>
    <w:rsid w:val="00712AF5"/>
    <w:rsid w:val="0071315C"/>
    <w:rsid w:val="00724A98"/>
    <w:rsid w:val="00725CA0"/>
    <w:rsid w:val="00727DCC"/>
    <w:rsid w:val="007328C8"/>
    <w:rsid w:val="00746FC1"/>
    <w:rsid w:val="007558CE"/>
    <w:rsid w:val="00756E65"/>
    <w:rsid w:val="007634F7"/>
    <w:rsid w:val="00765E6E"/>
    <w:rsid w:val="00767C27"/>
    <w:rsid w:val="00782DDF"/>
    <w:rsid w:val="00784A04"/>
    <w:rsid w:val="007A62CF"/>
    <w:rsid w:val="007E2BA8"/>
    <w:rsid w:val="00803B40"/>
    <w:rsid w:val="008063A1"/>
    <w:rsid w:val="0082023D"/>
    <w:rsid w:val="00825091"/>
    <w:rsid w:val="00827FEE"/>
    <w:rsid w:val="00834DC8"/>
    <w:rsid w:val="00835640"/>
    <w:rsid w:val="00840D8A"/>
    <w:rsid w:val="0085139C"/>
    <w:rsid w:val="00861D06"/>
    <w:rsid w:val="00861FED"/>
    <w:rsid w:val="008946B2"/>
    <w:rsid w:val="008B050F"/>
    <w:rsid w:val="008D0155"/>
    <w:rsid w:val="008D5046"/>
    <w:rsid w:val="008D6157"/>
    <w:rsid w:val="008F0E25"/>
    <w:rsid w:val="008F1E30"/>
    <w:rsid w:val="008F1EEA"/>
    <w:rsid w:val="008F328A"/>
    <w:rsid w:val="009074A2"/>
    <w:rsid w:val="00913C1A"/>
    <w:rsid w:val="00913C7A"/>
    <w:rsid w:val="00920D9C"/>
    <w:rsid w:val="009348CF"/>
    <w:rsid w:val="00934E8D"/>
    <w:rsid w:val="00942C8E"/>
    <w:rsid w:val="00961C07"/>
    <w:rsid w:val="00975557"/>
    <w:rsid w:val="00981D6A"/>
    <w:rsid w:val="00985F1E"/>
    <w:rsid w:val="00995F8C"/>
    <w:rsid w:val="009A7319"/>
    <w:rsid w:val="009B6765"/>
    <w:rsid w:val="009B79FB"/>
    <w:rsid w:val="009C7841"/>
    <w:rsid w:val="009C7E70"/>
    <w:rsid w:val="00A064A7"/>
    <w:rsid w:val="00A120CE"/>
    <w:rsid w:val="00A23EFC"/>
    <w:rsid w:val="00A24D5F"/>
    <w:rsid w:val="00A2704A"/>
    <w:rsid w:val="00A34365"/>
    <w:rsid w:val="00A423CB"/>
    <w:rsid w:val="00A551FD"/>
    <w:rsid w:val="00A5763C"/>
    <w:rsid w:val="00AA604A"/>
    <w:rsid w:val="00AB01FE"/>
    <w:rsid w:val="00AB367D"/>
    <w:rsid w:val="00AB62B5"/>
    <w:rsid w:val="00AC496D"/>
    <w:rsid w:val="00AD1872"/>
    <w:rsid w:val="00AE180D"/>
    <w:rsid w:val="00AE2F63"/>
    <w:rsid w:val="00AF149E"/>
    <w:rsid w:val="00AF42DB"/>
    <w:rsid w:val="00B06DA3"/>
    <w:rsid w:val="00B177D1"/>
    <w:rsid w:val="00B178E2"/>
    <w:rsid w:val="00B32E9C"/>
    <w:rsid w:val="00B400A2"/>
    <w:rsid w:val="00B75742"/>
    <w:rsid w:val="00B83A5E"/>
    <w:rsid w:val="00B92610"/>
    <w:rsid w:val="00B96502"/>
    <w:rsid w:val="00BA5F76"/>
    <w:rsid w:val="00BA68C6"/>
    <w:rsid w:val="00BB3BFB"/>
    <w:rsid w:val="00BB5619"/>
    <w:rsid w:val="00BB7148"/>
    <w:rsid w:val="00BC52BC"/>
    <w:rsid w:val="00BC53CC"/>
    <w:rsid w:val="00BD1BCB"/>
    <w:rsid w:val="00BF202A"/>
    <w:rsid w:val="00BF222E"/>
    <w:rsid w:val="00BF31CA"/>
    <w:rsid w:val="00BF768A"/>
    <w:rsid w:val="00C1290E"/>
    <w:rsid w:val="00C33D27"/>
    <w:rsid w:val="00C36880"/>
    <w:rsid w:val="00C42EDE"/>
    <w:rsid w:val="00C53CB3"/>
    <w:rsid w:val="00C56E63"/>
    <w:rsid w:val="00C6661C"/>
    <w:rsid w:val="00C778FC"/>
    <w:rsid w:val="00C96EB2"/>
    <w:rsid w:val="00CA184A"/>
    <w:rsid w:val="00CB7E0B"/>
    <w:rsid w:val="00CC20A3"/>
    <w:rsid w:val="00CC2143"/>
    <w:rsid w:val="00CC497A"/>
    <w:rsid w:val="00CD0599"/>
    <w:rsid w:val="00CF4BED"/>
    <w:rsid w:val="00CF653C"/>
    <w:rsid w:val="00D03A3B"/>
    <w:rsid w:val="00D305D1"/>
    <w:rsid w:val="00D40830"/>
    <w:rsid w:val="00D51AEB"/>
    <w:rsid w:val="00D82226"/>
    <w:rsid w:val="00D835B2"/>
    <w:rsid w:val="00D83CBB"/>
    <w:rsid w:val="00D94467"/>
    <w:rsid w:val="00DB14C2"/>
    <w:rsid w:val="00DD2E39"/>
    <w:rsid w:val="00DD3CDE"/>
    <w:rsid w:val="00DD53AD"/>
    <w:rsid w:val="00DD570F"/>
    <w:rsid w:val="00DF0E86"/>
    <w:rsid w:val="00E00BEB"/>
    <w:rsid w:val="00E11F88"/>
    <w:rsid w:val="00E13DC8"/>
    <w:rsid w:val="00E250DB"/>
    <w:rsid w:val="00E60E25"/>
    <w:rsid w:val="00E71605"/>
    <w:rsid w:val="00E84203"/>
    <w:rsid w:val="00E962C2"/>
    <w:rsid w:val="00EA13CD"/>
    <w:rsid w:val="00EB06B1"/>
    <w:rsid w:val="00EB469C"/>
    <w:rsid w:val="00EC53E2"/>
    <w:rsid w:val="00ED30DC"/>
    <w:rsid w:val="00ED5630"/>
    <w:rsid w:val="00EE3128"/>
    <w:rsid w:val="00EE41E9"/>
    <w:rsid w:val="00EF1AA6"/>
    <w:rsid w:val="00EF6CB5"/>
    <w:rsid w:val="00F13A4C"/>
    <w:rsid w:val="00F34224"/>
    <w:rsid w:val="00F37E3E"/>
    <w:rsid w:val="00F472A0"/>
    <w:rsid w:val="00F659B6"/>
    <w:rsid w:val="00F74792"/>
    <w:rsid w:val="00F75F81"/>
    <w:rsid w:val="00FA0B0C"/>
    <w:rsid w:val="00FA5405"/>
    <w:rsid w:val="00FA6737"/>
    <w:rsid w:val="00FB01D0"/>
    <w:rsid w:val="00FD00F5"/>
    <w:rsid w:val="02682889"/>
    <w:rsid w:val="04FC2BFD"/>
    <w:rsid w:val="056AF4A7"/>
    <w:rsid w:val="05CB98E4"/>
    <w:rsid w:val="05FD0171"/>
    <w:rsid w:val="08E98175"/>
    <w:rsid w:val="09299538"/>
    <w:rsid w:val="0A273636"/>
    <w:rsid w:val="0A8E70FD"/>
    <w:rsid w:val="0B4E43C1"/>
    <w:rsid w:val="0B75B098"/>
    <w:rsid w:val="0D7390EA"/>
    <w:rsid w:val="0EFAA759"/>
    <w:rsid w:val="13CE318B"/>
    <w:rsid w:val="170DA6C4"/>
    <w:rsid w:val="17625B1E"/>
    <w:rsid w:val="184E308B"/>
    <w:rsid w:val="1A2DC8EB"/>
    <w:rsid w:val="1D6CEC57"/>
    <w:rsid w:val="1D783147"/>
    <w:rsid w:val="1E353338"/>
    <w:rsid w:val="1E903CBD"/>
    <w:rsid w:val="1F3A67BE"/>
    <w:rsid w:val="242B394E"/>
    <w:rsid w:val="26E628B2"/>
    <w:rsid w:val="2948685A"/>
    <w:rsid w:val="29A70D36"/>
    <w:rsid w:val="29C8E2D5"/>
    <w:rsid w:val="2B2F4750"/>
    <w:rsid w:val="2BF86AA1"/>
    <w:rsid w:val="2C90F853"/>
    <w:rsid w:val="2DADD95C"/>
    <w:rsid w:val="2F075A8A"/>
    <w:rsid w:val="30A47E19"/>
    <w:rsid w:val="319E88D4"/>
    <w:rsid w:val="34A0AECF"/>
    <w:rsid w:val="34DCE82C"/>
    <w:rsid w:val="357B178F"/>
    <w:rsid w:val="36A8C59F"/>
    <w:rsid w:val="37B5542D"/>
    <w:rsid w:val="39B0594F"/>
    <w:rsid w:val="3AC9FC59"/>
    <w:rsid w:val="3C5B1F13"/>
    <w:rsid w:val="3D71F8DC"/>
    <w:rsid w:val="3D76F831"/>
    <w:rsid w:val="3EA3F007"/>
    <w:rsid w:val="40070E00"/>
    <w:rsid w:val="4044B114"/>
    <w:rsid w:val="420197D1"/>
    <w:rsid w:val="420EEF44"/>
    <w:rsid w:val="420F1C43"/>
    <w:rsid w:val="432D9D7E"/>
    <w:rsid w:val="442445C2"/>
    <w:rsid w:val="449FB2E2"/>
    <w:rsid w:val="48BCA49B"/>
    <w:rsid w:val="4936EEAE"/>
    <w:rsid w:val="4B3F4712"/>
    <w:rsid w:val="4FC8D6E2"/>
    <w:rsid w:val="5038F522"/>
    <w:rsid w:val="51FBE5AD"/>
    <w:rsid w:val="5285E4ED"/>
    <w:rsid w:val="5313645B"/>
    <w:rsid w:val="54CB3C30"/>
    <w:rsid w:val="58735DAA"/>
    <w:rsid w:val="5A515119"/>
    <w:rsid w:val="5B31D294"/>
    <w:rsid w:val="5C6A848C"/>
    <w:rsid w:val="5C848DF1"/>
    <w:rsid w:val="5F0D75ED"/>
    <w:rsid w:val="5F20BA29"/>
    <w:rsid w:val="60142A4F"/>
    <w:rsid w:val="626EF44A"/>
    <w:rsid w:val="63F19C4E"/>
    <w:rsid w:val="649541BF"/>
    <w:rsid w:val="65FD24A5"/>
    <w:rsid w:val="6722D63B"/>
    <w:rsid w:val="6798F506"/>
    <w:rsid w:val="67C08466"/>
    <w:rsid w:val="6B2F14FC"/>
    <w:rsid w:val="6C1BBB70"/>
    <w:rsid w:val="6C57F4CD"/>
    <w:rsid w:val="6E9D018C"/>
    <w:rsid w:val="72AFB7B6"/>
    <w:rsid w:val="732C99E6"/>
    <w:rsid w:val="7444ABBB"/>
    <w:rsid w:val="746306B2"/>
    <w:rsid w:val="76429F12"/>
    <w:rsid w:val="765DF42F"/>
    <w:rsid w:val="76E91E81"/>
    <w:rsid w:val="77995E4C"/>
    <w:rsid w:val="78183864"/>
    <w:rsid w:val="79A2C894"/>
    <w:rsid w:val="7A5C3736"/>
    <w:rsid w:val="7AD19D32"/>
    <w:rsid w:val="7BAE8C8E"/>
    <w:rsid w:val="7C29E210"/>
    <w:rsid w:val="7CF31F9D"/>
    <w:rsid w:val="7F0B8E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3CEF"/>
  <w15:chartTrackingRefBased/>
  <w15:docId w15:val="{417BCA1F-85DB-4A16-B6A7-C4372567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2C2"/>
    <w:pPr>
      <w:ind w:left="720"/>
      <w:contextualSpacing/>
    </w:pPr>
  </w:style>
  <w:style w:type="paragraph" w:styleId="BalloonText">
    <w:name w:val="Balloon Text"/>
    <w:basedOn w:val="Normal"/>
    <w:link w:val="BalloonTextChar"/>
    <w:uiPriority w:val="99"/>
    <w:semiHidden/>
    <w:unhideWhenUsed/>
    <w:rsid w:val="00316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BE4"/>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177D1"/>
    <w:rPr>
      <w:sz w:val="16"/>
      <w:szCs w:val="16"/>
    </w:rPr>
  </w:style>
  <w:style w:type="paragraph" w:styleId="CommentText">
    <w:name w:val="annotation text"/>
    <w:basedOn w:val="Normal"/>
    <w:link w:val="CommentTextChar"/>
    <w:uiPriority w:val="99"/>
    <w:semiHidden/>
    <w:unhideWhenUsed/>
    <w:rsid w:val="00B177D1"/>
    <w:pPr>
      <w:spacing w:line="240" w:lineRule="auto"/>
    </w:pPr>
    <w:rPr>
      <w:sz w:val="20"/>
      <w:szCs w:val="20"/>
    </w:rPr>
  </w:style>
  <w:style w:type="character" w:customStyle="1" w:styleId="CommentTextChar">
    <w:name w:val="Comment Text Char"/>
    <w:basedOn w:val="DefaultParagraphFont"/>
    <w:link w:val="CommentText"/>
    <w:uiPriority w:val="99"/>
    <w:semiHidden/>
    <w:rsid w:val="00B177D1"/>
    <w:rPr>
      <w:sz w:val="20"/>
      <w:szCs w:val="20"/>
    </w:rPr>
  </w:style>
  <w:style w:type="paragraph" w:styleId="CommentSubject">
    <w:name w:val="annotation subject"/>
    <w:basedOn w:val="CommentText"/>
    <w:next w:val="CommentText"/>
    <w:link w:val="CommentSubjectChar"/>
    <w:uiPriority w:val="99"/>
    <w:semiHidden/>
    <w:unhideWhenUsed/>
    <w:rsid w:val="00B177D1"/>
    <w:rPr>
      <w:b/>
      <w:bCs/>
    </w:rPr>
  </w:style>
  <w:style w:type="character" w:customStyle="1" w:styleId="CommentSubjectChar">
    <w:name w:val="Comment Subject Char"/>
    <w:basedOn w:val="CommentTextChar"/>
    <w:link w:val="CommentSubject"/>
    <w:uiPriority w:val="99"/>
    <w:semiHidden/>
    <w:rsid w:val="00B177D1"/>
    <w:rPr>
      <w:b/>
      <w:bCs/>
      <w:sz w:val="20"/>
      <w:szCs w:val="20"/>
    </w:rPr>
  </w:style>
  <w:style w:type="paragraph" w:styleId="Header">
    <w:name w:val="header"/>
    <w:basedOn w:val="Normal"/>
    <w:link w:val="HeaderChar"/>
    <w:uiPriority w:val="99"/>
    <w:unhideWhenUsed/>
    <w:rsid w:val="007E2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BA8"/>
  </w:style>
  <w:style w:type="paragraph" w:styleId="Footer">
    <w:name w:val="footer"/>
    <w:basedOn w:val="Normal"/>
    <w:link w:val="FooterChar"/>
    <w:uiPriority w:val="99"/>
    <w:unhideWhenUsed/>
    <w:rsid w:val="007E2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BA8"/>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PlainText">
    <w:name w:val="Plain Text"/>
    <w:basedOn w:val="Normal"/>
    <w:link w:val="PlainTextChar"/>
    <w:uiPriority w:val="99"/>
    <w:semiHidden/>
    <w:unhideWhenUsed/>
    <w:rsid w:val="00431C9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1C9B"/>
    <w:rPr>
      <w:rFonts w:ascii="Calibri" w:hAnsi="Calibri"/>
      <w:szCs w:val="21"/>
    </w:rPr>
  </w:style>
  <w:style w:type="character" w:customStyle="1" w:styleId="normaltextrun">
    <w:name w:val="normaltextrun"/>
    <w:basedOn w:val="DefaultParagraphFont"/>
    <w:rsid w:val="00EA13CD"/>
  </w:style>
  <w:style w:type="character" w:customStyle="1" w:styleId="eop">
    <w:name w:val="eop"/>
    <w:basedOn w:val="DefaultParagraphFont"/>
    <w:rsid w:val="00EA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873138">
      <w:bodyDiv w:val="1"/>
      <w:marLeft w:val="0"/>
      <w:marRight w:val="0"/>
      <w:marTop w:val="0"/>
      <w:marBottom w:val="0"/>
      <w:divBdr>
        <w:top w:val="none" w:sz="0" w:space="0" w:color="auto"/>
        <w:left w:val="none" w:sz="0" w:space="0" w:color="auto"/>
        <w:bottom w:val="none" w:sz="0" w:space="0" w:color="auto"/>
        <w:right w:val="none" w:sz="0" w:space="0" w:color="auto"/>
      </w:divBdr>
    </w:div>
    <w:div w:id="1763599659">
      <w:bodyDiv w:val="1"/>
      <w:marLeft w:val="0"/>
      <w:marRight w:val="0"/>
      <w:marTop w:val="0"/>
      <w:marBottom w:val="0"/>
      <w:divBdr>
        <w:top w:val="none" w:sz="0" w:space="0" w:color="auto"/>
        <w:left w:val="none" w:sz="0" w:space="0" w:color="auto"/>
        <w:bottom w:val="none" w:sz="0" w:space="0" w:color="auto"/>
        <w:right w:val="none" w:sz="0" w:space="0" w:color="auto"/>
      </w:divBdr>
    </w:div>
    <w:div w:id="1831753811">
      <w:bodyDiv w:val="1"/>
      <w:marLeft w:val="0"/>
      <w:marRight w:val="0"/>
      <w:marTop w:val="0"/>
      <w:marBottom w:val="0"/>
      <w:divBdr>
        <w:top w:val="none" w:sz="0" w:space="0" w:color="auto"/>
        <w:left w:val="none" w:sz="0" w:space="0" w:color="auto"/>
        <w:bottom w:val="none" w:sz="0" w:space="0" w:color="auto"/>
        <w:right w:val="none" w:sz="0" w:space="0" w:color="auto"/>
      </w:divBdr>
    </w:div>
    <w:div w:id="20771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ccc4b7d-e516-40d9-b753-51c1aa5385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386F89DB37ED439997A9E2D537C89E" ma:contentTypeVersion="37" ma:contentTypeDescription="Create a new document." ma:contentTypeScope="" ma:versionID="5583b9662845c1809e9e2b36480b6da4">
  <xsd:schema xmlns:xsd="http://www.w3.org/2001/XMLSchema" xmlns:xs="http://www.w3.org/2001/XMLSchema" xmlns:p="http://schemas.microsoft.com/office/2006/metadata/properties" xmlns:ns1="http://schemas.microsoft.com/sharepoint/v3" xmlns:ns2="131e647e-0733-4ee6-92cd-8b3803c62e92" xmlns:ns3="ad3025d2-64c2-43ae-9cd6-9a1113b4b1ed" xmlns:ns4="7ccc4b7d-e516-40d9-b753-51c1aa538502" targetNamespace="http://schemas.microsoft.com/office/2006/metadata/properties" ma:root="true" ma:fieldsID="4f323c42ed64277650ebd18a431f4555" ns1:_="" ns2:_="" ns3:_="" ns4:_="">
    <xsd:import namespace="http://schemas.microsoft.com/sharepoint/v3"/>
    <xsd:import namespace="131e647e-0733-4ee6-92cd-8b3803c62e92"/>
    <xsd:import namespace="ad3025d2-64c2-43ae-9cd6-9a1113b4b1ed"/>
    <xsd:import namespace="7ccc4b7d-e516-40d9-b753-51c1aa538502"/>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SharedWithUsers" minOccurs="0"/>
                <xsd:element ref="ns3:SharedWithDetails" minOccurs="0"/>
                <xsd:element ref="ns4:MediaServiceDateTaken" minOccurs="0"/>
                <xsd:element ref="ns4:MediaServiceLocation" minOccurs="0"/>
                <xsd:element ref="ns4: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e647e-0733-4ee6-92cd-8b3803c62e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025d2-64c2-43ae-9cd6-9a1113b4b1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c4b7d-e516-40d9-b753-51c1aa538502"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Review_x0020_Date" ma:index="16"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E8370-FFE5-4E54-905B-4161E02749CC}">
  <ds:schemaRefs>
    <ds:schemaRef ds:uri="http://schemas.microsoft.com/sharepoint/v3/contenttype/forms"/>
  </ds:schemaRefs>
</ds:datastoreItem>
</file>

<file path=customXml/itemProps2.xml><?xml version="1.0" encoding="utf-8"?>
<ds:datastoreItem xmlns:ds="http://schemas.openxmlformats.org/officeDocument/2006/customXml" ds:itemID="{7D30FBDF-EC4B-4D6B-9F6D-4F9B7AA5EC52}">
  <ds:schemaRefs>
    <ds:schemaRef ds:uri="http://schemas.microsoft.com/office/2006/metadata/properties"/>
    <ds:schemaRef ds:uri="http://schemas.microsoft.com/office/infopath/2007/PartnerControls"/>
    <ds:schemaRef ds:uri="http://schemas.microsoft.com/sharepoint/v3"/>
    <ds:schemaRef ds:uri="7ccc4b7d-e516-40d9-b753-51c1aa538502"/>
  </ds:schemaRefs>
</ds:datastoreItem>
</file>

<file path=customXml/itemProps3.xml><?xml version="1.0" encoding="utf-8"?>
<ds:datastoreItem xmlns:ds="http://schemas.openxmlformats.org/officeDocument/2006/customXml" ds:itemID="{2FBD661A-AD21-4B5D-AE1E-DE597E9EA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1e647e-0733-4ee6-92cd-8b3803c62e92"/>
    <ds:schemaRef ds:uri="ad3025d2-64c2-43ae-9cd6-9a1113b4b1ed"/>
    <ds:schemaRef ds:uri="7ccc4b7d-e516-40d9-b753-51c1aa538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12061</Characters>
  <Application>Microsoft Office Word</Application>
  <DocSecurity>4</DocSecurity>
  <Lines>100</Lines>
  <Paragraphs>28</Paragraphs>
  <ScaleCrop>false</ScaleCrop>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Forrest</dc:creator>
  <cp:keywords/>
  <dc:description/>
  <cp:lastModifiedBy>HORROCKS, Chris (NHS ARDEN AND GREATER EAST MIDLANDS COMMISSIONING SUPPORT UNIT)</cp:lastModifiedBy>
  <cp:revision>2</cp:revision>
  <dcterms:created xsi:type="dcterms:W3CDTF">2021-12-16T10:38:00Z</dcterms:created>
  <dcterms:modified xsi:type="dcterms:W3CDTF">2021-12-16T10:38:00Z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0x0101003A386F89DB37ED439997A9E2D537C89E</vt:lpwstr>
  </property>
</Properties>
</file>