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rPr>
        <w:drawing>
          <wp:inline distB="114300" distT="114300" distL="114300" distR="114300">
            <wp:extent cx="1190625" cy="847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906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u w:val="single"/>
        </w:rPr>
      </w:pPr>
      <w:r w:rsidDel="00000000" w:rsidR="00000000" w:rsidRPr="00000000">
        <w:rPr>
          <w:rFonts w:ascii="Arial" w:cs="Arial" w:eastAsia="Arial" w:hAnsi="Arial"/>
          <w:b w:val="1"/>
          <w:u w:val="single"/>
          <w:rtl w:val="0"/>
        </w:rPr>
        <w:t xml:space="preserve">RM6323 - </w:t>
      </w:r>
      <w:r w:rsidDel="00000000" w:rsidR="00000000" w:rsidRPr="00000000">
        <w:rPr>
          <w:rFonts w:ascii="Arial" w:cs="Arial" w:eastAsia="Arial" w:hAnsi="Arial"/>
          <w:b w:val="1"/>
          <w:u w:val="single"/>
          <w:rtl w:val="0"/>
        </w:rPr>
        <w:t xml:space="preserve">Contract Notice reserved rights for Crown Commercial Service Framework Contract Competition</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Authority also reserves the right to extend Lots by varying durations.</w:t>
      </w:r>
    </w:p>
    <w:p w:rsidR="00000000" w:rsidDel="00000000" w:rsidP="00000000" w:rsidRDefault="00000000" w:rsidRPr="00000000" w14:paraId="0000000A">
      <w:pPr>
        <w:rPr>
          <w:rFonts w:ascii="Arial" w:cs="Arial" w:eastAsia="Arial" w:hAnsi="Arial"/>
        </w:rPr>
      </w:pPr>
      <w:bookmarkStart w:colFirst="0" w:colLast="0" w:name="_heading=h.30j0zll" w:id="1"/>
      <w:bookmarkEnd w:id="1"/>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1 of 1</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GWG T124 v2.0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1F44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465"/>
  </w:style>
  <w:style w:type="paragraph" w:styleId="Footer">
    <w:name w:val="footer"/>
    <w:basedOn w:val="Normal"/>
    <w:link w:val="FooterChar"/>
    <w:uiPriority w:val="99"/>
    <w:unhideWhenUsed w:val="1"/>
    <w:rsid w:val="001F44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46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libk8N4kQ4/9zN18D0jKpuMr1w==">AMUW2mWLfIKP+zlybzVolQnqIQX83LoiERINqQ/nYMriU2k1TISFYgEcM+E2/sKnFdfeAwcoCeg7S8f75v3enTBKRvxTUpCmH2VbPMjAARIJtduHIVkRq87UhP725/u+XoLpyIgsKiNYzgKu95GyBCTJYbs057tsqw==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2021-09-15T15:23:00Z</dcterms:created>
  <dc:creator>David Dawson</dc:creator>
</cp:coreProperties>
</file>