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C014" w14:textId="77777777" w:rsidR="009503D8" w:rsidRDefault="009503D8" w:rsidP="009503D8">
      <w:pPr>
        <w:rPr>
          <w:b/>
          <w:bCs/>
          <w:color w:val="000000"/>
          <w:lang w:eastAsia="en-GB"/>
        </w:rPr>
      </w:pPr>
    </w:p>
    <w:p w14:paraId="60FDBEA8" w14:textId="355AB3AC" w:rsidR="005261EA" w:rsidRDefault="005261EA" w:rsidP="009503D8">
      <w:pPr>
        <w:rPr>
          <w:rFonts w:eastAsia="Calibri"/>
          <w:color w:val="000000" w:themeColor="text1"/>
        </w:rPr>
      </w:pPr>
      <w:r w:rsidRPr="76E561BC">
        <w:rPr>
          <w:rFonts w:eastAsia="Calibri"/>
          <w:color w:val="000000" w:themeColor="text1"/>
        </w:rPr>
        <w:t xml:space="preserve">The 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w:t>
      </w:r>
      <w:proofErr w:type="spellStart"/>
      <w:r w:rsidRPr="76E561BC">
        <w:rPr>
          <w:rFonts w:eastAsia="Calibri"/>
          <w:color w:val="000000" w:themeColor="text1"/>
        </w:rPr>
        <w:t>AoC</w:t>
      </w:r>
      <w:proofErr w:type="spellEnd"/>
      <w:r w:rsidRPr="76E561BC">
        <w:rPr>
          <w:rFonts w:eastAsia="Calibri"/>
          <w:color w:val="000000" w:themeColor="text1"/>
        </w:rPr>
        <w:t xml:space="preserve"> Beacon Awards</w:t>
      </w:r>
      <w:r>
        <w:rPr>
          <w:rFonts w:eastAsia="Calibri"/>
          <w:color w:val="000000" w:themeColor="text1"/>
        </w:rPr>
        <w:t>.</w:t>
      </w:r>
    </w:p>
    <w:p w14:paraId="00B1857D" w14:textId="77777777" w:rsidR="005261EA" w:rsidRDefault="005261EA" w:rsidP="009503D8">
      <w:pPr>
        <w:rPr>
          <w:rFonts w:eastAsia="Times New Roman" w:cstheme="minorHAnsi"/>
          <w:shd w:val="clear" w:color="auto" w:fill="FFFFFF"/>
          <w:lang w:eastAsia="en-GB"/>
        </w:rPr>
      </w:pPr>
    </w:p>
    <w:p w14:paraId="4EDCE5B4" w14:textId="77777777" w:rsidR="005261EA" w:rsidRDefault="005261EA" w:rsidP="005261EA">
      <w:pPr>
        <w:contextualSpacing/>
        <w:jc w:val="both"/>
      </w:pPr>
      <w:r w:rsidRPr="00525374">
        <w:t xml:space="preserve">The College shall not be under any obligation to accept any tender. </w:t>
      </w:r>
    </w:p>
    <w:p w14:paraId="0B65044F" w14:textId="77777777" w:rsidR="005261EA" w:rsidRDefault="005261EA" w:rsidP="005261EA">
      <w:pPr>
        <w:contextualSpacing/>
        <w:jc w:val="both"/>
      </w:pPr>
    </w:p>
    <w:p w14:paraId="3D62FCFA" w14:textId="77777777" w:rsidR="005261EA" w:rsidRPr="001601CC" w:rsidRDefault="005261EA" w:rsidP="005261EA">
      <w:pPr>
        <w:rPr>
          <w:rFonts w:asciiTheme="minorHAnsi" w:eastAsia="Calibri" w:hAnsiTheme="minorHAnsi" w:cstheme="minorHAnsi"/>
          <w:bCs/>
        </w:rPr>
      </w:pPr>
      <w:r>
        <w:rPr>
          <w:rFonts w:asciiTheme="minorHAnsi" w:eastAsia="Calibri" w:hAnsiTheme="minorHAnsi" w:cstheme="minorHAnsi"/>
          <w:bCs/>
        </w:rPr>
        <w:t>It is anticipated that the tenderer will apply for the lot in its entirety.  Tenderers offering to undertake only part of the contract will be rejected.</w:t>
      </w:r>
    </w:p>
    <w:p w14:paraId="198FD817" w14:textId="77777777" w:rsidR="005261EA" w:rsidRPr="00525374" w:rsidRDefault="005261EA" w:rsidP="005261EA">
      <w:pPr>
        <w:jc w:val="both"/>
        <w:rPr>
          <w:rFonts w:eastAsia="Calibri"/>
          <w:bCs/>
        </w:rPr>
      </w:pPr>
    </w:p>
    <w:p w14:paraId="3E61B8F5" w14:textId="77777777" w:rsidR="005261EA" w:rsidRDefault="005261EA" w:rsidP="005261EA">
      <w:pPr>
        <w:jc w:val="both"/>
        <w:rPr>
          <w:rFonts w:eastAsia="Calibri"/>
        </w:rPr>
      </w:pPr>
      <w:r>
        <w:rPr>
          <w:rFonts w:eastAsia="Calibri"/>
          <w:bCs/>
        </w:rPr>
        <w:t xml:space="preserve">The </w:t>
      </w:r>
      <w:r w:rsidRPr="00420D07">
        <w:rPr>
          <w:rFonts w:eastAsia="Calibri"/>
          <w:bCs/>
        </w:rPr>
        <w:t xml:space="preserve">TEC Partnership </w:t>
      </w:r>
      <w:r w:rsidRPr="00420D07">
        <w:rPr>
          <w:rFonts w:eastAsia="Calibri"/>
        </w:rPr>
        <w:t>does not accept any liability for any expenses incurred by any supplier in the preparation of tenders, portfolios or attendance at any meetings or presentations.</w:t>
      </w:r>
    </w:p>
    <w:p w14:paraId="4601573C" w14:textId="77777777" w:rsidR="005261EA" w:rsidRPr="00420D07" w:rsidRDefault="005261EA" w:rsidP="005261EA">
      <w:pPr>
        <w:jc w:val="both"/>
        <w:rPr>
          <w:rFonts w:eastAsia="Calibri"/>
        </w:rPr>
      </w:pPr>
    </w:p>
    <w:p w14:paraId="3C7C7688" w14:textId="77777777" w:rsidR="005261EA" w:rsidRDefault="005261EA" w:rsidP="005261EA">
      <w:pPr>
        <w:jc w:val="both"/>
        <w:rPr>
          <w:rFonts w:eastAsia="Calibri"/>
        </w:rPr>
      </w:pPr>
      <w:r>
        <w:rPr>
          <w:rFonts w:eastAsia="Calibri"/>
        </w:rPr>
        <w:t xml:space="preserve">The </w:t>
      </w:r>
      <w:r w:rsidRPr="00420D07">
        <w:rPr>
          <w:rFonts w:eastAsia="Calibri"/>
        </w:rPr>
        <w:t>TEC Partnership reserves the right to cancel the entire or parts of the tender, without such an action conferring any right</w:t>
      </w:r>
      <w:r>
        <w:rPr>
          <w:rFonts w:eastAsia="Calibri"/>
        </w:rPr>
        <w:t xml:space="preserve"> to compensation on the Tenderers.</w:t>
      </w:r>
    </w:p>
    <w:p w14:paraId="0DDC222A" w14:textId="77777777" w:rsidR="005261EA" w:rsidRDefault="005261EA" w:rsidP="005261EA">
      <w:pPr>
        <w:jc w:val="both"/>
        <w:rPr>
          <w:rFonts w:eastAsia="Calibri"/>
        </w:rPr>
      </w:pPr>
    </w:p>
    <w:p w14:paraId="5117682B" w14:textId="77777777" w:rsidR="005261EA" w:rsidRDefault="005261EA" w:rsidP="005261EA">
      <w:pPr>
        <w:jc w:val="both"/>
        <w:rPr>
          <w:rFonts w:eastAsia="Calibri"/>
        </w:rPr>
      </w:pPr>
      <w:r>
        <w:rPr>
          <w:rFonts w:eastAsia="Calibri"/>
        </w:rPr>
        <w:t>The tender proposal must be based upon the specification set out in the tender documentation.</w:t>
      </w:r>
    </w:p>
    <w:p w14:paraId="0A041B55" w14:textId="77777777" w:rsidR="005261EA" w:rsidRDefault="005261EA" w:rsidP="005261EA">
      <w:pPr>
        <w:jc w:val="both"/>
        <w:rPr>
          <w:rFonts w:eastAsia="Calibri"/>
        </w:rPr>
      </w:pPr>
    </w:p>
    <w:p w14:paraId="5A9939F5" w14:textId="25E29463" w:rsidR="005261EA" w:rsidRDefault="005261EA" w:rsidP="005261EA">
      <w:pPr>
        <w:jc w:val="both"/>
        <w:rPr>
          <w:rFonts w:eastAsia="Calibri"/>
        </w:rPr>
      </w:pPr>
      <w:r>
        <w:rPr>
          <w:rFonts w:eastAsia="Calibri"/>
          <w:bCs/>
        </w:rPr>
        <w:t xml:space="preserve">The </w:t>
      </w:r>
      <w:r w:rsidRPr="00420D07">
        <w:rPr>
          <w:rFonts w:eastAsia="Calibri"/>
          <w:bCs/>
        </w:rPr>
        <w:t xml:space="preserve">TEC Partnership </w:t>
      </w:r>
      <w:r w:rsidRPr="00420D07">
        <w:rPr>
          <w:rFonts w:eastAsia="Calibri"/>
        </w:rPr>
        <w:t xml:space="preserve">shall </w:t>
      </w:r>
      <w:r w:rsidRPr="00420D07">
        <w:rPr>
          <w:rFonts w:eastAsia="Calibri"/>
          <w:bCs/>
        </w:rPr>
        <w:t xml:space="preserve">not </w:t>
      </w:r>
      <w:r w:rsidRPr="00420D07">
        <w:rPr>
          <w:rFonts w:eastAsia="Calibri"/>
        </w:rPr>
        <w:t>be bound to accept the lowest or any tender proposal.</w:t>
      </w:r>
    </w:p>
    <w:p w14:paraId="0063590F" w14:textId="77777777" w:rsidR="005261EA" w:rsidRDefault="005261EA" w:rsidP="005261EA">
      <w:pPr>
        <w:jc w:val="both"/>
        <w:rPr>
          <w:rFonts w:eastAsia="Calibri"/>
        </w:rPr>
      </w:pPr>
    </w:p>
    <w:p w14:paraId="2404B233" w14:textId="2BB5A045" w:rsidR="005261EA" w:rsidRDefault="005261EA" w:rsidP="009503D8">
      <w:pPr>
        <w:rPr>
          <w:rFonts w:eastAsia="Times New Roman" w:cstheme="minorHAnsi"/>
          <w:shd w:val="clear" w:color="auto" w:fill="FFFFFF"/>
          <w:lang w:eastAsia="en-GB"/>
        </w:rPr>
      </w:pPr>
    </w:p>
    <w:p w14:paraId="309C7CD1" w14:textId="34E9E4A7" w:rsidR="009503D8" w:rsidRDefault="005261EA" w:rsidP="009503D8">
      <w:pPr>
        <w:rPr>
          <w:rFonts w:eastAsia="Times New Roman" w:cstheme="minorHAnsi"/>
          <w:b/>
          <w:u w:val="single"/>
          <w:shd w:val="clear" w:color="auto" w:fill="FFFFFF"/>
          <w:lang w:eastAsia="en-GB"/>
        </w:rPr>
      </w:pPr>
      <w:r w:rsidRPr="005261EA">
        <w:rPr>
          <w:rFonts w:eastAsia="Times New Roman" w:cstheme="minorHAnsi"/>
          <w:b/>
          <w:u w:val="single"/>
          <w:shd w:val="clear" w:color="auto" w:fill="FFFFFF"/>
          <w:lang w:eastAsia="en-GB"/>
        </w:rPr>
        <w:t>SPECIFICATION</w:t>
      </w:r>
    </w:p>
    <w:p w14:paraId="0BF5A4A0" w14:textId="77777777" w:rsidR="005261EA" w:rsidRPr="005261EA" w:rsidRDefault="005261EA" w:rsidP="009503D8">
      <w:pPr>
        <w:rPr>
          <w:rFonts w:eastAsia="Times New Roman" w:cstheme="minorHAnsi"/>
          <w:b/>
          <w:u w:val="single"/>
          <w:shd w:val="clear" w:color="auto" w:fill="FFFFFF"/>
          <w:lang w:eastAsia="en-GB"/>
        </w:rPr>
      </w:pPr>
    </w:p>
    <w:p w14:paraId="7E6D1D89" w14:textId="2DEDAE83" w:rsidR="009503D8" w:rsidRDefault="009503D8" w:rsidP="009503D8">
      <w:pPr>
        <w:rPr>
          <w:rFonts w:eastAsia="Times New Roman" w:cstheme="minorHAnsi"/>
          <w:shd w:val="clear" w:color="auto" w:fill="FFFFFF"/>
          <w:lang w:eastAsia="en-GB"/>
        </w:rPr>
      </w:pPr>
      <w:r>
        <w:rPr>
          <w:rFonts w:eastAsia="Times New Roman" w:cstheme="minorHAnsi"/>
          <w:shd w:val="clear" w:color="auto" w:fill="FFFFFF"/>
          <w:lang w:eastAsia="en-GB"/>
        </w:rPr>
        <w:t>The TEC Partnership</w:t>
      </w:r>
      <w:r w:rsidR="00F73EF9">
        <w:rPr>
          <w:rFonts w:eastAsia="Times New Roman" w:cstheme="minorHAnsi"/>
          <w:shd w:val="clear" w:color="auto" w:fill="FFFFFF"/>
          <w:lang w:eastAsia="en-GB"/>
        </w:rPr>
        <w:t>, East Riding College</w:t>
      </w:r>
      <w:r>
        <w:rPr>
          <w:rFonts w:eastAsia="Times New Roman" w:cstheme="minorHAnsi"/>
          <w:shd w:val="clear" w:color="auto" w:fill="FFFFFF"/>
          <w:lang w:eastAsia="en-GB"/>
        </w:rPr>
        <w:t xml:space="preserve"> are looking </w:t>
      </w:r>
      <w:r w:rsidR="00AC71D9">
        <w:rPr>
          <w:rFonts w:eastAsia="Times New Roman" w:cstheme="minorHAnsi"/>
          <w:shd w:val="clear" w:color="auto" w:fill="FFFFFF"/>
          <w:lang w:eastAsia="en-GB"/>
        </w:rPr>
        <w:t xml:space="preserve">for a </w:t>
      </w:r>
      <w:r w:rsidR="005261EA">
        <w:rPr>
          <w:rFonts w:eastAsia="Times New Roman" w:cstheme="minorHAnsi"/>
          <w:shd w:val="clear" w:color="auto" w:fill="FFFFFF"/>
          <w:lang w:eastAsia="en-GB"/>
        </w:rPr>
        <w:t xml:space="preserve">contractor </w:t>
      </w:r>
      <w:r w:rsidR="00AC71D9">
        <w:rPr>
          <w:rFonts w:eastAsia="Times New Roman" w:cstheme="minorHAnsi"/>
          <w:shd w:val="clear" w:color="auto" w:fill="FFFFFF"/>
          <w:lang w:eastAsia="en-GB"/>
        </w:rPr>
        <w:t xml:space="preserve">to supply and install </w:t>
      </w:r>
      <w:r>
        <w:rPr>
          <w:rFonts w:eastAsia="Times New Roman" w:cstheme="minorHAnsi"/>
          <w:shd w:val="clear" w:color="auto" w:fill="FFFFFF"/>
          <w:lang w:eastAsia="en-GB"/>
        </w:rPr>
        <w:t>the below equipment:</w:t>
      </w:r>
    </w:p>
    <w:p w14:paraId="24420454" w14:textId="77777777" w:rsidR="009503D8" w:rsidRDefault="009503D8" w:rsidP="009503D8">
      <w:pPr>
        <w:rPr>
          <w:rFonts w:eastAsia="Times New Roman" w:cstheme="minorHAnsi"/>
          <w:shd w:val="clear" w:color="auto" w:fill="FFFFFF"/>
          <w:lang w:eastAsia="en-GB"/>
        </w:rPr>
      </w:pPr>
    </w:p>
    <w:p w14:paraId="68DE4AE1" w14:textId="73358E66" w:rsidR="00EB771B" w:rsidRDefault="00DB5E0A">
      <w:pPr>
        <w:rPr>
          <w:b/>
          <w:bCs/>
          <w:color w:val="000000"/>
          <w:lang w:eastAsia="en-GB"/>
        </w:rPr>
      </w:pPr>
      <w:r>
        <w:rPr>
          <w:b/>
          <w:bCs/>
          <w:color w:val="000000"/>
          <w:lang w:eastAsia="en-GB"/>
        </w:rPr>
        <w:t xml:space="preserve">Training kitchen &amp; Refectory at </w:t>
      </w:r>
      <w:proofErr w:type="spellStart"/>
      <w:r>
        <w:rPr>
          <w:b/>
          <w:bCs/>
          <w:color w:val="000000"/>
          <w:lang w:eastAsia="en-GB"/>
        </w:rPr>
        <w:t>Flemingate</w:t>
      </w:r>
      <w:proofErr w:type="spellEnd"/>
      <w:r>
        <w:rPr>
          <w:b/>
          <w:bCs/>
          <w:color w:val="000000"/>
          <w:lang w:eastAsia="en-GB"/>
        </w:rPr>
        <w:t xml:space="preserve"> Campus: </w:t>
      </w:r>
      <w:bookmarkStart w:id="0" w:name="_GoBack"/>
      <w:bookmarkEnd w:id="0"/>
    </w:p>
    <w:p w14:paraId="68A4E21A" w14:textId="5EDE562B" w:rsidR="00DB5E0A" w:rsidRDefault="00DB5E0A">
      <w:pPr>
        <w:rPr>
          <w:b/>
          <w:bCs/>
          <w:color w:val="000000"/>
          <w:lang w:eastAsia="en-GB"/>
        </w:rPr>
      </w:pPr>
    </w:p>
    <w:p w14:paraId="219FA87F" w14:textId="77777777" w:rsidR="008612B8" w:rsidRDefault="008612B8">
      <w:r>
        <w:t xml:space="preserve">2 x COMBI OVEN, ELECTRIC, 1/1 GN Model No. ICOMBI PRO 10‐1/1‐E </w:t>
      </w:r>
      <w:proofErr w:type="spellStart"/>
      <w:r>
        <w:t>iCombi</w:t>
      </w:r>
      <w:proofErr w:type="spellEnd"/>
      <w:r>
        <w:t xml:space="preserve"> Pro 10‐1/1, electric, (10) 1/1 GN or (20) 1/2 GN capacity, 80‐150 meals per day, intelligent cooking system with (4) assistants; </w:t>
      </w:r>
      <w:proofErr w:type="spellStart"/>
      <w:r>
        <w:t>iDensityControl</w:t>
      </w:r>
      <w:proofErr w:type="spellEnd"/>
      <w:r>
        <w:t xml:space="preserve">, </w:t>
      </w:r>
      <w:proofErr w:type="spellStart"/>
      <w:r>
        <w:t>iCookingSuite</w:t>
      </w:r>
      <w:proofErr w:type="spellEnd"/>
      <w:r>
        <w:t xml:space="preserve">, </w:t>
      </w:r>
      <w:proofErr w:type="spellStart"/>
      <w:r>
        <w:t>iProductionManager</w:t>
      </w:r>
      <w:proofErr w:type="spellEnd"/>
      <w:r>
        <w:t xml:space="preserve">, &amp; </w:t>
      </w:r>
      <w:proofErr w:type="spellStart"/>
      <w:r>
        <w:t>iCareSystem</w:t>
      </w:r>
      <w:proofErr w:type="spellEnd"/>
      <w:r>
        <w:t xml:space="preserve">, (6) operating modes, (5) cooking methods, (3) manual operating modes, quick clean, care control, eco mode, 6‐point core temperature probe, retractable hand shower, Wi‐Fi enabled, 400v/3‐ph, 18.9 kW, IPX5, CE, Energy Star Dimensions 1,014(h) x 850(w) x 842(d) </w:t>
      </w:r>
    </w:p>
    <w:p w14:paraId="4C20298E" w14:textId="77777777" w:rsidR="008612B8" w:rsidRDefault="008612B8"/>
    <w:p w14:paraId="732C1E0B" w14:textId="77777777" w:rsidR="008612B8" w:rsidRDefault="008612B8">
      <w:r>
        <w:t xml:space="preserve">2 x NOTE: When stacking a new </w:t>
      </w:r>
      <w:proofErr w:type="spellStart"/>
      <w:r>
        <w:t>iCombi</w:t>
      </w:r>
      <w:proofErr w:type="spellEnd"/>
      <w:r>
        <w:t xml:space="preserve"> Pro or </w:t>
      </w:r>
      <w:proofErr w:type="spellStart"/>
      <w:r>
        <w:t>iCombi</w:t>
      </w:r>
      <w:proofErr w:type="spellEnd"/>
      <w:r>
        <w:t xml:space="preserve"> Classic on top of an older unit, please contact the RATIONAL office for additional information and direction for ordering and configuring. </w:t>
      </w:r>
    </w:p>
    <w:p w14:paraId="799E62B1" w14:textId="77777777" w:rsidR="008612B8" w:rsidRDefault="008612B8"/>
    <w:p w14:paraId="0231D6E1" w14:textId="77777777" w:rsidR="008612B8" w:rsidRDefault="008612B8">
      <w:r>
        <w:t xml:space="preserve">2 x Right‐side hinged cabinet door, standard </w:t>
      </w:r>
    </w:p>
    <w:p w14:paraId="0EF85D61" w14:textId="77777777" w:rsidR="008612B8" w:rsidRDefault="008612B8"/>
    <w:p w14:paraId="419D9681" w14:textId="77777777" w:rsidR="008612B8" w:rsidRDefault="008612B8">
      <w:r>
        <w:t xml:space="preserve">2 </w:t>
      </w:r>
      <w:proofErr w:type="gramStart"/>
      <w:r>
        <w:t>x  60.75.134</w:t>
      </w:r>
      <w:proofErr w:type="gramEnd"/>
      <w:r>
        <w:t xml:space="preserve"> </w:t>
      </w:r>
      <w:proofErr w:type="spellStart"/>
      <w:r>
        <w:t>UltraVent</w:t>
      </w:r>
      <w:proofErr w:type="spellEnd"/>
      <w:r>
        <w:t xml:space="preserve">® Condensation Hood, extracts vapours, for type 6‐ 1/1 &amp; 10‐1/1 (electric), 230v/1‐ph (no external vent connection necessary) </w:t>
      </w:r>
    </w:p>
    <w:p w14:paraId="003B5897" w14:textId="77777777" w:rsidR="008612B8" w:rsidRDefault="008612B8"/>
    <w:p w14:paraId="129CA6D6" w14:textId="69B94C50" w:rsidR="008612B8" w:rsidRDefault="008612B8">
      <w:r>
        <w:t xml:space="preserve">2 </w:t>
      </w:r>
      <w:proofErr w:type="gramStart"/>
      <w:r>
        <w:t>x  60.31.086</w:t>
      </w:r>
      <w:proofErr w:type="gramEnd"/>
      <w:r>
        <w:t xml:space="preserve"> Stand II, standard, 860mm W x 703mm D x 699mm H, (14) supporting rails, side &amp; top panels, for </w:t>
      </w:r>
      <w:proofErr w:type="spellStart"/>
      <w:r>
        <w:t>iCombi</w:t>
      </w:r>
      <w:proofErr w:type="spellEnd"/>
      <w:r>
        <w:t xml:space="preserve"> Classic &amp; Pro types 6‐1/1</w:t>
      </w:r>
    </w:p>
    <w:p w14:paraId="3D14BDAA" w14:textId="531816FD" w:rsidR="008612B8" w:rsidRDefault="008612B8">
      <w:pPr>
        <w:rPr>
          <w:b/>
          <w:bCs/>
          <w:color w:val="000000"/>
          <w:lang w:eastAsia="en-GB"/>
        </w:rPr>
      </w:pPr>
    </w:p>
    <w:p w14:paraId="5E36BE9A" w14:textId="753AF9DA" w:rsidR="005261EA" w:rsidRDefault="005261EA">
      <w:pPr>
        <w:rPr>
          <w:b/>
          <w:bCs/>
          <w:color w:val="000000"/>
          <w:lang w:eastAsia="en-GB"/>
        </w:rPr>
      </w:pPr>
    </w:p>
    <w:p w14:paraId="72900D37" w14:textId="1B57DBE9" w:rsidR="005261EA" w:rsidRDefault="005261EA">
      <w:pPr>
        <w:rPr>
          <w:b/>
          <w:bCs/>
          <w:color w:val="000000"/>
          <w:lang w:eastAsia="en-GB"/>
        </w:rPr>
      </w:pPr>
    </w:p>
    <w:p w14:paraId="149C46E6" w14:textId="77777777" w:rsidR="005261EA" w:rsidRDefault="005261EA">
      <w:pPr>
        <w:rPr>
          <w:b/>
          <w:bCs/>
          <w:color w:val="000000"/>
          <w:lang w:eastAsia="en-GB"/>
        </w:rPr>
      </w:pPr>
    </w:p>
    <w:p w14:paraId="75F6E17A" w14:textId="77777777" w:rsidR="008612B8" w:rsidRDefault="00DB5E0A">
      <w:r>
        <w:t xml:space="preserve">2 x Model No. ICOMBI PRO 6‐1/1‐E </w:t>
      </w:r>
      <w:proofErr w:type="spellStart"/>
      <w:r>
        <w:t>iCombi</w:t>
      </w:r>
      <w:proofErr w:type="spellEnd"/>
      <w:r>
        <w:t xml:space="preserve"> Pro 6‐1/1, electric, (6) 1/1 GN or (12) 1/2 GN capacity, 30‐100 meals per day, intelligent cooking system with (4) assistants; </w:t>
      </w:r>
      <w:proofErr w:type="spellStart"/>
      <w:r>
        <w:t>iDensityControl</w:t>
      </w:r>
      <w:proofErr w:type="spellEnd"/>
      <w:r>
        <w:t xml:space="preserve">, </w:t>
      </w:r>
      <w:proofErr w:type="spellStart"/>
      <w:r>
        <w:t>iCookingSuite</w:t>
      </w:r>
      <w:proofErr w:type="spellEnd"/>
      <w:r>
        <w:t xml:space="preserve">, </w:t>
      </w:r>
      <w:proofErr w:type="spellStart"/>
      <w:r>
        <w:t>iProductionManager</w:t>
      </w:r>
      <w:proofErr w:type="spellEnd"/>
      <w:r>
        <w:t xml:space="preserve">, &amp; </w:t>
      </w:r>
      <w:proofErr w:type="spellStart"/>
      <w:r>
        <w:t>iCareSystem</w:t>
      </w:r>
      <w:proofErr w:type="spellEnd"/>
      <w:r>
        <w:t xml:space="preserve">, (6) operating modes, (5) cooking methods, (3) manual operating modes, quick clean, care control, eco mode, 6‐point core temperature probe, retractable hand shower, Wi‐Fi enabled, IPX5, CE, Energy Star Dimensions 754(h) x 850(w) x 842(d) </w:t>
      </w:r>
    </w:p>
    <w:p w14:paraId="5B8C3E26" w14:textId="77777777" w:rsidR="008612B8" w:rsidRDefault="008612B8"/>
    <w:p w14:paraId="574AAD34" w14:textId="77777777" w:rsidR="008612B8" w:rsidRDefault="00DB5E0A">
      <w:r>
        <w:t xml:space="preserve">2 </w:t>
      </w:r>
      <w:r w:rsidR="008612B8">
        <w:t>x</w:t>
      </w:r>
      <w:r>
        <w:t xml:space="preserve"> NOTE: When stacking a new </w:t>
      </w:r>
      <w:proofErr w:type="spellStart"/>
      <w:r>
        <w:t>iCombi</w:t>
      </w:r>
      <w:proofErr w:type="spellEnd"/>
      <w:r>
        <w:t xml:space="preserve"> Pro or </w:t>
      </w:r>
      <w:proofErr w:type="spellStart"/>
      <w:r>
        <w:t>iCombi</w:t>
      </w:r>
      <w:proofErr w:type="spellEnd"/>
      <w:r>
        <w:t xml:space="preserve"> Classic on top of an older unit, please contact the RATIONAL office for additional information and direction for ordering and configuring. </w:t>
      </w:r>
    </w:p>
    <w:p w14:paraId="44D34D22" w14:textId="77777777" w:rsidR="008612B8" w:rsidRDefault="008612B8"/>
    <w:p w14:paraId="72D02968" w14:textId="1B28D0C4" w:rsidR="00DB5E0A" w:rsidRDefault="00DB5E0A">
      <w:r>
        <w:t xml:space="preserve">2 </w:t>
      </w:r>
      <w:r w:rsidR="008612B8">
        <w:t xml:space="preserve">x </w:t>
      </w:r>
      <w:r>
        <w:t xml:space="preserve">400v/3‐ph, 10.8 kW, standard 2 </w:t>
      </w:r>
      <w:proofErr w:type="spellStart"/>
      <w:r>
        <w:t>ea</w:t>
      </w:r>
      <w:proofErr w:type="spellEnd"/>
      <w:r>
        <w:t xml:space="preserve"> Right‐side hinged cabinet door, standard</w:t>
      </w:r>
    </w:p>
    <w:p w14:paraId="24F02C16" w14:textId="2CD803F0" w:rsidR="00DB5E0A" w:rsidRDefault="00DB5E0A"/>
    <w:p w14:paraId="761BCDA6" w14:textId="1D86646F" w:rsidR="00DB5E0A" w:rsidRDefault="00DB5E0A">
      <w:r>
        <w:t xml:space="preserve">1 x CONDENSATE HOOD Model No. 60.76.169 </w:t>
      </w:r>
      <w:proofErr w:type="spellStart"/>
      <w:r>
        <w:t>UltraVent</w:t>
      </w:r>
      <w:proofErr w:type="spellEnd"/>
      <w:r>
        <w:t>® Condensation Hood, extracts vapours, for type 6‐1/1 &amp; 10‐ 1/1 (electric) Combi‐Duo, 230v/1‐ph (no external vent connection necessary)</w:t>
      </w:r>
    </w:p>
    <w:p w14:paraId="3C503E4A" w14:textId="77777777" w:rsidR="008612B8" w:rsidRDefault="008612B8"/>
    <w:p w14:paraId="355F01F9" w14:textId="0A770A0D" w:rsidR="00AC71D9" w:rsidRDefault="00DB5E0A">
      <w:r>
        <w:t>1 x COMBI OVEN, PARTS &amp; ACCESSORIES Model No. 60.73.991 Combi‐Duo Stacking Kit, for type 6‐1/1 (electric/gas) on model 6‐1/1 or 10‐1/1 (electric)</w:t>
      </w:r>
      <w:r w:rsidR="00AC71D9">
        <w:t>.</w:t>
      </w:r>
    </w:p>
    <w:p w14:paraId="5DC6B3FD" w14:textId="77777777" w:rsidR="005261EA" w:rsidRDefault="005261EA"/>
    <w:p w14:paraId="0827CCAF" w14:textId="77C8648F" w:rsidR="00DB5E0A" w:rsidRDefault="00DB5E0A">
      <w:r>
        <w:t>1 x EQUIPMENT STAND, FOR OVEN Model No. 60.31.200 Stand I, open sides, for Combi‐Duo type 6‐1/1 on 6‐1/1 Dimensions 200(h)</w:t>
      </w:r>
    </w:p>
    <w:p w14:paraId="12868B81" w14:textId="4EA2877D" w:rsidR="00DB5E0A" w:rsidRDefault="00DB5E0A"/>
    <w:p w14:paraId="6E0F8CEF" w14:textId="13C94701" w:rsidR="00AC71D9" w:rsidRDefault="005261EA">
      <w:r>
        <w:t xml:space="preserve">Your return must quote for </w:t>
      </w:r>
      <w:r w:rsidR="00AC71D9">
        <w:t>Supply</w:t>
      </w:r>
      <w:r>
        <w:t xml:space="preserve"> &amp;</w:t>
      </w:r>
      <w:r w:rsidR="00AC71D9">
        <w:t xml:space="preserve"> </w:t>
      </w:r>
      <w:r w:rsidR="00DB5E0A">
        <w:t>Installation</w:t>
      </w:r>
      <w:r>
        <w:t xml:space="preserve"> of the above equipment and removal and disposal</w:t>
      </w:r>
      <w:r w:rsidR="00DB5E0A">
        <w:t xml:space="preserve"> </w:t>
      </w:r>
      <w:r>
        <w:t xml:space="preserve">4 x </w:t>
      </w:r>
      <w:proofErr w:type="spellStart"/>
      <w:r>
        <w:t>Unox</w:t>
      </w:r>
      <w:proofErr w:type="spellEnd"/>
      <w:r>
        <w:t xml:space="preserve"> ovens</w:t>
      </w:r>
      <w:r>
        <w:t xml:space="preserve">. </w:t>
      </w:r>
    </w:p>
    <w:p w14:paraId="3517077D" w14:textId="4F871349" w:rsidR="00AC71D9" w:rsidRDefault="00AC71D9"/>
    <w:p w14:paraId="2B2DB214" w14:textId="5CE6B887" w:rsidR="00AC71D9" w:rsidRDefault="00AC71D9" w:rsidP="00AC71D9">
      <w:r>
        <w:t>Please confirm lead time on equipment in your return.</w:t>
      </w:r>
    </w:p>
    <w:p w14:paraId="3773C119" w14:textId="77777777" w:rsidR="00AC71D9" w:rsidRDefault="00AC71D9" w:rsidP="00AC71D9"/>
    <w:p w14:paraId="73B5BC42" w14:textId="78237F72" w:rsidR="00AC71D9" w:rsidRDefault="00AC71D9" w:rsidP="00AC71D9">
      <w:r>
        <w:t xml:space="preserve">For any queries, please email Gemma Briggs, Facilities Officer briggsg@eastridingcollege.ac.uk </w:t>
      </w:r>
    </w:p>
    <w:p w14:paraId="1E041CDA" w14:textId="77777777" w:rsidR="00AC71D9" w:rsidRDefault="00AC71D9" w:rsidP="00AC71D9"/>
    <w:p w14:paraId="3336F526" w14:textId="29324B8A" w:rsidR="00AC71D9" w:rsidRPr="005261EA" w:rsidRDefault="00AC71D9" w:rsidP="00AC71D9">
      <w:pPr>
        <w:rPr>
          <w:b/>
          <w:u w:val="single"/>
        </w:rPr>
      </w:pPr>
      <w:r w:rsidRPr="005261EA">
        <w:rPr>
          <w:b/>
          <w:u w:val="single"/>
        </w:rPr>
        <w:t xml:space="preserve">Please submit your returns to </w:t>
      </w:r>
      <w:hyperlink r:id="rId10" w:history="1">
        <w:r w:rsidRPr="005261EA">
          <w:rPr>
            <w:rStyle w:val="Hyperlink"/>
            <w:b/>
          </w:rPr>
          <w:t>Purchasing@tecpartnership.ac.uk</w:t>
        </w:r>
      </w:hyperlink>
      <w:r w:rsidRPr="005261EA">
        <w:rPr>
          <w:b/>
          <w:u w:val="single"/>
        </w:rPr>
        <w:t xml:space="preserve"> no later than 12 noon on Friday 24</w:t>
      </w:r>
      <w:r w:rsidRPr="005261EA">
        <w:rPr>
          <w:b/>
          <w:u w:val="single"/>
          <w:vertAlign w:val="superscript"/>
        </w:rPr>
        <w:t>th</w:t>
      </w:r>
      <w:r w:rsidRPr="005261EA">
        <w:rPr>
          <w:b/>
          <w:u w:val="single"/>
        </w:rPr>
        <w:t xml:space="preserve"> June 2022.</w:t>
      </w:r>
    </w:p>
    <w:p w14:paraId="0BFBBF4C" w14:textId="305786FC" w:rsidR="00AC71D9" w:rsidRDefault="00AC71D9"/>
    <w:sectPr w:rsidR="00AC71D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83CD5" w14:textId="77777777" w:rsidR="00F60BAE" w:rsidRDefault="00F60BAE" w:rsidP="009503D8">
      <w:r>
        <w:separator/>
      </w:r>
    </w:p>
  </w:endnote>
  <w:endnote w:type="continuationSeparator" w:id="0">
    <w:p w14:paraId="59F635E5" w14:textId="77777777" w:rsidR="00F60BAE" w:rsidRDefault="00F60BAE" w:rsidP="0095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29589" w14:textId="77777777" w:rsidR="00F60BAE" w:rsidRDefault="00F60BAE" w:rsidP="009503D8">
      <w:r>
        <w:separator/>
      </w:r>
    </w:p>
  </w:footnote>
  <w:footnote w:type="continuationSeparator" w:id="0">
    <w:p w14:paraId="46E2727F" w14:textId="77777777" w:rsidR="00F60BAE" w:rsidRDefault="00F60BAE" w:rsidP="0095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3448" w14:textId="73E6AC23" w:rsidR="009503D8" w:rsidRDefault="005261EA">
    <w:pPr>
      <w:pStyle w:val="Header"/>
    </w:pPr>
    <w:r>
      <w:rPr>
        <w:noProof/>
      </w:rPr>
      <w:drawing>
        <wp:anchor distT="0" distB="0" distL="114300" distR="114300" simplePos="0" relativeHeight="251659264" behindDoc="0" locked="0" layoutInCell="1" allowOverlap="1" wp14:anchorId="7366BBA0" wp14:editId="1AEB61EA">
          <wp:simplePos x="0" y="0"/>
          <wp:positionH relativeFrom="margin">
            <wp:posOffset>1392072</wp:posOffset>
          </wp:positionH>
          <wp:positionV relativeFrom="paragraph">
            <wp:posOffset>-184880</wp:posOffset>
          </wp:positionV>
          <wp:extent cx="2857500" cy="647700"/>
          <wp:effectExtent l="0" t="0" r="0" b="0"/>
          <wp:wrapNone/>
          <wp:docPr id="1" name="Picture 1" descr="TEC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3261C"/>
    <w:multiLevelType w:val="hybridMultilevel"/>
    <w:tmpl w:val="DF36D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D8"/>
    <w:rsid w:val="000D6E00"/>
    <w:rsid w:val="005261EA"/>
    <w:rsid w:val="008612B8"/>
    <w:rsid w:val="00927BFB"/>
    <w:rsid w:val="009503D8"/>
    <w:rsid w:val="00AC71D9"/>
    <w:rsid w:val="00DB5E0A"/>
    <w:rsid w:val="00F60BAE"/>
    <w:rsid w:val="00F7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1B8D"/>
  <w15:chartTrackingRefBased/>
  <w15:docId w15:val="{359596FE-4F08-45D8-8466-F2F9CC24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3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D8"/>
    <w:pPr>
      <w:ind w:left="720"/>
      <w:contextualSpacing/>
    </w:pPr>
  </w:style>
  <w:style w:type="character" w:styleId="Hyperlink">
    <w:name w:val="Hyperlink"/>
    <w:basedOn w:val="DefaultParagraphFont"/>
    <w:uiPriority w:val="99"/>
    <w:unhideWhenUsed/>
    <w:rsid w:val="009503D8"/>
    <w:rPr>
      <w:color w:val="0563C1" w:themeColor="hyperlink"/>
      <w:u w:val="single"/>
    </w:rPr>
  </w:style>
  <w:style w:type="paragraph" w:styleId="Header">
    <w:name w:val="header"/>
    <w:basedOn w:val="Normal"/>
    <w:link w:val="HeaderChar"/>
    <w:uiPriority w:val="99"/>
    <w:unhideWhenUsed/>
    <w:rsid w:val="009503D8"/>
    <w:pPr>
      <w:tabs>
        <w:tab w:val="center" w:pos="4513"/>
        <w:tab w:val="right" w:pos="9026"/>
      </w:tabs>
    </w:pPr>
  </w:style>
  <w:style w:type="character" w:customStyle="1" w:styleId="HeaderChar">
    <w:name w:val="Header Char"/>
    <w:basedOn w:val="DefaultParagraphFont"/>
    <w:link w:val="Header"/>
    <w:uiPriority w:val="99"/>
    <w:rsid w:val="009503D8"/>
    <w:rPr>
      <w:rFonts w:ascii="Calibri" w:hAnsi="Calibri" w:cs="Calibri"/>
    </w:rPr>
  </w:style>
  <w:style w:type="paragraph" w:styleId="Footer">
    <w:name w:val="footer"/>
    <w:basedOn w:val="Normal"/>
    <w:link w:val="FooterChar"/>
    <w:uiPriority w:val="99"/>
    <w:unhideWhenUsed/>
    <w:rsid w:val="009503D8"/>
    <w:pPr>
      <w:tabs>
        <w:tab w:val="center" w:pos="4513"/>
        <w:tab w:val="right" w:pos="9026"/>
      </w:tabs>
    </w:pPr>
  </w:style>
  <w:style w:type="character" w:customStyle="1" w:styleId="FooterChar">
    <w:name w:val="Footer Char"/>
    <w:basedOn w:val="DefaultParagraphFont"/>
    <w:link w:val="Footer"/>
    <w:uiPriority w:val="99"/>
    <w:rsid w:val="009503D8"/>
    <w:rPr>
      <w:rFonts w:ascii="Calibri" w:hAnsi="Calibri" w:cs="Calibri"/>
    </w:rPr>
  </w:style>
  <w:style w:type="character" w:styleId="UnresolvedMention">
    <w:name w:val="Unresolved Mention"/>
    <w:basedOn w:val="DefaultParagraphFont"/>
    <w:uiPriority w:val="99"/>
    <w:semiHidden/>
    <w:unhideWhenUsed/>
    <w:rsid w:val="0095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urchasing@tecpartnership.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5" ma:contentTypeDescription="Create a new document." ma:contentTypeScope="" ma:versionID="b64960049ac2c4f336b3f9c0105e4f76">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8b93bcaf607cd3e3da2c744f48b2a92a"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053c5f-2014-49ce-85f1-ab1570d15c84">
      <Terms xmlns="http://schemas.microsoft.com/office/infopath/2007/PartnerControls"/>
    </lcf76f155ced4ddcb4097134ff3c332f>
    <TaxCatchAll xmlns="d172dd79-8bc7-485c-a688-7de3d6e8cc65" xsi:nil="true"/>
  </documentManagement>
</p:properties>
</file>

<file path=customXml/itemProps1.xml><?xml version="1.0" encoding="utf-8"?>
<ds:datastoreItem xmlns:ds="http://schemas.openxmlformats.org/officeDocument/2006/customXml" ds:itemID="{FE1DA8B0-4222-44DD-ABF7-700BC475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7733D-E50C-4123-9BE6-C339CEEDC241}">
  <ds:schemaRefs>
    <ds:schemaRef ds:uri="http://schemas.microsoft.com/sharepoint/v3/contenttype/forms"/>
  </ds:schemaRefs>
</ds:datastoreItem>
</file>

<file path=customXml/itemProps3.xml><?xml version="1.0" encoding="utf-8"?>
<ds:datastoreItem xmlns:ds="http://schemas.openxmlformats.org/officeDocument/2006/customXml" ds:itemID="{CE47101A-EFBC-4DFA-8C09-6D804CFD039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172dd79-8bc7-485c-a688-7de3d6e8cc65"/>
    <ds:schemaRef ds:uri="http://schemas.microsoft.com/office/2006/metadata/properties"/>
    <ds:schemaRef ds:uri="http://purl.org/dc/elements/1.1/"/>
    <ds:schemaRef ds:uri="4f053c5f-2014-49ce-85f1-ab1570d15c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 Services - Tec Partnership</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Bryant</dc:creator>
  <cp:keywords/>
  <dc:description/>
  <cp:lastModifiedBy>Katy Bryant</cp:lastModifiedBy>
  <cp:revision>2</cp:revision>
  <dcterms:created xsi:type="dcterms:W3CDTF">2022-06-10T14:57:00Z</dcterms:created>
  <dcterms:modified xsi:type="dcterms:W3CDTF">2022-06-10T14:57:00Z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