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68A486" w14:textId="7D491F3A" w:rsidR="00F40CA1" w:rsidRPr="00805E14" w:rsidRDefault="004A4E7B" w:rsidP="00C066C4">
      <w:pPr>
        <w:jc w:val="center"/>
        <w:rPr>
          <w:rFonts w:cs="Arial"/>
          <w:sz w:val="20"/>
          <w:szCs w:val="20"/>
        </w:rPr>
      </w:pPr>
      <w:r w:rsidRPr="00E71041">
        <w:rPr>
          <w:rFonts w:cs="Arial"/>
          <w:sz w:val="30"/>
          <w:szCs w:val="30"/>
        </w:rPr>
        <w:t>FRC2021-0108 Extended Auditor Reporting Research</w:t>
      </w: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26CFB9C8" w14:textId="77777777" w:rsidR="00174982" w:rsidRDefault="00174982" w:rsidP="00A5714E">
      <w:pPr>
        <w:pStyle w:val="Heading2"/>
        <w:numPr>
          <w:ilvl w:val="0"/>
          <w:numId w:val="0"/>
        </w:numPr>
      </w:pPr>
    </w:p>
    <w:p w14:paraId="35F4F0B5" w14:textId="599AE854" w:rsidR="00C14DEA" w:rsidRDefault="00C14DEA" w:rsidP="00A5714E">
      <w:pPr>
        <w:pStyle w:val="Heading2"/>
        <w:numPr>
          <w:ilvl w:val="0"/>
          <w:numId w:val="0"/>
        </w:numPr>
        <w:rPr>
          <w:sz w:val="18"/>
          <w:szCs w:val="18"/>
        </w:rPr>
      </w:pPr>
      <w:r w:rsidRPr="00353449">
        <w:t>Form</w:t>
      </w:r>
      <w:r w:rsidRPr="00D15B6E">
        <w:t xml:space="preserve"> of tender</w:t>
      </w:r>
      <w:bookmarkEnd w:id="0"/>
      <w:bookmarkEnd w:id="1"/>
    </w:p>
    <w:p w14:paraId="600C1054" w14:textId="7AE4B8DE" w:rsidR="004A4E7B" w:rsidRPr="004A4E7B" w:rsidRDefault="004A4E7B" w:rsidP="004A4E7B">
      <w:pPr>
        <w:rPr>
          <w:rFonts w:cs="Arial"/>
          <w:sz w:val="28"/>
          <w:szCs w:val="28"/>
        </w:rPr>
      </w:pPr>
      <w:r w:rsidRPr="004A4E7B">
        <w:rPr>
          <w:rFonts w:cs="Arial"/>
          <w:sz w:val="28"/>
          <w:szCs w:val="28"/>
        </w:rPr>
        <w:t>FRC2021-0108 Extended Auditor Reporting Research</w:t>
      </w:r>
    </w:p>
    <w:p w14:paraId="0FD1562E" w14:textId="49DB3DF5" w:rsidR="0082639C" w:rsidRPr="0082639C" w:rsidRDefault="0082639C"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2AA53580" w14:textId="77777777" w:rsidR="004A4E7B" w:rsidRPr="004A4E7B" w:rsidRDefault="004A4E7B" w:rsidP="004A4E7B">
            <w:pPr>
              <w:spacing w:after="120"/>
              <w:rPr>
                <w:rFonts w:cs="Arial"/>
                <w:color w:val="auto"/>
                <w:szCs w:val="22"/>
              </w:rPr>
            </w:pPr>
            <w:r w:rsidRPr="004A4E7B">
              <w:rPr>
                <w:rFonts w:cs="Arial"/>
                <w:color w:val="auto"/>
                <w:szCs w:val="22"/>
              </w:rPr>
              <w:t>The proposal should be no more than 7 pages in total, excluding annexes, and include:</w:t>
            </w:r>
          </w:p>
          <w:p w14:paraId="1F023509"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A succinct summary of the proposal, including an estimated timeline of project milestones.</w:t>
            </w:r>
          </w:p>
          <w:p w14:paraId="32B96353"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Details of the proposed approach. This should include a high-level overview of the sampling and data collection strategy, and the analytical approaches to be adopted by the project.</w:t>
            </w:r>
          </w:p>
          <w:p w14:paraId="0D2444D1"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A demonstrable understanding of auditor reporting and the audit market, as well as financial audit more broadly.</w:t>
            </w:r>
          </w:p>
          <w:p w14:paraId="4370BB5A"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Details of personnel to be involved, including their role for this project and their relevant experience.</w:t>
            </w:r>
          </w:p>
          <w:p w14:paraId="56D032BA"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Your organization’s experience of similar projects and relevant research capability.</w:t>
            </w:r>
          </w:p>
          <w:p w14:paraId="0C36EAE8"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The arrangements to be put in place for managing this work and quality assuring outputs.</w:t>
            </w:r>
          </w:p>
          <w:p w14:paraId="31DE77E3"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A budget, including a breakdown of time and costs per activity, in line with the principal project objectives outlined above. If your proposal includes options, these should be costed separately.</w:t>
            </w:r>
          </w:p>
          <w:p w14:paraId="3EA9FC62"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CVs for the project team should be included in an annex, along with any additional information about your organization that you consider relevant.</w:t>
            </w:r>
          </w:p>
          <w:p w14:paraId="1A4408EE" w14:textId="77777777" w:rsidR="004A4E7B" w:rsidRPr="004A4E7B" w:rsidRDefault="004A4E7B" w:rsidP="004A4E7B">
            <w:pPr>
              <w:numPr>
                <w:ilvl w:val="0"/>
                <w:numId w:val="44"/>
              </w:numPr>
              <w:spacing w:before="0" w:after="120"/>
              <w:ind w:left="720"/>
              <w:rPr>
                <w:rFonts w:cs="Arial"/>
                <w:color w:val="auto"/>
                <w:szCs w:val="22"/>
              </w:rPr>
            </w:pPr>
            <w:r w:rsidRPr="004A4E7B">
              <w:rPr>
                <w:rFonts w:cs="Arial"/>
                <w:color w:val="auto"/>
                <w:szCs w:val="22"/>
              </w:rPr>
              <w:t>Bids should identify any real or perceived conflicts of interest.</w:t>
            </w:r>
          </w:p>
          <w:p w14:paraId="41080631" w14:textId="5912E668" w:rsidR="00E96272" w:rsidRPr="004A4E7B" w:rsidRDefault="00D17FD9" w:rsidP="00D87ACD">
            <w:pPr>
              <w:pStyle w:val="ListParagraph"/>
              <w:spacing w:after="120" w:line="300" w:lineRule="auto"/>
              <w:ind w:left="1004"/>
              <w:jc w:val="both"/>
              <w:rPr>
                <w:rFonts w:cs="Arial"/>
                <w:color w:val="auto"/>
                <w:szCs w:val="22"/>
              </w:rPr>
            </w:pPr>
            <w:r w:rsidRPr="004A4E7B">
              <w:rPr>
                <w:rFonts w:cs="Arial"/>
                <w:color w:val="auto"/>
                <w:szCs w:val="22"/>
              </w:rPr>
              <w:t xml:space="preserve"> </w:t>
            </w:r>
          </w:p>
        </w:tc>
      </w:tr>
      <w:tr w:rsidR="00CF3B22" w14:paraId="23F01250" w14:textId="77777777" w:rsidTr="00007AF0">
        <w:tc>
          <w:tcPr>
            <w:tcW w:w="9633" w:type="dxa"/>
            <w:shd w:val="clear" w:color="auto" w:fill="D9D9D9" w:themeFill="background1" w:themeFillShade="D9"/>
          </w:tcPr>
          <w:p w14:paraId="3A17E63F" w14:textId="77777777" w:rsidR="005177BD" w:rsidRDefault="00CF3B22" w:rsidP="00B1791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A15732A" w14:textId="42AB20D8" w:rsidR="00FD6C27" w:rsidRPr="001854A0" w:rsidRDefault="00FD6C27" w:rsidP="00B17917">
            <w:pPr>
              <w:spacing w:before="0" w:after="120" w:line="276" w:lineRule="auto"/>
              <w:jc w:val="both"/>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286D03AC" w14:textId="1467E3D0" w:rsidR="007D43A3" w:rsidRDefault="00836560" w:rsidP="00836560">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p w14:paraId="43BC46DC" w14:textId="03373E3C" w:rsidR="007D43A3"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57F68512"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75BD643" w14:textId="09379033" w:rsidR="00962047" w:rsidRDefault="00962047"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4440FB30" w:rsidR="007D43A3" w:rsidRDefault="007D43A3" w:rsidP="007D43A3">
            <w:pPr>
              <w:pStyle w:val="Bullet-main"/>
              <w:numPr>
                <w:ilvl w:val="0"/>
                <w:numId w:val="0"/>
              </w:numPr>
              <w:spacing w:before="0" w:line="240" w:lineRule="auto"/>
              <w:rPr>
                <w:rFonts w:cstheme="minorHAnsi"/>
                <w:color w:val="auto"/>
                <w:sz w:val="18"/>
                <w:szCs w:val="18"/>
              </w:rPr>
            </w:pPr>
          </w:p>
          <w:p w14:paraId="586FFC4E" w14:textId="77777777" w:rsidR="007D43A3" w:rsidRDefault="007D43A3" w:rsidP="002108A0">
            <w:pPr>
              <w:pStyle w:val="Bullet-main"/>
              <w:numPr>
                <w:ilvl w:val="0"/>
                <w:numId w:val="0"/>
              </w:numPr>
              <w:spacing w:before="0" w:line="240" w:lineRule="auto"/>
              <w:rPr>
                <w:rFonts w:cstheme="minorHAnsi"/>
                <w:color w:val="FF0000"/>
                <w:sz w:val="18"/>
                <w:szCs w:val="18"/>
              </w:rPr>
            </w:pPr>
          </w:p>
          <w:p w14:paraId="3880ED60" w14:textId="77777777" w:rsidR="002108A0" w:rsidRDefault="002108A0" w:rsidP="002108A0">
            <w:pPr>
              <w:pStyle w:val="Bullet-main"/>
              <w:numPr>
                <w:ilvl w:val="0"/>
                <w:numId w:val="0"/>
              </w:numPr>
              <w:spacing w:before="0" w:line="240" w:lineRule="auto"/>
              <w:rPr>
                <w:rFonts w:cstheme="minorHAnsi"/>
                <w:i/>
                <w:color w:val="FF0000"/>
                <w:sz w:val="18"/>
                <w:szCs w:val="18"/>
              </w:rPr>
            </w:pPr>
          </w:p>
          <w:bookmarkStart w:id="3" w:name="_MON_1688545568"/>
          <w:bookmarkEnd w:id="3"/>
          <w:p w14:paraId="1BB7044F" w14:textId="7740DF06" w:rsidR="002108A0" w:rsidRPr="00CF3B22" w:rsidRDefault="002108A0" w:rsidP="002108A0">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0EB8D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8" ShapeID="_x0000_i1025" DrawAspect="Icon" ObjectID="_1688547344" r:id="rId9">
                  <o:FieldCodes>\s</o:FieldCodes>
                </o:OLEObject>
              </w:object>
            </w: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7C909FA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88204264"/>
              <w:bookmarkEnd w:id="4"/>
              <w:tc>
                <w:tcPr>
                  <w:tcW w:w="4803" w:type="dxa"/>
                </w:tcPr>
                <w:p w14:paraId="0222EAB0" w14:textId="3B8974B8" w:rsidR="007D43A3" w:rsidRDefault="00962047"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34F9B8D">
                      <v:shape id="_x0000_i1026" type="#_x0000_t75" style="width:75pt;height:49pt" o:ole="">
                        <v:imagedata r:id="rId10" o:title=""/>
                      </v:shape>
                      <o:OLEObject Type="Embed" ProgID="Word.Document.12" ShapeID="_x0000_i1026" DrawAspect="Icon" ObjectID="_1688547345"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88204283"/>
              <w:bookmarkEnd w:id="5"/>
              <w:tc>
                <w:tcPr>
                  <w:tcW w:w="4803" w:type="dxa"/>
                </w:tcPr>
                <w:p w14:paraId="04E03971" w14:textId="1A9E3A0A" w:rsidR="007D43A3" w:rsidRDefault="00962047"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432542C9">
                      <v:shape id="_x0000_i1027" type="#_x0000_t75" style="width:75pt;height:49pt" o:ole="">
                        <v:imagedata r:id="rId12" o:title=""/>
                      </v:shape>
                      <o:OLEObject Type="Embed" ProgID="Word.Document.12" ShapeID="_x0000_i1027" DrawAspect="Icon" ObjectID="_1688547346"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4C0092">
              <w:tc>
                <w:tcPr>
                  <w:tcW w:w="1303" w:type="dxa"/>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174982" w:rsidRPr="00007AF0" w14:paraId="441ACC3E" w14:textId="77777777" w:rsidTr="004C0092">
              <w:tc>
                <w:tcPr>
                  <w:tcW w:w="1303" w:type="dxa"/>
                  <w:shd w:val="clear" w:color="auto" w:fill="F2F2F2" w:themeFill="background1" w:themeFillShade="F2"/>
                </w:tcPr>
                <w:p w14:paraId="4BAF4380"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F2F2F2" w:themeFill="background1" w:themeFillShade="F2"/>
                </w:tcPr>
                <w:p w14:paraId="1DBD5DD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Arial"/>
                      <w:sz w:val="20"/>
                      <w:szCs w:val="20"/>
                    </w:rPr>
                    <w:t>A literature review</w:t>
                  </w:r>
                </w:p>
              </w:tc>
              <w:tc>
                <w:tcPr>
                  <w:tcW w:w="2837" w:type="dxa"/>
                </w:tcPr>
                <w:p w14:paraId="04C5E0DE"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c>
                <w:tcPr>
                  <w:tcW w:w="1867" w:type="dxa"/>
                </w:tcPr>
                <w:p w14:paraId="36505D5F"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r>
            <w:tr w:rsidR="00174982" w:rsidRPr="00007AF0" w14:paraId="31922E2F" w14:textId="77777777" w:rsidTr="004C0092">
              <w:tc>
                <w:tcPr>
                  <w:tcW w:w="1303" w:type="dxa"/>
                  <w:shd w:val="clear" w:color="auto" w:fill="F2F2F2" w:themeFill="background1" w:themeFillShade="F2"/>
                </w:tcPr>
                <w:p w14:paraId="531A525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F2F2F2" w:themeFill="background1" w:themeFillShade="F2"/>
                </w:tcPr>
                <w:p w14:paraId="33D5E26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Arial"/>
                      <w:sz w:val="20"/>
                      <w:szCs w:val="20"/>
                    </w:rPr>
                    <w:t>An analytical report</w:t>
                  </w:r>
                </w:p>
              </w:tc>
              <w:tc>
                <w:tcPr>
                  <w:tcW w:w="2837" w:type="dxa"/>
                </w:tcPr>
                <w:p w14:paraId="2F5C04A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c>
                <w:tcPr>
                  <w:tcW w:w="1867" w:type="dxa"/>
                </w:tcPr>
                <w:p w14:paraId="782B561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r>
            <w:tr w:rsidR="00174982" w:rsidRPr="00007AF0" w14:paraId="3B96838E" w14:textId="77777777" w:rsidTr="004C0092">
              <w:tc>
                <w:tcPr>
                  <w:tcW w:w="1303" w:type="dxa"/>
                  <w:shd w:val="clear" w:color="auto" w:fill="F2F2F2" w:themeFill="background1" w:themeFillShade="F2"/>
                </w:tcPr>
                <w:p w14:paraId="500290B9"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F2F2F2" w:themeFill="background1" w:themeFillShade="F2"/>
                </w:tcPr>
                <w:p w14:paraId="0D76E64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Arial"/>
                      <w:sz w:val="20"/>
                      <w:szCs w:val="20"/>
                    </w:rPr>
                    <w:t>The dataset itself (in electronic format),</w:t>
                  </w:r>
                </w:p>
              </w:tc>
              <w:tc>
                <w:tcPr>
                  <w:tcW w:w="2837" w:type="dxa"/>
                </w:tcPr>
                <w:p w14:paraId="256CAF79"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c>
                <w:tcPr>
                  <w:tcW w:w="1867" w:type="dxa"/>
                </w:tcPr>
                <w:p w14:paraId="5594769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5F7A4B5C"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582AF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582AF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174982"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63B7" w14:textId="2E82503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9A63" w14:textId="584B3E1E"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3DD85003"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B7CDD"/>
    <w:multiLevelType w:val="hybridMultilevel"/>
    <w:tmpl w:val="539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19AA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C22FA"/>
    <w:multiLevelType w:val="hybridMultilevel"/>
    <w:tmpl w:val="FC82D14C"/>
    <w:lvl w:ilvl="0" w:tplc="45B22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5"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2"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455062"/>
    <w:multiLevelType w:val="hybridMultilevel"/>
    <w:tmpl w:val="0E1A4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3"/>
  </w:num>
  <w:num w:numId="2">
    <w:abstractNumId w:val="34"/>
  </w:num>
  <w:num w:numId="3">
    <w:abstractNumId w:val="18"/>
  </w:num>
  <w:num w:numId="4">
    <w:abstractNumId w:val="10"/>
  </w:num>
  <w:num w:numId="5">
    <w:abstractNumId w:val="16"/>
  </w:num>
  <w:num w:numId="6">
    <w:abstractNumId w:val="14"/>
  </w:num>
  <w:num w:numId="7">
    <w:abstractNumId w:val="31"/>
  </w:num>
  <w:num w:numId="8">
    <w:abstractNumId w:val="35"/>
  </w:num>
  <w:num w:numId="9">
    <w:abstractNumId w:val="5"/>
  </w:num>
  <w:num w:numId="10">
    <w:abstractNumId w:val="23"/>
  </w:num>
  <w:num w:numId="11">
    <w:abstractNumId w:val="1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3"/>
  </w:num>
  <w:num w:numId="25">
    <w:abstractNumId w:val="11"/>
  </w:num>
  <w:num w:numId="26">
    <w:abstractNumId w:val="8"/>
  </w:num>
  <w:num w:numId="27">
    <w:abstractNumId w:val="2"/>
  </w:num>
  <w:num w:numId="28">
    <w:abstractNumId w:val="28"/>
  </w:num>
  <w:num w:numId="29">
    <w:abstractNumId w:val="0"/>
  </w:num>
  <w:num w:numId="30">
    <w:abstractNumId w:val="25"/>
  </w:num>
  <w:num w:numId="31">
    <w:abstractNumId w:val="32"/>
  </w:num>
  <w:num w:numId="32">
    <w:abstractNumId w:val="9"/>
  </w:num>
  <w:num w:numId="33">
    <w:abstractNumId w:val="4"/>
  </w:num>
  <w:num w:numId="34">
    <w:abstractNumId w:val="12"/>
  </w:num>
  <w:num w:numId="35">
    <w:abstractNumId w:val="7"/>
  </w:num>
  <w:num w:numId="36">
    <w:abstractNumId w:val="26"/>
  </w:num>
  <w:num w:numId="37">
    <w:abstractNumId w:val="29"/>
  </w:num>
  <w:num w:numId="38">
    <w:abstractNumId w:val="22"/>
  </w:num>
  <w:num w:numId="39">
    <w:abstractNumId w:val="15"/>
  </w:num>
  <w:num w:numId="40">
    <w:abstractNumId w:val="30"/>
  </w:num>
  <w:num w:numId="41">
    <w:abstractNumId w:val="1"/>
  </w:num>
  <w:num w:numId="42">
    <w:abstractNumId w:val="20"/>
  </w:num>
  <w:num w:numId="43">
    <w:abstractNumId w:val="36"/>
  </w:num>
  <w:num w:numId="44">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921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D376F"/>
    <w:rsid w:val="004D49C5"/>
    <w:rsid w:val="004E2E9E"/>
    <w:rsid w:val="004E76FC"/>
    <w:rsid w:val="004F458C"/>
    <w:rsid w:val="00505F5C"/>
    <w:rsid w:val="00514A63"/>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F3C3F"/>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17917"/>
    <w:rsid w:val="00B20EE2"/>
    <w:rsid w:val="00B266F7"/>
    <w:rsid w:val="00B30E61"/>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0E4F"/>
    <w:rsid w:val="00CB1E37"/>
    <w:rsid w:val="00CB4384"/>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422E"/>
    <w:rsid w:val="00D87ACD"/>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4"/>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7</cp:revision>
  <cp:lastPrinted>2021-01-18T13:57:00Z</cp:lastPrinted>
  <dcterms:created xsi:type="dcterms:W3CDTF">2021-07-19T11:48:00Z</dcterms:created>
  <dcterms:modified xsi:type="dcterms:W3CDTF">2021-07-23T11:09:00Z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