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292F2" w14:textId="77777777" w:rsidR="00FA59E0" w:rsidRPr="0044466C" w:rsidRDefault="00FA59E0" w:rsidP="00FA59E0">
      <w:pPr>
        <w:spacing w:after="200"/>
        <w:rPr>
          <w:rFonts w:ascii="Arial" w:hAnsi="Arial" w:cs="Arial"/>
        </w:rPr>
      </w:pPr>
    </w:p>
    <w:tbl>
      <w:tblPr>
        <w:tblW w:w="0" w:type="auto"/>
        <w:tblInd w:w="123" w:type="dxa"/>
        <w:tblBorders>
          <w:top w:val="single" w:sz="12" w:space="0" w:color="000000"/>
          <w:left w:val="single" w:sz="12" w:space="0" w:color="000000"/>
          <w:bottom w:val="single" w:sz="12" w:space="0" w:color="000000"/>
          <w:right w:val="single" w:sz="12" w:space="0" w:color="000000"/>
        </w:tblBorders>
        <w:tblCellMar>
          <w:left w:w="0" w:type="dxa"/>
          <w:right w:w="0" w:type="dxa"/>
        </w:tblCellMar>
        <w:tblLook w:val="04A0" w:firstRow="1" w:lastRow="0" w:firstColumn="1" w:lastColumn="0" w:noHBand="0" w:noVBand="1"/>
      </w:tblPr>
      <w:tblGrid>
        <w:gridCol w:w="8873"/>
      </w:tblGrid>
      <w:tr w:rsidR="00FA59E0" w:rsidRPr="0044466C" w14:paraId="7CD5492B" w14:textId="77777777" w:rsidTr="004079E0">
        <w:tc>
          <w:tcPr>
            <w:tcW w:w="9242" w:type="dxa"/>
            <w:shd w:val="clear" w:color="auto" w:fill="4D9D48"/>
            <w:tcMar>
              <w:top w:w="15" w:type="dxa"/>
              <w:left w:w="108" w:type="dxa"/>
              <w:bottom w:w="5" w:type="dxa"/>
              <w:right w:w="108" w:type="dxa"/>
            </w:tcMar>
            <w:hideMark/>
          </w:tcPr>
          <w:p w14:paraId="558C2787" w14:textId="77777777" w:rsidR="00FA59E0" w:rsidRPr="0044466C" w:rsidRDefault="00FA59E0" w:rsidP="004079E0">
            <w:pPr>
              <w:tabs>
                <w:tab w:val="left" w:pos="6405"/>
              </w:tabs>
              <w:spacing w:line="240" w:lineRule="auto"/>
              <w:jc w:val="both"/>
              <w:rPr>
                <w:rFonts w:ascii="Arial" w:hAnsi="Arial" w:cs="Arial"/>
                <w:color w:val="000000"/>
                <w:sz w:val="24"/>
                <w:szCs w:val="24"/>
              </w:rPr>
            </w:pPr>
            <w:r w:rsidRPr="0044466C">
              <w:rPr>
                <w:rFonts w:ascii="Arial" w:hAnsi="Arial" w:cs="Arial"/>
                <w:color w:val="000000"/>
                <w:sz w:val="24"/>
                <w:szCs w:val="24"/>
              </w:rPr>
              <w:tab/>
            </w:r>
          </w:p>
        </w:tc>
      </w:tr>
      <w:tr w:rsidR="00FA59E0" w:rsidRPr="0044466C" w14:paraId="06D689BF" w14:textId="77777777" w:rsidTr="004079E0">
        <w:tc>
          <w:tcPr>
            <w:tcW w:w="9242" w:type="dxa"/>
            <w:tcMar>
              <w:top w:w="5" w:type="dxa"/>
              <w:left w:w="108" w:type="dxa"/>
              <w:bottom w:w="5" w:type="dxa"/>
              <w:right w:w="108" w:type="dxa"/>
            </w:tcMar>
            <w:hideMark/>
          </w:tcPr>
          <w:p w14:paraId="1D6502BD" w14:textId="77777777" w:rsidR="00FA59E0" w:rsidRPr="0044466C" w:rsidRDefault="00FA59E0" w:rsidP="004079E0">
            <w:pPr>
              <w:spacing w:line="240" w:lineRule="auto"/>
              <w:jc w:val="center"/>
              <w:rPr>
                <w:rFonts w:ascii="Arial" w:hAnsi="Arial" w:cs="Arial"/>
                <w:color w:val="000000"/>
              </w:rPr>
            </w:pPr>
          </w:p>
          <w:p w14:paraId="4726D9E9" w14:textId="77777777" w:rsidR="00FA59E0" w:rsidRPr="00B23D18" w:rsidRDefault="00FA59E0" w:rsidP="004079E0">
            <w:pPr>
              <w:spacing w:line="240" w:lineRule="auto"/>
              <w:jc w:val="center"/>
              <w:rPr>
                <w:rFonts w:ascii="Arial" w:hAnsi="Arial" w:cs="Arial"/>
                <w:color w:val="000000"/>
                <w:sz w:val="64"/>
                <w:szCs w:val="64"/>
              </w:rPr>
            </w:pPr>
            <w:r>
              <w:rPr>
                <w:rFonts w:ascii="Arial" w:hAnsi="Arial" w:cs="Arial"/>
                <w:b/>
                <w:bCs/>
                <w:color w:val="000000"/>
                <w:sz w:val="64"/>
                <w:szCs w:val="64"/>
              </w:rPr>
              <w:t>Request for Information</w:t>
            </w:r>
          </w:p>
          <w:p w14:paraId="3882A3E6" w14:textId="77777777" w:rsidR="00FA59E0" w:rsidRPr="0044466C" w:rsidRDefault="00FA59E0" w:rsidP="004079E0">
            <w:pPr>
              <w:spacing w:line="240" w:lineRule="auto"/>
              <w:jc w:val="center"/>
              <w:rPr>
                <w:rFonts w:ascii="Arial" w:hAnsi="Arial" w:cs="Arial"/>
                <w:color w:val="000000"/>
              </w:rPr>
            </w:pPr>
          </w:p>
        </w:tc>
      </w:tr>
      <w:tr w:rsidR="00FA59E0" w:rsidRPr="0044466C" w14:paraId="1446A736" w14:textId="77777777" w:rsidTr="004079E0">
        <w:tc>
          <w:tcPr>
            <w:tcW w:w="9242" w:type="dxa"/>
            <w:shd w:val="clear" w:color="auto" w:fill="4D9D48"/>
            <w:tcMar>
              <w:top w:w="5" w:type="dxa"/>
              <w:left w:w="108" w:type="dxa"/>
              <w:bottom w:w="5" w:type="dxa"/>
              <w:right w:w="108" w:type="dxa"/>
            </w:tcMar>
          </w:tcPr>
          <w:p w14:paraId="6F6F1A08" w14:textId="77777777" w:rsidR="00FA59E0" w:rsidRPr="0044466C" w:rsidRDefault="00FA59E0" w:rsidP="004079E0">
            <w:pPr>
              <w:spacing w:line="240" w:lineRule="auto"/>
              <w:jc w:val="center"/>
              <w:rPr>
                <w:rFonts w:ascii="Arial" w:hAnsi="Arial" w:cs="Arial"/>
                <w:color w:val="000000"/>
                <w:sz w:val="24"/>
                <w:szCs w:val="24"/>
              </w:rPr>
            </w:pPr>
          </w:p>
        </w:tc>
      </w:tr>
      <w:tr w:rsidR="00FA59E0" w:rsidRPr="0044466C" w14:paraId="34CC50AB" w14:textId="77777777" w:rsidTr="004079E0">
        <w:tc>
          <w:tcPr>
            <w:tcW w:w="9242" w:type="dxa"/>
            <w:tcMar>
              <w:top w:w="5" w:type="dxa"/>
              <w:left w:w="108" w:type="dxa"/>
              <w:bottom w:w="5" w:type="dxa"/>
              <w:right w:w="108" w:type="dxa"/>
            </w:tcMar>
            <w:hideMark/>
          </w:tcPr>
          <w:p w14:paraId="7589714B" w14:textId="77777777" w:rsidR="00FA59E0" w:rsidRPr="0044466C" w:rsidRDefault="00FA59E0" w:rsidP="004079E0">
            <w:pPr>
              <w:pBdr>
                <w:top w:val="single" w:sz="4" w:space="1" w:color="000000"/>
                <w:left w:val="single" w:sz="4" w:space="4" w:color="000000"/>
                <w:bottom w:val="single" w:sz="4" w:space="1" w:color="000000"/>
                <w:right w:val="single" w:sz="4" w:space="4" w:color="000000"/>
              </w:pBdr>
              <w:spacing w:after="200"/>
              <w:ind w:left="95" w:right="95"/>
              <w:jc w:val="center"/>
              <w:rPr>
                <w:rFonts w:ascii="Arial" w:hAnsi="Arial" w:cs="Arial"/>
                <w:color w:val="000000"/>
                <w:sz w:val="28"/>
                <w:szCs w:val="28"/>
              </w:rPr>
            </w:pPr>
            <w:r w:rsidRPr="11575047">
              <w:rPr>
                <w:rFonts w:ascii="Arial" w:eastAsia="Arial" w:hAnsi="Arial" w:cs="Arial"/>
                <w:b/>
                <w:bCs/>
                <w:color w:val="000000" w:themeColor="text1"/>
                <w:sz w:val="28"/>
                <w:szCs w:val="28"/>
              </w:rPr>
              <w:t xml:space="preserve">Kings </w:t>
            </w:r>
            <w:r>
              <w:rPr>
                <w:rFonts w:ascii="Arial" w:eastAsia="Arial" w:hAnsi="Arial" w:cs="Arial"/>
                <w:b/>
                <w:bCs/>
                <w:color w:val="000000" w:themeColor="text1"/>
                <w:sz w:val="28"/>
                <w:szCs w:val="28"/>
              </w:rPr>
              <w:t>College Hospital NHS Foundation Trust</w:t>
            </w:r>
          </w:p>
        </w:tc>
      </w:tr>
      <w:tr w:rsidR="00FA59E0" w:rsidRPr="0044466C" w14:paraId="28D8FCD6" w14:textId="77777777" w:rsidTr="004079E0">
        <w:tc>
          <w:tcPr>
            <w:tcW w:w="9242" w:type="dxa"/>
            <w:tcMar>
              <w:top w:w="5" w:type="dxa"/>
              <w:left w:w="108" w:type="dxa"/>
              <w:bottom w:w="5" w:type="dxa"/>
              <w:right w:w="108" w:type="dxa"/>
            </w:tcMar>
            <w:hideMark/>
          </w:tcPr>
          <w:p w14:paraId="1D3F84DE" w14:textId="77777777" w:rsidR="00FA59E0" w:rsidRPr="002611BA" w:rsidRDefault="00FA59E0" w:rsidP="004079E0">
            <w:pPr>
              <w:spacing w:line="240" w:lineRule="auto"/>
              <w:jc w:val="center"/>
            </w:pPr>
            <w:r w:rsidRPr="00FD1555">
              <w:rPr>
                <w:rFonts w:ascii="Arial" w:eastAsia="Arial" w:hAnsi="Arial" w:cs="Arial"/>
                <w:b/>
                <w:bCs/>
                <w:color w:val="000000" w:themeColor="text1"/>
                <w:sz w:val="28"/>
                <w:szCs w:val="28"/>
              </w:rPr>
              <w:t>ExFlow AP Implementation &amp; Axtension IP Continuity</w:t>
            </w:r>
          </w:p>
        </w:tc>
      </w:tr>
      <w:tr w:rsidR="00FA59E0" w:rsidRPr="0044466C" w14:paraId="69AFCF9D" w14:textId="77777777" w:rsidTr="004079E0">
        <w:tc>
          <w:tcPr>
            <w:tcW w:w="9242" w:type="dxa"/>
            <w:shd w:val="clear" w:color="auto" w:fill="4D9D48"/>
            <w:tcMar>
              <w:top w:w="5" w:type="dxa"/>
              <w:left w:w="108" w:type="dxa"/>
              <w:bottom w:w="15" w:type="dxa"/>
              <w:right w:w="108" w:type="dxa"/>
            </w:tcMar>
          </w:tcPr>
          <w:p w14:paraId="27685C76" w14:textId="77777777" w:rsidR="00FA59E0" w:rsidRPr="0044466C" w:rsidRDefault="00FA59E0" w:rsidP="004079E0">
            <w:pPr>
              <w:spacing w:line="240" w:lineRule="auto"/>
              <w:jc w:val="both"/>
              <w:rPr>
                <w:rFonts w:ascii="Arial" w:hAnsi="Arial" w:cs="Arial"/>
                <w:color w:val="000000"/>
                <w:sz w:val="24"/>
                <w:szCs w:val="24"/>
              </w:rPr>
            </w:pPr>
          </w:p>
        </w:tc>
      </w:tr>
    </w:tbl>
    <w:p w14:paraId="18BCB572" w14:textId="77777777" w:rsidR="00FA59E0" w:rsidRPr="0044466C" w:rsidRDefault="00FA59E0" w:rsidP="00FA59E0">
      <w:pPr>
        <w:spacing w:line="240" w:lineRule="auto"/>
        <w:jc w:val="both"/>
        <w:rPr>
          <w:rFonts w:ascii="Arial" w:hAnsi="Arial" w:cs="Arial"/>
          <w:sz w:val="24"/>
          <w:szCs w:val="24"/>
        </w:rPr>
      </w:pPr>
    </w:p>
    <w:p w14:paraId="1A89901D" w14:textId="77777777" w:rsidR="00FA59E0" w:rsidRPr="0044466C" w:rsidRDefault="00FA59E0" w:rsidP="00FA59E0">
      <w:pPr>
        <w:spacing w:after="200"/>
        <w:rPr>
          <w:rFonts w:ascii="Arial" w:hAnsi="Arial" w:cs="Arial"/>
        </w:rPr>
      </w:pPr>
    </w:p>
    <w:p w14:paraId="2A6A56C4" w14:textId="77777777" w:rsidR="00FA59E0" w:rsidRPr="0044466C" w:rsidRDefault="00FA59E0" w:rsidP="00FA59E0">
      <w:pPr>
        <w:spacing w:after="200"/>
        <w:rPr>
          <w:rFonts w:ascii="Arial" w:hAnsi="Arial" w:cs="Arial"/>
        </w:rPr>
      </w:pPr>
    </w:p>
    <w:p w14:paraId="4C8F79D0" w14:textId="77777777" w:rsidR="00FA59E0" w:rsidRPr="0044466C" w:rsidRDefault="00FA59E0" w:rsidP="00FA59E0">
      <w:pPr>
        <w:spacing w:after="200"/>
        <w:rPr>
          <w:rFonts w:ascii="Arial" w:hAnsi="Arial" w:cs="Arial"/>
        </w:rPr>
      </w:pPr>
    </w:p>
    <w:p w14:paraId="37410DE2" w14:textId="77777777" w:rsidR="00FA59E0" w:rsidRPr="0044466C" w:rsidRDefault="00FA59E0" w:rsidP="00FA59E0">
      <w:pPr>
        <w:spacing w:after="200"/>
        <w:rPr>
          <w:rFonts w:ascii="Arial" w:hAnsi="Arial" w:cs="Arial"/>
        </w:rPr>
      </w:pPr>
    </w:p>
    <w:p w14:paraId="55BE7177" w14:textId="77777777" w:rsidR="00FA59E0" w:rsidRPr="0044466C" w:rsidRDefault="00FA59E0" w:rsidP="00FA59E0">
      <w:pPr>
        <w:spacing w:after="200"/>
        <w:rPr>
          <w:rFonts w:ascii="Arial" w:hAnsi="Arial" w:cs="Arial"/>
        </w:rPr>
      </w:pPr>
    </w:p>
    <w:p w14:paraId="0613BE52" w14:textId="77777777" w:rsidR="00FA59E0" w:rsidRPr="0044466C" w:rsidRDefault="00FA59E0" w:rsidP="00FA59E0">
      <w:pPr>
        <w:tabs>
          <w:tab w:val="left" w:pos="6549"/>
        </w:tabs>
        <w:spacing w:after="200"/>
        <w:rPr>
          <w:rFonts w:ascii="Arial" w:hAnsi="Arial" w:cs="Arial"/>
        </w:rPr>
      </w:pPr>
      <w:r>
        <w:rPr>
          <w:rFonts w:ascii="Arial" w:hAnsi="Arial" w:cs="Arial"/>
        </w:rPr>
        <w:tab/>
      </w:r>
    </w:p>
    <w:p w14:paraId="3E790C55" w14:textId="77777777" w:rsidR="00FA59E0" w:rsidRPr="0044466C" w:rsidRDefault="00FA59E0" w:rsidP="00FA59E0">
      <w:pPr>
        <w:spacing w:after="200"/>
        <w:rPr>
          <w:rFonts w:ascii="Arial" w:hAnsi="Arial" w:cs="Arial"/>
        </w:rPr>
      </w:pPr>
    </w:p>
    <w:p w14:paraId="44DAE9BA" w14:textId="77777777" w:rsidR="00FA59E0" w:rsidRPr="0044466C" w:rsidRDefault="00FA59E0" w:rsidP="00FA59E0">
      <w:pPr>
        <w:spacing w:after="200"/>
        <w:rPr>
          <w:rFonts w:ascii="Arial" w:hAnsi="Arial" w:cs="Arial"/>
        </w:rPr>
      </w:pPr>
    </w:p>
    <w:p w14:paraId="1D455E0A" w14:textId="77777777" w:rsidR="00FA59E0" w:rsidRPr="0044466C" w:rsidRDefault="00FA59E0" w:rsidP="00FA59E0">
      <w:pPr>
        <w:spacing w:after="200"/>
        <w:rPr>
          <w:rFonts w:ascii="Arial" w:hAnsi="Arial" w:cs="Arial"/>
        </w:rPr>
      </w:pPr>
    </w:p>
    <w:p w14:paraId="09355477" w14:textId="77777777" w:rsidR="00FA59E0" w:rsidRPr="0044466C" w:rsidRDefault="00FA59E0" w:rsidP="00FA59E0">
      <w:pPr>
        <w:spacing w:after="200"/>
        <w:rPr>
          <w:rFonts w:ascii="Arial" w:hAnsi="Arial" w:cs="Arial"/>
        </w:rPr>
      </w:pPr>
    </w:p>
    <w:p w14:paraId="5DF620DC" w14:textId="77777777" w:rsidR="00FA59E0" w:rsidRPr="0044466C" w:rsidRDefault="00FA59E0" w:rsidP="00FA59E0">
      <w:pPr>
        <w:spacing w:after="200"/>
        <w:rPr>
          <w:rFonts w:ascii="Arial" w:hAnsi="Arial" w:cs="Arial"/>
        </w:rPr>
      </w:pPr>
    </w:p>
    <w:p w14:paraId="46578AA3" w14:textId="77777777" w:rsidR="00FA59E0" w:rsidRPr="0044466C" w:rsidRDefault="00FA59E0" w:rsidP="00FA59E0">
      <w:pPr>
        <w:spacing w:after="200"/>
        <w:rPr>
          <w:rFonts w:ascii="Arial" w:hAnsi="Arial" w:cs="Arial"/>
        </w:rPr>
      </w:pPr>
    </w:p>
    <w:p w14:paraId="276E6C94" w14:textId="77777777" w:rsidR="00FA59E0" w:rsidRPr="0044466C" w:rsidRDefault="00FA59E0" w:rsidP="00FA59E0">
      <w:pPr>
        <w:spacing w:after="200"/>
        <w:rPr>
          <w:rFonts w:ascii="Arial" w:hAnsi="Arial" w:cs="Arial"/>
        </w:rPr>
      </w:pPr>
    </w:p>
    <w:p w14:paraId="524829AE" w14:textId="77777777" w:rsidR="00FA59E0" w:rsidRPr="0044466C" w:rsidRDefault="00FA59E0" w:rsidP="00FA59E0">
      <w:pPr>
        <w:spacing w:after="200"/>
        <w:rPr>
          <w:rFonts w:ascii="Arial" w:hAnsi="Arial" w:cs="Arial"/>
        </w:rPr>
      </w:pPr>
    </w:p>
    <w:p w14:paraId="3573CFBA" w14:textId="2640BDBD" w:rsidR="00FA59E0" w:rsidRDefault="00FA59E0" w:rsidP="00FA59E0">
      <w:pPr>
        <w:spacing w:line="240" w:lineRule="auto"/>
        <w:jc w:val="both"/>
        <w:rPr>
          <w:rFonts w:ascii="Arial" w:hAnsi="Arial" w:cs="Arial"/>
          <w:sz w:val="28"/>
          <w:szCs w:val="28"/>
        </w:rPr>
      </w:pPr>
    </w:p>
    <w:p w14:paraId="1CBBBEF3" w14:textId="5F9D8867" w:rsidR="00AA5D03" w:rsidRDefault="00AA5D03" w:rsidP="00FA59E0">
      <w:pPr>
        <w:spacing w:line="240" w:lineRule="auto"/>
        <w:jc w:val="both"/>
        <w:rPr>
          <w:rFonts w:ascii="Arial" w:hAnsi="Arial" w:cs="Arial"/>
          <w:sz w:val="28"/>
          <w:szCs w:val="28"/>
        </w:rPr>
      </w:pPr>
    </w:p>
    <w:p w14:paraId="3986B23B" w14:textId="151E87C1" w:rsidR="00AA5D03" w:rsidRDefault="00AA5D03" w:rsidP="00FA59E0">
      <w:pPr>
        <w:spacing w:line="240" w:lineRule="auto"/>
        <w:jc w:val="both"/>
        <w:rPr>
          <w:rFonts w:ascii="Arial" w:hAnsi="Arial" w:cs="Arial"/>
          <w:sz w:val="28"/>
          <w:szCs w:val="28"/>
        </w:rPr>
      </w:pPr>
    </w:p>
    <w:p w14:paraId="4F4AAAE4" w14:textId="4A6DF4E2" w:rsidR="00AA5D03" w:rsidRDefault="00AA5D03" w:rsidP="00FA59E0">
      <w:pPr>
        <w:spacing w:line="240" w:lineRule="auto"/>
        <w:jc w:val="both"/>
        <w:rPr>
          <w:rFonts w:ascii="Arial" w:hAnsi="Arial" w:cs="Arial"/>
          <w:sz w:val="28"/>
          <w:szCs w:val="28"/>
        </w:rPr>
      </w:pPr>
    </w:p>
    <w:p w14:paraId="77585246" w14:textId="2089E8ED" w:rsidR="00AA5D03" w:rsidRDefault="00AA5D03" w:rsidP="00FA59E0">
      <w:pPr>
        <w:spacing w:line="240" w:lineRule="auto"/>
        <w:jc w:val="both"/>
        <w:rPr>
          <w:rFonts w:ascii="Arial" w:hAnsi="Arial" w:cs="Arial"/>
          <w:sz w:val="28"/>
          <w:szCs w:val="28"/>
        </w:rPr>
      </w:pPr>
    </w:p>
    <w:p w14:paraId="65B99500" w14:textId="2894BF8B" w:rsidR="00AA5D03" w:rsidRDefault="00AA5D03" w:rsidP="00FA59E0">
      <w:pPr>
        <w:spacing w:line="240" w:lineRule="auto"/>
        <w:jc w:val="both"/>
        <w:rPr>
          <w:rFonts w:ascii="Arial" w:hAnsi="Arial" w:cs="Arial"/>
          <w:sz w:val="28"/>
          <w:szCs w:val="28"/>
        </w:rPr>
      </w:pPr>
    </w:p>
    <w:p w14:paraId="6D85008C" w14:textId="77777777" w:rsidR="00AA5D03" w:rsidRPr="0044466C" w:rsidRDefault="00AA5D03" w:rsidP="00FA59E0">
      <w:pPr>
        <w:spacing w:line="240" w:lineRule="auto"/>
        <w:jc w:val="both"/>
        <w:rPr>
          <w:rFonts w:ascii="Arial" w:hAnsi="Arial" w:cs="Arial"/>
          <w:sz w:val="28"/>
          <w:szCs w:val="28"/>
        </w:rPr>
      </w:pPr>
    </w:p>
    <w:p w14:paraId="36F4F268" w14:textId="77777777" w:rsidR="00FA59E0" w:rsidRPr="0044466C" w:rsidRDefault="00FA59E0" w:rsidP="00FA59E0">
      <w:pPr>
        <w:spacing w:line="240" w:lineRule="auto"/>
        <w:jc w:val="both"/>
        <w:rPr>
          <w:rFonts w:ascii="Arial" w:hAnsi="Arial" w:cs="Arial"/>
          <w:sz w:val="28"/>
          <w:szCs w:val="28"/>
        </w:rPr>
      </w:pPr>
    </w:p>
    <w:p w14:paraId="6E043F78" w14:textId="77777777" w:rsidR="00FA59E0" w:rsidRPr="0044466C" w:rsidRDefault="00FA59E0" w:rsidP="00FA59E0">
      <w:pPr>
        <w:spacing w:line="240" w:lineRule="auto"/>
        <w:jc w:val="both"/>
        <w:rPr>
          <w:rFonts w:ascii="Arial" w:hAnsi="Arial" w:cs="Arial"/>
          <w:sz w:val="28"/>
          <w:szCs w:val="28"/>
        </w:rPr>
      </w:pPr>
    </w:p>
    <w:p w14:paraId="3403C792" w14:textId="77777777" w:rsidR="00FA59E0" w:rsidRPr="0044466C" w:rsidRDefault="00FA59E0" w:rsidP="00FA59E0">
      <w:pPr>
        <w:spacing w:line="240" w:lineRule="auto"/>
        <w:jc w:val="both"/>
        <w:rPr>
          <w:rFonts w:ascii="Arial" w:hAnsi="Arial" w:cs="Arial"/>
          <w:sz w:val="28"/>
          <w:szCs w:val="28"/>
        </w:rPr>
      </w:pPr>
    </w:p>
    <w:p w14:paraId="100BF1F3" w14:textId="77777777" w:rsidR="00FA59E0" w:rsidRPr="00846912" w:rsidRDefault="00FA59E0" w:rsidP="00FA59E0">
      <w:pPr>
        <w:spacing w:line="240" w:lineRule="auto"/>
        <w:jc w:val="both"/>
        <w:rPr>
          <w:rFonts w:ascii="Arial" w:hAnsi="Arial" w:cs="Arial"/>
          <w:sz w:val="28"/>
          <w:szCs w:val="28"/>
        </w:rPr>
      </w:pPr>
      <w:r w:rsidRPr="00846912">
        <w:rPr>
          <w:rFonts w:ascii="Arial" w:eastAsia="Arial" w:hAnsi="Arial" w:cs="Arial"/>
          <w:b/>
          <w:bCs/>
          <w:sz w:val="28"/>
          <w:szCs w:val="28"/>
        </w:rPr>
        <w:lastRenderedPageBreak/>
        <w:t>Contents</w:t>
      </w:r>
    </w:p>
    <w:p w14:paraId="354DBCD0" w14:textId="77777777" w:rsidR="00FA59E0" w:rsidRPr="00846912" w:rsidRDefault="00FA59E0" w:rsidP="00FA59E0">
      <w:pPr>
        <w:spacing w:line="240" w:lineRule="auto"/>
        <w:jc w:val="center"/>
        <w:rPr>
          <w:rFonts w:ascii="Arial" w:hAnsi="Arial" w:cs="Arial"/>
          <w:sz w:val="24"/>
          <w:szCs w:val="24"/>
        </w:rPr>
      </w:pPr>
    </w:p>
    <w:tbl>
      <w:tblPr>
        <w:tblStyle w:val="PlainTable1"/>
        <w:tblW w:w="8818" w:type="dxa"/>
        <w:tblInd w:w="113" w:type="dxa"/>
        <w:tblCellMar>
          <w:left w:w="0" w:type="dxa"/>
          <w:right w:w="0" w:type="dxa"/>
        </w:tblCellMar>
        <w:tblLook w:val="04A0" w:firstRow="1" w:lastRow="0" w:firstColumn="1" w:lastColumn="0" w:noHBand="0" w:noVBand="1"/>
      </w:tblPr>
      <w:tblGrid>
        <w:gridCol w:w="1110"/>
        <w:gridCol w:w="982"/>
        <w:gridCol w:w="6726"/>
      </w:tblGrid>
      <w:tr w:rsidR="00FA59E0" w:rsidRPr="00846912" w14:paraId="727B3430" w14:textId="77777777" w:rsidTr="004079E0">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110" w:type="dxa"/>
            <w:tcMar>
              <w:top w:w="8" w:type="dxa"/>
              <w:left w:w="108" w:type="dxa"/>
              <w:bottom w:w="8" w:type="dxa"/>
              <w:right w:w="108" w:type="dxa"/>
            </w:tcMar>
            <w:vAlign w:val="center"/>
            <w:hideMark/>
          </w:tcPr>
          <w:p w14:paraId="0251409F" w14:textId="77777777" w:rsidR="00FA59E0" w:rsidRPr="00846912" w:rsidRDefault="00FA59E0" w:rsidP="004079E0">
            <w:pPr>
              <w:spacing w:line="240" w:lineRule="auto"/>
              <w:rPr>
                <w:rFonts w:ascii="Arial" w:hAnsi="Arial" w:cs="Arial"/>
                <w:sz w:val="24"/>
                <w:szCs w:val="24"/>
              </w:rPr>
            </w:pPr>
            <w:r w:rsidRPr="00846912">
              <w:rPr>
                <w:rFonts w:ascii="Arial" w:eastAsia="Arial" w:hAnsi="Arial" w:cs="Arial"/>
                <w:sz w:val="24"/>
                <w:szCs w:val="24"/>
              </w:rPr>
              <w:t xml:space="preserve">Section </w:t>
            </w:r>
          </w:p>
        </w:tc>
        <w:tc>
          <w:tcPr>
            <w:tcW w:w="982" w:type="dxa"/>
            <w:tcMar>
              <w:top w:w="8" w:type="dxa"/>
              <w:left w:w="108" w:type="dxa"/>
              <w:bottom w:w="8" w:type="dxa"/>
              <w:right w:w="108" w:type="dxa"/>
            </w:tcMar>
            <w:vAlign w:val="center"/>
            <w:hideMark/>
          </w:tcPr>
          <w:p w14:paraId="0228CB10" w14:textId="77777777" w:rsidR="00FA59E0" w:rsidRPr="00846912" w:rsidRDefault="00FA59E0" w:rsidP="004079E0">
            <w:pPr>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846912">
              <w:rPr>
                <w:rFonts w:ascii="Arial" w:eastAsia="Arial" w:hAnsi="Arial" w:cs="Arial"/>
                <w:sz w:val="24"/>
                <w:szCs w:val="24"/>
              </w:rPr>
              <w:t xml:space="preserve">Point </w:t>
            </w:r>
          </w:p>
        </w:tc>
        <w:tc>
          <w:tcPr>
            <w:tcW w:w="6726" w:type="dxa"/>
            <w:tcMar>
              <w:top w:w="8" w:type="dxa"/>
              <w:left w:w="108" w:type="dxa"/>
              <w:bottom w:w="8" w:type="dxa"/>
              <w:right w:w="108" w:type="dxa"/>
            </w:tcMar>
            <w:vAlign w:val="center"/>
            <w:hideMark/>
          </w:tcPr>
          <w:p w14:paraId="7202DA3C" w14:textId="77777777" w:rsidR="00FA59E0" w:rsidRPr="00846912" w:rsidRDefault="00FA59E0" w:rsidP="004079E0">
            <w:pPr>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846912">
              <w:rPr>
                <w:rFonts w:ascii="Arial" w:eastAsia="Arial" w:hAnsi="Arial" w:cs="Arial"/>
                <w:sz w:val="24"/>
                <w:szCs w:val="24"/>
              </w:rPr>
              <w:t>Topic</w:t>
            </w:r>
          </w:p>
        </w:tc>
      </w:tr>
      <w:tr w:rsidR="00FA59E0" w:rsidRPr="00846912" w14:paraId="22F2D8D4" w14:textId="77777777" w:rsidTr="004079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dxa"/>
            <w:tcMar>
              <w:top w:w="8" w:type="dxa"/>
              <w:left w:w="108" w:type="dxa"/>
              <w:bottom w:w="8" w:type="dxa"/>
              <w:right w:w="108" w:type="dxa"/>
            </w:tcMar>
            <w:vAlign w:val="center"/>
          </w:tcPr>
          <w:p w14:paraId="7B8E0C7F" w14:textId="77777777" w:rsidR="00FA59E0" w:rsidRPr="00846912" w:rsidRDefault="00FA59E0" w:rsidP="004079E0">
            <w:pPr>
              <w:numPr>
                <w:ilvl w:val="0"/>
                <w:numId w:val="1"/>
              </w:numPr>
              <w:pBdr>
                <w:left w:val="none" w:sz="0" w:space="2" w:color="auto"/>
              </w:pBdr>
              <w:spacing w:line="240" w:lineRule="auto"/>
              <w:ind w:left="360"/>
              <w:jc w:val="both"/>
              <w:rPr>
                <w:rFonts w:ascii="Arial" w:eastAsia="Arial" w:hAnsi="Arial" w:cs="Arial"/>
                <w:sz w:val="24"/>
                <w:szCs w:val="24"/>
              </w:rPr>
            </w:pPr>
          </w:p>
        </w:tc>
        <w:tc>
          <w:tcPr>
            <w:tcW w:w="982" w:type="dxa"/>
            <w:tcMar>
              <w:top w:w="8" w:type="dxa"/>
              <w:left w:w="108" w:type="dxa"/>
              <w:bottom w:w="8" w:type="dxa"/>
              <w:right w:w="108" w:type="dxa"/>
            </w:tcMar>
            <w:vAlign w:val="center"/>
          </w:tcPr>
          <w:p w14:paraId="1382561B" w14:textId="77777777" w:rsidR="00FA59E0" w:rsidRPr="00846912" w:rsidRDefault="00FA59E0" w:rsidP="004079E0">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6726" w:type="dxa"/>
            <w:tcMar>
              <w:top w:w="8" w:type="dxa"/>
              <w:left w:w="108" w:type="dxa"/>
              <w:bottom w:w="8" w:type="dxa"/>
              <w:right w:w="108" w:type="dxa"/>
            </w:tcMar>
            <w:vAlign w:val="center"/>
            <w:hideMark/>
          </w:tcPr>
          <w:p w14:paraId="0A2E07EE" w14:textId="77777777" w:rsidR="00FA59E0" w:rsidRPr="00846912" w:rsidRDefault="00FA59E0" w:rsidP="004079E0">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bCs/>
                <w:sz w:val="24"/>
                <w:szCs w:val="24"/>
              </w:rPr>
            </w:pPr>
            <w:r w:rsidRPr="00846912">
              <w:rPr>
                <w:rFonts w:ascii="Arial" w:eastAsia="Arial" w:hAnsi="Arial" w:cs="Arial"/>
                <w:b/>
                <w:bCs/>
                <w:sz w:val="24"/>
                <w:szCs w:val="24"/>
              </w:rPr>
              <w:t>General Information and Instructions</w:t>
            </w:r>
          </w:p>
        </w:tc>
      </w:tr>
      <w:tr w:rsidR="00FA59E0" w:rsidRPr="00846912" w14:paraId="69482A60" w14:textId="77777777" w:rsidTr="004079E0">
        <w:tc>
          <w:tcPr>
            <w:cnfStyle w:val="001000000000" w:firstRow="0" w:lastRow="0" w:firstColumn="1" w:lastColumn="0" w:oddVBand="0" w:evenVBand="0" w:oddHBand="0" w:evenHBand="0" w:firstRowFirstColumn="0" w:firstRowLastColumn="0" w:lastRowFirstColumn="0" w:lastRowLastColumn="0"/>
            <w:tcW w:w="1110" w:type="dxa"/>
            <w:tcMar>
              <w:top w:w="8" w:type="dxa"/>
              <w:left w:w="108" w:type="dxa"/>
              <w:bottom w:w="8" w:type="dxa"/>
              <w:right w:w="108" w:type="dxa"/>
            </w:tcMar>
            <w:vAlign w:val="center"/>
          </w:tcPr>
          <w:p w14:paraId="59750CAA" w14:textId="77777777" w:rsidR="00FA59E0" w:rsidRPr="00846912" w:rsidRDefault="00FA59E0" w:rsidP="004079E0">
            <w:pPr>
              <w:spacing w:line="240" w:lineRule="auto"/>
              <w:rPr>
                <w:rFonts w:ascii="Arial" w:hAnsi="Arial" w:cs="Arial"/>
              </w:rPr>
            </w:pPr>
          </w:p>
        </w:tc>
        <w:tc>
          <w:tcPr>
            <w:tcW w:w="982" w:type="dxa"/>
            <w:tcMar>
              <w:top w:w="8" w:type="dxa"/>
              <w:left w:w="108" w:type="dxa"/>
              <w:bottom w:w="8" w:type="dxa"/>
              <w:right w:w="108" w:type="dxa"/>
            </w:tcMar>
            <w:vAlign w:val="center"/>
            <w:hideMark/>
          </w:tcPr>
          <w:p w14:paraId="7A73B2D1" w14:textId="77777777" w:rsidR="00FA59E0" w:rsidRPr="00846912" w:rsidRDefault="00FA59E0" w:rsidP="004079E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46912">
              <w:rPr>
                <w:rFonts w:ascii="Arial" w:eastAsia="Arial" w:hAnsi="Arial" w:cs="Arial"/>
              </w:rPr>
              <w:t>1.1</w:t>
            </w:r>
          </w:p>
        </w:tc>
        <w:tc>
          <w:tcPr>
            <w:tcW w:w="6726" w:type="dxa"/>
            <w:tcMar>
              <w:top w:w="8" w:type="dxa"/>
              <w:left w:w="108" w:type="dxa"/>
              <w:bottom w:w="8" w:type="dxa"/>
              <w:right w:w="108" w:type="dxa"/>
            </w:tcMar>
            <w:vAlign w:val="center"/>
            <w:hideMark/>
          </w:tcPr>
          <w:p w14:paraId="439FECB1" w14:textId="77777777" w:rsidR="00FA59E0" w:rsidRPr="00846912" w:rsidRDefault="00FA59E0" w:rsidP="004079E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46912">
              <w:rPr>
                <w:rFonts w:ascii="Arial" w:eastAsia="Arial" w:hAnsi="Arial" w:cs="Arial"/>
              </w:rPr>
              <w:t>Overview of the Trust</w:t>
            </w:r>
          </w:p>
        </w:tc>
      </w:tr>
      <w:tr w:rsidR="00FA59E0" w:rsidRPr="00846912" w14:paraId="79659C32" w14:textId="77777777" w:rsidTr="004079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dxa"/>
            <w:tcMar>
              <w:top w:w="8" w:type="dxa"/>
              <w:left w:w="108" w:type="dxa"/>
              <w:bottom w:w="8" w:type="dxa"/>
              <w:right w:w="108" w:type="dxa"/>
            </w:tcMar>
            <w:vAlign w:val="center"/>
          </w:tcPr>
          <w:p w14:paraId="108E8A2E" w14:textId="77777777" w:rsidR="00FA59E0" w:rsidRPr="00846912" w:rsidRDefault="00FA59E0" w:rsidP="004079E0">
            <w:pPr>
              <w:spacing w:line="240" w:lineRule="auto"/>
              <w:rPr>
                <w:rFonts w:ascii="Arial" w:hAnsi="Arial" w:cs="Arial"/>
              </w:rPr>
            </w:pPr>
          </w:p>
        </w:tc>
        <w:tc>
          <w:tcPr>
            <w:tcW w:w="982" w:type="dxa"/>
            <w:tcMar>
              <w:top w:w="8" w:type="dxa"/>
              <w:left w:w="108" w:type="dxa"/>
              <w:bottom w:w="8" w:type="dxa"/>
              <w:right w:w="108" w:type="dxa"/>
            </w:tcMar>
            <w:vAlign w:val="center"/>
            <w:hideMark/>
          </w:tcPr>
          <w:p w14:paraId="4757D05E" w14:textId="77777777" w:rsidR="00FA59E0" w:rsidRPr="00846912" w:rsidRDefault="00FA59E0" w:rsidP="004079E0">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846912">
              <w:rPr>
                <w:rFonts w:ascii="Arial" w:eastAsia="Arial" w:hAnsi="Arial" w:cs="Arial"/>
              </w:rPr>
              <w:t>1.2</w:t>
            </w:r>
          </w:p>
        </w:tc>
        <w:tc>
          <w:tcPr>
            <w:tcW w:w="6726" w:type="dxa"/>
            <w:tcMar>
              <w:top w:w="8" w:type="dxa"/>
              <w:left w:w="108" w:type="dxa"/>
              <w:bottom w:w="8" w:type="dxa"/>
              <w:right w:w="108" w:type="dxa"/>
            </w:tcMar>
            <w:vAlign w:val="center"/>
            <w:hideMark/>
          </w:tcPr>
          <w:p w14:paraId="0EE16ED5" w14:textId="77777777" w:rsidR="00FA59E0" w:rsidRPr="00846912" w:rsidRDefault="00FA59E0" w:rsidP="004079E0">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1883F380">
              <w:rPr>
                <w:rFonts w:ascii="Arial" w:eastAsia="Arial" w:hAnsi="Arial" w:cs="Arial"/>
              </w:rPr>
              <w:t xml:space="preserve">Background </w:t>
            </w:r>
            <w:r>
              <w:rPr>
                <w:rFonts w:ascii="Arial" w:eastAsia="Arial" w:hAnsi="Arial" w:cs="Arial"/>
              </w:rPr>
              <w:t>and Context</w:t>
            </w:r>
          </w:p>
        </w:tc>
      </w:tr>
      <w:tr w:rsidR="00FA59E0" w:rsidRPr="00846912" w14:paraId="359964A7" w14:textId="77777777" w:rsidTr="004079E0">
        <w:trPr>
          <w:trHeight w:val="399"/>
        </w:trPr>
        <w:tc>
          <w:tcPr>
            <w:cnfStyle w:val="001000000000" w:firstRow="0" w:lastRow="0" w:firstColumn="1" w:lastColumn="0" w:oddVBand="0" w:evenVBand="0" w:oddHBand="0" w:evenHBand="0" w:firstRowFirstColumn="0" w:firstRowLastColumn="0" w:lastRowFirstColumn="0" w:lastRowLastColumn="0"/>
            <w:tcW w:w="1110" w:type="dxa"/>
            <w:tcMar>
              <w:top w:w="8" w:type="dxa"/>
              <w:left w:w="108" w:type="dxa"/>
              <w:bottom w:w="8" w:type="dxa"/>
              <w:right w:w="108" w:type="dxa"/>
            </w:tcMar>
            <w:vAlign w:val="center"/>
          </w:tcPr>
          <w:p w14:paraId="4A261A8E" w14:textId="77777777" w:rsidR="00FA59E0" w:rsidRPr="00846912" w:rsidRDefault="00FA59E0" w:rsidP="004079E0">
            <w:pPr>
              <w:spacing w:line="240" w:lineRule="auto"/>
              <w:rPr>
                <w:rFonts w:ascii="Arial" w:hAnsi="Arial" w:cs="Arial"/>
              </w:rPr>
            </w:pPr>
          </w:p>
        </w:tc>
        <w:tc>
          <w:tcPr>
            <w:tcW w:w="982" w:type="dxa"/>
            <w:tcMar>
              <w:top w:w="8" w:type="dxa"/>
              <w:left w:w="108" w:type="dxa"/>
              <w:bottom w:w="8" w:type="dxa"/>
              <w:right w:w="108" w:type="dxa"/>
            </w:tcMar>
            <w:vAlign w:val="center"/>
          </w:tcPr>
          <w:p w14:paraId="32D5A51C" w14:textId="77777777" w:rsidR="00FA59E0" w:rsidRPr="00846912" w:rsidRDefault="00FA59E0" w:rsidP="004079E0">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46912">
              <w:rPr>
                <w:rFonts w:ascii="Arial" w:eastAsia="Arial" w:hAnsi="Arial" w:cs="Arial"/>
              </w:rPr>
              <w:t>1.3</w:t>
            </w:r>
          </w:p>
        </w:tc>
        <w:tc>
          <w:tcPr>
            <w:tcW w:w="6726" w:type="dxa"/>
            <w:tcMar>
              <w:top w:w="8" w:type="dxa"/>
              <w:left w:w="108" w:type="dxa"/>
              <w:bottom w:w="8" w:type="dxa"/>
              <w:right w:w="108" w:type="dxa"/>
            </w:tcMar>
            <w:vAlign w:val="center"/>
          </w:tcPr>
          <w:p w14:paraId="492BEFC0" w14:textId="77777777" w:rsidR="00FA59E0" w:rsidRPr="00846912" w:rsidRDefault="00FA59E0" w:rsidP="004079E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46912">
              <w:rPr>
                <w:rFonts w:ascii="Arial" w:eastAsia="Arial" w:hAnsi="Arial" w:cs="Arial"/>
              </w:rPr>
              <w:t>Documentation and Purpose</w:t>
            </w:r>
          </w:p>
        </w:tc>
      </w:tr>
      <w:tr w:rsidR="00FA59E0" w:rsidRPr="00846912" w14:paraId="15392258" w14:textId="77777777" w:rsidTr="004079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dxa"/>
            <w:tcMar>
              <w:top w:w="8" w:type="dxa"/>
              <w:left w:w="108" w:type="dxa"/>
              <w:bottom w:w="8" w:type="dxa"/>
              <w:right w:w="108" w:type="dxa"/>
            </w:tcMar>
            <w:vAlign w:val="center"/>
          </w:tcPr>
          <w:p w14:paraId="58B73495" w14:textId="77777777" w:rsidR="00FA59E0" w:rsidRPr="00846912" w:rsidRDefault="00FA59E0" w:rsidP="004079E0">
            <w:pPr>
              <w:spacing w:line="240" w:lineRule="auto"/>
              <w:rPr>
                <w:rFonts w:ascii="Arial" w:hAnsi="Arial" w:cs="Arial"/>
              </w:rPr>
            </w:pPr>
          </w:p>
        </w:tc>
        <w:tc>
          <w:tcPr>
            <w:tcW w:w="982" w:type="dxa"/>
            <w:tcMar>
              <w:top w:w="8" w:type="dxa"/>
              <w:left w:w="108" w:type="dxa"/>
              <w:bottom w:w="8" w:type="dxa"/>
              <w:right w:w="108" w:type="dxa"/>
            </w:tcMar>
            <w:vAlign w:val="center"/>
            <w:hideMark/>
          </w:tcPr>
          <w:p w14:paraId="076910C6" w14:textId="77777777" w:rsidR="00FA59E0" w:rsidRPr="00846912" w:rsidRDefault="00FA59E0" w:rsidP="004079E0">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846912">
              <w:rPr>
                <w:rFonts w:ascii="Arial" w:eastAsia="Arial" w:hAnsi="Arial" w:cs="Arial"/>
              </w:rPr>
              <w:t>1.4</w:t>
            </w:r>
          </w:p>
        </w:tc>
        <w:tc>
          <w:tcPr>
            <w:tcW w:w="6726" w:type="dxa"/>
            <w:tcMar>
              <w:top w:w="8" w:type="dxa"/>
              <w:left w:w="108" w:type="dxa"/>
              <w:bottom w:w="8" w:type="dxa"/>
              <w:right w:w="108" w:type="dxa"/>
            </w:tcMar>
            <w:vAlign w:val="center"/>
            <w:hideMark/>
          </w:tcPr>
          <w:p w14:paraId="64B52AD5" w14:textId="77777777" w:rsidR="00FA59E0" w:rsidRPr="00846912" w:rsidRDefault="00FA59E0" w:rsidP="004079E0">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846912">
              <w:rPr>
                <w:rFonts w:ascii="Arial" w:eastAsia="Arial" w:hAnsi="Arial" w:cs="Arial"/>
              </w:rPr>
              <w:t>Receipt of Information Documentation</w:t>
            </w:r>
          </w:p>
        </w:tc>
      </w:tr>
      <w:tr w:rsidR="00FA59E0" w:rsidRPr="00846912" w14:paraId="083B46FF" w14:textId="77777777" w:rsidTr="004079E0">
        <w:tc>
          <w:tcPr>
            <w:cnfStyle w:val="001000000000" w:firstRow="0" w:lastRow="0" w:firstColumn="1" w:lastColumn="0" w:oddVBand="0" w:evenVBand="0" w:oddHBand="0" w:evenHBand="0" w:firstRowFirstColumn="0" w:firstRowLastColumn="0" w:lastRowFirstColumn="0" w:lastRowLastColumn="0"/>
            <w:tcW w:w="1110" w:type="dxa"/>
            <w:tcMar>
              <w:top w:w="8" w:type="dxa"/>
              <w:left w:w="108" w:type="dxa"/>
              <w:bottom w:w="8" w:type="dxa"/>
              <w:right w:w="108" w:type="dxa"/>
            </w:tcMar>
            <w:vAlign w:val="center"/>
          </w:tcPr>
          <w:p w14:paraId="4BE75233" w14:textId="77777777" w:rsidR="00FA59E0" w:rsidRPr="00846912" w:rsidRDefault="00FA59E0" w:rsidP="004079E0">
            <w:pPr>
              <w:spacing w:line="240" w:lineRule="auto"/>
              <w:rPr>
                <w:rFonts w:ascii="Arial" w:hAnsi="Arial" w:cs="Arial"/>
              </w:rPr>
            </w:pPr>
          </w:p>
        </w:tc>
        <w:tc>
          <w:tcPr>
            <w:tcW w:w="982" w:type="dxa"/>
            <w:tcMar>
              <w:top w:w="8" w:type="dxa"/>
              <w:left w:w="108" w:type="dxa"/>
              <w:bottom w:w="8" w:type="dxa"/>
              <w:right w:w="108" w:type="dxa"/>
            </w:tcMar>
            <w:vAlign w:val="center"/>
            <w:hideMark/>
          </w:tcPr>
          <w:p w14:paraId="04494C44" w14:textId="77777777" w:rsidR="00FA59E0" w:rsidRPr="00846912" w:rsidRDefault="00FA59E0" w:rsidP="004079E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46912">
              <w:rPr>
                <w:rFonts w:ascii="Arial" w:eastAsia="Arial" w:hAnsi="Arial" w:cs="Arial"/>
              </w:rPr>
              <w:t>1.5</w:t>
            </w:r>
          </w:p>
        </w:tc>
        <w:tc>
          <w:tcPr>
            <w:tcW w:w="6726" w:type="dxa"/>
            <w:tcMar>
              <w:top w:w="8" w:type="dxa"/>
              <w:left w:w="108" w:type="dxa"/>
              <w:bottom w:w="8" w:type="dxa"/>
              <w:right w:w="108" w:type="dxa"/>
            </w:tcMar>
            <w:vAlign w:val="center"/>
            <w:hideMark/>
          </w:tcPr>
          <w:p w14:paraId="0AFF8919" w14:textId="77777777" w:rsidR="00FA59E0" w:rsidRPr="00846912" w:rsidRDefault="00FA59E0" w:rsidP="004079E0">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46912">
              <w:rPr>
                <w:rFonts w:ascii="Arial" w:eastAsia="Arial" w:hAnsi="Arial" w:cs="Arial"/>
              </w:rPr>
              <w:t>Clarifications</w:t>
            </w:r>
          </w:p>
        </w:tc>
      </w:tr>
      <w:tr w:rsidR="00FA59E0" w:rsidRPr="00846912" w14:paraId="22D4819C" w14:textId="77777777" w:rsidTr="004079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dxa"/>
            <w:tcMar>
              <w:top w:w="8" w:type="dxa"/>
              <w:left w:w="108" w:type="dxa"/>
              <w:bottom w:w="8" w:type="dxa"/>
              <w:right w:w="108" w:type="dxa"/>
            </w:tcMar>
            <w:vAlign w:val="center"/>
          </w:tcPr>
          <w:p w14:paraId="651F5FFA" w14:textId="77777777" w:rsidR="00FA59E0" w:rsidRPr="00846912" w:rsidRDefault="00FA59E0" w:rsidP="004079E0">
            <w:pPr>
              <w:spacing w:line="240" w:lineRule="auto"/>
              <w:rPr>
                <w:rFonts w:ascii="Arial" w:hAnsi="Arial" w:cs="Arial"/>
              </w:rPr>
            </w:pPr>
          </w:p>
        </w:tc>
        <w:tc>
          <w:tcPr>
            <w:tcW w:w="982" w:type="dxa"/>
            <w:tcMar>
              <w:top w:w="8" w:type="dxa"/>
              <w:left w:w="108" w:type="dxa"/>
              <w:bottom w:w="8" w:type="dxa"/>
              <w:right w:w="108" w:type="dxa"/>
            </w:tcMar>
            <w:vAlign w:val="center"/>
            <w:hideMark/>
          </w:tcPr>
          <w:p w14:paraId="7FB1F4A0" w14:textId="77777777" w:rsidR="00FA59E0" w:rsidRPr="00846912" w:rsidRDefault="00FA59E0" w:rsidP="004079E0">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846912">
              <w:rPr>
                <w:rFonts w:ascii="Arial" w:eastAsia="Arial" w:hAnsi="Arial" w:cs="Arial"/>
              </w:rPr>
              <w:t>1.6</w:t>
            </w:r>
          </w:p>
        </w:tc>
        <w:tc>
          <w:tcPr>
            <w:tcW w:w="6726" w:type="dxa"/>
            <w:tcMar>
              <w:top w:w="8" w:type="dxa"/>
              <w:left w:w="108" w:type="dxa"/>
              <w:bottom w:w="8" w:type="dxa"/>
              <w:right w:w="108" w:type="dxa"/>
            </w:tcMar>
            <w:vAlign w:val="center"/>
            <w:hideMark/>
          </w:tcPr>
          <w:p w14:paraId="69029329" w14:textId="77777777" w:rsidR="00FA59E0" w:rsidRPr="00846912" w:rsidRDefault="00FA59E0" w:rsidP="004079E0">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846912">
              <w:rPr>
                <w:rFonts w:ascii="Arial" w:eastAsia="Arial" w:hAnsi="Arial" w:cs="Arial"/>
              </w:rPr>
              <w:t xml:space="preserve">Indicative </w:t>
            </w:r>
            <w:r>
              <w:rPr>
                <w:rFonts w:ascii="Arial" w:eastAsia="Arial" w:hAnsi="Arial" w:cs="Arial"/>
              </w:rPr>
              <w:t>RFI</w:t>
            </w:r>
            <w:r w:rsidRPr="00846912">
              <w:rPr>
                <w:rFonts w:ascii="Arial" w:eastAsia="Arial" w:hAnsi="Arial" w:cs="Arial"/>
              </w:rPr>
              <w:t xml:space="preserve"> Timetable</w:t>
            </w:r>
          </w:p>
        </w:tc>
      </w:tr>
      <w:tr w:rsidR="00FA59E0" w:rsidRPr="00846912" w14:paraId="5BE2F672" w14:textId="77777777" w:rsidTr="004079E0">
        <w:tc>
          <w:tcPr>
            <w:cnfStyle w:val="001000000000" w:firstRow="0" w:lastRow="0" w:firstColumn="1" w:lastColumn="0" w:oddVBand="0" w:evenVBand="0" w:oddHBand="0" w:evenHBand="0" w:firstRowFirstColumn="0" w:firstRowLastColumn="0" w:lastRowFirstColumn="0" w:lastRowLastColumn="0"/>
            <w:tcW w:w="1110" w:type="dxa"/>
            <w:tcMar>
              <w:top w:w="8" w:type="dxa"/>
              <w:left w:w="108" w:type="dxa"/>
              <w:bottom w:w="8" w:type="dxa"/>
              <w:right w:w="108" w:type="dxa"/>
            </w:tcMar>
            <w:vAlign w:val="center"/>
          </w:tcPr>
          <w:p w14:paraId="4D7CFEDC" w14:textId="77777777" w:rsidR="00FA59E0" w:rsidRPr="00846912" w:rsidRDefault="00FA59E0" w:rsidP="004079E0">
            <w:pPr>
              <w:spacing w:line="240" w:lineRule="auto"/>
              <w:rPr>
                <w:rFonts w:ascii="Arial" w:hAnsi="Arial" w:cs="Arial"/>
              </w:rPr>
            </w:pPr>
          </w:p>
        </w:tc>
        <w:tc>
          <w:tcPr>
            <w:tcW w:w="982" w:type="dxa"/>
            <w:tcMar>
              <w:top w:w="8" w:type="dxa"/>
              <w:left w:w="108" w:type="dxa"/>
              <w:bottom w:w="8" w:type="dxa"/>
              <w:right w:w="108" w:type="dxa"/>
            </w:tcMar>
            <w:vAlign w:val="center"/>
            <w:hideMark/>
          </w:tcPr>
          <w:p w14:paraId="4F4A18CF" w14:textId="77777777" w:rsidR="00FA59E0" w:rsidRPr="00846912" w:rsidRDefault="00FA59E0" w:rsidP="004079E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46912">
              <w:rPr>
                <w:rFonts w:ascii="Arial" w:eastAsia="Arial" w:hAnsi="Arial" w:cs="Arial"/>
              </w:rPr>
              <w:t>1.7</w:t>
            </w:r>
          </w:p>
        </w:tc>
        <w:tc>
          <w:tcPr>
            <w:tcW w:w="6726" w:type="dxa"/>
            <w:tcMar>
              <w:top w:w="8" w:type="dxa"/>
              <w:left w:w="108" w:type="dxa"/>
              <w:bottom w:w="8" w:type="dxa"/>
              <w:right w:w="108" w:type="dxa"/>
            </w:tcMar>
            <w:vAlign w:val="center"/>
            <w:hideMark/>
          </w:tcPr>
          <w:p w14:paraId="68A6A3B3" w14:textId="7508F700" w:rsidR="00FA59E0" w:rsidRPr="00846912" w:rsidRDefault="00FA59E0" w:rsidP="004079E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Arial" w:hAnsi="Arial" w:cs="Arial"/>
              </w:rPr>
              <w:t xml:space="preserve">Submission </w:t>
            </w:r>
            <w:r w:rsidR="00AA5D03">
              <w:rPr>
                <w:rFonts w:ascii="Arial" w:eastAsia="Arial" w:hAnsi="Arial" w:cs="Arial"/>
              </w:rPr>
              <w:t>Instructions</w:t>
            </w:r>
          </w:p>
        </w:tc>
      </w:tr>
      <w:tr w:rsidR="00FA59E0" w:rsidRPr="00846912" w14:paraId="14CF4C74" w14:textId="77777777" w:rsidTr="004079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dxa"/>
            <w:tcMar>
              <w:top w:w="8" w:type="dxa"/>
              <w:left w:w="108" w:type="dxa"/>
              <w:bottom w:w="8" w:type="dxa"/>
              <w:right w:w="108" w:type="dxa"/>
            </w:tcMar>
            <w:vAlign w:val="center"/>
          </w:tcPr>
          <w:p w14:paraId="2D156D40" w14:textId="77777777" w:rsidR="00FA59E0" w:rsidRPr="00846912" w:rsidRDefault="00FA59E0" w:rsidP="004079E0">
            <w:pPr>
              <w:spacing w:line="240" w:lineRule="auto"/>
              <w:rPr>
                <w:rFonts w:ascii="Arial" w:hAnsi="Arial" w:cs="Arial"/>
              </w:rPr>
            </w:pPr>
          </w:p>
        </w:tc>
        <w:tc>
          <w:tcPr>
            <w:tcW w:w="982" w:type="dxa"/>
            <w:tcMar>
              <w:top w:w="8" w:type="dxa"/>
              <w:left w:w="108" w:type="dxa"/>
              <w:bottom w:w="8" w:type="dxa"/>
              <w:right w:w="108" w:type="dxa"/>
            </w:tcMar>
            <w:vAlign w:val="center"/>
            <w:hideMark/>
          </w:tcPr>
          <w:p w14:paraId="2A0CF111" w14:textId="77777777" w:rsidR="00FA59E0" w:rsidRPr="00846912" w:rsidRDefault="00FA59E0" w:rsidP="004079E0">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846912">
              <w:rPr>
                <w:rFonts w:ascii="Arial" w:eastAsia="Arial" w:hAnsi="Arial" w:cs="Arial"/>
              </w:rPr>
              <w:t>1.8</w:t>
            </w:r>
          </w:p>
        </w:tc>
        <w:tc>
          <w:tcPr>
            <w:tcW w:w="6726" w:type="dxa"/>
            <w:tcMar>
              <w:top w:w="8" w:type="dxa"/>
              <w:left w:w="108" w:type="dxa"/>
              <w:bottom w:w="8" w:type="dxa"/>
              <w:right w:w="108" w:type="dxa"/>
            </w:tcMar>
            <w:vAlign w:val="center"/>
            <w:hideMark/>
          </w:tcPr>
          <w:p w14:paraId="4D88D139" w14:textId="77777777" w:rsidR="00FA59E0" w:rsidRPr="00846912" w:rsidRDefault="00FA59E0" w:rsidP="004079E0">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846912">
              <w:rPr>
                <w:rFonts w:ascii="Arial" w:eastAsia="Arial" w:hAnsi="Arial" w:cs="Arial"/>
              </w:rPr>
              <w:t>Information Costs and Rights to Cancel</w:t>
            </w:r>
          </w:p>
        </w:tc>
      </w:tr>
      <w:tr w:rsidR="00FA59E0" w:rsidRPr="00846912" w14:paraId="5C2EE0C6" w14:textId="77777777" w:rsidTr="004079E0">
        <w:tc>
          <w:tcPr>
            <w:cnfStyle w:val="001000000000" w:firstRow="0" w:lastRow="0" w:firstColumn="1" w:lastColumn="0" w:oddVBand="0" w:evenVBand="0" w:oddHBand="0" w:evenHBand="0" w:firstRowFirstColumn="0" w:firstRowLastColumn="0" w:lastRowFirstColumn="0" w:lastRowLastColumn="0"/>
            <w:tcW w:w="1110" w:type="dxa"/>
            <w:tcMar>
              <w:top w:w="8" w:type="dxa"/>
              <w:left w:w="108" w:type="dxa"/>
              <w:bottom w:w="8" w:type="dxa"/>
              <w:right w:w="108" w:type="dxa"/>
            </w:tcMar>
            <w:vAlign w:val="center"/>
          </w:tcPr>
          <w:p w14:paraId="6FB4C253" w14:textId="77777777" w:rsidR="00FA59E0" w:rsidRPr="00846912" w:rsidRDefault="00FA59E0" w:rsidP="004079E0">
            <w:pPr>
              <w:spacing w:line="240" w:lineRule="auto"/>
              <w:rPr>
                <w:rFonts w:ascii="Arial" w:hAnsi="Arial" w:cs="Arial"/>
              </w:rPr>
            </w:pPr>
          </w:p>
        </w:tc>
        <w:tc>
          <w:tcPr>
            <w:tcW w:w="982" w:type="dxa"/>
            <w:tcMar>
              <w:top w:w="8" w:type="dxa"/>
              <w:left w:w="108" w:type="dxa"/>
              <w:bottom w:w="8" w:type="dxa"/>
              <w:right w:w="108" w:type="dxa"/>
            </w:tcMar>
            <w:vAlign w:val="center"/>
            <w:hideMark/>
          </w:tcPr>
          <w:p w14:paraId="048FCF3C" w14:textId="77777777" w:rsidR="00FA59E0" w:rsidRPr="00846912" w:rsidRDefault="00FA59E0" w:rsidP="004079E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46912">
              <w:rPr>
                <w:rFonts w:ascii="Arial" w:eastAsia="Arial" w:hAnsi="Arial" w:cs="Arial"/>
              </w:rPr>
              <w:t>1.9</w:t>
            </w:r>
          </w:p>
        </w:tc>
        <w:tc>
          <w:tcPr>
            <w:tcW w:w="6726" w:type="dxa"/>
            <w:tcMar>
              <w:top w:w="8" w:type="dxa"/>
              <w:left w:w="108" w:type="dxa"/>
              <w:bottom w:w="8" w:type="dxa"/>
              <w:right w:w="108" w:type="dxa"/>
            </w:tcMar>
            <w:vAlign w:val="center"/>
            <w:hideMark/>
          </w:tcPr>
          <w:p w14:paraId="1C0DE5A0" w14:textId="77777777" w:rsidR="00FA59E0" w:rsidRPr="00846912" w:rsidRDefault="00FA59E0" w:rsidP="004079E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46912">
              <w:rPr>
                <w:rFonts w:ascii="Arial" w:eastAsia="Arial" w:hAnsi="Arial" w:cs="Arial"/>
              </w:rPr>
              <w:t xml:space="preserve">Confidentiality and Information Governance </w:t>
            </w:r>
          </w:p>
        </w:tc>
      </w:tr>
      <w:tr w:rsidR="00FA59E0" w:rsidRPr="00846912" w14:paraId="0EA06621" w14:textId="77777777" w:rsidTr="004079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dxa"/>
            <w:tcMar>
              <w:top w:w="8" w:type="dxa"/>
              <w:left w:w="108" w:type="dxa"/>
              <w:bottom w:w="8" w:type="dxa"/>
              <w:right w:w="108" w:type="dxa"/>
            </w:tcMar>
            <w:vAlign w:val="center"/>
          </w:tcPr>
          <w:p w14:paraId="0D71E7DF" w14:textId="77777777" w:rsidR="00FA59E0" w:rsidRPr="00846912" w:rsidRDefault="00FA59E0" w:rsidP="004079E0">
            <w:pPr>
              <w:spacing w:line="240" w:lineRule="auto"/>
              <w:rPr>
                <w:rFonts w:ascii="Arial" w:hAnsi="Arial" w:cs="Arial"/>
              </w:rPr>
            </w:pPr>
          </w:p>
        </w:tc>
        <w:tc>
          <w:tcPr>
            <w:tcW w:w="982" w:type="dxa"/>
            <w:tcMar>
              <w:top w:w="8" w:type="dxa"/>
              <w:left w:w="108" w:type="dxa"/>
              <w:bottom w:w="8" w:type="dxa"/>
              <w:right w:w="108" w:type="dxa"/>
            </w:tcMar>
            <w:vAlign w:val="center"/>
            <w:hideMark/>
          </w:tcPr>
          <w:p w14:paraId="65D9049D" w14:textId="77777777" w:rsidR="00FA59E0" w:rsidRPr="00846912" w:rsidRDefault="00FA59E0" w:rsidP="004079E0">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846912">
              <w:rPr>
                <w:rFonts w:ascii="Arial" w:eastAsia="Arial" w:hAnsi="Arial" w:cs="Arial"/>
              </w:rPr>
              <w:t>1.10</w:t>
            </w:r>
          </w:p>
        </w:tc>
        <w:tc>
          <w:tcPr>
            <w:tcW w:w="6726" w:type="dxa"/>
            <w:tcMar>
              <w:top w:w="8" w:type="dxa"/>
              <w:left w:w="108" w:type="dxa"/>
              <w:bottom w:w="8" w:type="dxa"/>
              <w:right w:w="108" w:type="dxa"/>
            </w:tcMar>
            <w:vAlign w:val="center"/>
            <w:hideMark/>
          </w:tcPr>
          <w:p w14:paraId="5192FA7D" w14:textId="77777777" w:rsidR="00FA59E0" w:rsidRPr="00846912" w:rsidRDefault="00FA59E0" w:rsidP="004079E0">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846912">
              <w:rPr>
                <w:rFonts w:ascii="Arial" w:eastAsia="Arial" w:hAnsi="Arial" w:cs="Arial"/>
              </w:rPr>
              <w:t>Freedom of Information Act 2000 (FOIA)</w:t>
            </w:r>
          </w:p>
        </w:tc>
      </w:tr>
      <w:tr w:rsidR="00FA59E0" w:rsidRPr="00846912" w14:paraId="3F66BB6A" w14:textId="77777777" w:rsidTr="004079E0">
        <w:tc>
          <w:tcPr>
            <w:cnfStyle w:val="001000000000" w:firstRow="0" w:lastRow="0" w:firstColumn="1" w:lastColumn="0" w:oddVBand="0" w:evenVBand="0" w:oddHBand="0" w:evenHBand="0" w:firstRowFirstColumn="0" w:firstRowLastColumn="0" w:lastRowFirstColumn="0" w:lastRowLastColumn="0"/>
            <w:tcW w:w="1110" w:type="dxa"/>
            <w:tcMar>
              <w:top w:w="8" w:type="dxa"/>
              <w:left w:w="108" w:type="dxa"/>
              <w:bottom w:w="8" w:type="dxa"/>
              <w:right w:w="108" w:type="dxa"/>
            </w:tcMar>
            <w:vAlign w:val="center"/>
            <w:hideMark/>
          </w:tcPr>
          <w:p w14:paraId="3A7AB5DD" w14:textId="77777777" w:rsidR="00FA59E0" w:rsidRPr="00846912" w:rsidRDefault="00FA59E0" w:rsidP="004079E0">
            <w:pPr>
              <w:spacing w:line="240" w:lineRule="auto"/>
              <w:rPr>
                <w:rFonts w:ascii="Arial" w:eastAsia="Arial" w:hAnsi="Arial" w:cs="Arial"/>
                <w:sz w:val="24"/>
                <w:szCs w:val="24"/>
              </w:rPr>
            </w:pPr>
            <w:r w:rsidRPr="00846912">
              <w:rPr>
                <w:rFonts w:ascii="Arial" w:eastAsia="Arial" w:hAnsi="Arial" w:cs="Arial"/>
                <w:sz w:val="24"/>
                <w:szCs w:val="24"/>
              </w:rPr>
              <w:t>2.</w:t>
            </w:r>
          </w:p>
        </w:tc>
        <w:tc>
          <w:tcPr>
            <w:tcW w:w="982" w:type="dxa"/>
            <w:tcMar>
              <w:top w:w="8" w:type="dxa"/>
              <w:left w:w="108" w:type="dxa"/>
              <w:bottom w:w="8" w:type="dxa"/>
              <w:right w:w="108" w:type="dxa"/>
            </w:tcMar>
            <w:vAlign w:val="center"/>
          </w:tcPr>
          <w:p w14:paraId="109FA9C4" w14:textId="77777777" w:rsidR="00FA59E0" w:rsidRPr="00846912" w:rsidRDefault="00FA59E0" w:rsidP="004079E0">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46912">
              <w:rPr>
                <w:rFonts w:ascii="Arial" w:eastAsia="Arial" w:hAnsi="Arial" w:cs="Arial"/>
              </w:rPr>
              <w:t>2.1</w:t>
            </w:r>
          </w:p>
        </w:tc>
        <w:tc>
          <w:tcPr>
            <w:tcW w:w="6726" w:type="dxa"/>
            <w:tcMar>
              <w:top w:w="8" w:type="dxa"/>
              <w:left w:w="108" w:type="dxa"/>
              <w:bottom w:w="8" w:type="dxa"/>
              <w:right w:w="108" w:type="dxa"/>
            </w:tcMar>
            <w:vAlign w:val="center"/>
            <w:hideMark/>
          </w:tcPr>
          <w:p w14:paraId="58408CCF" w14:textId="77777777" w:rsidR="00FA59E0" w:rsidRPr="00846912" w:rsidRDefault="00FA59E0" w:rsidP="004079E0">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r w:rsidRPr="00846912">
              <w:rPr>
                <w:rFonts w:ascii="Arial" w:eastAsia="Arial" w:hAnsi="Arial" w:cs="Arial"/>
                <w:b/>
                <w:bCs/>
                <w:sz w:val="24"/>
                <w:szCs w:val="24"/>
              </w:rPr>
              <w:t>General Conditions</w:t>
            </w:r>
          </w:p>
        </w:tc>
      </w:tr>
      <w:tr w:rsidR="00FA59E0" w:rsidRPr="00846912" w14:paraId="2FD83CB5" w14:textId="77777777" w:rsidTr="004079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dxa"/>
            <w:tcMar>
              <w:top w:w="8" w:type="dxa"/>
              <w:left w:w="108" w:type="dxa"/>
              <w:bottom w:w="8" w:type="dxa"/>
              <w:right w:w="108" w:type="dxa"/>
            </w:tcMar>
            <w:vAlign w:val="center"/>
            <w:hideMark/>
          </w:tcPr>
          <w:p w14:paraId="63309FA8" w14:textId="77777777" w:rsidR="00FA59E0" w:rsidRPr="00846912" w:rsidRDefault="00FA59E0" w:rsidP="004079E0">
            <w:pPr>
              <w:spacing w:line="240" w:lineRule="auto"/>
              <w:rPr>
                <w:rFonts w:ascii="Arial" w:eastAsia="Arial" w:hAnsi="Arial" w:cs="Arial"/>
              </w:rPr>
            </w:pPr>
            <w:r w:rsidRPr="00846912">
              <w:rPr>
                <w:rFonts w:ascii="Arial" w:eastAsia="Arial" w:hAnsi="Arial" w:cs="Arial"/>
              </w:rPr>
              <w:t>3.</w:t>
            </w:r>
          </w:p>
        </w:tc>
        <w:tc>
          <w:tcPr>
            <w:tcW w:w="982" w:type="dxa"/>
            <w:tcMar>
              <w:top w:w="8" w:type="dxa"/>
              <w:left w:w="108" w:type="dxa"/>
              <w:bottom w:w="8" w:type="dxa"/>
              <w:right w:w="108" w:type="dxa"/>
            </w:tcMar>
            <w:vAlign w:val="center"/>
          </w:tcPr>
          <w:p w14:paraId="5B69DB2D" w14:textId="77777777" w:rsidR="00FA59E0" w:rsidRPr="00846912" w:rsidRDefault="00FA59E0" w:rsidP="004079E0">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846912">
              <w:rPr>
                <w:rFonts w:ascii="Arial" w:eastAsia="Arial" w:hAnsi="Arial" w:cs="Arial"/>
              </w:rPr>
              <w:t>3.1</w:t>
            </w:r>
          </w:p>
        </w:tc>
        <w:tc>
          <w:tcPr>
            <w:tcW w:w="6726" w:type="dxa"/>
            <w:tcMar>
              <w:top w:w="8" w:type="dxa"/>
              <w:left w:w="108" w:type="dxa"/>
              <w:bottom w:w="8" w:type="dxa"/>
              <w:right w:w="108" w:type="dxa"/>
            </w:tcMar>
            <w:vAlign w:val="center"/>
            <w:hideMark/>
          </w:tcPr>
          <w:p w14:paraId="070A43D0" w14:textId="77777777" w:rsidR="00FA59E0" w:rsidRPr="00846912" w:rsidRDefault="00FA59E0" w:rsidP="004079E0">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b/>
                <w:bCs/>
                <w:sz w:val="24"/>
                <w:szCs w:val="24"/>
              </w:rPr>
              <w:t>High level requirements &amp; Scope/Objectives</w:t>
            </w:r>
          </w:p>
        </w:tc>
      </w:tr>
      <w:tr w:rsidR="00FA59E0" w:rsidRPr="00846912" w14:paraId="31C152B4" w14:textId="77777777" w:rsidTr="004079E0">
        <w:tc>
          <w:tcPr>
            <w:cnfStyle w:val="001000000000" w:firstRow="0" w:lastRow="0" w:firstColumn="1" w:lastColumn="0" w:oddVBand="0" w:evenVBand="0" w:oddHBand="0" w:evenHBand="0" w:firstRowFirstColumn="0" w:firstRowLastColumn="0" w:lastRowFirstColumn="0" w:lastRowLastColumn="0"/>
            <w:tcW w:w="1110" w:type="dxa"/>
            <w:tcMar>
              <w:top w:w="8" w:type="dxa"/>
              <w:left w:w="108" w:type="dxa"/>
              <w:bottom w:w="8" w:type="dxa"/>
              <w:right w:w="108" w:type="dxa"/>
            </w:tcMar>
            <w:vAlign w:val="center"/>
          </w:tcPr>
          <w:p w14:paraId="159DC3CC" w14:textId="77777777" w:rsidR="00FA59E0" w:rsidRPr="00846912" w:rsidRDefault="00FA59E0" w:rsidP="004079E0">
            <w:pPr>
              <w:spacing w:line="240" w:lineRule="auto"/>
              <w:rPr>
                <w:rFonts w:ascii="Arial" w:hAnsi="Arial" w:cs="Arial"/>
              </w:rPr>
            </w:pPr>
          </w:p>
        </w:tc>
        <w:tc>
          <w:tcPr>
            <w:tcW w:w="982" w:type="dxa"/>
            <w:tcMar>
              <w:top w:w="8" w:type="dxa"/>
              <w:left w:w="108" w:type="dxa"/>
              <w:bottom w:w="8" w:type="dxa"/>
              <w:right w:w="108" w:type="dxa"/>
            </w:tcMar>
            <w:vAlign w:val="center"/>
            <w:hideMark/>
          </w:tcPr>
          <w:p w14:paraId="606D2CFE" w14:textId="77777777" w:rsidR="00FA59E0" w:rsidRPr="00846912" w:rsidRDefault="00FA59E0" w:rsidP="004079E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46912">
              <w:rPr>
                <w:rFonts w:ascii="Arial" w:eastAsia="Arial" w:hAnsi="Arial" w:cs="Arial"/>
              </w:rPr>
              <w:t>3.2</w:t>
            </w:r>
          </w:p>
        </w:tc>
        <w:tc>
          <w:tcPr>
            <w:tcW w:w="6726" w:type="dxa"/>
            <w:tcMar>
              <w:top w:w="8" w:type="dxa"/>
              <w:left w:w="108" w:type="dxa"/>
              <w:bottom w:w="8" w:type="dxa"/>
              <w:right w:w="108" w:type="dxa"/>
            </w:tcMar>
            <w:vAlign w:val="center"/>
            <w:hideMark/>
          </w:tcPr>
          <w:p w14:paraId="5763FBD7" w14:textId="77777777" w:rsidR="00FA59E0" w:rsidRPr="00846912" w:rsidRDefault="00FA59E0" w:rsidP="004079E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Scope Areas</w:t>
            </w:r>
          </w:p>
        </w:tc>
      </w:tr>
      <w:tr w:rsidR="00FA59E0" w:rsidRPr="00846912" w14:paraId="6A6314B8" w14:textId="77777777" w:rsidTr="004079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dxa"/>
            <w:tcMar>
              <w:top w:w="8" w:type="dxa"/>
              <w:left w:w="108" w:type="dxa"/>
              <w:bottom w:w="8" w:type="dxa"/>
              <w:right w:w="108" w:type="dxa"/>
            </w:tcMar>
            <w:vAlign w:val="center"/>
          </w:tcPr>
          <w:p w14:paraId="608E96EF" w14:textId="77777777" w:rsidR="00FA59E0" w:rsidRPr="00846912" w:rsidRDefault="00FA59E0" w:rsidP="004079E0">
            <w:pPr>
              <w:spacing w:line="240" w:lineRule="auto"/>
              <w:rPr>
                <w:rFonts w:ascii="Arial" w:hAnsi="Arial" w:cs="Arial"/>
              </w:rPr>
            </w:pPr>
          </w:p>
        </w:tc>
        <w:tc>
          <w:tcPr>
            <w:tcW w:w="982" w:type="dxa"/>
            <w:tcMar>
              <w:top w:w="8" w:type="dxa"/>
              <w:left w:w="108" w:type="dxa"/>
              <w:bottom w:w="8" w:type="dxa"/>
              <w:right w:w="108" w:type="dxa"/>
            </w:tcMar>
            <w:vAlign w:val="center"/>
            <w:hideMark/>
          </w:tcPr>
          <w:p w14:paraId="59413CF8" w14:textId="77777777" w:rsidR="00FA59E0" w:rsidRPr="00846912" w:rsidRDefault="00FA59E0" w:rsidP="004079E0">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846912">
              <w:rPr>
                <w:rFonts w:ascii="Arial" w:eastAsia="Arial" w:hAnsi="Arial" w:cs="Arial"/>
              </w:rPr>
              <w:t>3.3</w:t>
            </w:r>
          </w:p>
        </w:tc>
        <w:tc>
          <w:tcPr>
            <w:tcW w:w="6726" w:type="dxa"/>
            <w:tcMar>
              <w:top w:w="8" w:type="dxa"/>
              <w:left w:w="108" w:type="dxa"/>
              <w:bottom w:w="8" w:type="dxa"/>
              <w:right w:w="108" w:type="dxa"/>
            </w:tcMar>
            <w:vAlign w:val="center"/>
            <w:hideMark/>
          </w:tcPr>
          <w:p w14:paraId="36CCD062" w14:textId="77777777" w:rsidR="00FA59E0" w:rsidRPr="00846912" w:rsidRDefault="00FA59E0" w:rsidP="004079E0">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Indicative Deliverables</w:t>
            </w:r>
          </w:p>
        </w:tc>
      </w:tr>
      <w:tr w:rsidR="00FA59E0" w:rsidRPr="00846912" w14:paraId="37894A72" w14:textId="77777777" w:rsidTr="004079E0">
        <w:tc>
          <w:tcPr>
            <w:cnfStyle w:val="001000000000" w:firstRow="0" w:lastRow="0" w:firstColumn="1" w:lastColumn="0" w:oddVBand="0" w:evenVBand="0" w:oddHBand="0" w:evenHBand="0" w:firstRowFirstColumn="0" w:firstRowLastColumn="0" w:lastRowFirstColumn="0" w:lastRowLastColumn="0"/>
            <w:tcW w:w="1110" w:type="dxa"/>
            <w:tcMar>
              <w:top w:w="8" w:type="dxa"/>
              <w:left w:w="108" w:type="dxa"/>
              <w:bottom w:w="8" w:type="dxa"/>
              <w:right w:w="108" w:type="dxa"/>
            </w:tcMar>
            <w:vAlign w:val="center"/>
          </w:tcPr>
          <w:p w14:paraId="761EBDDE" w14:textId="77777777" w:rsidR="00FA59E0" w:rsidRPr="00846912" w:rsidRDefault="00FA59E0" w:rsidP="004079E0">
            <w:pPr>
              <w:spacing w:line="240" w:lineRule="auto"/>
              <w:rPr>
                <w:rFonts w:ascii="Arial" w:hAnsi="Arial" w:cs="Arial"/>
              </w:rPr>
            </w:pPr>
            <w:r>
              <w:rPr>
                <w:rFonts w:ascii="Arial" w:hAnsi="Arial" w:cs="Arial"/>
              </w:rPr>
              <w:t>4.</w:t>
            </w:r>
          </w:p>
        </w:tc>
        <w:tc>
          <w:tcPr>
            <w:tcW w:w="982" w:type="dxa"/>
            <w:tcMar>
              <w:top w:w="8" w:type="dxa"/>
              <w:left w:w="108" w:type="dxa"/>
              <w:bottom w:w="8" w:type="dxa"/>
              <w:right w:w="108" w:type="dxa"/>
            </w:tcMar>
            <w:vAlign w:val="center"/>
          </w:tcPr>
          <w:p w14:paraId="1466E47D" w14:textId="77777777" w:rsidR="00FA59E0" w:rsidRPr="00846912" w:rsidRDefault="00FA59E0" w:rsidP="004079E0">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4.1</w:t>
            </w:r>
          </w:p>
        </w:tc>
        <w:tc>
          <w:tcPr>
            <w:tcW w:w="6726" w:type="dxa"/>
            <w:tcMar>
              <w:top w:w="8" w:type="dxa"/>
              <w:left w:w="108" w:type="dxa"/>
              <w:bottom w:w="8" w:type="dxa"/>
              <w:right w:w="108" w:type="dxa"/>
            </w:tcMar>
            <w:vAlign w:val="center"/>
          </w:tcPr>
          <w:p w14:paraId="4A58462F" w14:textId="77777777" w:rsidR="00FA59E0" w:rsidRDefault="00FA59E0" w:rsidP="004079E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RFI Questions and Response Structure</w:t>
            </w:r>
          </w:p>
        </w:tc>
      </w:tr>
      <w:tr w:rsidR="00FA59E0" w:rsidRPr="00846912" w14:paraId="0D0E150B" w14:textId="77777777" w:rsidTr="004079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dxa"/>
            <w:tcMar>
              <w:top w:w="8" w:type="dxa"/>
              <w:left w:w="108" w:type="dxa"/>
              <w:bottom w:w="8" w:type="dxa"/>
              <w:right w:w="108" w:type="dxa"/>
            </w:tcMar>
            <w:vAlign w:val="center"/>
          </w:tcPr>
          <w:p w14:paraId="28F9DB4C" w14:textId="77777777" w:rsidR="00FA59E0" w:rsidRDefault="00FA59E0" w:rsidP="004079E0">
            <w:pPr>
              <w:spacing w:line="240" w:lineRule="auto"/>
              <w:rPr>
                <w:rFonts w:ascii="Arial" w:hAnsi="Arial" w:cs="Arial"/>
              </w:rPr>
            </w:pPr>
            <w:r>
              <w:rPr>
                <w:rFonts w:ascii="Arial" w:hAnsi="Arial" w:cs="Arial"/>
              </w:rPr>
              <w:t>5.</w:t>
            </w:r>
          </w:p>
        </w:tc>
        <w:tc>
          <w:tcPr>
            <w:tcW w:w="982" w:type="dxa"/>
            <w:tcMar>
              <w:top w:w="8" w:type="dxa"/>
              <w:left w:w="108" w:type="dxa"/>
              <w:bottom w:w="8" w:type="dxa"/>
              <w:right w:w="108" w:type="dxa"/>
            </w:tcMar>
            <w:vAlign w:val="center"/>
          </w:tcPr>
          <w:p w14:paraId="145EAAF5" w14:textId="77777777" w:rsidR="00FA59E0" w:rsidRDefault="00FA59E0" w:rsidP="004079E0">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c>
          <w:tcPr>
            <w:tcW w:w="6726" w:type="dxa"/>
            <w:tcMar>
              <w:top w:w="8" w:type="dxa"/>
              <w:left w:w="108" w:type="dxa"/>
              <w:bottom w:w="8" w:type="dxa"/>
              <w:right w:w="108" w:type="dxa"/>
            </w:tcMar>
            <w:vAlign w:val="center"/>
          </w:tcPr>
          <w:p w14:paraId="0ED14343" w14:textId="77777777" w:rsidR="00FA59E0" w:rsidRDefault="00FA59E0" w:rsidP="004079E0">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Next Steps</w:t>
            </w:r>
          </w:p>
        </w:tc>
      </w:tr>
    </w:tbl>
    <w:p w14:paraId="704A0735" w14:textId="77777777" w:rsidR="00FA59E0" w:rsidRPr="00846912" w:rsidRDefault="00FA59E0" w:rsidP="00FA59E0">
      <w:pPr>
        <w:rPr>
          <w:rFonts w:ascii="Arial" w:hAnsi="Arial" w:cs="Arial"/>
        </w:rPr>
        <w:sectPr w:rsidR="00FA59E0" w:rsidRPr="00846912" w:rsidSect="00FA59E0">
          <w:headerReference w:type="default" r:id="rId7"/>
          <w:footerReference w:type="default" r:id="rId8"/>
          <w:pgSz w:w="11906" w:h="16838"/>
          <w:pgMar w:top="851" w:right="1440" w:bottom="851" w:left="1440" w:header="708" w:footer="708" w:gutter="0"/>
          <w:cols w:space="708"/>
        </w:sectPr>
      </w:pPr>
    </w:p>
    <w:tbl>
      <w:tblPr>
        <w:tblW w:w="9232" w:type="dxa"/>
        <w:tblInd w:w="113"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left w:w="0" w:type="dxa"/>
          <w:right w:w="0" w:type="dxa"/>
        </w:tblCellMar>
        <w:tblLook w:val="04A0" w:firstRow="1" w:lastRow="0" w:firstColumn="1" w:lastColumn="0" w:noHBand="0" w:noVBand="1"/>
      </w:tblPr>
      <w:tblGrid>
        <w:gridCol w:w="1545"/>
        <w:gridCol w:w="7687"/>
      </w:tblGrid>
      <w:tr w:rsidR="00FA59E0" w:rsidRPr="00846912" w14:paraId="21B5EA70" w14:textId="77777777" w:rsidTr="004079E0">
        <w:trPr>
          <w:trHeight w:val="255"/>
        </w:trPr>
        <w:tc>
          <w:tcPr>
            <w:tcW w:w="1545" w:type="dxa"/>
            <w:tcBorders>
              <w:right w:val="single" w:sz="4" w:space="0" w:color="000000" w:themeColor="text1"/>
            </w:tcBorders>
            <w:shd w:val="clear" w:color="auto" w:fill="84E290" w:themeFill="accent3" w:themeFillTint="66"/>
            <w:tcMar>
              <w:top w:w="8" w:type="dxa"/>
              <w:left w:w="108" w:type="dxa"/>
              <w:bottom w:w="8" w:type="dxa"/>
              <w:right w:w="108" w:type="dxa"/>
            </w:tcMar>
            <w:vAlign w:val="center"/>
            <w:hideMark/>
          </w:tcPr>
          <w:p w14:paraId="63036FA4" w14:textId="77777777" w:rsidR="00FA59E0" w:rsidRPr="00846912" w:rsidRDefault="00FA59E0" w:rsidP="004079E0">
            <w:pPr>
              <w:spacing w:line="240" w:lineRule="auto"/>
              <w:rPr>
                <w:rFonts w:ascii="Arial" w:hAnsi="Arial" w:cs="Arial"/>
                <w:color w:val="000000"/>
                <w:sz w:val="28"/>
                <w:szCs w:val="28"/>
              </w:rPr>
            </w:pPr>
            <w:r w:rsidRPr="00846912">
              <w:rPr>
                <w:rFonts w:ascii="Arial" w:eastAsia="Arial" w:hAnsi="Arial" w:cs="Arial"/>
                <w:b/>
                <w:bCs/>
                <w:color w:val="000000" w:themeColor="text1"/>
                <w:sz w:val="28"/>
                <w:szCs w:val="28"/>
              </w:rPr>
              <w:lastRenderedPageBreak/>
              <w:t>Section 1.</w:t>
            </w:r>
          </w:p>
        </w:tc>
        <w:tc>
          <w:tcPr>
            <w:tcW w:w="7687" w:type="dxa"/>
            <w:tcBorders>
              <w:left w:val="single" w:sz="4" w:space="0" w:color="000000" w:themeColor="text1"/>
            </w:tcBorders>
            <w:shd w:val="clear" w:color="auto" w:fill="84E290" w:themeFill="accent3" w:themeFillTint="66"/>
            <w:tcMar>
              <w:top w:w="8" w:type="dxa"/>
              <w:left w:w="108" w:type="dxa"/>
              <w:bottom w:w="8" w:type="dxa"/>
              <w:right w:w="108" w:type="dxa"/>
            </w:tcMar>
            <w:vAlign w:val="center"/>
            <w:hideMark/>
          </w:tcPr>
          <w:p w14:paraId="15DEDC4B" w14:textId="77777777" w:rsidR="00FA59E0" w:rsidRPr="00846912" w:rsidRDefault="00FA59E0" w:rsidP="004079E0">
            <w:pPr>
              <w:spacing w:line="240" w:lineRule="auto"/>
              <w:rPr>
                <w:rFonts w:ascii="Arial" w:eastAsia="Arial" w:hAnsi="Arial" w:cs="Arial"/>
                <w:b/>
                <w:bCs/>
                <w:color w:val="000000"/>
                <w:sz w:val="28"/>
                <w:szCs w:val="28"/>
              </w:rPr>
            </w:pPr>
            <w:r w:rsidRPr="00846912">
              <w:rPr>
                <w:rFonts w:ascii="Arial" w:eastAsia="Arial" w:hAnsi="Arial" w:cs="Arial"/>
                <w:b/>
                <w:bCs/>
                <w:color w:val="000000" w:themeColor="text1"/>
                <w:sz w:val="28"/>
                <w:szCs w:val="28"/>
              </w:rPr>
              <w:t>General Information and Instructions</w:t>
            </w:r>
          </w:p>
        </w:tc>
      </w:tr>
    </w:tbl>
    <w:p w14:paraId="5AEF7F36" w14:textId="77777777" w:rsidR="00FA59E0" w:rsidRPr="00846912" w:rsidRDefault="00FA59E0" w:rsidP="00FA59E0">
      <w:pPr>
        <w:spacing w:line="240" w:lineRule="auto"/>
        <w:ind w:left="720"/>
        <w:jc w:val="both"/>
        <w:rPr>
          <w:rFonts w:ascii="Arial" w:hAnsi="Arial" w:cs="Arial"/>
          <w:sz w:val="28"/>
          <w:szCs w:val="28"/>
        </w:rPr>
      </w:pPr>
    </w:p>
    <w:p w14:paraId="30F0211F" w14:textId="77777777" w:rsidR="00FA59E0" w:rsidRPr="00846912" w:rsidRDefault="00FA59E0" w:rsidP="00FA59E0">
      <w:pPr>
        <w:numPr>
          <w:ilvl w:val="1"/>
          <w:numId w:val="2"/>
        </w:numPr>
        <w:tabs>
          <w:tab w:val="left" w:pos="720"/>
        </w:tabs>
        <w:spacing w:line="240" w:lineRule="auto"/>
        <w:ind w:left="720" w:hanging="720"/>
        <w:rPr>
          <w:rFonts w:ascii="Arial" w:hAnsi="Arial" w:cs="Arial"/>
          <w:sz w:val="28"/>
          <w:szCs w:val="28"/>
        </w:rPr>
      </w:pPr>
      <w:r w:rsidRPr="00846912">
        <w:rPr>
          <w:rFonts w:ascii="Arial" w:eastAsia="Arial" w:hAnsi="Arial" w:cs="Arial"/>
          <w:b/>
          <w:bCs/>
          <w:sz w:val="28"/>
          <w:szCs w:val="28"/>
        </w:rPr>
        <w:t>Overview of the Trust</w:t>
      </w:r>
    </w:p>
    <w:p w14:paraId="07336853" w14:textId="77777777" w:rsidR="00FA59E0" w:rsidRPr="00846912" w:rsidRDefault="00FA59E0" w:rsidP="00FA59E0">
      <w:pPr>
        <w:spacing w:line="240" w:lineRule="auto"/>
        <w:jc w:val="both"/>
        <w:rPr>
          <w:rFonts w:ascii="Arial" w:hAnsi="Arial" w:cs="Arial"/>
          <w:sz w:val="28"/>
          <w:szCs w:val="28"/>
        </w:rPr>
      </w:pPr>
    </w:p>
    <w:p w14:paraId="5A35E542" w14:textId="77777777" w:rsidR="00FA59E0" w:rsidRPr="00827762" w:rsidRDefault="00FA59E0" w:rsidP="00FA59E0">
      <w:pPr>
        <w:spacing w:line="240" w:lineRule="auto"/>
        <w:jc w:val="both"/>
        <w:rPr>
          <w:rFonts w:ascii="Arial" w:hAnsi="Arial" w:cs="Arial"/>
        </w:rPr>
      </w:pPr>
      <w:r w:rsidRPr="00827762">
        <w:rPr>
          <w:rFonts w:ascii="Arial" w:eastAsia="Arial" w:hAnsi="Arial" w:cs="Arial"/>
          <w:b/>
          <w:bCs/>
          <w:u w:val="single"/>
        </w:rPr>
        <w:t>Kings College NHS Foundation Hospital (KCH)</w:t>
      </w:r>
    </w:p>
    <w:p w14:paraId="60A8FC27" w14:textId="77777777" w:rsidR="00FA59E0" w:rsidRPr="00827762" w:rsidRDefault="00FA59E0" w:rsidP="00FA59E0">
      <w:pPr>
        <w:spacing w:before="280" w:after="280" w:line="240" w:lineRule="auto"/>
        <w:ind w:left="720" w:hanging="720"/>
        <w:jc w:val="both"/>
        <w:rPr>
          <w:rFonts w:ascii="Arial" w:hAnsi="Arial" w:cs="Arial"/>
        </w:rPr>
      </w:pPr>
      <w:r w:rsidRPr="00827762">
        <w:rPr>
          <w:rFonts w:ascii="Arial" w:eastAsia="Arial" w:hAnsi="Arial" w:cs="Arial"/>
        </w:rPr>
        <w:t xml:space="preserve">1.1.1 </w:t>
      </w:r>
      <w:r w:rsidRPr="00827762">
        <w:rPr>
          <w:rFonts w:ascii="Arial" w:hAnsi="Arial" w:cs="Arial"/>
        </w:rPr>
        <w:tab/>
      </w:r>
      <w:hyperlink r:id="rId9">
        <w:r w:rsidRPr="00827762">
          <w:rPr>
            <w:rStyle w:val="Hyperlink"/>
            <w:rFonts w:ascii="Arial" w:eastAsia="Arial" w:hAnsi="Arial" w:cs="Arial"/>
          </w:rPr>
          <w:t>Kings College Hospital NHS Foundation Trust</w:t>
        </w:r>
      </w:hyperlink>
      <w:r w:rsidRPr="00827762">
        <w:rPr>
          <w:rFonts w:ascii="Arial" w:eastAsia="Arial" w:hAnsi="Arial" w:cs="Arial"/>
        </w:rPr>
        <w:t xml:space="preserve"> is one of London's largest and busiest teaching hospitals, with a strong profile of local services primarily serving the boroughs of Lambeth, Southwark, Lewisham, and Bromley.</w:t>
      </w:r>
    </w:p>
    <w:p w14:paraId="4DDE4294" w14:textId="77777777" w:rsidR="00FA59E0" w:rsidRPr="00827762" w:rsidRDefault="00FA59E0" w:rsidP="00FA59E0">
      <w:pPr>
        <w:spacing w:before="280" w:after="280" w:line="240" w:lineRule="auto"/>
        <w:ind w:left="720" w:hanging="720"/>
        <w:jc w:val="both"/>
        <w:rPr>
          <w:rFonts w:ascii="Arial" w:hAnsi="Arial" w:cs="Arial"/>
        </w:rPr>
      </w:pPr>
      <w:r w:rsidRPr="00827762">
        <w:rPr>
          <w:rFonts w:ascii="Arial" w:eastAsia="Arial" w:hAnsi="Arial" w:cs="Arial"/>
        </w:rPr>
        <w:t>1.1.2</w:t>
      </w:r>
      <w:r w:rsidRPr="00827762">
        <w:rPr>
          <w:rFonts w:ascii="Arial" w:hAnsi="Arial" w:cs="Arial"/>
        </w:rPr>
        <w:tab/>
      </w:r>
      <w:r w:rsidRPr="00827762">
        <w:rPr>
          <w:rFonts w:ascii="Arial" w:eastAsia="Arial" w:hAnsi="Arial" w:cs="Arial"/>
        </w:rPr>
        <w:t>Our specialist services are available to patients across a wider catchment area, providing nationally and internationally recognised work in liver disease and transplantation, neurosciences, haemato-oncology, and foetal medicine.</w:t>
      </w:r>
    </w:p>
    <w:p w14:paraId="62ACFC82" w14:textId="77777777" w:rsidR="00FA59E0" w:rsidRPr="00827762" w:rsidRDefault="00FA59E0" w:rsidP="00FA59E0">
      <w:pPr>
        <w:spacing w:before="180" w:after="280" w:line="240" w:lineRule="auto"/>
        <w:ind w:left="720" w:hanging="720"/>
        <w:rPr>
          <w:rFonts w:ascii="Arial" w:hAnsi="Arial" w:cs="Arial"/>
        </w:rPr>
      </w:pPr>
      <w:r w:rsidRPr="00827762">
        <w:rPr>
          <w:rFonts w:ascii="Arial" w:eastAsia="Arial" w:hAnsi="Arial" w:cs="Arial"/>
        </w:rPr>
        <w:t>1.1.3</w:t>
      </w:r>
      <w:r w:rsidRPr="00827762">
        <w:rPr>
          <w:rFonts w:ascii="Arial" w:hAnsi="Arial" w:cs="Arial"/>
        </w:rPr>
        <w:tab/>
      </w:r>
      <w:r w:rsidRPr="00827762">
        <w:rPr>
          <w:rFonts w:ascii="Arial" w:eastAsia="Arial" w:hAnsi="Arial" w:cs="Arial"/>
        </w:rPr>
        <w:t>In October 2013, King’s College Hospital NHS Foundation Trust took over responsibility for:</w:t>
      </w:r>
    </w:p>
    <w:p w14:paraId="215FF1C7" w14:textId="77777777" w:rsidR="00FA59E0" w:rsidRPr="00827762" w:rsidRDefault="00FA59E0" w:rsidP="00FA59E0">
      <w:pPr>
        <w:numPr>
          <w:ilvl w:val="0"/>
          <w:numId w:val="3"/>
        </w:numPr>
        <w:pBdr>
          <w:left w:val="none" w:sz="0" w:space="7" w:color="auto"/>
        </w:pBdr>
        <w:spacing w:before="280" w:line="240" w:lineRule="auto"/>
        <w:ind w:left="1440" w:hanging="430"/>
        <w:rPr>
          <w:rFonts w:ascii="Arial" w:eastAsia="Times New Roman" w:hAnsi="Arial" w:cs="Arial"/>
        </w:rPr>
      </w:pPr>
      <w:r w:rsidRPr="00827762">
        <w:rPr>
          <w:rFonts w:ascii="Arial" w:eastAsia="Arial" w:hAnsi="Arial" w:cs="Arial"/>
        </w:rPr>
        <w:t>Princess Royal University Hospital (PRUH), Farnborough Common</w:t>
      </w:r>
    </w:p>
    <w:p w14:paraId="78CB1E01" w14:textId="77777777" w:rsidR="00FA59E0" w:rsidRPr="00827762" w:rsidRDefault="00FA59E0" w:rsidP="00FA59E0">
      <w:pPr>
        <w:numPr>
          <w:ilvl w:val="0"/>
          <w:numId w:val="3"/>
        </w:numPr>
        <w:pBdr>
          <w:left w:val="none" w:sz="0" w:space="7" w:color="auto"/>
        </w:pBdr>
        <w:spacing w:line="240" w:lineRule="auto"/>
        <w:ind w:left="1440" w:hanging="430"/>
        <w:rPr>
          <w:rFonts w:ascii="Arial" w:eastAsia="Times New Roman" w:hAnsi="Arial" w:cs="Arial"/>
        </w:rPr>
      </w:pPr>
      <w:r w:rsidRPr="00827762">
        <w:rPr>
          <w:rFonts w:ascii="Arial" w:eastAsia="Arial" w:hAnsi="Arial" w:cs="Arial"/>
        </w:rPr>
        <w:t>Orpington Hospital, Orpington</w:t>
      </w:r>
    </w:p>
    <w:p w14:paraId="234B0DD7" w14:textId="77777777" w:rsidR="00FA59E0" w:rsidRPr="00827762" w:rsidRDefault="00FA59E0" w:rsidP="00FA59E0">
      <w:pPr>
        <w:numPr>
          <w:ilvl w:val="0"/>
          <w:numId w:val="3"/>
        </w:numPr>
        <w:pBdr>
          <w:left w:val="none" w:sz="0" w:space="7" w:color="auto"/>
        </w:pBdr>
        <w:spacing w:after="280" w:line="240" w:lineRule="auto"/>
        <w:ind w:left="1440" w:hanging="430"/>
        <w:rPr>
          <w:rFonts w:ascii="Arial" w:eastAsia="Times New Roman" w:hAnsi="Arial" w:cs="Arial"/>
        </w:rPr>
      </w:pPr>
      <w:r w:rsidRPr="00827762">
        <w:rPr>
          <w:rFonts w:ascii="Arial" w:eastAsia="Arial" w:hAnsi="Arial" w:cs="Arial"/>
        </w:rPr>
        <w:t>Services at Beckenham Beacon and Queen Mary’s Hospital, Sidcup.</w:t>
      </w:r>
    </w:p>
    <w:p w14:paraId="115EC627" w14:textId="77777777" w:rsidR="00FA59E0" w:rsidRPr="00827762" w:rsidRDefault="00FA59E0" w:rsidP="00FA59E0">
      <w:pPr>
        <w:spacing w:before="180" w:after="280" w:line="240" w:lineRule="auto"/>
        <w:ind w:left="720" w:hanging="720"/>
        <w:jc w:val="both"/>
        <w:rPr>
          <w:rFonts w:ascii="Arial" w:hAnsi="Arial" w:cs="Arial"/>
        </w:rPr>
      </w:pPr>
      <w:r w:rsidRPr="00827762">
        <w:rPr>
          <w:rFonts w:ascii="Arial" w:eastAsia="Arial" w:hAnsi="Arial" w:cs="Arial"/>
        </w:rPr>
        <w:t>1.1.4</w:t>
      </w:r>
      <w:r w:rsidRPr="00827762">
        <w:rPr>
          <w:rFonts w:ascii="Arial" w:hAnsi="Arial" w:cs="Arial"/>
        </w:rPr>
        <w:tab/>
      </w:r>
      <w:r w:rsidRPr="00827762">
        <w:rPr>
          <w:rFonts w:ascii="Arial" w:eastAsia="Arial" w:hAnsi="Arial" w:cs="Arial"/>
        </w:rPr>
        <w:t>As a result of the integration, we operate as one Trust across many sites. We are transforming King’s into a fundamentally new kind of Trust built around patient needs, offering all our patients – local, national, and international – the highest quality of care. We are delivering this as part of a joined-up and well-managed healthcare system, built in partnership with GPs, commissioners, and other healthcare providers.</w:t>
      </w:r>
    </w:p>
    <w:p w14:paraId="7BE47FDC" w14:textId="77777777" w:rsidR="00FA59E0" w:rsidRPr="00827762" w:rsidRDefault="00FA59E0" w:rsidP="00FA59E0">
      <w:pPr>
        <w:spacing w:before="180" w:after="280" w:line="240" w:lineRule="auto"/>
        <w:ind w:left="720" w:hanging="720"/>
        <w:jc w:val="both"/>
        <w:rPr>
          <w:rFonts w:ascii="Arial" w:hAnsi="Arial" w:cs="Arial"/>
        </w:rPr>
      </w:pPr>
      <w:r w:rsidRPr="00827762">
        <w:rPr>
          <w:rFonts w:ascii="Arial" w:eastAsia="Arial" w:hAnsi="Arial" w:cs="Arial"/>
        </w:rPr>
        <w:t>1.1.5</w:t>
      </w:r>
      <w:r w:rsidRPr="00827762">
        <w:rPr>
          <w:rFonts w:ascii="Arial" w:hAnsi="Arial" w:cs="Arial"/>
        </w:rPr>
        <w:tab/>
      </w:r>
      <w:r w:rsidRPr="00827762">
        <w:rPr>
          <w:rFonts w:ascii="Arial" w:eastAsia="Arial" w:hAnsi="Arial" w:cs="Arial"/>
        </w:rPr>
        <w:t xml:space="preserve">Patients come to King’s from all over the world – for the skill and compassion of our people and our reputation as pioneers in medical research. Transferring the results of this research from bench to patient bedside is now quicker and easier thanks to the formation (with King’s College London, Guy’s and St Thomas’, and South London and Maudsley Foundation Trusts) of </w:t>
      </w:r>
      <w:hyperlink r:id="rId10">
        <w:r w:rsidRPr="00827762">
          <w:rPr>
            <w:rFonts w:ascii="Arial" w:eastAsia="Arial" w:hAnsi="Arial" w:cs="Arial"/>
            <w:b/>
            <w:bCs/>
            <w:color w:val="21418E"/>
            <w:u w:val="single"/>
          </w:rPr>
          <w:t>King’s Health Partners;</w:t>
        </w:r>
      </w:hyperlink>
      <w:r w:rsidRPr="00827762">
        <w:rPr>
          <w:rFonts w:ascii="Arial" w:eastAsia="Arial" w:hAnsi="Arial" w:cs="Arial"/>
        </w:rPr>
        <w:t xml:space="preserve"> an Academic Health Science Centre. </w:t>
      </w:r>
    </w:p>
    <w:p w14:paraId="080A15E2" w14:textId="77777777" w:rsidR="00FA59E0" w:rsidRPr="00827762" w:rsidRDefault="00FA59E0" w:rsidP="00FA59E0">
      <w:pPr>
        <w:spacing w:before="180" w:after="280" w:line="240" w:lineRule="auto"/>
        <w:jc w:val="both"/>
        <w:rPr>
          <w:rFonts w:ascii="Arial" w:hAnsi="Arial" w:cs="Arial"/>
        </w:rPr>
      </w:pPr>
      <w:r w:rsidRPr="00827762">
        <w:rPr>
          <w:rFonts w:ascii="Arial" w:eastAsia="Arial" w:hAnsi="Arial" w:cs="Arial"/>
          <w:b/>
          <w:bCs/>
          <w:u w:val="single"/>
        </w:rPr>
        <w:t>Kings Interventional Facilities Management (KFM)</w:t>
      </w:r>
    </w:p>
    <w:p w14:paraId="05F6356E" w14:textId="77777777" w:rsidR="00FA59E0" w:rsidRPr="00827762" w:rsidRDefault="00FA59E0" w:rsidP="00FA59E0">
      <w:pPr>
        <w:spacing w:line="240" w:lineRule="auto"/>
        <w:ind w:left="720" w:hanging="720"/>
        <w:jc w:val="both"/>
        <w:rPr>
          <w:rFonts w:ascii="Arial" w:hAnsi="Arial" w:cs="Arial"/>
        </w:rPr>
      </w:pPr>
      <w:r w:rsidRPr="00827762">
        <w:rPr>
          <w:rFonts w:ascii="Arial" w:eastAsia="Arial" w:hAnsi="Arial" w:cs="Arial"/>
        </w:rPr>
        <w:t>1.1.6</w:t>
      </w:r>
      <w:r w:rsidRPr="00827762">
        <w:rPr>
          <w:rFonts w:ascii="Arial" w:hAnsi="Arial" w:cs="Arial"/>
        </w:rPr>
        <w:tab/>
      </w:r>
      <w:r w:rsidRPr="00827762">
        <w:rPr>
          <w:rFonts w:ascii="Arial" w:eastAsia="Arial" w:hAnsi="Arial" w:cs="Arial"/>
        </w:rPr>
        <w:t>KFM is the trading name for KCH Interventional Facilities Management LLP. It provides fully managed services including procurement, equipment, and the supply chain for diagnostic and treatment facilities for King’s College Hospital NHS Foundation Trust. KFM operates across all sites within the Trust, including King’s College Hospital, Princess Royal University Hospital and Orpington Hospital.</w:t>
      </w:r>
    </w:p>
    <w:p w14:paraId="516C6486" w14:textId="77777777" w:rsidR="00FA59E0" w:rsidRPr="00827762" w:rsidRDefault="00FA59E0" w:rsidP="00FA59E0">
      <w:pPr>
        <w:spacing w:line="240" w:lineRule="auto"/>
        <w:ind w:left="720" w:hanging="720"/>
        <w:jc w:val="both"/>
        <w:rPr>
          <w:rFonts w:ascii="Arial" w:hAnsi="Arial" w:cs="Arial"/>
        </w:rPr>
      </w:pPr>
    </w:p>
    <w:p w14:paraId="46593EEC" w14:textId="77777777" w:rsidR="00FA59E0" w:rsidRPr="00827762" w:rsidRDefault="00FA59E0" w:rsidP="00FA59E0">
      <w:pPr>
        <w:spacing w:line="240" w:lineRule="auto"/>
        <w:ind w:left="720" w:hanging="720"/>
        <w:jc w:val="both"/>
        <w:rPr>
          <w:rFonts w:ascii="Arial" w:hAnsi="Arial" w:cs="Arial"/>
        </w:rPr>
      </w:pPr>
      <w:r w:rsidRPr="00827762">
        <w:rPr>
          <w:rFonts w:ascii="Arial" w:eastAsia="Arial" w:hAnsi="Arial" w:cs="Arial"/>
        </w:rPr>
        <w:t>1.1.7</w:t>
      </w:r>
      <w:r w:rsidRPr="00827762">
        <w:rPr>
          <w:rFonts w:ascii="Arial" w:hAnsi="Arial" w:cs="Arial"/>
        </w:rPr>
        <w:tab/>
      </w:r>
      <w:r w:rsidRPr="00827762">
        <w:rPr>
          <w:rFonts w:ascii="Arial" w:eastAsia="Arial" w:hAnsi="Arial" w:cs="Arial"/>
        </w:rPr>
        <w:t xml:space="preserve">KFM is a Limited Liability Partnership controlled by the King’s College Hospital NHS Foundation Trust. KFM has no private sector partners. KFM has an annual turnover of </w:t>
      </w:r>
      <w:bookmarkStart w:id="0" w:name="_Int_xPwNh8yo"/>
      <w:r w:rsidRPr="00827762">
        <w:rPr>
          <w:rFonts w:ascii="Arial" w:eastAsia="Arial" w:hAnsi="Arial" w:cs="Arial"/>
        </w:rPr>
        <w:t>circa</w:t>
      </w:r>
      <w:bookmarkEnd w:id="0"/>
      <w:r w:rsidRPr="00827762">
        <w:rPr>
          <w:rFonts w:ascii="Arial" w:eastAsia="Arial" w:hAnsi="Arial" w:cs="Arial"/>
        </w:rPr>
        <w:t xml:space="preserve"> £160 million and in excess of 300 staff. In addition, we manage the procurement of an additional circa £</w:t>
      </w:r>
      <w:bookmarkStart w:id="1" w:name="_Int_RuH739Lv"/>
      <w:r w:rsidRPr="00827762">
        <w:rPr>
          <w:rFonts w:ascii="Arial" w:eastAsia="Arial" w:hAnsi="Arial" w:cs="Arial"/>
        </w:rPr>
        <w:t>350m</w:t>
      </w:r>
      <w:bookmarkEnd w:id="1"/>
      <w:r w:rsidRPr="00827762">
        <w:rPr>
          <w:rFonts w:ascii="Arial" w:eastAsia="Arial" w:hAnsi="Arial" w:cs="Arial"/>
        </w:rPr>
        <w:t xml:space="preserve"> of annual spend for the Trust.</w:t>
      </w:r>
    </w:p>
    <w:p w14:paraId="68CFC032" w14:textId="77777777" w:rsidR="00FA59E0" w:rsidRPr="00827762" w:rsidRDefault="00FA59E0" w:rsidP="00FA59E0">
      <w:pPr>
        <w:spacing w:line="240" w:lineRule="auto"/>
        <w:rPr>
          <w:rFonts w:ascii="Arial" w:hAnsi="Arial" w:cs="Arial"/>
          <w:sz w:val="23"/>
          <w:szCs w:val="23"/>
        </w:rPr>
      </w:pPr>
    </w:p>
    <w:p w14:paraId="050D1D8D" w14:textId="77777777" w:rsidR="00FA59E0" w:rsidRPr="00827762" w:rsidRDefault="00FA59E0" w:rsidP="00FA59E0">
      <w:pPr>
        <w:spacing w:line="240" w:lineRule="auto"/>
        <w:ind w:left="720" w:hanging="720"/>
        <w:jc w:val="both"/>
        <w:rPr>
          <w:rFonts w:ascii="Arial" w:hAnsi="Arial" w:cs="Arial"/>
        </w:rPr>
      </w:pPr>
      <w:r w:rsidRPr="00827762">
        <w:rPr>
          <w:rFonts w:ascii="Arial" w:eastAsia="Arial" w:hAnsi="Arial" w:cs="Arial"/>
          <w:color w:val="333333"/>
        </w:rPr>
        <w:t>1.1.8</w:t>
      </w:r>
      <w:r w:rsidRPr="00827762">
        <w:rPr>
          <w:rFonts w:ascii="Arial" w:hAnsi="Arial" w:cs="Arial"/>
        </w:rPr>
        <w:tab/>
      </w:r>
      <w:r w:rsidRPr="00827762">
        <w:rPr>
          <w:rFonts w:ascii="Arial" w:eastAsia="Arial" w:hAnsi="Arial" w:cs="Arial"/>
          <w:color w:val="333333"/>
        </w:rPr>
        <w:t xml:space="preserve">In practice, KFM runs and manages </w:t>
      </w:r>
      <w:bookmarkStart w:id="2" w:name="_Int_ZNhb7Gi5"/>
      <w:r w:rsidRPr="00827762">
        <w:rPr>
          <w:rFonts w:ascii="Arial" w:eastAsia="Arial" w:hAnsi="Arial" w:cs="Arial"/>
          <w:color w:val="333333"/>
        </w:rPr>
        <w:t>a number of</w:t>
      </w:r>
      <w:bookmarkEnd w:id="2"/>
      <w:r w:rsidRPr="00827762">
        <w:rPr>
          <w:rFonts w:ascii="Arial" w:eastAsia="Arial" w:hAnsi="Arial" w:cs="Arial"/>
          <w:color w:val="333333"/>
        </w:rPr>
        <w:t xml:space="preserve"> interventional facilities and their supply chains </w:t>
      </w:r>
      <w:r w:rsidRPr="00827762">
        <w:rPr>
          <w:rFonts w:ascii="Arial" w:eastAsia="Arial" w:hAnsi="Arial" w:cs="Arial"/>
        </w:rPr>
        <w:t xml:space="preserve">for the Trust. This includes the provision and maintenance of the equipment used by these facilities. KFM also provides a full procurement service to all areas of the Trust. The benefit </w:t>
      </w:r>
      <w:bookmarkStart w:id="3" w:name="_Int_AN0lgEgD"/>
      <w:r w:rsidRPr="00827762">
        <w:rPr>
          <w:rFonts w:ascii="Arial" w:eastAsia="Arial" w:hAnsi="Arial" w:cs="Arial"/>
        </w:rPr>
        <w:t>to</w:t>
      </w:r>
      <w:bookmarkEnd w:id="3"/>
      <w:r w:rsidRPr="00827762">
        <w:rPr>
          <w:rFonts w:ascii="Arial" w:eastAsia="Arial" w:hAnsi="Arial" w:cs="Arial"/>
        </w:rPr>
        <w:t xml:space="preserve"> the Trust is that KFM can manage the equipment and supply chain more efficiently using dedicated resources.</w:t>
      </w:r>
    </w:p>
    <w:p w14:paraId="63336677" w14:textId="77777777" w:rsidR="00FA59E0" w:rsidRPr="00827762" w:rsidRDefault="00FA59E0" w:rsidP="00FA59E0">
      <w:pPr>
        <w:spacing w:line="240" w:lineRule="auto"/>
        <w:ind w:left="720" w:hanging="720"/>
        <w:jc w:val="both"/>
        <w:rPr>
          <w:rFonts w:ascii="Arial" w:hAnsi="Arial" w:cs="Arial"/>
        </w:rPr>
      </w:pPr>
    </w:p>
    <w:p w14:paraId="45EEBE91" w14:textId="77777777" w:rsidR="00FA59E0" w:rsidRPr="00827762" w:rsidRDefault="00FA59E0" w:rsidP="00FA59E0">
      <w:pPr>
        <w:spacing w:line="240" w:lineRule="auto"/>
        <w:ind w:left="720" w:hanging="720"/>
        <w:jc w:val="both"/>
        <w:rPr>
          <w:rFonts w:ascii="Arial" w:hAnsi="Arial" w:cs="Arial"/>
        </w:rPr>
      </w:pPr>
      <w:r w:rsidRPr="00827762">
        <w:rPr>
          <w:rFonts w:ascii="Arial" w:eastAsia="Arial" w:hAnsi="Arial" w:cs="Arial"/>
        </w:rPr>
        <w:t xml:space="preserve">1.1.9 </w:t>
      </w:r>
      <w:r w:rsidRPr="00827762">
        <w:rPr>
          <w:rFonts w:ascii="Arial" w:eastAsia="Arial" w:hAnsi="Arial" w:cs="Arial"/>
        </w:rPr>
        <w:tab/>
        <w:t>This gives back patient-facing time to clinical staff. By investing in our procurement and supply chain resources</w:t>
      </w:r>
      <w:r w:rsidRPr="00827762">
        <w:rPr>
          <w:rFonts w:ascii="Arial" w:eastAsia="Arial" w:hAnsi="Arial" w:cs="Arial"/>
          <w:color w:val="333333"/>
        </w:rPr>
        <w:t>, we improve our expertise and enable smarter purchasing for the Trust.</w:t>
      </w:r>
    </w:p>
    <w:p w14:paraId="7311AA9F" w14:textId="77777777" w:rsidR="00FA59E0" w:rsidRPr="00827762" w:rsidRDefault="00FA59E0" w:rsidP="00FA59E0">
      <w:pPr>
        <w:spacing w:line="240" w:lineRule="auto"/>
        <w:ind w:left="720" w:hanging="720"/>
        <w:jc w:val="both"/>
        <w:rPr>
          <w:rFonts w:ascii="Arial" w:hAnsi="Arial" w:cs="Arial"/>
        </w:rPr>
      </w:pPr>
    </w:p>
    <w:p w14:paraId="07CB8FD3" w14:textId="77777777" w:rsidR="00FA59E0" w:rsidRPr="00827762" w:rsidRDefault="00FA59E0" w:rsidP="00FA59E0">
      <w:pPr>
        <w:numPr>
          <w:ilvl w:val="1"/>
          <w:numId w:val="4"/>
        </w:numPr>
        <w:tabs>
          <w:tab w:val="left" w:pos="720"/>
        </w:tabs>
        <w:spacing w:line="240" w:lineRule="auto"/>
        <w:ind w:left="720" w:hanging="720"/>
        <w:rPr>
          <w:rFonts w:ascii="Arial" w:hAnsi="Arial" w:cs="Arial"/>
          <w:b/>
          <w:bCs/>
          <w:sz w:val="28"/>
          <w:szCs w:val="28"/>
        </w:rPr>
      </w:pPr>
      <w:r w:rsidRPr="00827762">
        <w:rPr>
          <w:rFonts w:ascii="Arial" w:hAnsi="Arial" w:cs="Arial"/>
          <w:b/>
          <w:bCs/>
          <w:sz w:val="28"/>
          <w:szCs w:val="28"/>
        </w:rPr>
        <w:t>Background and Context</w:t>
      </w:r>
    </w:p>
    <w:p w14:paraId="27594115" w14:textId="77777777" w:rsidR="00FA59E0" w:rsidRPr="00827762" w:rsidRDefault="00FA59E0" w:rsidP="00FA59E0">
      <w:pPr>
        <w:spacing w:line="240" w:lineRule="auto"/>
        <w:jc w:val="both"/>
        <w:rPr>
          <w:rFonts w:ascii="Arial" w:hAnsi="Arial" w:cs="Arial"/>
          <w:sz w:val="4"/>
          <w:szCs w:val="28"/>
        </w:rPr>
      </w:pPr>
    </w:p>
    <w:p w14:paraId="26229BA5" w14:textId="77777777" w:rsidR="00FA59E0" w:rsidRPr="00827762" w:rsidRDefault="00FA59E0" w:rsidP="00FA59E0">
      <w:pPr>
        <w:spacing w:before="240" w:line="240" w:lineRule="auto"/>
        <w:ind w:left="720" w:hanging="720"/>
        <w:jc w:val="both"/>
        <w:rPr>
          <w:rFonts w:ascii="Arial" w:hAnsi="Arial" w:cs="Arial"/>
        </w:rPr>
      </w:pPr>
      <w:r w:rsidRPr="00827762">
        <w:rPr>
          <w:rFonts w:ascii="Arial" w:hAnsi="Arial" w:cs="Arial"/>
        </w:rPr>
        <w:t xml:space="preserve">1.2.1 </w:t>
      </w:r>
      <w:r w:rsidRPr="00827762">
        <w:rPr>
          <w:rFonts w:ascii="Arial" w:hAnsi="Arial" w:cs="Arial"/>
        </w:rPr>
        <w:tab/>
        <w:t>KFM currently utilises Axtension Invoice Processing (IP) within its Microsoft Dynamics 365 Finance &amp; Operations (D365 F&amp;O) environment to support Accounts Payable automation.</w:t>
      </w:r>
    </w:p>
    <w:p w14:paraId="18B9DAB1" w14:textId="77777777" w:rsidR="00FA59E0" w:rsidRPr="00827762" w:rsidRDefault="00FA59E0" w:rsidP="00FA59E0">
      <w:pPr>
        <w:spacing w:before="240" w:line="240" w:lineRule="auto"/>
        <w:ind w:left="720" w:hanging="720"/>
        <w:jc w:val="both"/>
        <w:rPr>
          <w:rFonts w:ascii="Arial" w:hAnsi="Arial" w:cs="Arial"/>
        </w:rPr>
      </w:pPr>
      <w:r w:rsidRPr="00827762">
        <w:rPr>
          <w:rFonts w:ascii="Arial" w:hAnsi="Arial" w:cs="Arial"/>
        </w:rPr>
        <w:t xml:space="preserve">1.2.2 </w:t>
      </w:r>
      <w:r w:rsidRPr="00827762">
        <w:rPr>
          <w:rFonts w:ascii="Arial" w:hAnsi="Arial" w:cs="Arial"/>
        </w:rPr>
        <w:tab/>
        <w:t xml:space="preserve">The Authority has selected ExFlow AP as the strategic replacement solution. Due to product lifecycle and operational risk, the Authority requires: </w:t>
      </w:r>
    </w:p>
    <w:p w14:paraId="2D07724C" w14:textId="77777777" w:rsidR="00FA59E0" w:rsidRPr="00827762" w:rsidRDefault="00FA59E0" w:rsidP="00FA59E0">
      <w:pPr>
        <w:pStyle w:val="ListParagraph"/>
        <w:numPr>
          <w:ilvl w:val="0"/>
          <w:numId w:val="13"/>
        </w:numPr>
        <w:spacing w:before="240" w:line="240" w:lineRule="auto"/>
        <w:jc w:val="both"/>
        <w:rPr>
          <w:rFonts w:ascii="Arial" w:hAnsi="Arial" w:cs="Arial"/>
        </w:rPr>
      </w:pPr>
      <w:r w:rsidRPr="00827762">
        <w:rPr>
          <w:rFonts w:ascii="Arial" w:hAnsi="Arial" w:cs="Arial"/>
        </w:rPr>
        <w:t>Continuity of Axtension IP usage during transition</w:t>
      </w:r>
    </w:p>
    <w:p w14:paraId="11B897B7" w14:textId="77777777" w:rsidR="00FA59E0" w:rsidRPr="00827762" w:rsidRDefault="00FA59E0" w:rsidP="00FA59E0">
      <w:pPr>
        <w:pStyle w:val="ListParagraph"/>
        <w:numPr>
          <w:ilvl w:val="0"/>
          <w:numId w:val="13"/>
        </w:numPr>
        <w:spacing w:before="240" w:line="240" w:lineRule="auto"/>
        <w:jc w:val="both"/>
        <w:rPr>
          <w:rFonts w:ascii="Arial" w:hAnsi="Arial" w:cs="Arial"/>
        </w:rPr>
      </w:pPr>
      <w:r w:rsidRPr="00827762">
        <w:rPr>
          <w:rFonts w:ascii="Arial" w:hAnsi="Arial" w:cs="Arial"/>
        </w:rPr>
        <w:t>Dual-running capability to ensure uninterrupted AP operations</w:t>
      </w:r>
    </w:p>
    <w:p w14:paraId="71A1139B" w14:textId="77777777" w:rsidR="00FA59E0" w:rsidRPr="00827762" w:rsidRDefault="00FA59E0" w:rsidP="00FA59E0">
      <w:pPr>
        <w:pStyle w:val="ListParagraph"/>
        <w:numPr>
          <w:ilvl w:val="0"/>
          <w:numId w:val="13"/>
        </w:numPr>
        <w:spacing w:before="240" w:line="240" w:lineRule="auto"/>
        <w:jc w:val="both"/>
        <w:rPr>
          <w:rFonts w:ascii="Arial" w:hAnsi="Arial" w:cs="Arial"/>
        </w:rPr>
      </w:pPr>
      <w:r w:rsidRPr="00827762">
        <w:rPr>
          <w:rFonts w:ascii="Arial" w:hAnsi="Arial" w:cs="Arial"/>
        </w:rPr>
        <w:t>Specialist support to implement ExFlow AP and ExFlow Data Capture in line with Microsoft best practices</w:t>
      </w:r>
    </w:p>
    <w:p w14:paraId="4B7A1021" w14:textId="77777777" w:rsidR="00FA59E0" w:rsidRPr="00827762" w:rsidRDefault="00FA59E0" w:rsidP="00FA59E0">
      <w:pPr>
        <w:spacing w:before="240" w:line="240" w:lineRule="auto"/>
        <w:jc w:val="both"/>
        <w:rPr>
          <w:rFonts w:ascii="Arial" w:hAnsi="Arial" w:cs="Arial"/>
        </w:rPr>
      </w:pPr>
      <w:r w:rsidRPr="00827762">
        <w:rPr>
          <w:rFonts w:ascii="Arial" w:hAnsi="Arial" w:cs="Arial"/>
        </w:rPr>
        <w:t>This RFI is issued to better understand the market’s capability, delivery approaches, commercial models, and innovation before determining the most appropriate procurement route.</w:t>
      </w:r>
    </w:p>
    <w:p w14:paraId="24C98E58" w14:textId="77777777" w:rsidR="00FA59E0" w:rsidRPr="00827762" w:rsidRDefault="00FA59E0" w:rsidP="00FA59E0">
      <w:pPr>
        <w:spacing w:line="240" w:lineRule="auto"/>
        <w:jc w:val="both"/>
        <w:rPr>
          <w:rFonts w:ascii="Arial" w:hAnsi="Arial" w:cs="Arial"/>
          <w:sz w:val="28"/>
          <w:szCs w:val="28"/>
        </w:rPr>
      </w:pPr>
    </w:p>
    <w:p w14:paraId="63667CF7" w14:textId="77777777" w:rsidR="00FA59E0" w:rsidRPr="00827762" w:rsidRDefault="00FA59E0" w:rsidP="00FA59E0">
      <w:pPr>
        <w:pStyle w:val="ListParagraph"/>
        <w:numPr>
          <w:ilvl w:val="1"/>
          <w:numId w:val="4"/>
        </w:numPr>
        <w:tabs>
          <w:tab w:val="left" w:pos="720"/>
        </w:tabs>
        <w:spacing w:line="240" w:lineRule="auto"/>
        <w:jc w:val="both"/>
        <w:rPr>
          <w:rFonts w:ascii="Arial" w:hAnsi="Arial" w:cs="Arial"/>
          <w:sz w:val="28"/>
          <w:szCs w:val="28"/>
        </w:rPr>
      </w:pPr>
      <w:r w:rsidRPr="00827762">
        <w:rPr>
          <w:rFonts w:ascii="Arial" w:eastAsia="Arial" w:hAnsi="Arial" w:cs="Arial"/>
          <w:b/>
          <w:bCs/>
          <w:sz w:val="28"/>
          <w:szCs w:val="28"/>
        </w:rPr>
        <w:t>Documentation and Purpose</w:t>
      </w:r>
    </w:p>
    <w:p w14:paraId="6DD4F601" w14:textId="77777777" w:rsidR="00FA59E0" w:rsidRPr="00827762" w:rsidRDefault="00FA59E0" w:rsidP="00FA59E0">
      <w:pPr>
        <w:pStyle w:val="NormalWeb"/>
        <w:rPr>
          <w:rFonts w:ascii="Arial" w:hAnsi="Arial" w:cs="Arial"/>
          <w:sz w:val="22"/>
          <w:szCs w:val="22"/>
        </w:rPr>
      </w:pPr>
      <w:r w:rsidRPr="00827762">
        <w:rPr>
          <w:rFonts w:ascii="Arial" w:eastAsia="Arial" w:hAnsi="Arial" w:cs="Arial"/>
        </w:rPr>
        <w:t>1.3.1</w:t>
      </w:r>
      <w:r w:rsidRPr="00827762">
        <w:rPr>
          <w:rFonts w:ascii="Arial" w:hAnsi="Arial" w:cs="Arial"/>
        </w:rPr>
        <w:tab/>
      </w:r>
      <w:r w:rsidRPr="00827762">
        <w:rPr>
          <w:rFonts w:ascii="Arial" w:hAnsi="Arial" w:cs="Arial"/>
          <w:sz w:val="22"/>
          <w:szCs w:val="22"/>
        </w:rPr>
        <w:t>The information gathered will inform:</w:t>
      </w:r>
    </w:p>
    <w:p w14:paraId="1DEE823F" w14:textId="77777777" w:rsidR="00FA59E0" w:rsidRPr="00827762" w:rsidRDefault="00FA59E0" w:rsidP="00FA59E0">
      <w:pPr>
        <w:pStyle w:val="NormalWeb"/>
        <w:numPr>
          <w:ilvl w:val="0"/>
          <w:numId w:val="14"/>
        </w:numPr>
        <w:rPr>
          <w:rFonts w:ascii="Arial" w:hAnsi="Arial" w:cs="Arial"/>
          <w:sz w:val="22"/>
          <w:szCs w:val="22"/>
        </w:rPr>
      </w:pPr>
      <w:r w:rsidRPr="00827762">
        <w:rPr>
          <w:rFonts w:ascii="Arial" w:hAnsi="Arial" w:cs="Arial"/>
          <w:sz w:val="22"/>
          <w:szCs w:val="22"/>
        </w:rPr>
        <w:t>Procurement strategy and route selection</w:t>
      </w:r>
    </w:p>
    <w:p w14:paraId="6207645B" w14:textId="77777777" w:rsidR="00FA59E0" w:rsidRPr="00827762" w:rsidRDefault="00FA59E0" w:rsidP="00FA59E0">
      <w:pPr>
        <w:pStyle w:val="NormalWeb"/>
        <w:numPr>
          <w:ilvl w:val="0"/>
          <w:numId w:val="14"/>
        </w:numPr>
        <w:rPr>
          <w:rFonts w:ascii="Arial" w:hAnsi="Arial" w:cs="Arial"/>
          <w:sz w:val="22"/>
          <w:szCs w:val="22"/>
        </w:rPr>
      </w:pPr>
      <w:r w:rsidRPr="00827762">
        <w:rPr>
          <w:rFonts w:ascii="Arial" w:hAnsi="Arial" w:cs="Arial"/>
          <w:sz w:val="22"/>
          <w:szCs w:val="22"/>
        </w:rPr>
        <w:t>Lot structure and scope definition</w:t>
      </w:r>
    </w:p>
    <w:p w14:paraId="50A1DD1C" w14:textId="77777777" w:rsidR="00FA59E0" w:rsidRPr="00827762" w:rsidRDefault="00FA59E0" w:rsidP="00FA59E0">
      <w:pPr>
        <w:pStyle w:val="NormalWeb"/>
        <w:numPr>
          <w:ilvl w:val="0"/>
          <w:numId w:val="14"/>
        </w:numPr>
        <w:rPr>
          <w:rFonts w:ascii="Arial" w:hAnsi="Arial" w:cs="Arial"/>
          <w:sz w:val="22"/>
          <w:szCs w:val="22"/>
        </w:rPr>
      </w:pPr>
      <w:r w:rsidRPr="00827762">
        <w:rPr>
          <w:rFonts w:ascii="Arial" w:hAnsi="Arial" w:cs="Arial"/>
          <w:sz w:val="22"/>
          <w:szCs w:val="22"/>
        </w:rPr>
        <w:t>Commercial and delivery assumptions</w:t>
      </w:r>
    </w:p>
    <w:p w14:paraId="6CAC6425" w14:textId="77777777" w:rsidR="00FA59E0" w:rsidRPr="00827762" w:rsidRDefault="00FA59E0" w:rsidP="00FA59E0">
      <w:pPr>
        <w:pStyle w:val="NormalWeb"/>
        <w:numPr>
          <w:ilvl w:val="0"/>
          <w:numId w:val="14"/>
        </w:numPr>
        <w:rPr>
          <w:rFonts w:ascii="Arial" w:hAnsi="Arial" w:cs="Arial"/>
          <w:sz w:val="22"/>
          <w:szCs w:val="22"/>
        </w:rPr>
      </w:pPr>
      <w:r w:rsidRPr="00827762">
        <w:rPr>
          <w:rFonts w:ascii="Arial" w:hAnsi="Arial" w:cs="Arial"/>
          <w:sz w:val="22"/>
          <w:szCs w:val="22"/>
        </w:rPr>
        <w:t>Risk and dependency planning</w:t>
      </w:r>
    </w:p>
    <w:p w14:paraId="66C9BA68" w14:textId="73D3F464" w:rsidR="00E50475" w:rsidRPr="00827762" w:rsidRDefault="00E50475" w:rsidP="00E14EAB">
      <w:pPr>
        <w:pStyle w:val="NormalWeb"/>
        <w:jc w:val="both"/>
        <w:rPr>
          <w:rFonts w:ascii="Arial" w:hAnsi="Arial" w:cs="Arial"/>
          <w:sz w:val="22"/>
          <w:szCs w:val="22"/>
        </w:rPr>
      </w:pPr>
      <w:r w:rsidRPr="00827762">
        <w:rPr>
          <w:rFonts w:ascii="Arial" w:hAnsi="Arial" w:cs="Arial"/>
          <w:sz w:val="22"/>
          <w:szCs w:val="22"/>
        </w:rPr>
        <w:t>This Request for Information (RFI) is issued solely for the purpose of preliminary market engagement. It does not constitute a procurement, invitation to tender, or call for competition, and will not result in the award of any contract. Participation in this RFI is voluntary and will not confer any advantage or disadvantage in any future procurement exercise.</w:t>
      </w:r>
    </w:p>
    <w:p w14:paraId="2C8ACBA4" w14:textId="77777777" w:rsidR="00FA59E0" w:rsidRPr="00827762" w:rsidRDefault="00FA59E0" w:rsidP="00FA59E0">
      <w:pPr>
        <w:spacing w:line="240" w:lineRule="auto"/>
        <w:ind w:left="792"/>
        <w:jc w:val="both"/>
        <w:rPr>
          <w:rFonts w:ascii="Arial" w:hAnsi="Arial" w:cs="Arial"/>
          <w:sz w:val="28"/>
          <w:szCs w:val="28"/>
        </w:rPr>
      </w:pPr>
    </w:p>
    <w:p w14:paraId="63B31124" w14:textId="77777777" w:rsidR="00FA59E0" w:rsidRPr="00827762" w:rsidRDefault="00FA59E0" w:rsidP="00FA59E0">
      <w:pPr>
        <w:spacing w:line="240" w:lineRule="auto"/>
        <w:rPr>
          <w:rFonts w:ascii="Arial" w:hAnsi="Arial" w:cs="Arial"/>
          <w:sz w:val="28"/>
          <w:szCs w:val="28"/>
        </w:rPr>
      </w:pPr>
      <w:r w:rsidRPr="00827762">
        <w:rPr>
          <w:rFonts w:ascii="Arial" w:eastAsia="Arial" w:hAnsi="Arial" w:cs="Arial"/>
          <w:b/>
          <w:bCs/>
          <w:sz w:val="28"/>
          <w:szCs w:val="28"/>
        </w:rPr>
        <w:t>1.4</w:t>
      </w:r>
      <w:r w:rsidRPr="00827762">
        <w:rPr>
          <w:rFonts w:ascii="Arial" w:hAnsi="Arial" w:cs="Arial"/>
        </w:rPr>
        <w:tab/>
      </w:r>
      <w:r w:rsidRPr="00827762">
        <w:rPr>
          <w:rFonts w:ascii="Arial" w:eastAsia="Arial" w:hAnsi="Arial" w:cs="Arial"/>
          <w:b/>
          <w:bCs/>
          <w:sz w:val="28"/>
          <w:szCs w:val="28"/>
        </w:rPr>
        <w:t>Receipt of Information Documentation</w:t>
      </w:r>
    </w:p>
    <w:p w14:paraId="67A5859E" w14:textId="77777777" w:rsidR="00FA59E0" w:rsidRPr="00827762" w:rsidRDefault="00FA59E0" w:rsidP="00FA59E0">
      <w:pPr>
        <w:spacing w:line="240" w:lineRule="auto"/>
        <w:ind w:left="720"/>
        <w:jc w:val="both"/>
        <w:rPr>
          <w:rFonts w:ascii="Arial" w:hAnsi="Arial" w:cs="Arial"/>
        </w:rPr>
      </w:pPr>
    </w:p>
    <w:p w14:paraId="5403DBAF" w14:textId="77777777" w:rsidR="00FA59E0" w:rsidRPr="00827762" w:rsidRDefault="00FA59E0" w:rsidP="00FA59E0">
      <w:pPr>
        <w:spacing w:line="240" w:lineRule="auto"/>
        <w:ind w:left="720" w:hanging="720"/>
        <w:jc w:val="both"/>
        <w:rPr>
          <w:rFonts w:ascii="Arial" w:hAnsi="Arial" w:cs="Arial"/>
          <w:highlight w:val="yellow"/>
        </w:rPr>
      </w:pPr>
      <w:r w:rsidRPr="00827762">
        <w:rPr>
          <w:rFonts w:ascii="Arial" w:eastAsia="Arial" w:hAnsi="Arial" w:cs="Arial"/>
        </w:rPr>
        <w:t>1.4.1</w:t>
      </w:r>
      <w:r w:rsidRPr="00827762">
        <w:rPr>
          <w:rFonts w:ascii="Arial" w:hAnsi="Arial" w:cs="Arial"/>
        </w:rPr>
        <w:tab/>
      </w:r>
      <w:r w:rsidRPr="00827762">
        <w:rPr>
          <w:rFonts w:ascii="Arial" w:eastAsia="Arial" w:hAnsi="Arial" w:cs="Arial"/>
        </w:rPr>
        <w:t>There is no need for you to inform us directly of your intention to participate in this process, as our procurement system will record that you have downloaded the documentation.</w:t>
      </w:r>
    </w:p>
    <w:p w14:paraId="330FA7E2" w14:textId="77777777" w:rsidR="00FA59E0" w:rsidRPr="00827762" w:rsidRDefault="00FA59E0" w:rsidP="00FA59E0">
      <w:pPr>
        <w:spacing w:line="240" w:lineRule="auto"/>
        <w:jc w:val="both"/>
        <w:rPr>
          <w:rFonts w:ascii="Arial" w:hAnsi="Arial" w:cs="Arial"/>
        </w:rPr>
      </w:pPr>
    </w:p>
    <w:p w14:paraId="7AA864BC" w14:textId="77777777" w:rsidR="00FA59E0" w:rsidRPr="00827762" w:rsidRDefault="00FA59E0" w:rsidP="00FA59E0">
      <w:pPr>
        <w:tabs>
          <w:tab w:val="left" w:pos="720"/>
        </w:tabs>
        <w:spacing w:line="240" w:lineRule="auto"/>
        <w:jc w:val="both"/>
        <w:rPr>
          <w:rFonts w:ascii="Arial" w:hAnsi="Arial" w:cs="Arial"/>
          <w:sz w:val="28"/>
          <w:szCs w:val="28"/>
        </w:rPr>
      </w:pPr>
      <w:r w:rsidRPr="00827762">
        <w:rPr>
          <w:rFonts w:ascii="Arial" w:eastAsia="Arial" w:hAnsi="Arial" w:cs="Arial"/>
          <w:b/>
          <w:bCs/>
          <w:sz w:val="28"/>
          <w:szCs w:val="28"/>
        </w:rPr>
        <w:t xml:space="preserve">1.5 </w:t>
      </w:r>
      <w:r w:rsidRPr="00827762">
        <w:rPr>
          <w:rFonts w:ascii="Arial" w:hAnsi="Arial" w:cs="Arial"/>
        </w:rPr>
        <w:tab/>
      </w:r>
      <w:r w:rsidRPr="00827762">
        <w:rPr>
          <w:rFonts w:ascii="Arial" w:eastAsia="Arial" w:hAnsi="Arial" w:cs="Arial"/>
          <w:b/>
          <w:bCs/>
          <w:sz w:val="28"/>
          <w:szCs w:val="28"/>
        </w:rPr>
        <w:t>Clarifications: Questions and Answers</w:t>
      </w:r>
    </w:p>
    <w:p w14:paraId="292D861F" w14:textId="77777777" w:rsidR="00FA59E0" w:rsidRPr="00827762" w:rsidRDefault="00FA59E0" w:rsidP="00FA59E0">
      <w:pPr>
        <w:spacing w:line="240" w:lineRule="auto"/>
        <w:ind w:left="709"/>
        <w:jc w:val="both"/>
        <w:rPr>
          <w:rFonts w:ascii="Arial" w:hAnsi="Arial" w:cs="Arial"/>
        </w:rPr>
      </w:pPr>
    </w:p>
    <w:p w14:paraId="527F169F" w14:textId="77777777" w:rsidR="00FA59E0" w:rsidRPr="00827762" w:rsidRDefault="00FA59E0" w:rsidP="00FA59E0">
      <w:pPr>
        <w:spacing w:line="240" w:lineRule="auto"/>
        <w:ind w:left="720" w:hanging="720"/>
        <w:jc w:val="both"/>
        <w:rPr>
          <w:rFonts w:ascii="Arial" w:hAnsi="Arial" w:cs="Arial"/>
        </w:rPr>
      </w:pPr>
      <w:r w:rsidRPr="00827762">
        <w:rPr>
          <w:rFonts w:ascii="Arial" w:eastAsia="Arial" w:hAnsi="Arial" w:cs="Arial"/>
        </w:rPr>
        <w:t xml:space="preserve">1.5.1 </w:t>
      </w:r>
      <w:r w:rsidRPr="00827762">
        <w:rPr>
          <w:rFonts w:ascii="Arial" w:hAnsi="Arial" w:cs="Arial"/>
        </w:rPr>
        <w:tab/>
        <w:t>Where there is uncertainty with any element of this RFI, the Trust will endeavor to provide additional information as requested.</w:t>
      </w:r>
    </w:p>
    <w:p w14:paraId="7093B6EA" w14:textId="77777777" w:rsidR="00FA59E0" w:rsidRPr="00827762" w:rsidRDefault="00FA59E0" w:rsidP="00FA59E0">
      <w:pPr>
        <w:spacing w:line="240" w:lineRule="auto"/>
        <w:ind w:left="720" w:hanging="720"/>
        <w:jc w:val="both"/>
        <w:rPr>
          <w:rFonts w:ascii="Arial" w:hAnsi="Arial" w:cs="Arial"/>
        </w:rPr>
      </w:pPr>
    </w:p>
    <w:p w14:paraId="6DDD1116" w14:textId="77777777" w:rsidR="00FA59E0" w:rsidRPr="00827762" w:rsidRDefault="00FA59E0" w:rsidP="00FA59E0">
      <w:pPr>
        <w:spacing w:line="240" w:lineRule="auto"/>
        <w:ind w:left="720" w:hanging="720"/>
        <w:jc w:val="both"/>
        <w:rPr>
          <w:rFonts w:ascii="Arial" w:hAnsi="Arial" w:cs="Arial"/>
        </w:rPr>
      </w:pPr>
      <w:r w:rsidRPr="00827762">
        <w:rPr>
          <w:rFonts w:ascii="Arial" w:hAnsi="Arial" w:cs="Arial"/>
        </w:rPr>
        <w:t xml:space="preserve">1.5.2 </w:t>
      </w:r>
      <w:r w:rsidRPr="00827762">
        <w:rPr>
          <w:rFonts w:ascii="Arial" w:hAnsi="Arial" w:cs="Arial"/>
        </w:rPr>
        <w:tab/>
        <w:t>The Trust may circulate clarification Q&amp;A’s to all suppliers unless confidentiality is explicitly requested and accepted.</w:t>
      </w:r>
    </w:p>
    <w:p w14:paraId="54E5705A" w14:textId="77777777" w:rsidR="00FA59E0" w:rsidRPr="00827762" w:rsidRDefault="00FA59E0" w:rsidP="00FA59E0">
      <w:pPr>
        <w:spacing w:line="240" w:lineRule="auto"/>
        <w:ind w:left="720" w:hanging="720"/>
        <w:jc w:val="both"/>
        <w:rPr>
          <w:rFonts w:ascii="Arial" w:hAnsi="Arial" w:cs="Arial"/>
        </w:rPr>
      </w:pPr>
    </w:p>
    <w:p w14:paraId="0114142D" w14:textId="77777777" w:rsidR="00FA59E0" w:rsidRPr="00827762" w:rsidRDefault="00FA59E0" w:rsidP="00FA59E0">
      <w:pPr>
        <w:spacing w:line="240" w:lineRule="auto"/>
        <w:ind w:left="720" w:hanging="720"/>
        <w:jc w:val="both"/>
        <w:rPr>
          <w:rFonts w:ascii="Arial" w:hAnsi="Arial" w:cs="Arial"/>
        </w:rPr>
      </w:pPr>
      <w:r w:rsidRPr="00827762">
        <w:rPr>
          <w:rFonts w:ascii="Arial" w:hAnsi="Arial" w:cs="Arial"/>
        </w:rPr>
        <w:lastRenderedPageBreak/>
        <w:t xml:space="preserve">1.5.3 </w:t>
      </w:r>
      <w:r w:rsidRPr="00827762">
        <w:rPr>
          <w:rFonts w:ascii="Arial" w:hAnsi="Arial" w:cs="Arial"/>
        </w:rPr>
        <w:tab/>
        <w:t>The Trust may request further information to verify aspects of any submission.</w:t>
      </w:r>
    </w:p>
    <w:p w14:paraId="7A56AFE7" w14:textId="77777777" w:rsidR="00FA59E0" w:rsidRPr="00827762" w:rsidRDefault="00FA59E0" w:rsidP="00FA59E0">
      <w:pPr>
        <w:spacing w:line="240" w:lineRule="auto"/>
        <w:ind w:left="720" w:hanging="720"/>
        <w:jc w:val="both"/>
        <w:rPr>
          <w:rFonts w:ascii="Arial" w:hAnsi="Arial" w:cs="Arial"/>
        </w:rPr>
      </w:pPr>
    </w:p>
    <w:p w14:paraId="6AA71B8A" w14:textId="77777777" w:rsidR="00FA59E0" w:rsidRPr="00827762" w:rsidRDefault="00FA59E0" w:rsidP="00FA59E0">
      <w:pPr>
        <w:spacing w:line="240" w:lineRule="auto"/>
        <w:ind w:left="720" w:hanging="720"/>
        <w:jc w:val="both"/>
        <w:rPr>
          <w:rFonts w:ascii="Arial" w:hAnsi="Arial" w:cs="Arial"/>
        </w:rPr>
      </w:pPr>
    </w:p>
    <w:p w14:paraId="27D874CC" w14:textId="77777777" w:rsidR="00FA59E0" w:rsidRPr="00827762" w:rsidRDefault="00FA59E0" w:rsidP="00FA59E0">
      <w:pPr>
        <w:spacing w:line="240" w:lineRule="auto"/>
        <w:ind w:left="720" w:hanging="720"/>
        <w:jc w:val="both"/>
        <w:rPr>
          <w:rFonts w:ascii="Arial" w:eastAsia="Arial" w:hAnsi="Arial" w:cs="Arial"/>
        </w:rPr>
      </w:pPr>
    </w:p>
    <w:p w14:paraId="36056CA8" w14:textId="77777777" w:rsidR="00FA59E0" w:rsidRPr="00827762" w:rsidRDefault="00FA59E0" w:rsidP="00FA59E0">
      <w:pPr>
        <w:spacing w:line="240" w:lineRule="auto"/>
        <w:ind w:left="720" w:hanging="720"/>
        <w:jc w:val="both"/>
        <w:rPr>
          <w:rFonts w:ascii="Arial" w:hAnsi="Arial" w:cs="Arial"/>
        </w:rPr>
      </w:pPr>
    </w:p>
    <w:p w14:paraId="09264BDE" w14:textId="77777777" w:rsidR="00FA59E0" w:rsidRPr="00827762" w:rsidRDefault="00FA59E0" w:rsidP="00FA59E0">
      <w:pPr>
        <w:tabs>
          <w:tab w:val="left" w:pos="720"/>
        </w:tabs>
        <w:spacing w:line="240" w:lineRule="auto"/>
        <w:jc w:val="both"/>
        <w:rPr>
          <w:rFonts w:ascii="Arial" w:hAnsi="Arial" w:cs="Arial"/>
          <w:sz w:val="28"/>
          <w:szCs w:val="28"/>
        </w:rPr>
      </w:pPr>
      <w:r w:rsidRPr="00827762">
        <w:rPr>
          <w:rFonts w:ascii="Arial" w:eastAsia="Arial" w:hAnsi="Arial" w:cs="Arial"/>
          <w:b/>
          <w:bCs/>
          <w:sz w:val="28"/>
          <w:szCs w:val="28"/>
        </w:rPr>
        <w:t xml:space="preserve">1.6 </w:t>
      </w:r>
      <w:r w:rsidRPr="00827762">
        <w:rPr>
          <w:rFonts w:ascii="Arial" w:hAnsi="Arial" w:cs="Arial"/>
        </w:rPr>
        <w:tab/>
      </w:r>
      <w:r w:rsidRPr="00827762">
        <w:rPr>
          <w:rFonts w:ascii="Arial" w:eastAsia="Arial" w:hAnsi="Arial" w:cs="Arial"/>
          <w:b/>
          <w:bCs/>
          <w:sz w:val="28"/>
          <w:szCs w:val="28"/>
        </w:rPr>
        <w:t xml:space="preserve">Indicative RFI Timetable </w:t>
      </w:r>
    </w:p>
    <w:p w14:paraId="1D39272B" w14:textId="77777777" w:rsidR="00FA59E0" w:rsidRPr="00827762" w:rsidRDefault="00FA59E0" w:rsidP="00FA59E0">
      <w:pPr>
        <w:spacing w:line="240" w:lineRule="auto"/>
        <w:jc w:val="both"/>
        <w:rPr>
          <w:rFonts w:ascii="Arial" w:hAnsi="Arial" w:cs="Arial"/>
          <w:sz w:val="28"/>
          <w:szCs w:val="28"/>
        </w:rPr>
      </w:pPr>
    </w:p>
    <w:p w14:paraId="34A053D8" w14:textId="77777777" w:rsidR="00FA59E0" w:rsidRPr="00827762" w:rsidRDefault="00FA59E0" w:rsidP="00FA59E0">
      <w:pPr>
        <w:spacing w:line="240" w:lineRule="auto"/>
        <w:ind w:left="720" w:hanging="720"/>
        <w:jc w:val="both"/>
        <w:rPr>
          <w:rFonts w:ascii="Arial" w:hAnsi="Arial" w:cs="Arial"/>
        </w:rPr>
      </w:pPr>
      <w:r w:rsidRPr="00827762">
        <w:rPr>
          <w:rFonts w:ascii="Arial" w:eastAsia="Arial" w:hAnsi="Arial" w:cs="Arial"/>
        </w:rPr>
        <w:t>1.6.1</w:t>
      </w:r>
      <w:r w:rsidRPr="00827762">
        <w:rPr>
          <w:rFonts w:ascii="Arial" w:hAnsi="Arial" w:cs="Arial"/>
        </w:rPr>
        <w:tab/>
      </w:r>
      <w:r w:rsidRPr="00827762">
        <w:rPr>
          <w:rFonts w:ascii="Arial" w:eastAsia="Arial" w:hAnsi="Arial" w:cs="Arial"/>
        </w:rPr>
        <w:t>The table below is to be used as a guide only:</w:t>
      </w:r>
    </w:p>
    <w:p w14:paraId="05BD5A4B" w14:textId="77777777" w:rsidR="00FA59E0" w:rsidRPr="00827762" w:rsidRDefault="00FA59E0" w:rsidP="00FA59E0">
      <w:pPr>
        <w:spacing w:line="240" w:lineRule="auto"/>
        <w:ind w:left="709"/>
        <w:rPr>
          <w:rFonts w:ascii="Arial" w:hAnsi="Arial" w:cs="Arial"/>
        </w:rPr>
      </w:pPr>
    </w:p>
    <w:tbl>
      <w:tblPr>
        <w:tblW w:w="8505" w:type="dxa"/>
        <w:tblInd w:w="52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CellMar>
          <w:left w:w="0" w:type="dxa"/>
          <w:right w:w="0" w:type="dxa"/>
        </w:tblCellMar>
        <w:tblLook w:val="04A0" w:firstRow="1" w:lastRow="0" w:firstColumn="1" w:lastColumn="0" w:noHBand="0" w:noVBand="1"/>
      </w:tblPr>
      <w:tblGrid>
        <w:gridCol w:w="4152"/>
        <w:gridCol w:w="4353"/>
      </w:tblGrid>
      <w:tr w:rsidR="00FA59E0" w:rsidRPr="00827762" w14:paraId="4A79D28F" w14:textId="77777777" w:rsidTr="004079E0">
        <w:trPr>
          <w:trHeight w:hRule="exact" w:val="340"/>
        </w:trPr>
        <w:tc>
          <w:tcPr>
            <w:tcW w:w="4152" w:type="dxa"/>
            <w:tcBorders>
              <w:bottom w:val="single" w:sz="4" w:space="0" w:color="D9D9D9" w:themeColor="background1" w:themeShade="D9"/>
              <w:right w:val="single" w:sz="4" w:space="0" w:color="D9D9D9" w:themeColor="background1" w:themeShade="D9"/>
            </w:tcBorders>
            <w:shd w:val="clear" w:color="auto" w:fill="84E290" w:themeFill="accent3" w:themeFillTint="66"/>
            <w:tcMar>
              <w:top w:w="8" w:type="dxa"/>
              <w:left w:w="108" w:type="dxa"/>
              <w:bottom w:w="8" w:type="dxa"/>
              <w:right w:w="108" w:type="dxa"/>
            </w:tcMar>
            <w:vAlign w:val="center"/>
            <w:hideMark/>
          </w:tcPr>
          <w:p w14:paraId="4C3D9409" w14:textId="77777777" w:rsidR="00FA59E0" w:rsidRPr="00827762" w:rsidRDefault="00FA59E0" w:rsidP="004079E0">
            <w:pPr>
              <w:spacing w:line="240" w:lineRule="auto"/>
              <w:rPr>
                <w:rFonts w:ascii="Arial" w:hAnsi="Arial" w:cs="Arial"/>
              </w:rPr>
            </w:pPr>
            <w:r w:rsidRPr="00827762">
              <w:rPr>
                <w:rFonts w:ascii="Arial" w:eastAsia="Arial" w:hAnsi="Arial" w:cs="Arial"/>
                <w:b/>
                <w:bCs/>
              </w:rPr>
              <w:t>DUE DATE &amp; TIME</w:t>
            </w:r>
          </w:p>
        </w:tc>
        <w:tc>
          <w:tcPr>
            <w:tcW w:w="4353" w:type="dxa"/>
            <w:tcBorders>
              <w:left w:val="single" w:sz="4" w:space="0" w:color="D9D9D9" w:themeColor="background1" w:themeShade="D9"/>
              <w:bottom w:val="single" w:sz="4" w:space="0" w:color="D9D9D9" w:themeColor="background1" w:themeShade="D9"/>
            </w:tcBorders>
            <w:shd w:val="clear" w:color="auto" w:fill="84E290" w:themeFill="accent3" w:themeFillTint="66"/>
            <w:tcMar>
              <w:top w:w="8" w:type="dxa"/>
              <w:left w:w="108" w:type="dxa"/>
              <w:bottom w:w="8" w:type="dxa"/>
              <w:right w:w="108" w:type="dxa"/>
            </w:tcMar>
            <w:vAlign w:val="center"/>
            <w:hideMark/>
          </w:tcPr>
          <w:p w14:paraId="7164FE39" w14:textId="77777777" w:rsidR="00FA59E0" w:rsidRPr="00827762" w:rsidRDefault="00FA59E0" w:rsidP="004079E0">
            <w:pPr>
              <w:spacing w:line="240" w:lineRule="auto"/>
              <w:rPr>
                <w:rFonts w:ascii="Arial" w:hAnsi="Arial" w:cs="Arial"/>
              </w:rPr>
            </w:pPr>
            <w:r w:rsidRPr="00827762">
              <w:rPr>
                <w:rFonts w:ascii="Arial" w:eastAsia="Arial" w:hAnsi="Arial" w:cs="Arial"/>
                <w:b/>
                <w:bCs/>
              </w:rPr>
              <w:t>DESCRIPTION</w:t>
            </w:r>
          </w:p>
        </w:tc>
      </w:tr>
      <w:tr w:rsidR="00FA59E0" w:rsidRPr="00827762" w14:paraId="48A4A681" w14:textId="77777777" w:rsidTr="004079E0">
        <w:trPr>
          <w:trHeight w:val="300"/>
        </w:trPr>
        <w:tc>
          <w:tcPr>
            <w:tcW w:w="4152" w:type="dxa"/>
            <w:tcBorders>
              <w:top w:val="single" w:sz="4" w:space="0" w:color="D9D9D9" w:themeColor="background1" w:themeShade="D9"/>
              <w:bottom w:val="single" w:sz="4" w:space="0" w:color="D9D9D9" w:themeColor="background1" w:themeShade="D9"/>
              <w:right w:val="single" w:sz="4" w:space="0" w:color="D9D9D9" w:themeColor="background1" w:themeShade="D9"/>
            </w:tcBorders>
            <w:tcMar>
              <w:top w:w="8" w:type="dxa"/>
              <w:left w:w="108" w:type="dxa"/>
              <w:bottom w:w="8" w:type="dxa"/>
              <w:right w:w="108" w:type="dxa"/>
            </w:tcMar>
            <w:vAlign w:val="center"/>
          </w:tcPr>
          <w:p w14:paraId="3E8F898C" w14:textId="77777777" w:rsidR="00FA59E0" w:rsidRPr="00827762" w:rsidRDefault="00FA59E0" w:rsidP="004079E0">
            <w:pPr>
              <w:spacing w:line="240" w:lineRule="auto"/>
              <w:rPr>
                <w:rFonts w:ascii="Arial" w:eastAsia="Arial" w:hAnsi="Arial" w:cs="Arial"/>
              </w:rPr>
            </w:pPr>
            <w:r w:rsidRPr="00827762">
              <w:rPr>
                <w:rFonts w:ascii="Arial" w:eastAsia="Arial" w:hAnsi="Arial" w:cs="Arial"/>
              </w:rPr>
              <w:t>09/02/2026</w:t>
            </w:r>
          </w:p>
        </w:tc>
        <w:tc>
          <w:tcPr>
            <w:tcW w:w="4353" w:type="dxa"/>
            <w:tcBorders>
              <w:top w:val="single" w:sz="4" w:space="0" w:color="D9D9D9" w:themeColor="background1" w:themeShade="D9"/>
              <w:left w:val="single" w:sz="4" w:space="0" w:color="D9D9D9" w:themeColor="background1" w:themeShade="D9"/>
              <w:bottom w:val="single" w:sz="4" w:space="0" w:color="D9D9D9" w:themeColor="background1" w:themeShade="D9"/>
            </w:tcBorders>
            <w:tcMar>
              <w:top w:w="8" w:type="dxa"/>
              <w:left w:w="108" w:type="dxa"/>
              <w:bottom w:w="8" w:type="dxa"/>
              <w:right w:w="108" w:type="dxa"/>
            </w:tcMar>
            <w:vAlign w:val="center"/>
            <w:hideMark/>
          </w:tcPr>
          <w:p w14:paraId="239C9248" w14:textId="77777777" w:rsidR="00FA59E0" w:rsidRPr="00827762" w:rsidRDefault="00FA59E0" w:rsidP="004079E0">
            <w:pPr>
              <w:spacing w:line="240" w:lineRule="auto"/>
              <w:rPr>
                <w:rFonts w:ascii="Arial" w:eastAsia="Arial" w:hAnsi="Arial" w:cs="Arial"/>
                <w:color w:val="000000" w:themeColor="text1"/>
              </w:rPr>
            </w:pPr>
            <w:r w:rsidRPr="00827762">
              <w:rPr>
                <w:rFonts w:ascii="Arial" w:eastAsia="Arial" w:hAnsi="Arial" w:cs="Arial"/>
                <w:color w:val="000000" w:themeColor="text1"/>
              </w:rPr>
              <w:t>Issue RFI</w:t>
            </w:r>
          </w:p>
        </w:tc>
      </w:tr>
      <w:tr w:rsidR="00FA59E0" w:rsidRPr="00827762" w14:paraId="7CB18560" w14:textId="77777777" w:rsidTr="004079E0">
        <w:trPr>
          <w:trHeight w:hRule="exact" w:val="356"/>
        </w:trPr>
        <w:tc>
          <w:tcPr>
            <w:tcW w:w="4152" w:type="dxa"/>
            <w:tcBorders>
              <w:top w:val="single" w:sz="4" w:space="0" w:color="D9D9D9" w:themeColor="background1" w:themeShade="D9"/>
              <w:bottom w:val="single" w:sz="4" w:space="0" w:color="D9D9D9" w:themeColor="background1" w:themeShade="D9"/>
              <w:right w:val="single" w:sz="4" w:space="0" w:color="D9D9D9" w:themeColor="background1" w:themeShade="D9"/>
            </w:tcBorders>
            <w:tcMar>
              <w:top w:w="8" w:type="dxa"/>
              <w:left w:w="108" w:type="dxa"/>
              <w:bottom w:w="8" w:type="dxa"/>
              <w:right w:w="108" w:type="dxa"/>
            </w:tcMar>
            <w:vAlign w:val="center"/>
          </w:tcPr>
          <w:p w14:paraId="6F946E3D" w14:textId="77777777" w:rsidR="00FA59E0" w:rsidRPr="00827762" w:rsidRDefault="00FA59E0" w:rsidP="004079E0">
            <w:pPr>
              <w:spacing w:line="240" w:lineRule="auto"/>
              <w:rPr>
                <w:rFonts w:ascii="Arial" w:eastAsia="Arial" w:hAnsi="Arial" w:cs="Arial"/>
              </w:rPr>
            </w:pPr>
            <w:r w:rsidRPr="00827762">
              <w:rPr>
                <w:rFonts w:ascii="Arial" w:eastAsia="Arial" w:hAnsi="Arial" w:cs="Arial"/>
              </w:rPr>
              <w:t>13/02/2026</w:t>
            </w:r>
          </w:p>
        </w:tc>
        <w:tc>
          <w:tcPr>
            <w:tcW w:w="4353" w:type="dxa"/>
            <w:tcBorders>
              <w:top w:val="single" w:sz="4" w:space="0" w:color="D9D9D9" w:themeColor="background1" w:themeShade="D9"/>
              <w:left w:val="single" w:sz="4" w:space="0" w:color="D9D9D9" w:themeColor="background1" w:themeShade="D9"/>
              <w:bottom w:val="single" w:sz="4" w:space="0" w:color="D9D9D9" w:themeColor="background1" w:themeShade="D9"/>
            </w:tcBorders>
            <w:tcMar>
              <w:top w:w="8" w:type="dxa"/>
              <w:left w:w="108" w:type="dxa"/>
              <w:bottom w:w="8" w:type="dxa"/>
              <w:right w:w="108" w:type="dxa"/>
            </w:tcMar>
            <w:vAlign w:val="center"/>
          </w:tcPr>
          <w:p w14:paraId="2C561006" w14:textId="77777777" w:rsidR="00FA59E0" w:rsidRPr="00827762" w:rsidRDefault="00FA59E0" w:rsidP="004079E0">
            <w:pPr>
              <w:spacing w:line="240" w:lineRule="auto"/>
              <w:rPr>
                <w:rFonts w:ascii="Arial" w:eastAsia="Arial" w:hAnsi="Arial" w:cs="Arial"/>
                <w:color w:val="000000" w:themeColor="text1"/>
              </w:rPr>
            </w:pPr>
            <w:r w:rsidRPr="00827762">
              <w:rPr>
                <w:rFonts w:ascii="Arial" w:eastAsia="Arial" w:hAnsi="Arial" w:cs="Arial"/>
                <w:color w:val="000000" w:themeColor="text1"/>
              </w:rPr>
              <w:t>Deadline for Clarification Questions</w:t>
            </w:r>
          </w:p>
        </w:tc>
      </w:tr>
      <w:tr w:rsidR="00FA59E0" w:rsidRPr="00827762" w14:paraId="19F376E8" w14:textId="77777777" w:rsidTr="004079E0">
        <w:trPr>
          <w:trHeight w:hRule="exact" w:val="356"/>
        </w:trPr>
        <w:tc>
          <w:tcPr>
            <w:tcW w:w="4152" w:type="dxa"/>
            <w:tcBorders>
              <w:top w:val="single" w:sz="4" w:space="0" w:color="D9D9D9" w:themeColor="background1" w:themeShade="D9"/>
              <w:bottom w:val="single" w:sz="4" w:space="0" w:color="D9D9D9" w:themeColor="background1" w:themeShade="D9"/>
              <w:right w:val="single" w:sz="4" w:space="0" w:color="D9D9D9" w:themeColor="background1" w:themeShade="D9"/>
            </w:tcBorders>
            <w:tcMar>
              <w:top w:w="8" w:type="dxa"/>
              <w:left w:w="108" w:type="dxa"/>
              <w:bottom w:w="8" w:type="dxa"/>
              <w:right w:w="108" w:type="dxa"/>
            </w:tcMar>
            <w:vAlign w:val="center"/>
          </w:tcPr>
          <w:p w14:paraId="4156B3DA" w14:textId="77777777" w:rsidR="00FA59E0" w:rsidRPr="00827762" w:rsidRDefault="00FA59E0" w:rsidP="004079E0">
            <w:pPr>
              <w:spacing w:line="240" w:lineRule="auto"/>
              <w:rPr>
                <w:rFonts w:ascii="Arial" w:eastAsia="Arial" w:hAnsi="Arial" w:cs="Arial"/>
              </w:rPr>
            </w:pPr>
            <w:r w:rsidRPr="00827762">
              <w:rPr>
                <w:rFonts w:ascii="Arial" w:eastAsia="Arial" w:hAnsi="Arial" w:cs="Arial"/>
              </w:rPr>
              <w:t>20/02/2026</w:t>
            </w:r>
          </w:p>
        </w:tc>
        <w:tc>
          <w:tcPr>
            <w:tcW w:w="4353" w:type="dxa"/>
            <w:tcBorders>
              <w:top w:val="single" w:sz="4" w:space="0" w:color="D9D9D9" w:themeColor="background1" w:themeShade="D9"/>
              <w:left w:val="single" w:sz="4" w:space="0" w:color="D9D9D9" w:themeColor="background1" w:themeShade="D9"/>
              <w:bottom w:val="single" w:sz="4" w:space="0" w:color="D9D9D9" w:themeColor="background1" w:themeShade="D9"/>
            </w:tcBorders>
            <w:tcMar>
              <w:top w:w="8" w:type="dxa"/>
              <w:left w:w="108" w:type="dxa"/>
              <w:bottom w:w="8" w:type="dxa"/>
              <w:right w:w="108" w:type="dxa"/>
            </w:tcMar>
            <w:vAlign w:val="center"/>
            <w:hideMark/>
          </w:tcPr>
          <w:p w14:paraId="363E9554" w14:textId="77777777" w:rsidR="00FA59E0" w:rsidRPr="00827762" w:rsidRDefault="00FA59E0" w:rsidP="004079E0">
            <w:pPr>
              <w:spacing w:line="240" w:lineRule="auto"/>
              <w:rPr>
                <w:rFonts w:ascii="Arial" w:eastAsia="Arial" w:hAnsi="Arial" w:cs="Arial"/>
                <w:color w:val="000000" w:themeColor="text1"/>
              </w:rPr>
            </w:pPr>
            <w:r w:rsidRPr="00827762">
              <w:rPr>
                <w:rFonts w:ascii="Arial" w:eastAsia="Arial" w:hAnsi="Arial" w:cs="Arial"/>
                <w:color w:val="000000" w:themeColor="text1"/>
              </w:rPr>
              <w:t>Return of RFI responses from suppliers</w:t>
            </w:r>
          </w:p>
        </w:tc>
      </w:tr>
    </w:tbl>
    <w:p w14:paraId="2C256F62" w14:textId="77777777" w:rsidR="00FA59E0" w:rsidRPr="00827762" w:rsidRDefault="00FA59E0" w:rsidP="00FA59E0">
      <w:pPr>
        <w:spacing w:line="240" w:lineRule="auto"/>
        <w:rPr>
          <w:rFonts w:ascii="Arial" w:hAnsi="Arial" w:cs="Arial"/>
        </w:rPr>
      </w:pPr>
    </w:p>
    <w:p w14:paraId="4E34C119" w14:textId="5D430DE9" w:rsidR="00EC1FC9" w:rsidRPr="00827762" w:rsidRDefault="00EC1FC9" w:rsidP="00EC1FC9">
      <w:pPr>
        <w:spacing w:line="240" w:lineRule="auto"/>
        <w:ind w:firstLine="720"/>
        <w:rPr>
          <w:rFonts w:ascii="Arial" w:hAnsi="Arial" w:cs="Arial"/>
        </w:rPr>
      </w:pPr>
      <w:r w:rsidRPr="00827762">
        <w:rPr>
          <w:rFonts w:ascii="Arial" w:hAnsi="Arial" w:cs="Arial"/>
        </w:rPr>
        <w:t>Dates may be amended at the Authority’s discretion</w:t>
      </w:r>
    </w:p>
    <w:p w14:paraId="332ED8EC" w14:textId="77777777" w:rsidR="00FA59E0" w:rsidRPr="00827762" w:rsidRDefault="00FA59E0" w:rsidP="00FA59E0">
      <w:pPr>
        <w:spacing w:line="240" w:lineRule="auto"/>
        <w:rPr>
          <w:rFonts w:ascii="Arial" w:hAnsi="Arial" w:cs="Arial"/>
        </w:rPr>
      </w:pPr>
    </w:p>
    <w:p w14:paraId="274492CE" w14:textId="77777777" w:rsidR="00FA59E0" w:rsidRPr="00827762" w:rsidRDefault="00FA59E0" w:rsidP="00FA59E0">
      <w:pPr>
        <w:tabs>
          <w:tab w:val="left" w:pos="720"/>
        </w:tabs>
        <w:spacing w:line="240" w:lineRule="auto"/>
        <w:jc w:val="both"/>
        <w:rPr>
          <w:rFonts w:ascii="Arial" w:hAnsi="Arial" w:cs="Arial"/>
          <w:sz w:val="28"/>
          <w:szCs w:val="28"/>
        </w:rPr>
      </w:pPr>
      <w:r w:rsidRPr="00827762">
        <w:rPr>
          <w:rFonts w:ascii="Arial" w:eastAsia="Arial" w:hAnsi="Arial" w:cs="Arial"/>
          <w:b/>
          <w:bCs/>
          <w:sz w:val="28"/>
          <w:szCs w:val="28"/>
        </w:rPr>
        <w:t xml:space="preserve">1.7 </w:t>
      </w:r>
      <w:r w:rsidRPr="00827762">
        <w:rPr>
          <w:rFonts w:ascii="Arial" w:hAnsi="Arial" w:cs="Arial"/>
        </w:rPr>
        <w:tab/>
      </w:r>
      <w:r w:rsidRPr="00827762">
        <w:rPr>
          <w:rFonts w:ascii="Arial" w:eastAsia="Arial" w:hAnsi="Arial" w:cs="Arial"/>
          <w:b/>
          <w:bCs/>
          <w:sz w:val="28"/>
          <w:szCs w:val="28"/>
        </w:rPr>
        <w:t>How to Submit your Information to the Trust</w:t>
      </w:r>
    </w:p>
    <w:p w14:paraId="0CC09DBD" w14:textId="77777777" w:rsidR="00FA59E0" w:rsidRPr="00827762" w:rsidRDefault="00FA59E0" w:rsidP="00FA59E0">
      <w:pPr>
        <w:spacing w:line="240" w:lineRule="auto"/>
        <w:jc w:val="both"/>
        <w:rPr>
          <w:rFonts w:ascii="Arial" w:hAnsi="Arial" w:cs="Arial"/>
        </w:rPr>
      </w:pPr>
    </w:p>
    <w:p w14:paraId="54701847" w14:textId="77777777" w:rsidR="00FA59E0" w:rsidRPr="00827762" w:rsidRDefault="00FA59E0" w:rsidP="00FA59E0">
      <w:pPr>
        <w:pStyle w:val="ListParagraph"/>
        <w:numPr>
          <w:ilvl w:val="0"/>
          <w:numId w:val="11"/>
        </w:numPr>
        <w:spacing w:line="240" w:lineRule="auto"/>
        <w:jc w:val="both"/>
        <w:rPr>
          <w:rFonts w:ascii="Arial" w:hAnsi="Arial" w:cs="Arial"/>
        </w:rPr>
      </w:pPr>
      <w:r w:rsidRPr="00827762">
        <w:rPr>
          <w:rFonts w:ascii="Arial" w:hAnsi="Arial" w:cs="Arial"/>
        </w:rPr>
        <w:t>Closing date/time: As per the timetable above.</w:t>
      </w:r>
    </w:p>
    <w:p w14:paraId="6B60339B" w14:textId="77777777" w:rsidR="00FA59E0" w:rsidRPr="00827762" w:rsidRDefault="00FA59E0" w:rsidP="00FA59E0">
      <w:pPr>
        <w:spacing w:line="240" w:lineRule="auto"/>
        <w:ind w:left="709" w:hanging="709"/>
        <w:jc w:val="both"/>
        <w:rPr>
          <w:rFonts w:ascii="Arial" w:hAnsi="Arial" w:cs="Arial"/>
        </w:rPr>
      </w:pPr>
    </w:p>
    <w:p w14:paraId="64A8BD03" w14:textId="77777777" w:rsidR="00FA59E0" w:rsidRPr="00827762" w:rsidRDefault="00FA59E0" w:rsidP="00FA59E0">
      <w:pPr>
        <w:pStyle w:val="ListParagraph"/>
        <w:numPr>
          <w:ilvl w:val="0"/>
          <w:numId w:val="11"/>
        </w:numPr>
        <w:spacing w:line="240" w:lineRule="auto"/>
        <w:jc w:val="both"/>
        <w:rPr>
          <w:rFonts w:ascii="Arial" w:hAnsi="Arial" w:cs="Arial"/>
        </w:rPr>
      </w:pPr>
      <w:r w:rsidRPr="00827762">
        <w:rPr>
          <w:rFonts w:ascii="Arial" w:hAnsi="Arial" w:cs="Arial"/>
        </w:rPr>
        <w:t>Please submit your response via Atamis (Health Commercial System)</w:t>
      </w:r>
    </w:p>
    <w:p w14:paraId="38681819" w14:textId="77777777" w:rsidR="00FA59E0" w:rsidRPr="00827762" w:rsidRDefault="00FA59E0" w:rsidP="00FA59E0">
      <w:pPr>
        <w:spacing w:line="240" w:lineRule="auto"/>
        <w:ind w:left="709" w:hanging="709"/>
        <w:jc w:val="both"/>
        <w:rPr>
          <w:rFonts w:ascii="Arial" w:hAnsi="Arial" w:cs="Arial"/>
        </w:rPr>
      </w:pPr>
    </w:p>
    <w:p w14:paraId="0C71422A" w14:textId="77777777" w:rsidR="00FA59E0" w:rsidRPr="00827762" w:rsidRDefault="00FA59E0" w:rsidP="00FA59E0">
      <w:pPr>
        <w:pStyle w:val="ListParagraph"/>
        <w:numPr>
          <w:ilvl w:val="0"/>
          <w:numId w:val="12"/>
        </w:numPr>
        <w:spacing w:line="240" w:lineRule="auto"/>
        <w:jc w:val="both"/>
        <w:rPr>
          <w:rFonts w:ascii="Arial" w:hAnsi="Arial" w:cs="Arial"/>
        </w:rPr>
      </w:pPr>
      <w:r w:rsidRPr="00827762">
        <w:rPr>
          <w:rFonts w:ascii="Arial" w:hAnsi="Arial" w:cs="Arial"/>
        </w:rPr>
        <w:t>Ensure submission before the deadline; late responses may be rejected.</w:t>
      </w:r>
      <w:r w:rsidRPr="00827762">
        <w:rPr>
          <w:rFonts w:ascii="Arial" w:eastAsia="Arial" w:hAnsi="Arial" w:cs="Arial"/>
        </w:rPr>
        <w:t xml:space="preserve"> </w:t>
      </w:r>
    </w:p>
    <w:p w14:paraId="7003F8E1" w14:textId="77777777" w:rsidR="00FA59E0" w:rsidRPr="00827762" w:rsidRDefault="00FA59E0" w:rsidP="00FA59E0">
      <w:pPr>
        <w:pStyle w:val="ListParagraph"/>
        <w:spacing w:line="240" w:lineRule="auto"/>
        <w:jc w:val="both"/>
        <w:rPr>
          <w:rFonts w:ascii="Arial" w:hAnsi="Arial" w:cs="Arial"/>
        </w:rPr>
      </w:pPr>
    </w:p>
    <w:p w14:paraId="636FD5B5" w14:textId="77777777" w:rsidR="00FA59E0" w:rsidRPr="00827762" w:rsidRDefault="00FA59E0" w:rsidP="00FA59E0">
      <w:pPr>
        <w:tabs>
          <w:tab w:val="left" w:pos="720"/>
        </w:tabs>
        <w:spacing w:line="240" w:lineRule="auto"/>
        <w:jc w:val="both"/>
        <w:rPr>
          <w:rFonts w:ascii="Arial" w:eastAsia="Arial" w:hAnsi="Arial" w:cs="Arial"/>
          <w:b/>
          <w:bCs/>
          <w:sz w:val="28"/>
          <w:szCs w:val="28"/>
        </w:rPr>
      </w:pPr>
      <w:r w:rsidRPr="00827762">
        <w:rPr>
          <w:rFonts w:ascii="Arial" w:eastAsia="Arial" w:hAnsi="Arial" w:cs="Arial"/>
          <w:b/>
          <w:bCs/>
          <w:sz w:val="28"/>
          <w:szCs w:val="28"/>
        </w:rPr>
        <w:t xml:space="preserve">1.8 </w:t>
      </w:r>
      <w:r w:rsidRPr="00827762">
        <w:rPr>
          <w:rFonts w:ascii="Arial" w:hAnsi="Arial" w:cs="Arial"/>
        </w:rPr>
        <w:tab/>
      </w:r>
      <w:r w:rsidRPr="00827762">
        <w:rPr>
          <w:rFonts w:ascii="Arial" w:eastAsia="Arial" w:hAnsi="Arial" w:cs="Arial"/>
          <w:b/>
          <w:bCs/>
          <w:sz w:val="28"/>
          <w:szCs w:val="28"/>
        </w:rPr>
        <w:t>Information Costs and Rights to Cancel</w:t>
      </w:r>
    </w:p>
    <w:p w14:paraId="54667843" w14:textId="77777777" w:rsidR="00FA59E0" w:rsidRPr="00827762" w:rsidRDefault="00FA59E0" w:rsidP="00FA59E0">
      <w:pPr>
        <w:spacing w:line="240" w:lineRule="auto"/>
        <w:jc w:val="both"/>
        <w:rPr>
          <w:rFonts w:ascii="Arial" w:hAnsi="Arial" w:cs="Arial"/>
        </w:rPr>
      </w:pPr>
    </w:p>
    <w:p w14:paraId="7A2097AD" w14:textId="77777777" w:rsidR="00FA59E0" w:rsidRPr="00827762" w:rsidRDefault="00FA59E0" w:rsidP="00FA59E0">
      <w:pPr>
        <w:spacing w:line="240" w:lineRule="auto"/>
        <w:ind w:left="709" w:hanging="709"/>
        <w:jc w:val="both"/>
        <w:rPr>
          <w:rFonts w:ascii="Arial" w:hAnsi="Arial" w:cs="Arial"/>
        </w:rPr>
      </w:pPr>
      <w:r w:rsidRPr="00827762">
        <w:rPr>
          <w:rFonts w:ascii="Arial" w:eastAsia="Arial" w:hAnsi="Arial" w:cs="Arial"/>
        </w:rPr>
        <w:t>1.8.1</w:t>
      </w:r>
      <w:r w:rsidRPr="00827762">
        <w:rPr>
          <w:rFonts w:ascii="Arial" w:hAnsi="Arial" w:cs="Arial"/>
        </w:rPr>
        <w:tab/>
      </w:r>
      <w:r w:rsidRPr="00827762">
        <w:rPr>
          <w:rFonts w:ascii="Arial" w:eastAsia="Arial" w:hAnsi="Arial" w:cs="Arial"/>
        </w:rPr>
        <w:t xml:space="preserve">The Trust shall not be liable for any costs, </w:t>
      </w:r>
      <w:bookmarkStart w:id="4" w:name="_Int_v5X6IY28"/>
      <w:r w:rsidRPr="00827762">
        <w:rPr>
          <w:rFonts w:ascii="Arial" w:eastAsia="Arial" w:hAnsi="Arial" w:cs="Arial"/>
        </w:rPr>
        <w:t>expenses</w:t>
      </w:r>
      <w:bookmarkEnd w:id="4"/>
      <w:r w:rsidRPr="00827762">
        <w:rPr>
          <w:rFonts w:ascii="Arial" w:eastAsia="Arial" w:hAnsi="Arial" w:cs="Arial"/>
        </w:rPr>
        <w:t xml:space="preserve"> or losses, whatsoever, which may be incurred by any potential supplier in the preparation of their information. </w:t>
      </w:r>
    </w:p>
    <w:p w14:paraId="4F67B2EB" w14:textId="77777777" w:rsidR="00FA59E0" w:rsidRPr="00827762" w:rsidRDefault="00FA59E0" w:rsidP="00FA59E0">
      <w:pPr>
        <w:spacing w:line="240" w:lineRule="auto"/>
        <w:ind w:left="709"/>
        <w:jc w:val="both"/>
        <w:rPr>
          <w:rFonts w:ascii="Arial" w:hAnsi="Arial" w:cs="Arial"/>
        </w:rPr>
      </w:pPr>
    </w:p>
    <w:p w14:paraId="5847D0F0" w14:textId="77777777" w:rsidR="00FA59E0" w:rsidRPr="00827762" w:rsidRDefault="00FA59E0" w:rsidP="00FA59E0">
      <w:pPr>
        <w:spacing w:line="240" w:lineRule="auto"/>
        <w:ind w:left="709" w:hanging="709"/>
        <w:jc w:val="both"/>
        <w:rPr>
          <w:rFonts w:ascii="Arial" w:hAnsi="Arial" w:cs="Arial"/>
        </w:rPr>
      </w:pPr>
      <w:r w:rsidRPr="00827762">
        <w:rPr>
          <w:rFonts w:ascii="Arial" w:eastAsia="Arial" w:hAnsi="Arial" w:cs="Arial"/>
        </w:rPr>
        <w:t>1.8.2</w:t>
      </w:r>
      <w:r w:rsidRPr="00827762">
        <w:rPr>
          <w:rFonts w:ascii="Arial" w:hAnsi="Arial" w:cs="Arial"/>
        </w:rPr>
        <w:tab/>
      </w:r>
      <w:r w:rsidRPr="00827762">
        <w:rPr>
          <w:rFonts w:ascii="Arial" w:eastAsia="Arial" w:hAnsi="Arial" w:cs="Arial"/>
        </w:rPr>
        <w:t xml:space="preserve">The Trust reserves the right to terminate, suspend, </w:t>
      </w:r>
      <w:bookmarkStart w:id="5" w:name="_Int_UcSKfgX3"/>
      <w:r w:rsidRPr="00827762">
        <w:rPr>
          <w:rFonts w:ascii="Arial" w:eastAsia="Arial" w:hAnsi="Arial" w:cs="Arial"/>
        </w:rPr>
        <w:t>amend</w:t>
      </w:r>
      <w:bookmarkEnd w:id="5"/>
      <w:r w:rsidRPr="00827762">
        <w:rPr>
          <w:rFonts w:ascii="Arial" w:eastAsia="Arial" w:hAnsi="Arial" w:cs="Arial"/>
        </w:rPr>
        <w:t xml:space="preserve"> or vary (to include, without limitation, in relation to any timescales or deadlines) this Process. </w:t>
      </w:r>
    </w:p>
    <w:p w14:paraId="562772C9" w14:textId="77777777" w:rsidR="00FA59E0" w:rsidRPr="00827762" w:rsidRDefault="00FA59E0" w:rsidP="00FA59E0">
      <w:pPr>
        <w:spacing w:before="240" w:after="120" w:line="360" w:lineRule="auto"/>
        <w:jc w:val="both"/>
        <w:rPr>
          <w:rFonts w:ascii="Arial" w:hAnsi="Arial" w:cs="Arial"/>
          <w:sz w:val="28"/>
          <w:szCs w:val="28"/>
        </w:rPr>
      </w:pPr>
      <w:r w:rsidRPr="00827762">
        <w:rPr>
          <w:rFonts w:ascii="Arial" w:eastAsia="Arial" w:hAnsi="Arial" w:cs="Arial"/>
          <w:b/>
          <w:bCs/>
          <w:sz w:val="28"/>
          <w:szCs w:val="28"/>
        </w:rPr>
        <w:t>1.9</w:t>
      </w:r>
      <w:r w:rsidRPr="00827762">
        <w:rPr>
          <w:rFonts w:ascii="Arial" w:hAnsi="Arial" w:cs="Arial"/>
        </w:rPr>
        <w:tab/>
      </w:r>
      <w:r w:rsidRPr="00827762">
        <w:rPr>
          <w:rFonts w:ascii="Arial" w:eastAsia="Arial" w:hAnsi="Arial" w:cs="Arial"/>
          <w:b/>
          <w:bCs/>
          <w:sz w:val="28"/>
          <w:szCs w:val="28"/>
        </w:rPr>
        <w:t>Confidentiality and Information Governance</w:t>
      </w:r>
    </w:p>
    <w:p w14:paraId="426B5C91" w14:textId="77777777" w:rsidR="00FA59E0" w:rsidRPr="00827762" w:rsidRDefault="00FA59E0" w:rsidP="00FA59E0">
      <w:pPr>
        <w:spacing w:before="120" w:after="200" w:line="240" w:lineRule="auto"/>
        <w:ind w:left="720" w:hanging="720"/>
        <w:jc w:val="both"/>
        <w:rPr>
          <w:rFonts w:ascii="Arial" w:hAnsi="Arial" w:cs="Arial"/>
        </w:rPr>
      </w:pPr>
      <w:r w:rsidRPr="00827762">
        <w:rPr>
          <w:rFonts w:ascii="Arial" w:eastAsia="Arial" w:hAnsi="Arial" w:cs="Arial"/>
        </w:rPr>
        <w:t>1.9.1</w:t>
      </w:r>
      <w:r w:rsidRPr="00827762">
        <w:rPr>
          <w:rFonts w:ascii="Arial" w:hAnsi="Arial" w:cs="Arial"/>
        </w:rPr>
        <w:tab/>
      </w:r>
      <w:r w:rsidRPr="00827762">
        <w:rPr>
          <w:rFonts w:ascii="Arial" w:eastAsia="Arial" w:hAnsi="Arial" w:cs="Arial"/>
        </w:rPr>
        <w:t>All information supplied to you by the Trust,</w:t>
      </w:r>
      <w:r w:rsidRPr="00827762">
        <w:rPr>
          <w:rFonts w:ascii="Arial" w:hAnsi="Arial" w:cs="Arial"/>
        </w:rPr>
        <w:t xml:space="preserve"> </w:t>
      </w:r>
      <w:r w:rsidRPr="00827762">
        <w:rPr>
          <w:rFonts w:ascii="Arial" w:eastAsia="Arial" w:hAnsi="Arial" w:cs="Arial"/>
        </w:rPr>
        <w:t>including this RFI and all other documents relating to this Procurement Process, either in writing or orally, must be treated in confidence and not disclosed to any third party, save to your professional advisers, consortium members and/or sub-contractors strictly for the purposes only of helping prepare your information, unless the information is already in the public domain.</w:t>
      </w:r>
    </w:p>
    <w:p w14:paraId="2BCAEE75" w14:textId="77777777" w:rsidR="00FA59E0" w:rsidRPr="00827762" w:rsidRDefault="00FA59E0" w:rsidP="00FA59E0">
      <w:pPr>
        <w:spacing w:before="240" w:after="200" w:line="240" w:lineRule="auto"/>
        <w:ind w:left="720" w:hanging="720"/>
        <w:jc w:val="both"/>
        <w:rPr>
          <w:rFonts w:ascii="Arial" w:hAnsi="Arial" w:cs="Arial"/>
        </w:rPr>
      </w:pPr>
      <w:r w:rsidRPr="00827762">
        <w:rPr>
          <w:rFonts w:ascii="Arial" w:eastAsia="Arial" w:hAnsi="Arial" w:cs="Arial"/>
        </w:rPr>
        <w:t>1.9.2</w:t>
      </w:r>
      <w:r w:rsidRPr="00827762">
        <w:rPr>
          <w:rFonts w:ascii="Arial" w:hAnsi="Arial" w:cs="Arial"/>
        </w:rPr>
        <w:tab/>
      </w:r>
      <w:r w:rsidRPr="00827762">
        <w:rPr>
          <w:rFonts w:ascii="Arial" w:eastAsia="Arial" w:hAnsi="Arial" w:cs="Arial"/>
        </w:rPr>
        <w:t xml:space="preserve">There must be no publicity by you regarding the Procurement Process or the future contract unless the Trust has given express written consent. </w:t>
      </w:r>
    </w:p>
    <w:p w14:paraId="232AD8CB" w14:textId="77777777" w:rsidR="00FA59E0" w:rsidRPr="00827762" w:rsidRDefault="00FA59E0" w:rsidP="00FA59E0">
      <w:pPr>
        <w:spacing w:before="240" w:after="200" w:line="240" w:lineRule="auto"/>
        <w:ind w:left="720" w:hanging="720"/>
        <w:jc w:val="both"/>
        <w:rPr>
          <w:rFonts w:ascii="Arial" w:hAnsi="Arial" w:cs="Arial"/>
        </w:rPr>
      </w:pPr>
      <w:r w:rsidRPr="00827762">
        <w:rPr>
          <w:rFonts w:ascii="Arial" w:eastAsia="Arial" w:hAnsi="Arial" w:cs="Arial"/>
        </w:rPr>
        <w:t>1.9.3</w:t>
      </w:r>
      <w:r w:rsidRPr="00827762">
        <w:rPr>
          <w:rFonts w:ascii="Arial" w:hAnsi="Arial" w:cs="Arial"/>
        </w:rPr>
        <w:tab/>
      </w:r>
      <w:r w:rsidRPr="00827762">
        <w:rPr>
          <w:rFonts w:ascii="Arial" w:eastAsia="Arial" w:hAnsi="Arial" w:cs="Arial"/>
        </w:rPr>
        <w:t xml:space="preserve">This RFI and its </w:t>
      </w:r>
      <w:bookmarkStart w:id="6" w:name="_Int_uJ6dPyur"/>
      <w:r w:rsidRPr="00827762">
        <w:rPr>
          <w:rFonts w:ascii="Arial" w:eastAsia="Arial" w:hAnsi="Arial" w:cs="Arial"/>
        </w:rPr>
        <w:t>accompanying</w:t>
      </w:r>
      <w:bookmarkEnd w:id="6"/>
      <w:r w:rsidRPr="00827762">
        <w:rPr>
          <w:rFonts w:ascii="Arial" w:eastAsia="Arial" w:hAnsi="Arial" w:cs="Arial"/>
        </w:rPr>
        <w:t xml:space="preserve"> documents shall remain the property of the Trust and must be returned on demand. </w:t>
      </w:r>
    </w:p>
    <w:p w14:paraId="3DCBB8DD" w14:textId="77777777" w:rsidR="00FA59E0" w:rsidRPr="00827762" w:rsidRDefault="00FA59E0" w:rsidP="00FA59E0">
      <w:pPr>
        <w:spacing w:before="240" w:after="200" w:line="240" w:lineRule="auto"/>
        <w:ind w:left="720" w:hanging="720"/>
        <w:jc w:val="both"/>
        <w:rPr>
          <w:rFonts w:ascii="Arial" w:eastAsia="Arial" w:hAnsi="Arial" w:cs="Arial"/>
        </w:rPr>
      </w:pPr>
      <w:r w:rsidRPr="00827762">
        <w:rPr>
          <w:rFonts w:ascii="Arial" w:eastAsia="Arial" w:hAnsi="Arial" w:cs="Arial"/>
        </w:rPr>
        <w:t>1.9.4</w:t>
      </w:r>
      <w:r w:rsidRPr="00827762">
        <w:rPr>
          <w:rFonts w:ascii="Arial" w:hAnsi="Arial" w:cs="Arial"/>
        </w:rPr>
        <w:tab/>
      </w:r>
      <w:r w:rsidRPr="00827762">
        <w:rPr>
          <w:rFonts w:ascii="Arial" w:eastAsia="Arial" w:hAnsi="Arial" w:cs="Arial"/>
        </w:rPr>
        <w:t>The Trust reserves the right to disclose all documents relating to this Process, including without limitation; your response, to any employee, third party agent, adviser or other third party involved in the procurement in support of, and/or in collaboration with, the Trust. By participating in this Procurement Process, you agree to such disclosure and/or publication by the Trust.</w:t>
      </w:r>
    </w:p>
    <w:p w14:paraId="791C6FE9" w14:textId="24CA8429" w:rsidR="00FA59E0" w:rsidRPr="00827762" w:rsidRDefault="00FA59E0" w:rsidP="001A547E">
      <w:pPr>
        <w:spacing w:before="240" w:after="200" w:line="240" w:lineRule="auto"/>
        <w:jc w:val="both"/>
        <w:rPr>
          <w:rFonts w:ascii="Arial" w:eastAsia="Arial" w:hAnsi="Arial" w:cs="Arial"/>
        </w:rPr>
      </w:pPr>
    </w:p>
    <w:p w14:paraId="52FE29C4" w14:textId="77777777" w:rsidR="00FA59E0" w:rsidRPr="00827762" w:rsidRDefault="00FA59E0" w:rsidP="00FA59E0">
      <w:pPr>
        <w:tabs>
          <w:tab w:val="left" w:pos="720"/>
        </w:tabs>
        <w:spacing w:after="120" w:line="240" w:lineRule="auto"/>
        <w:ind w:left="720" w:hanging="720"/>
        <w:rPr>
          <w:rFonts w:ascii="Arial" w:eastAsia="Arial" w:hAnsi="Arial" w:cs="Arial"/>
          <w:b/>
          <w:bCs/>
          <w:sz w:val="28"/>
          <w:szCs w:val="28"/>
        </w:rPr>
      </w:pPr>
      <w:r w:rsidRPr="00827762">
        <w:rPr>
          <w:rFonts w:ascii="Arial" w:eastAsia="Arial" w:hAnsi="Arial" w:cs="Arial"/>
          <w:b/>
          <w:bCs/>
          <w:sz w:val="28"/>
          <w:szCs w:val="28"/>
        </w:rPr>
        <w:t>1.10 Freedom of Information Act 2000 (FOIA)</w:t>
      </w:r>
    </w:p>
    <w:p w14:paraId="7B95223C" w14:textId="77777777" w:rsidR="00FA59E0" w:rsidRPr="00827762" w:rsidRDefault="00FA59E0" w:rsidP="00FA59E0">
      <w:pPr>
        <w:tabs>
          <w:tab w:val="left" w:pos="720"/>
        </w:tabs>
        <w:spacing w:after="120" w:line="240" w:lineRule="auto"/>
        <w:ind w:left="720" w:hanging="720"/>
        <w:rPr>
          <w:rFonts w:ascii="Arial" w:hAnsi="Arial" w:cs="Arial"/>
          <w:sz w:val="28"/>
          <w:szCs w:val="28"/>
        </w:rPr>
      </w:pPr>
    </w:p>
    <w:p w14:paraId="234F566E" w14:textId="77777777" w:rsidR="00FA59E0" w:rsidRPr="00827762" w:rsidRDefault="00FA59E0" w:rsidP="00FA59E0">
      <w:pPr>
        <w:tabs>
          <w:tab w:val="left" w:pos="720"/>
        </w:tabs>
        <w:spacing w:line="240" w:lineRule="auto"/>
        <w:ind w:left="720" w:hanging="720"/>
        <w:jc w:val="both"/>
        <w:rPr>
          <w:rFonts w:ascii="Arial" w:hAnsi="Arial" w:cs="Arial"/>
        </w:rPr>
      </w:pPr>
      <w:r w:rsidRPr="00827762">
        <w:rPr>
          <w:rFonts w:ascii="Arial" w:eastAsia="Arial" w:hAnsi="Arial" w:cs="Arial"/>
        </w:rPr>
        <w:t>1.10.1 The Freedom of Information Act 2000 (</w:t>
      </w:r>
      <w:r w:rsidRPr="00827762">
        <w:rPr>
          <w:rFonts w:ascii="Arial" w:eastAsia="Arial" w:hAnsi="Arial" w:cs="Arial"/>
          <w:b/>
          <w:bCs/>
        </w:rPr>
        <w:t>FOIA</w:t>
      </w:r>
      <w:r w:rsidRPr="00827762">
        <w:rPr>
          <w:rFonts w:ascii="Arial" w:eastAsia="Arial" w:hAnsi="Arial" w:cs="Arial"/>
        </w:rPr>
        <w:t xml:space="preserve">) gives the public a legal right of            access to information held by public authorities. The public now have a right to know about our work and it is our duty to operate with openness and transparency. </w:t>
      </w:r>
      <w:r w:rsidRPr="00827762">
        <w:rPr>
          <w:rFonts w:ascii="Arial" w:eastAsia="Arial" w:hAnsi="Arial" w:cs="Arial"/>
          <w:b/>
          <w:bCs/>
        </w:rPr>
        <w:t>All</w:t>
      </w:r>
      <w:r w:rsidRPr="00827762">
        <w:rPr>
          <w:rFonts w:ascii="Arial" w:eastAsia="Arial" w:hAnsi="Arial" w:cs="Arial"/>
        </w:rPr>
        <w:t xml:space="preserve"> information held by the Trust is </w:t>
      </w:r>
      <w:bookmarkStart w:id="7" w:name="_Int_8H436oZ8"/>
      <w:r w:rsidRPr="00827762">
        <w:rPr>
          <w:rFonts w:ascii="Arial" w:eastAsia="Arial" w:hAnsi="Arial" w:cs="Arial"/>
        </w:rPr>
        <w:t>caught</w:t>
      </w:r>
      <w:bookmarkEnd w:id="7"/>
      <w:r w:rsidRPr="00827762">
        <w:rPr>
          <w:rFonts w:ascii="Arial" w:eastAsia="Arial" w:hAnsi="Arial" w:cs="Arial"/>
        </w:rPr>
        <w:t xml:space="preserve"> by the FOIA. The rules about disclosure apply regardless of where the information originated. This means that all the following types of information </w:t>
      </w:r>
      <w:r w:rsidRPr="00827762">
        <w:rPr>
          <w:rFonts w:ascii="Arial" w:eastAsia="Arial" w:hAnsi="Arial" w:cs="Arial"/>
          <w:b/>
          <w:bCs/>
        </w:rPr>
        <w:t>may</w:t>
      </w:r>
      <w:r w:rsidRPr="00827762">
        <w:rPr>
          <w:rFonts w:ascii="Arial" w:eastAsia="Arial" w:hAnsi="Arial" w:cs="Arial"/>
        </w:rPr>
        <w:t xml:space="preserve"> be subject to disclosure:</w:t>
      </w:r>
    </w:p>
    <w:p w14:paraId="35B36C8A" w14:textId="77777777" w:rsidR="00FA59E0" w:rsidRPr="00827762" w:rsidRDefault="00FA59E0" w:rsidP="00FA59E0">
      <w:pPr>
        <w:spacing w:line="240" w:lineRule="auto"/>
        <w:ind w:left="720"/>
        <w:jc w:val="both"/>
        <w:rPr>
          <w:rFonts w:ascii="Arial" w:hAnsi="Arial" w:cs="Arial"/>
        </w:rPr>
      </w:pPr>
    </w:p>
    <w:p w14:paraId="3F57B4E9" w14:textId="77777777" w:rsidR="00FA59E0" w:rsidRPr="00827762" w:rsidRDefault="00FA59E0" w:rsidP="00FA59E0">
      <w:pPr>
        <w:numPr>
          <w:ilvl w:val="0"/>
          <w:numId w:val="5"/>
        </w:numPr>
        <w:pBdr>
          <w:left w:val="none" w:sz="0" w:space="3" w:color="auto"/>
        </w:pBdr>
        <w:spacing w:line="240" w:lineRule="auto"/>
        <w:ind w:left="1080"/>
        <w:jc w:val="both"/>
        <w:rPr>
          <w:rFonts w:ascii="Arial" w:eastAsia="Arial" w:hAnsi="Arial" w:cs="Arial"/>
        </w:rPr>
      </w:pPr>
      <w:r w:rsidRPr="00827762">
        <w:rPr>
          <w:rFonts w:ascii="Arial" w:eastAsia="Arial" w:hAnsi="Arial" w:cs="Arial"/>
        </w:rPr>
        <w:t>Information in any Information submitted to us;</w:t>
      </w:r>
    </w:p>
    <w:p w14:paraId="22C43320" w14:textId="77777777" w:rsidR="00FA59E0" w:rsidRPr="00827762" w:rsidRDefault="00FA59E0" w:rsidP="00FA59E0">
      <w:pPr>
        <w:numPr>
          <w:ilvl w:val="0"/>
          <w:numId w:val="5"/>
        </w:numPr>
        <w:pBdr>
          <w:left w:val="none" w:sz="0" w:space="3" w:color="auto"/>
        </w:pBdr>
        <w:spacing w:line="240" w:lineRule="auto"/>
        <w:ind w:left="1080"/>
        <w:jc w:val="both"/>
        <w:rPr>
          <w:rFonts w:ascii="Arial" w:eastAsia="Arial" w:hAnsi="Arial" w:cs="Arial"/>
        </w:rPr>
      </w:pPr>
      <w:r w:rsidRPr="00827762">
        <w:rPr>
          <w:rFonts w:ascii="Arial" w:eastAsia="Arial" w:hAnsi="Arial" w:cs="Arial"/>
        </w:rPr>
        <w:t xml:space="preserve">Information in any contract to which we are a party (including information generated under a contract or </w:t>
      </w:r>
      <w:bookmarkStart w:id="8" w:name="_Int_zq5BISDz"/>
      <w:r w:rsidRPr="00827762">
        <w:rPr>
          <w:rFonts w:ascii="Arial" w:eastAsia="Arial" w:hAnsi="Arial" w:cs="Arial"/>
        </w:rPr>
        <w:t>in the course of</w:t>
      </w:r>
      <w:bookmarkEnd w:id="8"/>
      <w:r w:rsidRPr="00827762">
        <w:rPr>
          <w:rFonts w:ascii="Arial" w:eastAsia="Arial" w:hAnsi="Arial" w:cs="Arial"/>
        </w:rPr>
        <w:t xml:space="preserve"> its performance);</w:t>
      </w:r>
    </w:p>
    <w:p w14:paraId="5BEA1C5A" w14:textId="77777777" w:rsidR="00FA59E0" w:rsidRPr="00827762" w:rsidRDefault="00FA59E0" w:rsidP="00FA59E0">
      <w:pPr>
        <w:numPr>
          <w:ilvl w:val="0"/>
          <w:numId w:val="5"/>
        </w:numPr>
        <w:pBdr>
          <w:left w:val="none" w:sz="0" w:space="4" w:color="auto"/>
        </w:pBdr>
        <w:spacing w:line="240" w:lineRule="auto"/>
        <w:ind w:left="1080"/>
        <w:jc w:val="both"/>
        <w:rPr>
          <w:rFonts w:ascii="Arial" w:eastAsia="Arial" w:hAnsi="Arial" w:cs="Arial"/>
        </w:rPr>
      </w:pPr>
      <w:r w:rsidRPr="00827762">
        <w:rPr>
          <w:rFonts w:ascii="Arial" w:eastAsia="Arial" w:hAnsi="Arial" w:cs="Arial"/>
        </w:rPr>
        <w:t>Information about costs, including invoices submitted to us;</w:t>
      </w:r>
    </w:p>
    <w:p w14:paraId="3F4E9EB5" w14:textId="77777777" w:rsidR="00FA59E0" w:rsidRPr="00827762" w:rsidRDefault="00FA59E0" w:rsidP="00FA59E0">
      <w:pPr>
        <w:numPr>
          <w:ilvl w:val="0"/>
          <w:numId w:val="5"/>
        </w:numPr>
        <w:pBdr>
          <w:left w:val="none" w:sz="0" w:space="3" w:color="auto"/>
        </w:pBdr>
        <w:spacing w:line="240" w:lineRule="auto"/>
        <w:ind w:left="1080"/>
        <w:jc w:val="both"/>
        <w:rPr>
          <w:rFonts w:ascii="Arial" w:eastAsia="Arial" w:hAnsi="Arial" w:cs="Arial"/>
        </w:rPr>
      </w:pPr>
      <w:r w:rsidRPr="00827762">
        <w:rPr>
          <w:rFonts w:ascii="Arial" w:eastAsia="Arial" w:hAnsi="Arial" w:cs="Arial"/>
        </w:rPr>
        <w:t>Correspondence and other papers generated in any dealing with the private sector whether before or after contract award.</w:t>
      </w:r>
    </w:p>
    <w:p w14:paraId="462B62D1" w14:textId="77777777" w:rsidR="00FA59E0" w:rsidRPr="00827762" w:rsidRDefault="00FA59E0" w:rsidP="00FA59E0">
      <w:pPr>
        <w:pBdr>
          <w:left w:val="none" w:sz="0" w:space="3" w:color="auto"/>
        </w:pBdr>
        <w:spacing w:line="240" w:lineRule="auto"/>
        <w:jc w:val="both"/>
        <w:rPr>
          <w:rFonts w:ascii="Arial" w:eastAsia="Arial" w:hAnsi="Arial" w:cs="Arial"/>
        </w:rPr>
      </w:pPr>
    </w:p>
    <w:p w14:paraId="097AB655" w14:textId="77777777" w:rsidR="00FA59E0" w:rsidRPr="00827762" w:rsidRDefault="00FA59E0" w:rsidP="00FA59E0">
      <w:pPr>
        <w:spacing w:line="240" w:lineRule="auto"/>
        <w:rPr>
          <w:rFonts w:ascii="Arial" w:hAnsi="Arial" w:cs="Arial"/>
          <w:sz w:val="2"/>
          <w:szCs w:val="28"/>
        </w:rPr>
      </w:pPr>
    </w:p>
    <w:p w14:paraId="43B19C84" w14:textId="77777777" w:rsidR="00FA59E0" w:rsidRPr="00827762" w:rsidRDefault="00FA59E0" w:rsidP="00FA59E0">
      <w:pPr>
        <w:spacing w:line="240" w:lineRule="auto"/>
        <w:rPr>
          <w:rFonts w:ascii="Arial" w:hAnsi="Arial" w:cs="Arial"/>
          <w:sz w:val="2"/>
          <w:szCs w:val="28"/>
        </w:rPr>
      </w:pPr>
    </w:p>
    <w:p w14:paraId="0FCE524B" w14:textId="77777777" w:rsidR="00FA59E0" w:rsidRPr="00827762" w:rsidRDefault="00FA59E0" w:rsidP="00FA59E0">
      <w:pPr>
        <w:spacing w:line="240" w:lineRule="auto"/>
        <w:rPr>
          <w:rFonts w:ascii="Arial" w:hAnsi="Arial" w:cs="Arial"/>
          <w:sz w:val="2"/>
          <w:szCs w:val="28"/>
        </w:rPr>
      </w:pPr>
    </w:p>
    <w:p w14:paraId="7937AEA8" w14:textId="77777777" w:rsidR="00FA59E0" w:rsidRPr="00827762" w:rsidRDefault="00FA59E0" w:rsidP="00FA59E0">
      <w:pPr>
        <w:spacing w:line="240" w:lineRule="auto"/>
        <w:rPr>
          <w:rFonts w:ascii="Arial" w:hAnsi="Arial" w:cs="Arial"/>
          <w:sz w:val="2"/>
          <w:szCs w:val="28"/>
        </w:rPr>
      </w:pPr>
    </w:p>
    <w:p w14:paraId="683451B3" w14:textId="77777777" w:rsidR="00FA59E0" w:rsidRPr="00827762" w:rsidRDefault="00FA59E0" w:rsidP="00FA59E0">
      <w:pPr>
        <w:spacing w:line="240" w:lineRule="auto"/>
        <w:rPr>
          <w:rFonts w:ascii="Arial" w:hAnsi="Arial" w:cs="Arial"/>
          <w:sz w:val="2"/>
          <w:szCs w:val="28"/>
        </w:rPr>
      </w:pPr>
    </w:p>
    <w:p w14:paraId="3A2F24CE" w14:textId="77777777" w:rsidR="00FA59E0" w:rsidRPr="00827762" w:rsidRDefault="00FA59E0" w:rsidP="00FA59E0">
      <w:pPr>
        <w:spacing w:line="240" w:lineRule="auto"/>
        <w:rPr>
          <w:rFonts w:ascii="Arial" w:hAnsi="Arial" w:cs="Arial"/>
          <w:sz w:val="2"/>
          <w:szCs w:val="28"/>
        </w:rPr>
      </w:pPr>
    </w:p>
    <w:p w14:paraId="3DA3D870" w14:textId="77777777" w:rsidR="00FA59E0" w:rsidRPr="00827762" w:rsidRDefault="00FA59E0" w:rsidP="00FA59E0">
      <w:pPr>
        <w:spacing w:line="240" w:lineRule="auto"/>
        <w:rPr>
          <w:rFonts w:ascii="Arial" w:hAnsi="Arial" w:cs="Arial"/>
          <w:sz w:val="2"/>
          <w:szCs w:val="28"/>
        </w:rPr>
      </w:pPr>
    </w:p>
    <w:p w14:paraId="51B32637" w14:textId="77777777" w:rsidR="00FA59E0" w:rsidRPr="00827762" w:rsidRDefault="00FA59E0" w:rsidP="00FA59E0">
      <w:pPr>
        <w:spacing w:before="240" w:after="200" w:line="360" w:lineRule="auto"/>
        <w:jc w:val="both"/>
        <w:rPr>
          <w:rFonts w:ascii="Arial" w:hAnsi="Arial" w:cs="Arial"/>
          <w:sz w:val="28"/>
          <w:szCs w:val="28"/>
        </w:rPr>
      </w:pPr>
      <w:bookmarkStart w:id="9" w:name="_TOC160959984"/>
      <w:r w:rsidRPr="00827762">
        <w:rPr>
          <w:rFonts w:ascii="Arial" w:eastAsia="Arial" w:hAnsi="Arial" w:cs="Arial"/>
          <w:b/>
          <w:bCs/>
          <w:sz w:val="28"/>
          <w:szCs w:val="28"/>
        </w:rPr>
        <w:t xml:space="preserve">2.1 General Conditions </w:t>
      </w:r>
      <w:r w:rsidRPr="00827762">
        <w:rPr>
          <w:rFonts w:ascii="Arial" w:hAnsi="Arial" w:cs="Arial"/>
          <w:b/>
          <w:bCs/>
          <w:sz w:val="28"/>
          <w:szCs w:val="28"/>
        </w:rPr>
        <w:tab/>
      </w:r>
    </w:p>
    <w:p w14:paraId="60CDEA8A" w14:textId="77777777" w:rsidR="00FA59E0" w:rsidRPr="00827762" w:rsidRDefault="00FA59E0" w:rsidP="00FA59E0">
      <w:pPr>
        <w:spacing w:before="240" w:after="200" w:line="240" w:lineRule="auto"/>
        <w:ind w:left="720" w:hanging="720"/>
        <w:jc w:val="both"/>
        <w:rPr>
          <w:rFonts w:ascii="Arial" w:eastAsia="Arial" w:hAnsi="Arial" w:cs="Arial"/>
        </w:rPr>
      </w:pPr>
      <w:r w:rsidRPr="00827762">
        <w:rPr>
          <w:rFonts w:ascii="Arial" w:hAnsi="Arial" w:cs="Arial"/>
        </w:rPr>
        <w:t>2.1.2</w:t>
      </w:r>
      <w:r w:rsidRPr="00827762">
        <w:rPr>
          <w:rFonts w:ascii="Arial" w:hAnsi="Arial" w:cs="Arial"/>
        </w:rPr>
        <w:tab/>
      </w:r>
      <w:r w:rsidRPr="00827762">
        <w:rPr>
          <w:rFonts w:ascii="Arial" w:eastAsia="Arial" w:hAnsi="Arial" w:cs="Arial"/>
        </w:rPr>
        <w:t xml:space="preserve">In participating in this Information Process and/or by submitting a response it will be implied that you accept and will be bound by all the provisions of this RFI and its Appendices and Annexes. Accordingly, responses should be </w:t>
      </w:r>
      <w:bookmarkStart w:id="10" w:name="_Int_dI2QMDdt"/>
      <w:r w:rsidRPr="00827762">
        <w:rPr>
          <w:rFonts w:ascii="Arial" w:eastAsia="Arial" w:hAnsi="Arial" w:cs="Arial"/>
        </w:rPr>
        <w:t>on the basis of,</w:t>
      </w:r>
      <w:bookmarkEnd w:id="10"/>
      <w:r w:rsidRPr="00827762">
        <w:rPr>
          <w:rFonts w:ascii="Arial" w:eastAsia="Arial" w:hAnsi="Arial" w:cs="Arial"/>
        </w:rPr>
        <w:t xml:space="preserve"> and strictly in accordance with, the requirements of this RFI. </w:t>
      </w:r>
    </w:p>
    <w:p w14:paraId="56AB92D0" w14:textId="77777777" w:rsidR="00FA59E0" w:rsidRPr="00827762" w:rsidRDefault="00FA59E0" w:rsidP="00FA59E0">
      <w:pPr>
        <w:spacing w:before="240" w:after="200" w:line="240" w:lineRule="auto"/>
        <w:ind w:left="720" w:hanging="720"/>
        <w:jc w:val="both"/>
        <w:rPr>
          <w:rFonts w:ascii="Arial" w:hAnsi="Arial" w:cs="Arial"/>
        </w:rPr>
      </w:pPr>
      <w:r w:rsidRPr="00827762">
        <w:rPr>
          <w:rFonts w:ascii="Arial" w:eastAsia="Arial" w:hAnsi="Arial" w:cs="Arial"/>
        </w:rPr>
        <w:t>2.1.3</w:t>
      </w:r>
      <w:r w:rsidRPr="00827762">
        <w:rPr>
          <w:rFonts w:ascii="Arial" w:hAnsi="Arial" w:cs="Arial"/>
        </w:rPr>
        <w:tab/>
      </w:r>
      <w:r w:rsidRPr="00827762">
        <w:rPr>
          <w:rFonts w:ascii="Arial" w:eastAsia="Arial" w:hAnsi="Arial" w:cs="Arial"/>
        </w:rPr>
        <w:t xml:space="preserve">Information that is supplied to potential suppliers as part of this Procurement Process is supplied in good faith. The Trust will not accept any liability for its accuracy, adequacy or completeness and no warranty is given as such. </w:t>
      </w:r>
    </w:p>
    <w:p w14:paraId="0F2C17DF" w14:textId="77777777" w:rsidR="00FA59E0" w:rsidRPr="00827762" w:rsidRDefault="00FA59E0" w:rsidP="00FA59E0">
      <w:pPr>
        <w:spacing w:before="240" w:after="200" w:line="240" w:lineRule="auto"/>
        <w:ind w:left="720" w:hanging="720"/>
        <w:jc w:val="both"/>
        <w:rPr>
          <w:rFonts w:ascii="Arial" w:eastAsia="Arial" w:hAnsi="Arial" w:cs="Arial"/>
        </w:rPr>
      </w:pPr>
      <w:r w:rsidRPr="00827762">
        <w:rPr>
          <w:rFonts w:ascii="Arial" w:eastAsia="Arial" w:hAnsi="Arial" w:cs="Arial"/>
        </w:rPr>
        <w:t xml:space="preserve">2.1.4 </w:t>
      </w:r>
      <w:r w:rsidRPr="00827762">
        <w:rPr>
          <w:rFonts w:ascii="Arial" w:hAnsi="Arial" w:cs="Arial"/>
        </w:rPr>
        <w:tab/>
      </w:r>
      <w:r w:rsidRPr="00827762">
        <w:rPr>
          <w:rFonts w:ascii="Arial" w:eastAsia="Arial" w:hAnsi="Arial" w:cs="Arial"/>
        </w:rPr>
        <w:t xml:space="preserve">You are responsible for analysing and reviewing all information provided to you as part of this Procurement Process. You should notify the Trust promptly of any perceived ambiguity, inconsistency, or omission in this RFI and/or in any of its associated documents and/or in any information provided to you as part of this Process. </w:t>
      </w:r>
    </w:p>
    <w:p w14:paraId="299C857A" w14:textId="77777777" w:rsidR="00FA59E0" w:rsidRPr="00827762" w:rsidRDefault="00FA59E0" w:rsidP="00FA59E0">
      <w:pPr>
        <w:spacing w:before="240" w:after="200" w:line="240" w:lineRule="auto"/>
        <w:ind w:left="720" w:hanging="720"/>
        <w:jc w:val="both"/>
        <w:rPr>
          <w:rFonts w:ascii="Arial" w:hAnsi="Arial" w:cs="Arial"/>
        </w:rPr>
      </w:pPr>
      <w:r w:rsidRPr="00827762">
        <w:rPr>
          <w:rFonts w:ascii="Arial" w:eastAsia="Arial" w:hAnsi="Arial" w:cs="Arial"/>
        </w:rPr>
        <w:t>2.1.5</w:t>
      </w:r>
      <w:r w:rsidRPr="00827762">
        <w:rPr>
          <w:rFonts w:ascii="Arial" w:hAnsi="Arial" w:cs="Arial"/>
        </w:rPr>
        <w:tab/>
      </w:r>
      <w:r w:rsidRPr="00827762">
        <w:rPr>
          <w:rFonts w:ascii="Arial" w:eastAsia="Arial" w:hAnsi="Arial" w:cs="Arial"/>
        </w:rPr>
        <w:t xml:space="preserve">At any time prior to the Deadline, the Trust may amend the RFI. Any such amendment shall be issued to all potential suppliers, and your response must comply with any amendment made by the </w:t>
      </w:r>
      <w:bookmarkStart w:id="11" w:name="_Int_Q5mkvtbv"/>
      <w:r w:rsidRPr="00827762">
        <w:rPr>
          <w:rFonts w:ascii="Arial" w:eastAsia="Arial" w:hAnsi="Arial" w:cs="Arial"/>
        </w:rPr>
        <w:t>Trust</w:t>
      </w:r>
      <w:bookmarkEnd w:id="11"/>
      <w:r w:rsidRPr="00827762">
        <w:rPr>
          <w:rFonts w:ascii="Arial" w:eastAsia="Arial" w:hAnsi="Arial" w:cs="Arial"/>
        </w:rPr>
        <w:t xml:space="preserve"> or it may be rejected.</w:t>
      </w:r>
    </w:p>
    <w:p w14:paraId="74B96D63" w14:textId="77777777" w:rsidR="00FA59E0" w:rsidRPr="00827762" w:rsidRDefault="00FA59E0" w:rsidP="00FA59E0">
      <w:pPr>
        <w:spacing w:before="240" w:after="200" w:line="240" w:lineRule="auto"/>
        <w:ind w:left="720" w:hanging="720"/>
        <w:jc w:val="both"/>
        <w:rPr>
          <w:rFonts w:ascii="Arial" w:hAnsi="Arial" w:cs="Arial"/>
        </w:rPr>
      </w:pPr>
      <w:r w:rsidRPr="00827762">
        <w:rPr>
          <w:rFonts w:ascii="Arial" w:eastAsia="Arial" w:hAnsi="Arial" w:cs="Arial"/>
        </w:rPr>
        <w:t xml:space="preserve">2.1.6 </w:t>
      </w:r>
      <w:r w:rsidRPr="00827762">
        <w:rPr>
          <w:rFonts w:ascii="Arial" w:hAnsi="Arial" w:cs="Arial"/>
        </w:rPr>
        <w:tab/>
      </w:r>
      <w:r w:rsidRPr="00827762">
        <w:rPr>
          <w:rFonts w:ascii="Arial" w:eastAsia="Arial" w:hAnsi="Arial" w:cs="Arial"/>
        </w:rPr>
        <w:t xml:space="preserve">Any goods and/or services offered should be </w:t>
      </w:r>
      <w:bookmarkStart w:id="12" w:name="_Int_txlSEIKI"/>
      <w:r w:rsidRPr="00827762">
        <w:rPr>
          <w:rFonts w:ascii="Arial" w:eastAsia="Arial" w:hAnsi="Arial" w:cs="Arial"/>
        </w:rPr>
        <w:t>on the basis of</w:t>
      </w:r>
      <w:bookmarkEnd w:id="12"/>
      <w:r w:rsidRPr="00827762">
        <w:rPr>
          <w:rFonts w:ascii="Arial" w:eastAsia="Arial" w:hAnsi="Arial" w:cs="Arial"/>
        </w:rPr>
        <w:t xml:space="preserve"> and strictly in accordance with the RFI and its annexes and attachments as well as any clarifications or updates issued by the Trust as part of this Procurement Process.</w:t>
      </w:r>
    </w:p>
    <w:p w14:paraId="08A66787" w14:textId="179BBBE1" w:rsidR="00FA59E0" w:rsidRPr="00827762" w:rsidRDefault="00FA59E0" w:rsidP="00FA59E0">
      <w:pPr>
        <w:spacing w:before="240" w:after="200" w:line="240" w:lineRule="auto"/>
        <w:ind w:left="720" w:hanging="720"/>
        <w:jc w:val="both"/>
        <w:rPr>
          <w:rFonts w:ascii="Arial" w:hAnsi="Arial" w:cs="Arial"/>
        </w:rPr>
      </w:pPr>
      <w:r w:rsidRPr="00827762">
        <w:rPr>
          <w:rFonts w:ascii="Arial" w:eastAsia="Arial" w:hAnsi="Arial" w:cs="Arial"/>
        </w:rPr>
        <w:t>2.1.7</w:t>
      </w:r>
      <w:r w:rsidRPr="00827762">
        <w:rPr>
          <w:rFonts w:ascii="Arial" w:hAnsi="Arial" w:cs="Arial"/>
        </w:rPr>
        <w:tab/>
      </w:r>
      <w:r w:rsidRPr="00827762">
        <w:rPr>
          <w:rFonts w:ascii="Arial" w:eastAsia="Arial" w:hAnsi="Arial" w:cs="Arial"/>
        </w:rPr>
        <w:t xml:space="preserve"> Any Information requested by the Trust </w:t>
      </w:r>
      <w:r w:rsidR="00E50475" w:rsidRPr="00827762">
        <w:rPr>
          <w:rFonts w:ascii="Arial" w:eastAsia="Arial" w:hAnsi="Arial" w:cs="Arial"/>
        </w:rPr>
        <w:t>may not be considered or may be disregarded:</w:t>
      </w:r>
    </w:p>
    <w:p w14:paraId="72DE638E" w14:textId="77777777" w:rsidR="00FA59E0" w:rsidRPr="00827762" w:rsidRDefault="00FA59E0" w:rsidP="00FA59E0">
      <w:pPr>
        <w:numPr>
          <w:ilvl w:val="0"/>
          <w:numId w:val="6"/>
        </w:numPr>
        <w:pBdr>
          <w:left w:val="none" w:sz="0" w:space="7" w:color="auto"/>
        </w:pBdr>
        <w:spacing w:line="240" w:lineRule="auto"/>
        <w:ind w:left="1434" w:hanging="427"/>
        <w:jc w:val="both"/>
        <w:rPr>
          <w:rFonts w:ascii="Arial" w:eastAsia="Times New Roman" w:hAnsi="Arial" w:cs="Arial"/>
        </w:rPr>
      </w:pPr>
      <w:r w:rsidRPr="00827762">
        <w:rPr>
          <w:rFonts w:ascii="Arial" w:eastAsia="Arial" w:hAnsi="Arial" w:cs="Arial"/>
        </w:rPr>
        <w:t>contains gaps, omissions, misrepresentations, errors, uncompleted sections, or changes to the format of the information documentation provided;</w:t>
      </w:r>
    </w:p>
    <w:p w14:paraId="589E43A8" w14:textId="77777777" w:rsidR="00FA59E0" w:rsidRPr="00827762" w:rsidRDefault="00FA59E0" w:rsidP="00FA59E0">
      <w:pPr>
        <w:numPr>
          <w:ilvl w:val="0"/>
          <w:numId w:val="6"/>
        </w:numPr>
        <w:pBdr>
          <w:left w:val="none" w:sz="0" w:space="7" w:color="auto"/>
        </w:pBdr>
        <w:spacing w:line="240" w:lineRule="auto"/>
        <w:ind w:left="1434" w:hanging="427"/>
        <w:jc w:val="both"/>
        <w:rPr>
          <w:rFonts w:ascii="Arial" w:eastAsia="Times New Roman" w:hAnsi="Arial" w:cs="Arial"/>
        </w:rPr>
      </w:pPr>
      <w:r w:rsidRPr="00827762">
        <w:rPr>
          <w:rFonts w:ascii="Arial" w:eastAsia="Arial" w:hAnsi="Arial" w:cs="Arial"/>
        </w:rPr>
        <w:t xml:space="preserve">does not reflect and confirm full and unconditional compliance with </w:t>
      </w:r>
      <w:bookmarkStart w:id="13" w:name="_Int_FWIu3NnJ"/>
      <w:r w:rsidRPr="00827762">
        <w:rPr>
          <w:rFonts w:ascii="Arial" w:eastAsia="Arial" w:hAnsi="Arial" w:cs="Arial"/>
        </w:rPr>
        <w:t>all of</w:t>
      </w:r>
      <w:bookmarkEnd w:id="13"/>
      <w:r w:rsidRPr="00827762">
        <w:rPr>
          <w:rFonts w:ascii="Arial" w:eastAsia="Arial" w:hAnsi="Arial" w:cs="Arial"/>
        </w:rPr>
        <w:t xml:space="preserve"> the documents issued by the Trust forming part of the RFI; </w:t>
      </w:r>
    </w:p>
    <w:p w14:paraId="4A9674A6" w14:textId="77777777" w:rsidR="00FA59E0" w:rsidRPr="00827762" w:rsidRDefault="00FA59E0" w:rsidP="00FA59E0">
      <w:pPr>
        <w:numPr>
          <w:ilvl w:val="0"/>
          <w:numId w:val="6"/>
        </w:numPr>
        <w:pBdr>
          <w:left w:val="none" w:sz="0" w:space="7" w:color="auto"/>
        </w:pBdr>
        <w:spacing w:line="240" w:lineRule="auto"/>
        <w:ind w:left="1434" w:hanging="427"/>
        <w:jc w:val="both"/>
        <w:rPr>
          <w:rFonts w:ascii="Arial" w:eastAsia="Times New Roman" w:hAnsi="Arial" w:cs="Arial"/>
        </w:rPr>
      </w:pPr>
      <w:r w:rsidRPr="00827762">
        <w:rPr>
          <w:rFonts w:ascii="Arial" w:eastAsia="Arial" w:hAnsi="Arial" w:cs="Arial"/>
        </w:rPr>
        <w:t xml:space="preserve">is not submitted in a manner consistent with the provisions set out in this RFI; </w:t>
      </w:r>
    </w:p>
    <w:p w14:paraId="0905DE5F" w14:textId="77777777" w:rsidR="00FA59E0" w:rsidRPr="00827762" w:rsidRDefault="00FA59E0" w:rsidP="00FA59E0">
      <w:pPr>
        <w:numPr>
          <w:ilvl w:val="0"/>
          <w:numId w:val="7"/>
        </w:numPr>
        <w:pBdr>
          <w:left w:val="none" w:sz="0" w:space="7" w:color="auto"/>
        </w:pBdr>
        <w:spacing w:line="240" w:lineRule="auto"/>
        <w:ind w:left="1434" w:hanging="427"/>
        <w:jc w:val="both"/>
        <w:rPr>
          <w:rFonts w:ascii="Arial" w:eastAsia="Times New Roman" w:hAnsi="Arial" w:cs="Arial"/>
        </w:rPr>
      </w:pPr>
      <w:r w:rsidRPr="00827762">
        <w:rPr>
          <w:rFonts w:ascii="Arial" w:eastAsia="Arial" w:hAnsi="Arial" w:cs="Arial"/>
        </w:rPr>
        <w:t>is received after the Information Response Deadline.</w:t>
      </w:r>
    </w:p>
    <w:p w14:paraId="4130A2BA" w14:textId="77777777" w:rsidR="00FA59E0" w:rsidRPr="00827762" w:rsidRDefault="00FA59E0" w:rsidP="00FA59E0">
      <w:pPr>
        <w:spacing w:line="240" w:lineRule="auto"/>
        <w:ind w:left="1434"/>
        <w:jc w:val="both"/>
        <w:rPr>
          <w:rFonts w:ascii="Arial" w:hAnsi="Arial" w:cs="Arial"/>
        </w:rPr>
      </w:pPr>
    </w:p>
    <w:p w14:paraId="01DF869A" w14:textId="77777777" w:rsidR="00FA59E0" w:rsidRPr="00827762" w:rsidRDefault="00FA59E0" w:rsidP="00FA59E0">
      <w:pPr>
        <w:spacing w:line="240" w:lineRule="auto"/>
        <w:ind w:left="720" w:hanging="720"/>
        <w:rPr>
          <w:rFonts w:ascii="Arial" w:hAnsi="Arial" w:cs="Arial"/>
        </w:rPr>
      </w:pPr>
      <w:r w:rsidRPr="00827762">
        <w:rPr>
          <w:rFonts w:ascii="Arial" w:eastAsia="Arial" w:hAnsi="Arial" w:cs="Arial"/>
        </w:rPr>
        <w:lastRenderedPageBreak/>
        <w:t>2.1.8</w:t>
      </w:r>
      <w:r w:rsidRPr="00827762">
        <w:rPr>
          <w:rFonts w:ascii="Arial" w:hAnsi="Arial" w:cs="Arial"/>
        </w:rPr>
        <w:tab/>
      </w:r>
      <w:r w:rsidRPr="00827762">
        <w:rPr>
          <w:rFonts w:ascii="Arial" w:eastAsia="Arial" w:hAnsi="Arial" w:cs="Arial"/>
        </w:rPr>
        <w:t xml:space="preserve">The Trust will have the right to reject any information if you or your appointed advisers attempt to inappropriately influence this Procurement Process; </w:t>
      </w:r>
    </w:p>
    <w:p w14:paraId="773B6AEE" w14:textId="77777777" w:rsidR="00FA59E0" w:rsidRPr="00827762" w:rsidRDefault="00FA59E0" w:rsidP="00FA59E0">
      <w:pPr>
        <w:spacing w:line="240" w:lineRule="auto"/>
        <w:ind w:left="720" w:hanging="720"/>
        <w:rPr>
          <w:rFonts w:ascii="Arial" w:hAnsi="Arial" w:cs="Arial"/>
        </w:rPr>
      </w:pPr>
    </w:p>
    <w:p w14:paraId="3D821404" w14:textId="77777777" w:rsidR="00FA59E0" w:rsidRPr="00827762" w:rsidRDefault="00FA59E0" w:rsidP="00FA59E0">
      <w:pPr>
        <w:numPr>
          <w:ilvl w:val="0"/>
          <w:numId w:val="8"/>
        </w:numPr>
        <w:pBdr>
          <w:left w:val="none" w:sz="0" w:space="7" w:color="auto"/>
        </w:pBdr>
        <w:spacing w:line="240" w:lineRule="auto"/>
        <w:ind w:left="1434" w:hanging="427"/>
        <w:rPr>
          <w:rFonts w:ascii="Arial" w:eastAsia="Times New Roman" w:hAnsi="Arial" w:cs="Arial"/>
        </w:rPr>
      </w:pPr>
      <w:r w:rsidRPr="00827762">
        <w:rPr>
          <w:rFonts w:ascii="Arial" w:eastAsia="Arial" w:hAnsi="Arial" w:cs="Arial"/>
        </w:rPr>
        <w:t xml:space="preserve">to fix or set the price for goods or services; </w:t>
      </w:r>
    </w:p>
    <w:p w14:paraId="4246A90E" w14:textId="77777777" w:rsidR="00FA59E0" w:rsidRPr="00827762" w:rsidRDefault="00FA59E0" w:rsidP="00FA59E0">
      <w:pPr>
        <w:numPr>
          <w:ilvl w:val="0"/>
          <w:numId w:val="8"/>
        </w:numPr>
        <w:pBdr>
          <w:left w:val="none" w:sz="0" w:space="7" w:color="auto"/>
        </w:pBdr>
        <w:spacing w:line="240" w:lineRule="auto"/>
        <w:ind w:left="1434" w:hanging="427"/>
        <w:rPr>
          <w:rFonts w:ascii="Arial" w:eastAsia="Times New Roman" w:hAnsi="Arial" w:cs="Arial"/>
        </w:rPr>
      </w:pPr>
      <w:r w:rsidRPr="00827762">
        <w:rPr>
          <w:rFonts w:ascii="Arial" w:eastAsia="Arial" w:hAnsi="Arial" w:cs="Arial"/>
        </w:rPr>
        <w:t xml:space="preserve">to collude in any other way; </w:t>
      </w:r>
    </w:p>
    <w:p w14:paraId="2BD0627E" w14:textId="77777777" w:rsidR="00FA59E0" w:rsidRPr="00827762" w:rsidRDefault="00FA59E0" w:rsidP="00FA59E0">
      <w:pPr>
        <w:numPr>
          <w:ilvl w:val="0"/>
          <w:numId w:val="8"/>
        </w:numPr>
        <w:pBdr>
          <w:left w:val="none" w:sz="0" w:space="7" w:color="auto"/>
        </w:pBdr>
        <w:spacing w:line="240" w:lineRule="auto"/>
        <w:ind w:left="1434" w:hanging="427"/>
        <w:rPr>
          <w:rFonts w:ascii="Arial" w:eastAsia="Times New Roman" w:hAnsi="Arial" w:cs="Arial"/>
        </w:rPr>
      </w:pPr>
      <w:r w:rsidRPr="00827762">
        <w:rPr>
          <w:rFonts w:ascii="Arial" w:eastAsia="Arial" w:hAnsi="Arial" w:cs="Arial"/>
        </w:rPr>
        <w:t xml:space="preserve">to engage in direct or indirect bribery or canvassing in relation to this Procurement Process. </w:t>
      </w:r>
    </w:p>
    <w:bookmarkEnd w:id="9"/>
    <w:p w14:paraId="745F3E88" w14:textId="77777777" w:rsidR="00FA59E0" w:rsidRPr="00827762" w:rsidRDefault="00FA59E0" w:rsidP="00FA59E0">
      <w:pPr>
        <w:spacing w:before="240" w:after="200" w:line="240" w:lineRule="auto"/>
        <w:ind w:left="720" w:hanging="720"/>
        <w:rPr>
          <w:rFonts w:ascii="Arial" w:eastAsia="Arial" w:hAnsi="Arial" w:cs="Arial"/>
        </w:rPr>
      </w:pPr>
      <w:r w:rsidRPr="00827762">
        <w:rPr>
          <w:rFonts w:ascii="Arial" w:eastAsia="Arial" w:hAnsi="Arial" w:cs="Arial"/>
        </w:rPr>
        <w:t>2.1.9</w:t>
      </w:r>
      <w:r w:rsidRPr="00827762">
        <w:rPr>
          <w:rFonts w:ascii="Arial" w:hAnsi="Arial" w:cs="Arial"/>
        </w:rPr>
        <w:tab/>
      </w:r>
      <w:r w:rsidRPr="00827762">
        <w:rPr>
          <w:rFonts w:ascii="Arial" w:eastAsia="Arial" w:hAnsi="Arial" w:cs="Arial"/>
        </w:rPr>
        <w:t>It is your responsibility to ensure that any staff, consortium members, sub-contractors and advisers abide by these Conditions and the requirements of this RFI.</w:t>
      </w:r>
    </w:p>
    <w:p w14:paraId="04EEE18B" w14:textId="77777777" w:rsidR="00FA59E0" w:rsidRPr="00DD3108" w:rsidRDefault="00FA59E0" w:rsidP="00FA59E0">
      <w:pPr>
        <w:spacing w:before="240" w:after="200" w:line="240" w:lineRule="auto"/>
        <w:rPr>
          <w:rFonts w:ascii="Arial" w:hAnsi="Arial" w:cs="Arial"/>
          <w:sz w:val="2"/>
        </w:rPr>
      </w:pPr>
    </w:p>
    <w:p w14:paraId="5B4F47F8" w14:textId="089B2FDB" w:rsidR="00FA59E0" w:rsidRPr="00827762" w:rsidRDefault="00FA59E0" w:rsidP="00FA59E0">
      <w:pPr>
        <w:spacing w:before="240" w:after="120" w:line="360" w:lineRule="auto"/>
        <w:jc w:val="both"/>
        <w:rPr>
          <w:rFonts w:ascii="Arial" w:eastAsia="Arial" w:hAnsi="Arial" w:cs="Arial"/>
          <w:b/>
          <w:bCs/>
          <w:sz w:val="28"/>
          <w:szCs w:val="28"/>
        </w:rPr>
      </w:pPr>
      <w:r w:rsidRPr="00827762">
        <w:rPr>
          <w:rFonts w:ascii="Arial" w:eastAsia="Arial" w:hAnsi="Arial" w:cs="Arial"/>
          <w:b/>
          <w:bCs/>
          <w:sz w:val="28"/>
          <w:szCs w:val="28"/>
        </w:rPr>
        <w:t xml:space="preserve">3.1 </w:t>
      </w:r>
      <w:r w:rsidRPr="00827762">
        <w:rPr>
          <w:rFonts w:ascii="Arial" w:hAnsi="Arial" w:cs="Arial"/>
        </w:rPr>
        <w:tab/>
      </w:r>
      <w:r w:rsidR="00EC1FC9" w:rsidRPr="00827762">
        <w:rPr>
          <w:rFonts w:ascii="Arial" w:eastAsia="Arial" w:hAnsi="Arial" w:cs="Arial"/>
          <w:b/>
          <w:bCs/>
          <w:sz w:val="28"/>
          <w:szCs w:val="28"/>
        </w:rPr>
        <w:t>High-Level Requirements and Scope</w:t>
      </w:r>
    </w:p>
    <w:p w14:paraId="0B88D0F6" w14:textId="77777777" w:rsidR="00FA59E0" w:rsidRPr="00827762" w:rsidRDefault="00FA59E0" w:rsidP="00FA59E0">
      <w:pPr>
        <w:numPr>
          <w:ilvl w:val="2"/>
          <w:numId w:val="10"/>
        </w:numPr>
        <w:spacing w:line="288" w:lineRule="auto"/>
        <w:contextualSpacing/>
        <w:rPr>
          <w:rFonts w:ascii="Arial" w:eastAsia="Times New Roman" w:hAnsi="Arial" w:cs="Arial"/>
          <w:b/>
          <w:lang w:val="en-GB" w:eastAsia="en-GB"/>
        </w:rPr>
      </w:pPr>
      <w:r w:rsidRPr="00827762">
        <w:rPr>
          <w:rFonts w:ascii="Arial" w:eastAsia="Times New Roman" w:hAnsi="Arial" w:cs="Arial"/>
          <w:b/>
          <w:bCs/>
          <w:lang w:val="en-GB" w:eastAsia="en-GB"/>
        </w:rPr>
        <w:t xml:space="preserve">Objectives: </w:t>
      </w:r>
    </w:p>
    <w:p w14:paraId="1AC51502" w14:textId="77777777" w:rsidR="00FA59E0" w:rsidRPr="00827762" w:rsidRDefault="00FA59E0" w:rsidP="00FA59E0">
      <w:pPr>
        <w:pStyle w:val="NormalWeb"/>
        <w:rPr>
          <w:rFonts w:ascii="Arial" w:hAnsi="Arial" w:cs="Arial"/>
        </w:rPr>
      </w:pPr>
      <w:r w:rsidRPr="00827762">
        <w:rPr>
          <w:rFonts w:ascii="Arial" w:hAnsi="Arial" w:cs="Arial"/>
        </w:rPr>
        <w:t>The Authority is seeking insight into supplier capability to:</w:t>
      </w:r>
    </w:p>
    <w:p w14:paraId="15C3A494" w14:textId="77777777" w:rsidR="00FA59E0" w:rsidRPr="00827762" w:rsidRDefault="00FA59E0" w:rsidP="00FA59E0">
      <w:pPr>
        <w:pStyle w:val="NormalWeb"/>
        <w:numPr>
          <w:ilvl w:val="0"/>
          <w:numId w:val="15"/>
        </w:numPr>
        <w:rPr>
          <w:rFonts w:ascii="Arial" w:hAnsi="Arial" w:cs="Arial"/>
        </w:rPr>
      </w:pPr>
      <w:r w:rsidRPr="00827762">
        <w:rPr>
          <w:rFonts w:ascii="Arial" w:hAnsi="Arial" w:cs="Arial"/>
        </w:rPr>
        <w:t xml:space="preserve">Transition from </w:t>
      </w:r>
      <w:r w:rsidRPr="00827762">
        <w:rPr>
          <w:rStyle w:val="Strong"/>
          <w:rFonts w:ascii="Arial" w:eastAsiaTheme="majorEastAsia" w:hAnsi="Arial" w:cs="Arial"/>
        </w:rPr>
        <w:t>Axtension IP</w:t>
      </w:r>
      <w:r w:rsidRPr="00827762">
        <w:rPr>
          <w:rFonts w:ascii="Arial" w:hAnsi="Arial" w:cs="Arial"/>
        </w:rPr>
        <w:t xml:space="preserve"> to </w:t>
      </w:r>
      <w:r w:rsidRPr="00827762">
        <w:rPr>
          <w:rStyle w:val="Strong"/>
          <w:rFonts w:ascii="Arial" w:eastAsiaTheme="majorEastAsia" w:hAnsi="Arial" w:cs="Arial"/>
        </w:rPr>
        <w:t>ExFlow AP</w:t>
      </w:r>
    </w:p>
    <w:p w14:paraId="0D8D73BF" w14:textId="77777777" w:rsidR="00FA59E0" w:rsidRPr="00827762" w:rsidRDefault="00FA59E0" w:rsidP="00FA59E0">
      <w:pPr>
        <w:pStyle w:val="NormalWeb"/>
        <w:numPr>
          <w:ilvl w:val="0"/>
          <w:numId w:val="15"/>
        </w:numPr>
        <w:rPr>
          <w:rFonts w:ascii="Arial" w:hAnsi="Arial" w:cs="Arial"/>
        </w:rPr>
      </w:pPr>
      <w:r w:rsidRPr="00827762">
        <w:rPr>
          <w:rFonts w:ascii="Arial" w:hAnsi="Arial" w:cs="Arial"/>
        </w:rPr>
        <w:t xml:space="preserve">Maintain </w:t>
      </w:r>
      <w:r w:rsidRPr="00827762">
        <w:rPr>
          <w:rStyle w:val="Strong"/>
          <w:rFonts w:ascii="Arial" w:eastAsiaTheme="majorEastAsia" w:hAnsi="Arial" w:cs="Arial"/>
        </w:rPr>
        <w:t>uninterrupted AP operations</w:t>
      </w:r>
    </w:p>
    <w:p w14:paraId="069E1FC9" w14:textId="77777777" w:rsidR="00FA59E0" w:rsidRPr="00827762" w:rsidRDefault="00FA59E0" w:rsidP="00FA59E0">
      <w:pPr>
        <w:pStyle w:val="NormalWeb"/>
        <w:numPr>
          <w:ilvl w:val="0"/>
          <w:numId w:val="15"/>
        </w:numPr>
        <w:rPr>
          <w:rFonts w:ascii="Arial" w:hAnsi="Arial" w:cs="Arial"/>
        </w:rPr>
      </w:pPr>
      <w:r w:rsidRPr="00827762">
        <w:rPr>
          <w:rFonts w:ascii="Arial" w:hAnsi="Arial" w:cs="Arial"/>
        </w:rPr>
        <w:t>Deliver a compliant, Microsoft-aligned implementation</w:t>
      </w:r>
    </w:p>
    <w:p w14:paraId="7B361ABD" w14:textId="77777777" w:rsidR="00FA59E0" w:rsidRPr="00827762" w:rsidRDefault="00FA59E0" w:rsidP="00FA59E0">
      <w:pPr>
        <w:spacing w:line="288" w:lineRule="auto"/>
        <w:ind w:left="720"/>
        <w:contextualSpacing/>
        <w:rPr>
          <w:rFonts w:ascii="Arial" w:eastAsia="Times New Roman" w:hAnsi="Arial" w:cs="Arial"/>
          <w:lang w:val="en-GB" w:eastAsia="en-GB"/>
        </w:rPr>
      </w:pPr>
    </w:p>
    <w:p w14:paraId="65ACB1C1" w14:textId="77777777" w:rsidR="00FA59E0" w:rsidRPr="00827762" w:rsidRDefault="00FA59E0" w:rsidP="00FA59E0">
      <w:pPr>
        <w:pStyle w:val="ListParagraph"/>
        <w:numPr>
          <w:ilvl w:val="1"/>
          <w:numId w:val="10"/>
        </w:numPr>
        <w:spacing w:after="120" w:line="288" w:lineRule="auto"/>
        <w:rPr>
          <w:rFonts w:ascii="Arial" w:eastAsia="Times New Roman" w:hAnsi="Arial" w:cs="Arial"/>
          <w:b/>
          <w:bCs/>
          <w:sz w:val="28"/>
          <w:szCs w:val="28"/>
          <w:lang w:val="en-GB" w:eastAsia="en-GB"/>
        </w:rPr>
      </w:pPr>
      <w:r w:rsidRPr="00827762">
        <w:rPr>
          <w:rFonts w:ascii="Arial" w:eastAsia="Times New Roman" w:hAnsi="Arial" w:cs="Arial"/>
          <w:b/>
          <w:bCs/>
          <w:sz w:val="28"/>
          <w:szCs w:val="28"/>
          <w:lang w:val="en-GB" w:eastAsia="en-GB"/>
        </w:rPr>
        <w:t xml:space="preserve">Scope of Work </w:t>
      </w:r>
    </w:p>
    <w:p w14:paraId="2D2C24F0" w14:textId="77777777" w:rsidR="00FA59E0" w:rsidRPr="00827762" w:rsidRDefault="00FA59E0" w:rsidP="00FA59E0">
      <w:pPr>
        <w:spacing w:before="100" w:beforeAutospacing="1" w:after="100" w:afterAutospacing="1" w:line="240" w:lineRule="auto"/>
        <w:outlineLvl w:val="3"/>
        <w:rPr>
          <w:rFonts w:ascii="Arial" w:eastAsia="Times New Roman" w:hAnsi="Arial" w:cs="Arial"/>
          <w:b/>
          <w:bCs/>
          <w:sz w:val="24"/>
          <w:szCs w:val="24"/>
          <w:lang w:val="en-GB" w:eastAsia="en-GB"/>
        </w:rPr>
      </w:pPr>
      <w:bookmarkStart w:id="14" w:name="_GoBack"/>
      <w:r w:rsidRPr="00827762">
        <w:rPr>
          <w:rFonts w:ascii="Arial" w:eastAsia="Times New Roman" w:hAnsi="Arial" w:cs="Arial"/>
          <w:b/>
          <w:bCs/>
          <w:sz w:val="24"/>
          <w:szCs w:val="24"/>
          <w:lang w:val="en-GB" w:eastAsia="en-GB"/>
        </w:rPr>
        <w:t>A. Software</w:t>
      </w:r>
    </w:p>
    <w:bookmarkEnd w:id="14"/>
    <w:p w14:paraId="1191CD47" w14:textId="77777777" w:rsidR="00FA59E0" w:rsidRPr="00827762" w:rsidRDefault="00FA59E0" w:rsidP="00FA59E0">
      <w:pPr>
        <w:numPr>
          <w:ilvl w:val="0"/>
          <w:numId w:val="16"/>
        </w:numPr>
        <w:spacing w:before="100" w:beforeAutospacing="1" w:after="100" w:afterAutospacing="1" w:line="240" w:lineRule="auto"/>
        <w:rPr>
          <w:rFonts w:ascii="Arial" w:eastAsia="Times New Roman" w:hAnsi="Arial" w:cs="Arial"/>
          <w:sz w:val="24"/>
          <w:szCs w:val="24"/>
          <w:lang w:val="en-GB" w:eastAsia="en-GB"/>
        </w:rPr>
      </w:pPr>
      <w:r w:rsidRPr="00827762">
        <w:rPr>
          <w:rFonts w:ascii="Arial" w:eastAsia="Times New Roman" w:hAnsi="Arial" w:cs="Arial"/>
          <w:sz w:val="24"/>
          <w:szCs w:val="24"/>
          <w:lang w:val="en-GB" w:eastAsia="en-GB"/>
        </w:rPr>
        <w:t>ExFlow AP SaaS for D365 F&amp;O</w:t>
      </w:r>
    </w:p>
    <w:p w14:paraId="217CD837" w14:textId="77777777" w:rsidR="00FA59E0" w:rsidRPr="00827762" w:rsidRDefault="00FA59E0" w:rsidP="00FA59E0">
      <w:pPr>
        <w:numPr>
          <w:ilvl w:val="0"/>
          <w:numId w:val="16"/>
        </w:numPr>
        <w:spacing w:before="100" w:beforeAutospacing="1" w:after="100" w:afterAutospacing="1" w:line="240" w:lineRule="auto"/>
        <w:rPr>
          <w:rFonts w:ascii="Arial" w:eastAsia="Times New Roman" w:hAnsi="Arial" w:cs="Arial"/>
          <w:sz w:val="24"/>
          <w:szCs w:val="24"/>
          <w:lang w:val="en-GB" w:eastAsia="en-GB"/>
        </w:rPr>
      </w:pPr>
      <w:r w:rsidRPr="00827762">
        <w:rPr>
          <w:rFonts w:ascii="Arial" w:eastAsia="Times New Roman" w:hAnsi="Arial" w:cs="Arial"/>
          <w:sz w:val="24"/>
          <w:szCs w:val="24"/>
          <w:lang w:val="en-GB" w:eastAsia="en-GB"/>
        </w:rPr>
        <w:t>ExFlow Data Capture (OCR)</w:t>
      </w:r>
    </w:p>
    <w:p w14:paraId="4D7F6B07" w14:textId="77777777" w:rsidR="00FA59E0" w:rsidRPr="00827762" w:rsidRDefault="00FA59E0" w:rsidP="00FA59E0">
      <w:pPr>
        <w:spacing w:before="100" w:beforeAutospacing="1" w:after="100" w:afterAutospacing="1" w:line="240" w:lineRule="auto"/>
        <w:outlineLvl w:val="3"/>
        <w:rPr>
          <w:rFonts w:ascii="Arial" w:eastAsia="Times New Roman" w:hAnsi="Arial" w:cs="Arial"/>
          <w:b/>
          <w:bCs/>
          <w:sz w:val="24"/>
          <w:szCs w:val="24"/>
          <w:lang w:val="en-GB" w:eastAsia="en-GB"/>
        </w:rPr>
      </w:pPr>
      <w:r w:rsidRPr="00827762">
        <w:rPr>
          <w:rFonts w:ascii="Arial" w:eastAsia="Times New Roman" w:hAnsi="Arial" w:cs="Arial"/>
          <w:b/>
          <w:bCs/>
          <w:sz w:val="24"/>
          <w:szCs w:val="24"/>
          <w:lang w:val="en-GB" w:eastAsia="en-GB"/>
        </w:rPr>
        <w:t>B. Continuity</w:t>
      </w:r>
    </w:p>
    <w:p w14:paraId="2C39DC76" w14:textId="77777777" w:rsidR="00FA59E0" w:rsidRPr="00827762" w:rsidRDefault="00FA59E0" w:rsidP="00FA59E0">
      <w:pPr>
        <w:numPr>
          <w:ilvl w:val="0"/>
          <w:numId w:val="17"/>
        </w:numPr>
        <w:spacing w:before="100" w:beforeAutospacing="1" w:after="100" w:afterAutospacing="1" w:line="240" w:lineRule="auto"/>
        <w:rPr>
          <w:rFonts w:ascii="Arial" w:eastAsia="Times New Roman" w:hAnsi="Arial" w:cs="Arial"/>
          <w:sz w:val="24"/>
          <w:szCs w:val="24"/>
          <w:lang w:val="en-GB" w:eastAsia="en-GB"/>
        </w:rPr>
      </w:pPr>
      <w:r w:rsidRPr="00827762">
        <w:rPr>
          <w:rFonts w:ascii="Arial" w:eastAsia="Times New Roman" w:hAnsi="Arial" w:cs="Arial"/>
          <w:sz w:val="24"/>
          <w:szCs w:val="24"/>
          <w:lang w:val="en-GB" w:eastAsia="en-GB"/>
        </w:rPr>
        <w:t>Dual-running of Axtension IP and ExFlow AP</w:t>
      </w:r>
    </w:p>
    <w:p w14:paraId="42CB6A71" w14:textId="77777777" w:rsidR="00FA59E0" w:rsidRPr="00827762" w:rsidRDefault="00FA59E0" w:rsidP="00FA59E0">
      <w:pPr>
        <w:numPr>
          <w:ilvl w:val="0"/>
          <w:numId w:val="17"/>
        </w:numPr>
        <w:spacing w:before="100" w:beforeAutospacing="1" w:after="100" w:afterAutospacing="1" w:line="240" w:lineRule="auto"/>
        <w:rPr>
          <w:rFonts w:ascii="Arial" w:eastAsia="Times New Roman" w:hAnsi="Arial" w:cs="Arial"/>
          <w:sz w:val="24"/>
          <w:szCs w:val="24"/>
          <w:lang w:val="en-GB" w:eastAsia="en-GB"/>
        </w:rPr>
      </w:pPr>
      <w:r w:rsidRPr="00827762">
        <w:rPr>
          <w:rFonts w:ascii="Arial" w:eastAsia="Times New Roman" w:hAnsi="Arial" w:cs="Arial"/>
          <w:sz w:val="24"/>
          <w:szCs w:val="24"/>
          <w:lang w:val="en-GB" w:eastAsia="en-GB"/>
        </w:rPr>
        <w:t>Rights and technical support during transition</w:t>
      </w:r>
    </w:p>
    <w:p w14:paraId="10BF4726" w14:textId="77777777" w:rsidR="00FA59E0" w:rsidRPr="00827762" w:rsidRDefault="00FA59E0" w:rsidP="00FA59E0">
      <w:pPr>
        <w:spacing w:before="100" w:beforeAutospacing="1" w:after="100" w:afterAutospacing="1" w:line="240" w:lineRule="auto"/>
        <w:outlineLvl w:val="3"/>
        <w:rPr>
          <w:rFonts w:ascii="Arial" w:eastAsia="Times New Roman" w:hAnsi="Arial" w:cs="Arial"/>
          <w:b/>
          <w:bCs/>
          <w:sz w:val="24"/>
          <w:szCs w:val="24"/>
          <w:lang w:val="en-GB" w:eastAsia="en-GB"/>
        </w:rPr>
      </w:pPr>
      <w:r w:rsidRPr="00827762">
        <w:rPr>
          <w:rFonts w:ascii="Arial" w:eastAsia="Times New Roman" w:hAnsi="Arial" w:cs="Arial"/>
          <w:b/>
          <w:bCs/>
          <w:sz w:val="24"/>
          <w:szCs w:val="24"/>
          <w:lang w:val="en-GB" w:eastAsia="en-GB"/>
        </w:rPr>
        <w:t>C. Implementation</w:t>
      </w:r>
    </w:p>
    <w:p w14:paraId="151924F8" w14:textId="77777777" w:rsidR="00FA59E0" w:rsidRPr="00827762" w:rsidRDefault="00FA59E0" w:rsidP="00FA59E0">
      <w:pPr>
        <w:numPr>
          <w:ilvl w:val="0"/>
          <w:numId w:val="18"/>
        </w:numPr>
        <w:spacing w:before="100" w:beforeAutospacing="1" w:after="100" w:afterAutospacing="1" w:line="240" w:lineRule="auto"/>
        <w:rPr>
          <w:rFonts w:ascii="Arial" w:eastAsia="Times New Roman" w:hAnsi="Arial" w:cs="Arial"/>
          <w:sz w:val="24"/>
          <w:szCs w:val="24"/>
          <w:lang w:val="en-GB" w:eastAsia="en-GB"/>
        </w:rPr>
      </w:pPr>
      <w:r w:rsidRPr="00827762">
        <w:rPr>
          <w:rFonts w:ascii="Arial" w:eastAsia="Times New Roman" w:hAnsi="Arial" w:cs="Arial"/>
          <w:sz w:val="24"/>
          <w:szCs w:val="24"/>
          <w:lang w:val="en-GB" w:eastAsia="en-GB"/>
        </w:rPr>
        <w:t>Configuration and workflow design</w:t>
      </w:r>
    </w:p>
    <w:p w14:paraId="00ABFF5C" w14:textId="77777777" w:rsidR="00FA59E0" w:rsidRPr="00827762" w:rsidRDefault="00FA59E0" w:rsidP="00FA59E0">
      <w:pPr>
        <w:numPr>
          <w:ilvl w:val="0"/>
          <w:numId w:val="18"/>
        </w:numPr>
        <w:spacing w:before="100" w:beforeAutospacing="1" w:after="100" w:afterAutospacing="1" w:line="240" w:lineRule="auto"/>
        <w:rPr>
          <w:rFonts w:ascii="Arial" w:eastAsia="Times New Roman" w:hAnsi="Arial" w:cs="Arial"/>
          <w:sz w:val="24"/>
          <w:szCs w:val="24"/>
          <w:lang w:val="en-GB" w:eastAsia="en-GB"/>
        </w:rPr>
      </w:pPr>
      <w:r w:rsidRPr="00827762">
        <w:rPr>
          <w:rFonts w:ascii="Arial" w:eastAsia="Times New Roman" w:hAnsi="Arial" w:cs="Arial"/>
          <w:sz w:val="24"/>
          <w:szCs w:val="24"/>
          <w:lang w:val="en-GB" w:eastAsia="en-GB"/>
        </w:rPr>
        <w:t>Integration with AP, GL, vendor, and purchasing modules</w:t>
      </w:r>
    </w:p>
    <w:p w14:paraId="617027EA" w14:textId="77777777" w:rsidR="00FA59E0" w:rsidRPr="00827762" w:rsidRDefault="00FA59E0" w:rsidP="00FA59E0">
      <w:pPr>
        <w:numPr>
          <w:ilvl w:val="0"/>
          <w:numId w:val="18"/>
        </w:numPr>
        <w:spacing w:before="100" w:beforeAutospacing="1" w:after="100" w:afterAutospacing="1" w:line="240" w:lineRule="auto"/>
        <w:rPr>
          <w:rFonts w:ascii="Arial" w:eastAsia="Times New Roman" w:hAnsi="Arial" w:cs="Arial"/>
          <w:sz w:val="24"/>
          <w:szCs w:val="24"/>
          <w:lang w:val="en-GB" w:eastAsia="en-GB"/>
        </w:rPr>
      </w:pPr>
      <w:r w:rsidRPr="00827762">
        <w:rPr>
          <w:rFonts w:ascii="Arial" w:eastAsia="Times New Roman" w:hAnsi="Arial" w:cs="Arial"/>
          <w:sz w:val="24"/>
          <w:szCs w:val="24"/>
          <w:lang w:val="en-GB" w:eastAsia="en-GB"/>
        </w:rPr>
        <w:t>Testing, UAT, and go-live readiness</w:t>
      </w:r>
    </w:p>
    <w:p w14:paraId="26B81E64" w14:textId="77777777" w:rsidR="00FA59E0" w:rsidRPr="00827762" w:rsidRDefault="00FA59E0" w:rsidP="00FA59E0">
      <w:pPr>
        <w:spacing w:before="100" w:beforeAutospacing="1" w:after="100" w:afterAutospacing="1" w:line="240" w:lineRule="auto"/>
        <w:outlineLvl w:val="3"/>
        <w:rPr>
          <w:rFonts w:ascii="Arial" w:eastAsia="Times New Roman" w:hAnsi="Arial" w:cs="Arial"/>
          <w:b/>
          <w:bCs/>
          <w:sz w:val="24"/>
          <w:szCs w:val="24"/>
          <w:lang w:val="en-GB" w:eastAsia="en-GB"/>
        </w:rPr>
      </w:pPr>
      <w:r w:rsidRPr="00827762">
        <w:rPr>
          <w:rFonts w:ascii="Arial" w:eastAsia="Times New Roman" w:hAnsi="Arial" w:cs="Arial"/>
          <w:b/>
          <w:bCs/>
          <w:sz w:val="24"/>
          <w:szCs w:val="24"/>
          <w:lang w:val="en-GB" w:eastAsia="en-GB"/>
        </w:rPr>
        <w:t>D. Consultancy</w:t>
      </w:r>
    </w:p>
    <w:p w14:paraId="0072B43B" w14:textId="77777777" w:rsidR="00FA59E0" w:rsidRPr="00827762" w:rsidRDefault="00FA59E0" w:rsidP="00FA59E0">
      <w:pPr>
        <w:numPr>
          <w:ilvl w:val="0"/>
          <w:numId w:val="19"/>
        </w:numPr>
        <w:spacing w:before="100" w:beforeAutospacing="1" w:after="100" w:afterAutospacing="1" w:line="240" w:lineRule="auto"/>
        <w:rPr>
          <w:rFonts w:ascii="Arial" w:eastAsia="Times New Roman" w:hAnsi="Arial" w:cs="Arial"/>
          <w:sz w:val="24"/>
          <w:szCs w:val="24"/>
          <w:lang w:val="en-GB" w:eastAsia="en-GB"/>
        </w:rPr>
      </w:pPr>
      <w:r w:rsidRPr="00827762">
        <w:rPr>
          <w:rFonts w:ascii="Arial" w:eastAsia="Times New Roman" w:hAnsi="Arial" w:cs="Arial"/>
          <w:sz w:val="24"/>
          <w:szCs w:val="24"/>
          <w:lang w:val="en-GB" w:eastAsia="en-GB"/>
        </w:rPr>
        <w:t>Project management and governance</w:t>
      </w:r>
    </w:p>
    <w:p w14:paraId="4B78DD00" w14:textId="77777777" w:rsidR="00FA59E0" w:rsidRPr="00827762" w:rsidRDefault="00FA59E0" w:rsidP="00FA59E0">
      <w:pPr>
        <w:numPr>
          <w:ilvl w:val="0"/>
          <w:numId w:val="19"/>
        </w:numPr>
        <w:spacing w:before="100" w:beforeAutospacing="1" w:after="100" w:afterAutospacing="1" w:line="240" w:lineRule="auto"/>
        <w:rPr>
          <w:rFonts w:ascii="Arial" w:eastAsia="Times New Roman" w:hAnsi="Arial" w:cs="Arial"/>
          <w:sz w:val="24"/>
          <w:szCs w:val="24"/>
          <w:lang w:val="en-GB" w:eastAsia="en-GB"/>
        </w:rPr>
      </w:pPr>
      <w:r w:rsidRPr="00827762">
        <w:rPr>
          <w:rFonts w:ascii="Arial" w:eastAsia="Times New Roman" w:hAnsi="Arial" w:cs="Arial"/>
          <w:sz w:val="24"/>
          <w:szCs w:val="24"/>
          <w:lang w:val="en-GB" w:eastAsia="en-GB"/>
        </w:rPr>
        <w:t>Technical planning and deployment guidance</w:t>
      </w:r>
    </w:p>
    <w:p w14:paraId="76C33139" w14:textId="77777777" w:rsidR="00FA59E0" w:rsidRPr="00827762" w:rsidRDefault="00FA59E0" w:rsidP="00FA59E0">
      <w:pPr>
        <w:numPr>
          <w:ilvl w:val="0"/>
          <w:numId w:val="19"/>
        </w:numPr>
        <w:spacing w:before="100" w:beforeAutospacing="1" w:after="100" w:afterAutospacing="1" w:line="240" w:lineRule="auto"/>
        <w:rPr>
          <w:rFonts w:ascii="Arial" w:eastAsia="Times New Roman" w:hAnsi="Arial" w:cs="Arial"/>
          <w:sz w:val="24"/>
          <w:szCs w:val="24"/>
          <w:lang w:val="en-GB" w:eastAsia="en-GB"/>
        </w:rPr>
      </w:pPr>
      <w:r w:rsidRPr="00827762">
        <w:rPr>
          <w:rFonts w:ascii="Arial" w:eastAsia="Times New Roman" w:hAnsi="Arial" w:cs="Arial"/>
          <w:sz w:val="24"/>
          <w:szCs w:val="24"/>
          <w:lang w:val="en-GB" w:eastAsia="en-GB"/>
        </w:rPr>
        <w:t>Training, documentation, and hypercare</w:t>
      </w:r>
    </w:p>
    <w:p w14:paraId="39445669" w14:textId="77777777" w:rsidR="00FA59E0" w:rsidRPr="00827762" w:rsidRDefault="00FA59E0" w:rsidP="00FA59E0">
      <w:pPr>
        <w:pStyle w:val="ListParagraph"/>
        <w:spacing w:after="120" w:line="288" w:lineRule="auto"/>
        <w:rPr>
          <w:rFonts w:ascii="Arial" w:eastAsia="Times New Roman" w:hAnsi="Arial" w:cs="Arial"/>
          <w:bCs/>
          <w:color w:val="FF0000"/>
          <w:lang w:val="en-GB" w:eastAsia="en-GB"/>
        </w:rPr>
      </w:pPr>
    </w:p>
    <w:p w14:paraId="0DB3D9FB" w14:textId="77777777" w:rsidR="00FA59E0" w:rsidRPr="00827762" w:rsidRDefault="00FA59E0" w:rsidP="00FA59E0">
      <w:pPr>
        <w:pStyle w:val="ListParagraph"/>
        <w:spacing w:after="120" w:line="288" w:lineRule="auto"/>
        <w:rPr>
          <w:rFonts w:ascii="Arial" w:eastAsia="Times New Roman" w:hAnsi="Arial" w:cs="Arial"/>
          <w:bCs/>
          <w:color w:val="FF0000"/>
          <w:lang w:val="en-GB" w:eastAsia="en-GB"/>
        </w:rPr>
      </w:pPr>
    </w:p>
    <w:p w14:paraId="47BE31DF" w14:textId="77777777" w:rsidR="00FA59E0" w:rsidRPr="00827762" w:rsidRDefault="00FA59E0" w:rsidP="00FA59E0">
      <w:pPr>
        <w:pStyle w:val="ListParagraph"/>
        <w:spacing w:after="120" w:line="288" w:lineRule="auto"/>
        <w:rPr>
          <w:rFonts w:ascii="Arial" w:eastAsia="Times New Roman" w:hAnsi="Arial" w:cs="Arial"/>
          <w:bCs/>
          <w:color w:val="FF0000"/>
          <w:lang w:val="en-GB" w:eastAsia="en-GB"/>
        </w:rPr>
      </w:pPr>
    </w:p>
    <w:p w14:paraId="668C20FC" w14:textId="77777777" w:rsidR="00FA59E0" w:rsidRPr="00827762" w:rsidRDefault="00FA59E0" w:rsidP="00FA59E0">
      <w:pPr>
        <w:pStyle w:val="ListParagraph"/>
        <w:numPr>
          <w:ilvl w:val="1"/>
          <w:numId w:val="10"/>
        </w:numPr>
        <w:spacing w:after="120" w:line="288" w:lineRule="auto"/>
        <w:ind w:left="357" w:hanging="357"/>
        <w:rPr>
          <w:rFonts w:ascii="Arial" w:eastAsia="Times New Roman" w:hAnsi="Arial" w:cs="Arial"/>
          <w:b/>
          <w:bCs/>
          <w:lang w:val="en-GB" w:eastAsia="en-GB"/>
        </w:rPr>
      </w:pPr>
      <w:r w:rsidRPr="00827762">
        <w:rPr>
          <w:rFonts w:ascii="Arial" w:eastAsia="Times New Roman" w:hAnsi="Arial" w:cs="Arial"/>
          <w:b/>
          <w:bCs/>
          <w:lang w:val="en-GB" w:eastAsia="en-GB"/>
        </w:rPr>
        <w:lastRenderedPageBreak/>
        <w:t>Deliverables</w:t>
      </w:r>
    </w:p>
    <w:p w14:paraId="28DA4FBF" w14:textId="52EBE60C" w:rsidR="00FA59E0" w:rsidRPr="00827762" w:rsidRDefault="00FA59E0" w:rsidP="008707B4">
      <w:pPr>
        <w:pStyle w:val="NormalWeb"/>
        <w:numPr>
          <w:ilvl w:val="0"/>
          <w:numId w:val="19"/>
        </w:numPr>
        <w:rPr>
          <w:rFonts w:ascii="Arial" w:hAnsi="Arial" w:cs="Arial"/>
        </w:rPr>
      </w:pPr>
      <w:r w:rsidRPr="00827762">
        <w:rPr>
          <w:rFonts w:ascii="Arial" w:hAnsi="Arial" w:cs="Arial"/>
        </w:rPr>
        <w:t>Implementation plan and delivery approach</w:t>
      </w:r>
    </w:p>
    <w:p w14:paraId="5A3210F3" w14:textId="3EE52AE8" w:rsidR="00FA59E0" w:rsidRPr="00827762" w:rsidRDefault="00FA59E0" w:rsidP="008707B4">
      <w:pPr>
        <w:pStyle w:val="NormalWeb"/>
        <w:numPr>
          <w:ilvl w:val="0"/>
          <w:numId w:val="19"/>
        </w:numPr>
        <w:rPr>
          <w:rFonts w:ascii="Arial" w:hAnsi="Arial" w:cs="Arial"/>
        </w:rPr>
      </w:pPr>
      <w:r w:rsidRPr="00827762">
        <w:rPr>
          <w:rFonts w:ascii="Arial" w:hAnsi="Arial" w:cs="Arial"/>
        </w:rPr>
        <w:t>RACI and governance model</w:t>
      </w:r>
    </w:p>
    <w:p w14:paraId="4DC12DD1" w14:textId="78ABEA3C" w:rsidR="00FA59E0" w:rsidRPr="00827762" w:rsidRDefault="00FA59E0" w:rsidP="008707B4">
      <w:pPr>
        <w:pStyle w:val="NormalWeb"/>
        <w:numPr>
          <w:ilvl w:val="0"/>
          <w:numId w:val="19"/>
        </w:numPr>
        <w:rPr>
          <w:rFonts w:ascii="Arial" w:hAnsi="Arial" w:cs="Arial"/>
        </w:rPr>
      </w:pPr>
      <w:r w:rsidRPr="00827762">
        <w:rPr>
          <w:rFonts w:ascii="Arial" w:hAnsi="Arial" w:cs="Arial"/>
        </w:rPr>
        <w:t>Testing and deployment documentation</w:t>
      </w:r>
    </w:p>
    <w:p w14:paraId="07078837" w14:textId="7645E579" w:rsidR="00FA59E0" w:rsidRPr="00827762" w:rsidRDefault="00FA59E0" w:rsidP="008707B4">
      <w:pPr>
        <w:pStyle w:val="NormalWeb"/>
        <w:numPr>
          <w:ilvl w:val="0"/>
          <w:numId w:val="19"/>
        </w:numPr>
        <w:rPr>
          <w:rFonts w:ascii="Arial" w:hAnsi="Arial" w:cs="Arial"/>
        </w:rPr>
      </w:pPr>
      <w:r w:rsidRPr="00827762">
        <w:rPr>
          <w:rFonts w:ascii="Arial" w:hAnsi="Arial" w:cs="Arial"/>
        </w:rPr>
        <w:t>Knowledge transfer and handover materials</w:t>
      </w:r>
    </w:p>
    <w:p w14:paraId="1AA385BD" w14:textId="77777777" w:rsidR="00FA59E0" w:rsidRPr="00827762" w:rsidRDefault="00FA59E0" w:rsidP="00FA59E0">
      <w:pPr>
        <w:spacing w:before="100" w:beforeAutospacing="1" w:after="100" w:afterAutospacing="1" w:line="240" w:lineRule="auto"/>
        <w:outlineLvl w:val="1"/>
        <w:rPr>
          <w:rFonts w:ascii="Arial" w:eastAsia="Times New Roman" w:hAnsi="Arial" w:cs="Arial"/>
          <w:b/>
          <w:bCs/>
          <w:sz w:val="36"/>
          <w:szCs w:val="36"/>
          <w:lang w:val="en-GB" w:eastAsia="en-GB"/>
        </w:rPr>
      </w:pPr>
      <w:r w:rsidRPr="00827762">
        <w:rPr>
          <w:rFonts w:ascii="Arial" w:eastAsia="Times New Roman" w:hAnsi="Arial" w:cs="Arial"/>
          <w:b/>
          <w:bCs/>
          <w:sz w:val="36"/>
          <w:szCs w:val="36"/>
          <w:lang w:val="en-GB" w:eastAsia="en-GB"/>
        </w:rPr>
        <w:t xml:space="preserve">4. </w:t>
      </w:r>
      <w:r w:rsidRPr="00827762">
        <w:rPr>
          <w:rFonts w:ascii="Arial" w:eastAsia="Times New Roman" w:hAnsi="Arial" w:cs="Arial"/>
          <w:b/>
          <w:bCs/>
          <w:lang w:val="en-GB" w:eastAsia="en-GB"/>
        </w:rPr>
        <w:t>RFI Questions &amp; Response Structure</w:t>
      </w:r>
    </w:p>
    <w:p w14:paraId="0E4E5CC2" w14:textId="77777777" w:rsidR="00FA59E0" w:rsidRPr="00827762" w:rsidRDefault="00FA59E0" w:rsidP="00FA59E0">
      <w:pPr>
        <w:spacing w:after="120"/>
        <w:rPr>
          <w:rFonts w:ascii="Arial" w:hAnsi="Arial" w:cs="Arial"/>
          <w:b/>
          <w:bCs/>
          <w:lang w:val="en-GB"/>
        </w:rPr>
      </w:pPr>
      <w:r w:rsidRPr="00827762">
        <w:rPr>
          <w:rFonts w:ascii="Arial" w:hAnsi="Arial" w:cs="Arial"/>
          <w:b/>
          <w:bCs/>
          <w:lang w:val="en-GB"/>
        </w:rPr>
        <w:t>RFI Questions and Response Structure</w:t>
      </w:r>
    </w:p>
    <w:p w14:paraId="6F4941AF" w14:textId="77777777" w:rsidR="00FA59E0" w:rsidRPr="00827762" w:rsidRDefault="00FA59E0" w:rsidP="00FA59E0">
      <w:pPr>
        <w:spacing w:after="120"/>
        <w:rPr>
          <w:rFonts w:ascii="Arial" w:hAnsi="Arial" w:cs="Arial"/>
          <w:lang w:val="en-GB"/>
        </w:rPr>
      </w:pPr>
      <w:r w:rsidRPr="00827762">
        <w:rPr>
          <w:rFonts w:ascii="Arial" w:hAnsi="Arial" w:cs="Arial"/>
          <w:lang w:val="en-GB"/>
        </w:rPr>
        <w:t xml:space="preserve">Suppliers are invited to provide </w:t>
      </w:r>
      <w:r w:rsidRPr="00827762">
        <w:rPr>
          <w:rFonts w:ascii="Arial" w:hAnsi="Arial" w:cs="Arial"/>
          <w:b/>
          <w:bCs/>
          <w:lang w:val="en-GB"/>
        </w:rPr>
        <w:t>non-binding narrative responses</w:t>
      </w:r>
      <w:r w:rsidRPr="00827762">
        <w:rPr>
          <w:rFonts w:ascii="Arial" w:hAnsi="Arial" w:cs="Arial"/>
          <w:lang w:val="en-GB"/>
        </w:rPr>
        <w:t xml:space="preserve"> to the questions below.</w:t>
      </w:r>
      <w:r w:rsidRPr="00827762">
        <w:rPr>
          <w:rFonts w:ascii="Arial" w:hAnsi="Arial" w:cs="Arial"/>
          <w:lang w:val="en-GB"/>
        </w:rPr>
        <w:br/>
        <w:t>Responses will be used solely to inform the Authority’s understanding of market capability and delivery approaches.</w:t>
      </w:r>
    </w:p>
    <w:p w14:paraId="6869D427" w14:textId="77777777" w:rsidR="00FA59E0" w:rsidRPr="00827762" w:rsidRDefault="00FA59E0" w:rsidP="00FA59E0">
      <w:pPr>
        <w:spacing w:after="120"/>
        <w:rPr>
          <w:rFonts w:ascii="Arial" w:hAnsi="Arial" w:cs="Arial"/>
          <w:lang w:val="en-GB"/>
        </w:rPr>
      </w:pPr>
      <w:r w:rsidRPr="00827762">
        <w:rPr>
          <w:rFonts w:ascii="Arial" w:hAnsi="Arial" w:cs="Arial"/>
          <w:lang w:val="en-GB"/>
        </w:rPr>
        <w:t xml:space="preserve">There is </w:t>
      </w:r>
      <w:r w:rsidRPr="00827762">
        <w:rPr>
          <w:rFonts w:ascii="Arial" w:hAnsi="Arial" w:cs="Arial"/>
          <w:b/>
          <w:bCs/>
          <w:lang w:val="en-GB"/>
        </w:rPr>
        <w:t>no minimum response requirement</w:t>
      </w:r>
      <w:r w:rsidRPr="00827762">
        <w:rPr>
          <w:rFonts w:ascii="Arial" w:hAnsi="Arial" w:cs="Arial"/>
          <w:lang w:val="en-GB"/>
        </w:rPr>
        <w:t xml:space="preserve">, </w:t>
      </w:r>
      <w:r w:rsidRPr="00827762">
        <w:rPr>
          <w:rFonts w:ascii="Arial" w:hAnsi="Arial" w:cs="Arial"/>
          <w:b/>
          <w:bCs/>
          <w:lang w:val="en-GB"/>
        </w:rPr>
        <w:t>no scoring</w:t>
      </w:r>
      <w:r w:rsidRPr="00827762">
        <w:rPr>
          <w:rFonts w:ascii="Arial" w:hAnsi="Arial" w:cs="Arial"/>
          <w:lang w:val="en-GB"/>
        </w:rPr>
        <w:t xml:space="preserve">, and </w:t>
      </w:r>
      <w:r w:rsidRPr="00827762">
        <w:rPr>
          <w:rFonts w:ascii="Arial" w:hAnsi="Arial" w:cs="Arial"/>
          <w:b/>
          <w:bCs/>
          <w:lang w:val="en-GB"/>
        </w:rPr>
        <w:t>no selection</w:t>
      </w:r>
      <w:r w:rsidRPr="00827762">
        <w:rPr>
          <w:rFonts w:ascii="Arial" w:hAnsi="Arial" w:cs="Arial"/>
          <w:lang w:val="en-GB"/>
        </w:rPr>
        <w:t xml:space="preserve"> arising from this RFI.</w:t>
      </w:r>
    </w:p>
    <w:p w14:paraId="3EFCC67E" w14:textId="77777777" w:rsidR="00FA59E0" w:rsidRPr="00827762" w:rsidRDefault="00FA59E0" w:rsidP="00FA59E0">
      <w:pPr>
        <w:spacing w:after="120"/>
        <w:rPr>
          <w:rFonts w:ascii="Arial" w:hAnsi="Arial" w:cs="Arial"/>
          <w:lang w:val="en-GB"/>
        </w:rPr>
      </w:pPr>
      <w:r w:rsidRPr="00827762">
        <w:rPr>
          <w:rFonts w:ascii="Arial" w:hAnsi="Arial" w:cs="Arial"/>
          <w:lang w:val="en-GB"/>
        </w:rPr>
        <w:t>Indicative word counts are provided for guidance only.</w:t>
      </w:r>
    </w:p>
    <w:p w14:paraId="02579FF3" w14:textId="77777777" w:rsidR="00FA59E0" w:rsidRPr="006F7FC3" w:rsidRDefault="00FA59E0" w:rsidP="00FA59E0">
      <w:pPr>
        <w:spacing w:after="120"/>
        <w:rPr>
          <w:rFonts w:ascii="Arial" w:hAnsi="Arial" w:cs="Arial"/>
          <w:sz w:val="6"/>
        </w:rPr>
      </w:pPr>
    </w:p>
    <w:p w14:paraId="35ACC484" w14:textId="77777777" w:rsidR="00FA59E0" w:rsidRPr="00827762" w:rsidRDefault="00FA59E0" w:rsidP="00FA59E0">
      <w:pPr>
        <w:spacing w:after="120"/>
        <w:rPr>
          <w:rFonts w:ascii="Arial" w:hAnsi="Arial" w:cs="Arial"/>
          <w:lang w:val="en-GB"/>
        </w:rPr>
      </w:pPr>
      <w:r w:rsidRPr="00827762">
        <w:rPr>
          <w:rFonts w:ascii="Arial" w:hAnsi="Arial" w:cs="Arial"/>
          <w:b/>
          <w:bCs/>
          <w:lang w:val="en-GB"/>
        </w:rPr>
        <w:t>A. Capacity and Capability</w:t>
      </w:r>
      <w:r w:rsidRPr="00827762">
        <w:rPr>
          <w:rFonts w:ascii="Arial" w:hAnsi="Arial" w:cs="Arial"/>
          <w:lang w:val="en-GB"/>
        </w:rPr>
        <w:t> </w:t>
      </w:r>
    </w:p>
    <w:p w14:paraId="3FFBD69E" w14:textId="77777777" w:rsidR="00FA59E0" w:rsidRPr="00827762" w:rsidRDefault="00FA59E0" w:rsidP="00FA59E0">
      <w:pPr>
        <w:numPr>
          <w:ilvl w:val="0"/>
          <w:numId w:val="21"/>
        </w:numPr>
        <w:spacing w:after="120"/>
        <w:rPr>
          <w:rFonts w:ascii="Arial" w:hAnsi="Arial" w:cs="Arial"/>
          <w:lang w:val="en-GB"/>
        </w:rPr>
      </w:pPr>
      <w:r w:rsidRPr="00827762">
        <w:rPr>
          <w:rFonts w:ascii="Arial" w:hAnsi="Arial" w:cs="Arial"/>
          <w:lang w:val="en-GB"/>
        </w:rPr>
        <w:t>Describe your organisation’s experience delivering ExFlow AP and ExFlow Data Capture for Microsoft D365 F&amp;O. </w:t>
      </w:r>
    </w:p>
    <w:p w14:paraId="3B653CFF" w14:textId="77777777" w:rsidR="00FA59E0" w:rsidRPr="00827762" w:rsidRDefault="00FA59E0" w:rsidP="00FA59E0">
      <w:pPr>
        <w:numPr>
          <w:ilvl w:val="0"/>
          <w:numId w:val="22"/>
        </w:numPr>
        <w:spacing w:after="120"/>
        <w:rPr>
          <w:rFonts w:ascii="Arial" w:hAnsi="Arial" w:cs="Arial"/>
          <w:lang w:val="en-GB"/>
        </w:rPr>
      </w:pPr>
      <w:r w:rsidRPr="00827762">
        <w:rPr>
          <w:rFonts w:ascii="Arial" w:hAnsi="Arial" w:cs="Arial"/>
          <w:lang w:val="en-GB"/>
        </w:rPr>
        <w:t>Provide case studies of similar transitions from legacy AP solutions. </w:t>
      </w:r>
    </w:p>
    <w:p w14:paraId="35E1D50F" w14:textId="77777777" w:rsidR="00FA59E0" w:rsidRPr="00827762" w:rsidRDefault="00FA59E0" w:rsidP="00FA59E0">
      <w:pPr>
        <w:numPr>
          <w:ilvl w:val="0"/>
          <w:numId w:val="23"/>
        </w:numPr>
        <w:spacing w:after="120"/>
        <w:rPr>
          <w:rFonts w:ascii="Arial" w:hAnsi="Arial" w:cs="Arial"/>
          <w:lang w:val="en-GB"/>
        </w:rPr>
      </w:pPr>
      <w:r w:rsidRPr="00827762">
        <w:rPr>
          <w:rFonts w:ascii="Arial" w:hAnsi="Arial" w:cs="Arial"/>
          <w:lang w:val="en-GB"/>
        </w:rPr>
        <w:t>Outline proposed delivery team roles, expertise, and availability. </w:t>
      </w:r>
    </w:p>
    <w:p w14:paraId="33B772CC" w14:textId="77777777" w:rsidR="00FA59E0" w:rsidRPr="00827762" w:rsidRDefault="00FA59E0" w:rsidP="00FA59E0">
      <w:pPr>
        <w:numPr>
          <w:ilvl w:val="0"/>
          <w:numId w:val="24"/>
        </w:numPr>
        <w:spacing w:after="120"/>
        <w:rPr>
          <w:rFonts w:ascii="Arial" w:hAnsi="Arial" w:cs="Arial"/>
          <w:lang w:val="en-GB"/>
        </w:rPr>
      </w:pPr>
      <w:r w:rsidRPr="00827762">
        <w:rPr>
          <w:rFonts w:ascii="Arial" w:hAnsi="Arial" w:cs="Arial"/>
          <w:lang w:val="en-GB"/>
        </w:rPr>
        <w:t>Describe your technical experience supporting dualrunning arrangements. </w:t>
      </w:r>
    </w:p>
    <w:p w14:paraId="1FBBC77D" w14:textId="77777777" w:rsidR="00FA59E0" w:rsidRPr="00827762" w:rsidRDefault="00FA59E0" w:rsidP="00FA59E0">
      <w:pPr>
        <w:spacing w:after="120"/>
        <w:rPr>
          <w:rFonts w:ascii="Arial" w:hAnsi="Arial" w:cs="Arial"/>
        </w:rPr>
      </w:pPr>
    </w:p>
    <w:p w14:paraId="01E0D5EA" w14:textId="77777777" w:rsidR="00FA59E0" w:rsidRPr="00827762" w:rsidRDefault="00FA59E0" w:rsidP="00FA59E0">
      <w:pPr>
        <w:spacing w:after="120"/>
        <w:rPr>
          <w:rFonts w:ascii="Arial" w:hAnsi="Arial" w:cs="Arial"/>
          <w:lang w:val="en-GB"/>
        </w:rPr>
      </w:pPr>
      <w:r w:rsidRPr="00827762">
        <w:rPr>
          <w:rFonts w:ascii="Arial" w:hAnsi="Arial" w:cs="Arial"/>
          <w:b/>
          <w:bCs/>
          <w:lang w:val="en-GB"/>
        </w:rPr>
        <w:t>B. Innovation</w:t>
      </w:r>
      <w:r w:rsidRPr="00827762">
        <w:rPr>
          <w:rFonts w:ascii="Arial" w:hAnsi="Arial" w:cs="Arial"/>
          <w:lang w:val="en-GB"/>
        </w:rPr>
        <w:t> </w:t>
      </w:r>
    </w:p>
    <w:p w14:paraId="297B1AC5" w14:textId="77777777" w:rsidR="00FA59E0" w:rsidRPr="00827762" w:rsidRDefault="00FA59E0" w:rsidP="00FA59E0">
      <w:pPr>
        <w:numPr>
          <w:ilvl w:val="0"/>
          <w:numId w:val="25"/>
        </w:numPr>
        <w:spacing w:after="120"/>
        <w:rPr>
          <w:rFonts w:ascii="Arial" w:hAnsi="Arial" w:cs="Arial"/>
          <w:lang w:val="en-GB"/>
        </w:rPr>
      </w:pPr>
      <w:r w:rsidRPr="00827762">
        <w:rPr>
          <w:rFonts w:ascii="Arial" w:hAnsi="Arial" w:cs="Arial"/>
          <w:lang w:val="en-GB"/>
        </w:rPr>
        <w:t>What innovative approaches or tooling do you offer to optimise invoice automation? </w:t>
      </w:r>
    </w:p>
    <w:p w14:paraId="72BECA36" w14:textId="77777777" w:rsidR="00FA59E0" w:rsidRPr="00827762" w:rsidRDefault="00FA59E0" w:rsidP="00FA59E0">
      <w:pPr>
        <w:numPr>
          <w:ilvl w:val="0"/>
          <w:numId w:val="26"/>
        </w:numPr>
        <w:spacing w:after="120"/>
        <w:rPr>
          <w:rFonts w:ascii="Arial" w:hAnsi="Arial" w:cs="Arial"/>
          <w:lang w:val="en-GB"/>
        </w:rPr>
      </w:pPr>
      <w:r w:rsidRPr="00827762">
        <w:rPr>
          <w:rFonts w:ascii="Arial" w:hAnsi="Arial" w:cs="Arial"/>
          <w:lang w:val="en-GB"/>
        </w:rPr>
        <w:t>How do you enhance data quality, recognition accuracy, or workflow automation? </w:t>
      </w:r>
    </w:p>
    <w:p w14:paraId="1C6077E0" w14:textId="77777777" w:rsidR="00FA59E0" w:rsidRPr="00827762" w:rsidRDefault="00FA59E0" w:rsidP="00FA59E0">
      <w:pPr>
        <w:numPr>
          <w:ilvl w:val="0"/>
          <w:numId w:val="27"/>
        </w:numPr>
        <w:spacing w:after="120"/>
        <w:rPr>
          <w:rFonts w:ascii="Arial" w:hAnsi="Arial" w:cs="Arial"/>
          <w:lang w:val="en-GB"/>
        </w:rPr>
      </w:pPr>
      <w:r w:rsidRPr="00827762">
        <w:rPr>
          <w:rFonts w:ascii="Arial" w:hAnsi="Arial" w:cs="Arial"/>
          <w:lang w:val="en-GB"/>
        </w:rPr>
        <w:t>Describe any AIbased or enhancedautomation capabilities relevant to AP transformation. </w:t>
      </w:r>
    </w:p>
    <w:p w14:paraId="3BE38266" w14:textId="77777777" w:rsidR="00FA59E0" w:rsidRPr="00827762" w:rsidRDefault="00FA59E0" w:rsidP="00FA59E0">
      <w:pPr>
        <w:numPr>
          <w:ilvl w:val="0"/>
          <w:numId w:val="28"/>
        </w:numPr>
        <w:spacing w:after="120"/>
        <w:rPr>
          <w:rFonts w:ascii="Arial" w:hAnsi="Arial" w:cs="Arial"/>
          <w:lang w:val="en-GB"/>
        </w:rPr>
      </w:pPr>
      <w:r w:rsidRPr="00827762">
        <w:rPr>
          <w:rFonts w:ascii="Arial" w:hAnsi="Arial" w:cs="Arial"/>
          <w:lang w:val="en-GB"/>
        </w:rPr>
        <w:t>Provide any lessons learned that reduce cost, risk, or timeline. </w:t>
      </w:r>
    </w:p>
    <w:p w14:paraId="220E5B79" w14:textId="77777777" w:rsidR="00FA59E0" w:rsidRPr="00827762" w:rsidRDefault="00FA59E0" w:rsidP="00FA59E0">
      <w:pPr>
        <w:spacing w:after="120"/>
        <w:rPr>
          <w:rFonts w:ascii="Arial" w:hAnsi="Arial" w:cs="Arial"/>
        </w:rPr>
      </w:pPr>
    </w:p>
    <w:p w14:paraId="1BD7F153" w14:textId="77777777" w:rsidR="00FA59E0" w:rsidRPr="00827762" w:rsidRDefault="00FA59E0" w:rsidP="00FA59E0">
      <w:pPr>
        <w:spacing w:after="120"/>
        <w:rPr>
          <w:rFonts w:ascii="Arial" w:hAnsi="Arial" w:cs="Arial"/>
          <w:lang w:val="en-GB"/>
        </w:rPr>
      </w:pPr>
      <w:r w:rsidRPr="00827762">
        <w:rPr>
          <w:rFonts w:ascii="Arial" w:hAnsi="Arial" w:cs="Arial"/>
          <w:b/>
          <w:bCs/>
          <w:lang w:val="en-GB"/>
        </w:rPr>
        <w:t>C. Alternative Delivery Models</w:t>
      </w:r>
      <w:r w:rsidRPr="00827762">
        <w:rPr>
          <w:rFonts w:ascii="Arial" w:hAnsi="Arial" w:cs="Arial"/>
          <w:lang w:val="en-GB"/>
        </w:rPr>
        <w:t> </w:t>
      </w:r>
    </w:p>
    <w:p w14:paraId="4651B1C0" w14:textId="77777777" w:rsidR="00FA59E0" w:rsidRPr="00827762" w:rsidRDefault="00FA59E0" w:rsidP="00FA59E0">
      <w:pPr>
        <w:numPr>
          <w:ilvl w:val="0"/>
          <w:numId w:val="29"/>
        </w:numPr>
        <w:spacing w:after="120"/>
        <w:rPr>
          <w:rFonts w:ascii="Arial" w:hAnsi="Arial" w:cs="Arial"/>
          <w:lang w:val="en-GB"/>
        </w:rPr>
      </w:pPr>
      <w:r w:rsidRPr="00827762">
        <w:rPr>
          <w:rFonts w:ascii="Arial" w:hAnsi="Arial" w:cs="Arial"/>
          <w:lang w:val="en-GB"/>
        </w:rPr>
        <w:t>Outline your delivery model options (endtoend, phased rollout, hybrid, remote/onsite). </w:t>
      </w:r>
    </w:p>
    <w:p w14:paraId="471D0038" w14:textId="77777777" w:rsidR="00FA59E0" w:rsidRPr="00827762" w:rsidRDefault="00FA59E0" w:rsidP="00FA59E0">
      <w:pPr>
        <w:numPr>
          <w:ilvl w:val="0"/>
          <w:numId w:val="30"/>
        </w:numPr>
        <w:spacing w:after="120"/>
        <w:rPr>
          <w:rFonts w:ascii="Arial" w:hAnsi="Arial" w:cs="Arial"/>
          <w:lang w:val="en-GB"/>
        </w:rPr>
      </w:pPr>
      <w:r w:rsidRPr="00827762">
        <w:rPr>
          <w:rFonts w:ascii="Arial" w:hAnsi="Arial" w:cs="Arial"/>
          <w:lang w:val="en-GB"/>
        </w:rPr>
        <w:t>Describe commercial models available (Fixed Price, Time &amp; Materials, Milestones). </w:t>
      </w:r>
    </w:p>
    <w:p w14:paraId="3E9E4CA5" w14:textId="77777777" w:rsidR="00FA59E0" w:rsidRPr="00827762" w:rsidRDefault="00FA59E0" w:rsidP="00FA59E0">
      <w:pPr>
        <w:numPr>
          <w:ilvl w:val="0"/>
          <w:numId w:val="31"/>
        </w:numPr>
        <w:spacing w:after="120"/>
        <w:rPr>
          <w:rFonts w:ascii="Arial" w:hAnsi="Arial" w:cs="Arial"/>
          <w:lang w:val="en-GB"/>
        </w:rPr>
      </w:pPr>
      <w:r w:rsidRPr="00827762">
        <w:rPr>
          <w:rFonts w:ascii="Arial" w:hAnsi="Arial" w:cs="Arial"/>
          <w:lang w:val="en-GB"/>
        </w:rPr>
        <w:t>Explain ongoing support/managed services options. </w:t>
      </w:r>
    </w:p>
    <w:p w14:paraId="59EF29C9" w14:textId="77777777" w:rsidR="00FA59E0" w:rsidRPr="00827762" w:rsidRDefault="00FA59E0" w:rsidP="00FA59E0">
      <w:pPr>
        <w:numPr>
          <w:ilvl w:val="0"/>
          <w:numId w:val="32"/>
        </w:numPr>
        <w:spacing w:after="120"/>
        <w:rPr>
          <w:rFonts w:ascii="Arial" w:hAnsi="Arial" w:cs="Arial"/>
          <w:lang w:val="en-GB"/>
        </w:rPr>
      </w:pPr>
      <w:r w:rsidRPr="00827762">
        <w:rPr>
          <w:rFonts w:ascii="Arial" w:hAnsi="Arial" w:cs="Arial"/>
          <w:lang w:val="en-GB"/>
        </w:rPr>
        <w:t>Provide scalable or future-proofing options </w:t>
      </w:r>
    </w:p>
    <w:p w14:paraId="4722E7AD" w14:textId="77777777" w:rsidR="00FA59E0" w:rsidRPr="00827762" w:rsidRDefault="00FA59E0" w:rsidP="00FA59E0">
      <w:pPr>
        <w:spacing w:after="120"/>
        <w:ind w:left="720"/>
        <w:rPr>
          <w:rFonts w:ascii="Arial" w:hAnsi="Arial" w:cs="Arial"/>
          <w:lang w:val="en-GB"/>
        </w:rPr>
      </w:pPr>
    </w:p>
    <w:p w14:paraId="211EA1A7" w14:textId="77777777" w:rsidR="00FA59E0" w:rsidRPr="00827762" w:rsidRDefault="00FA59E0" w:rsidP="00FA59E0">
      <w:pPr>
        <w:spacing w:before="100" w:beforeAutospacing="1" w:after="100" w:afterAutospacing="1" w:line="240" w:lineRule="auto"/>
        <w:rPr>
          <w:rFonts w:ascii="Arial" w:eastAsia="Times New Roman" w:hAnsi="Arial" w:cs="Arial"/>
          <w:b/>
          <w:bCs/>
          <w:sz w:val="24"/>
          <w:szCs w:val="24"/>
          <w:lang w:val="en-GB" w:eastAsia="en-GB"/>
        </w:rPr>
      </w:pPr>
      <w:r w:rsidRPr="00827762">
        <w:rPr>
          <w:rFonts w:ascii="Arial" w:eastAsia="Times New Roman" w:hAnsi="Arial" w:cs="Arial"/>
          <w:b/>
          <w:bCs/>
          <w:sz w:val="24"/>
          <w:szCs w:val="24"/>
          <w:lang w:val="en-GB" w:eastAsia="en-GB"/>
        </w:rPr>
        <w:lastRenderedPageBreak/>
        <w:t>5. Next Steps</w:t>
      </w:r>
    </w:p>
    <w:p w14:paraId="2F2C5A49" w14:textId="77777777" w:rsidR="00FA59E0" w:rsidRPr="00827762" w:rsidRDefault="00FA59E0" w:rsidP="00FA59E0">
      <w:pPr>
        <w:spacing w:before="100" w:beforeAutospacing="1" w:after="100" w:afterAutospacing="1" w:line="240" w:lineRule="auto"/>
        <w:rPr>
          <w:rFonts w:ascii="Arial" w:eastAsia="Times New Roman" w:hAnsi="Arial" w:cs="Arial"/>
          <w:sz w:val="24"/>
          <w:szCs w:val="24"/>
          <w:lang w:val="en-GB" w:eastAsia="en-GB"/>
        </w:rPr>
      </w:pPr>
      <w:r w:rsidRPr="00827762">
        <w:rPr>
          <w:rFonts w:ascii="Arial" w:eastAsia="Times New Roman" w:hAnsi="Arial" w:cs="Arial"/>
          <w:sz w:val="24"/>
          <w:szCs w:val="24"/>
          <w:lang w:val="en-GB" w:eastAsia="en-GB"/>
        </w:rPr>
        <w:t>Following review of RFI responses, the Authority may:</w:t>
      </w:r>
    </w:p>
    <w:p w14:paraId="53907B75" w14:textId="77777777" w:rsidR="00FA59E0" w:rsidRPr="00827762" w:rsidRDefault="00FA59E0" w:rsidP="00FA59E0">
      <w:pPr>
        <w:numPr>
          <w:ilvl w:val="0"/>
          <w:numId w:val="20"/>
        </w:numPr>
        <w:spacing w:before="100" w:beforeAutospacing="1" w:after="100" w:afterAutospacing="1" w:line="240" w:lineRule="auto"/>
        <w:rPr>
          <w:rFonts w:ascii="Arial" w:eastAsia="Times New Roman" w:hAnsi="Arial" w:cs="Arial"/>
          <w:sz w:val="24"/>
          <w:szCs w:val="24"/>
          <w:lang w:val="en-GB" w:eastAsia="en-GB"/>
        </w:rPr>
      </w:pPr>
      <w:r w:rsidRPr="00827762">
        <w:rPr>
          <w:rFonts w:ascii="Arial" w:eastAsia="Times New Roman" w:hAnsi="Arial" w:cs="Arial"/>
          <w:sz w:val="24"/>
          <w:szCs w:val="24"/>
          <w:lang w:val="en-GB" w:eastAsia="en-GB"/>
        </w:rPr>
        <w:t>Engage further with the market</w:t>
      </w:r>
    </w:p>
    <w:p w14:paraId="68DD28A5" w14:textId="77777777" w:rsidR="00FA59E0" w:rsidRPr="00827762" w:rsidRDefault="00FA59E0" w:rsidP="00FA59E0">
      <w:pPr>
        <w:numPr>
          <w:ilvl w:val="0"/>
          <w:numId w:val="20"/>
        </w:numPr>
        <w:spacing w:before="100" w:beforeAutospacing="1" w:after="100" w:afterAutospacing="1" w:line="240" w:lineRule="auto"/>
        <w:rPr>
          <w:rFonts w:ascii="Arial" w:eastAsia="Times New Roman" w:hAnsi="Arial" w:cs="Arial"/>
          <w:sz w:val="24"/>
          <w:szCs w:val="24"/>
          <w:lang w:val="en-GB" w:eastAsia="en-GB"/>
        </w:rPr>
      </w:pPr>
      <w:r w:rsidRPr="00827762">
        <w:rPr>
          <w:rFonts w:ascii="Arial" w:eastAsia="Times New Roman" w:hAnsi="Arial" w:cs="Arial"/>
          <w:sz w:val="24"/>
          <w:szCs w:val="24"/>
          <w:lang w:val="en-GB" w:eastAsia="en-GB"/>
        </w:rPr>
        <w:t>Refine scope and requirements</w:t>
      </w:r>
    </w:p>
    <w:p w14:paraId="076D266D" w14:textId="77777777" w:rsidR="00FA59E0" w:rsidRPr="00827762" w:rsidRDefault="00FA59E0" w:rsidP="00FA59E0">
      <w:pPr>
        <w:numPr>
          <w:ilvl w:val="0"/>
          <w:numId w:val="20"/>
        </w:numPr>
        <w:spacing w:before="100" w:beforeAutospacing="1" w:after="100" w:afterAutospacing="1" w:line="240" w:lineRule="auto"/>
        <w:rPr>
          <w:rFonts w:ascii="Arial" w:eastAsia="Times New Roman" w:hAnsi="Arial" w:cs="Arial"/>
          <w:sz w:val="24"/>
          <w:szCs w:val="24"/>
          <w:lang w:val="en-GB" w:eastAsia="en-GB"/>
        </w:rPr>
      </w:pPr>
      <w:r w:rsidRPr="00827762">
        <w:rPr>
          <w:rFonts w:ascii="Arial" w:eastAsia="Times New Roman" w:hAnsi="Arial" w:cs="Arial"/>
          <w:sz w:val="24"/>
          <w:szCs w:val="24"/>
          <w:lang w:val="en-GB" w:eastAsia="en-GB"/>
        </w:rPr>
        <w:t>Determine the appropriate procurement route</w:t>
      </w:r>
    </w:p>
    <w:p w14:paraId="0167C6F8" w14:textId="77777777" w:rsidR="00FA59E0" w:rsidRPr="00827762" w:rsidRDefault="00FA59E0" w:rsidP="00FA59E0">
      <w:pPr>
        <w:numPr>
          <w:ilvl w:val="0"/>
          <w:numId w:val="20"/>
        </w:numPr>
        <w:spacing w:before="100" w:beforeAutospacing="1" w:after="100" w:afterAutospacing="1" w:line="240" w:lineRule="auto"/>
        <w:rPr>
          <w:rFonts w:ascii="Arial" w:eastAsia="Times New Roman" w:hAnsi="Arial" w:cs="Arial"/>
          <w:sz w:val="24"/>
          <w:szCs w:val="24"/>
          <w:lang w:val="en-GB" w:eastAsia="en-GB"/>
        </w:rPr>
      </w:pPr>
      <w:r w:rsidRPr="00827762">
        <w:rPr>
          <w:rFonts w:ascii="Arial" w:eastAsia="Times New Roman" w:hAnsi="Arial" w:cs="Arial"/>
          <w:sz w:val="24"/>
          <w:szCs w:val="24"/>
          <w:lang w:val="en-GB" w:eastAsia="en-GB"/>
        </w:rPr>
        <w:t>Issue a formal procurement in due course</w:t>
      </w:r>
    </w:p>
    <w:p w14:paraId="0548C162" w14:textId="77777777" w:rsidR="00FA59E0" w:rsidRPr="00827762" w:rsidRDefault="00FA59E0" w:rsidP="00FA59E0">
      <w:pPr>
        <w:spacing w:before="100" w:beforeAutospacing="1" w:after="100" w:afterAutospacing="1" w:line="240" w:lineRule="auto"/>
        <w:rPr>
          <w:rFonts w:ascii="Arial" w:eastAsia="Times New Roman" w:hAnsi="Arial" w:cs="Arial"/>
          <w:sz w:val="24"/>
          <w:szCs w:val="24"/>
          <w:lang w:val="en-GB" w:eastAsia="en-GB"/>
        </w:rPr>
      </w:pPr>
      <w:r w:rsidRPr="00827762">
        <w:rPr>
          <w:rFonts w:ascii="Arial" w:eastAsia="Times New Roman" w:hAnsi="Arial" w:cs="Arial"/>
          <w:sz w:val="24"/>
          <w:szCs w:val="24"/>
          <w:lang w:val="en-GB" w:eastAsia="en-GB"/>
        </w:rPr>
        <w:t xml:space="preserve">Participation in this RFI does </w:t>
      </w:r>
      <w:r w:rsidRPr="00827762">
        <w:rPr>
          <w:rFonts w:ascii="Arial" w:eastAsia="Times New Roman" w:hAnsi="Arial" w:cs="Arial"/>
          <w:b/>
          <w:bCs/>
          <w:sz w:val="24"/>
          <w:szCs w:val="24"/>
          <w:lang w:val="en-GB" w:eastAsia="en-GB"/>
        </w:rPr>
        <w:t>not</w:t>
      </w:r>
      <w:r w:rsidRPr="00827762">
        <w:rPr>
          <w:rFonts w:ascii="Arial" w:eastAsia="Times New Roman" w:hAnsi="Arial" w:cs="Arial"/>
          <w:sz w:val="24"/>
          <w:szCs w:val="24"/>
          <w:lang w:val="en-GB" w:eastAsia="en-GB"/>
        </w:rPr>
        <w:t xml:space="preserve"> guarantee inclusion in any future procurement.</w:t>
      </w:r>
    </w:p>
    <w:p w14:paraId="532F834D" w14:textId="77777777" w:rsidR="00FA59E0" w:rsidRPr="00827762" w:rsidRDefault="00FA59E0" w:rsidP="00FA59E0">
      <w:pPr>
        <w:spacing w:before="120" w:line="240" w:lineRule="auto"/>
        <w:ind w:left="720" w:hanging="720"/>
        <w:jc w:val="both"/>
        <w:rPr>
          <w:rFonts w:ascii="Arial" w:eastAsia="Arial" w:hAnsi="Arial" w:cs="Arial"/>
        </w:rPr>
      </w:pPr>
    </w:p>
    <w:p w14:paraId="60CCF6DF" w14:textId="77777777" w:rsidR="00FA59E0" w:rsidRPr="00827762" w:rsidRDefault="00FA59E0" w:rsidP="00FA59E0">
      <w:pPr>
        <w:spacing w:line="240" w:lineRule="auto"/>
        <w:rPr>
          <w:rFonts w:ascii="Arial" w:eastAsia="Arial" w:hAnsi="Arial" w:cs="Arial"/>
          <w:b/>
          <w:bCs/>
          <w:sz w:val="2"/>
          <w:szCs w:val="24"/>
        </w:rPr>
      </w:pPr>
    </w:p>
    <w:p w14:paraId="3227B80E" w14:textId="77777777" w:rsidR="00FA59E0" w:rsidRPr="00827762" w:rsidRDefault="00FA59E0" w:rsidP="00FA59E0">
      <w:pPr>
        <w:spacing w:line="240" w:lineRule="auto"/>
        <w:jc w:val="center"/>
        <w:rPr>
          <w:rFonts w:ascii="Arial" w:hAnsi="Arial" w:cs="Arial"/>
          <w:sz w:val="24"/>
          <w:szCs w:val="24"/>
        </w:rPr>
      </w:pPr>
      <w:r w:rsidRPr="00827762">
        <w:rPr>
          <w:rFonts w:ascii="Arial" w:eastAsia="Arial" w:hAnsi="Arial" w:cs="Arial"/>
          <w:b/>
          <w:bCs/>
          <w:sz w:val="24"/>
          <w:szCs w:val="24"/>
        </w:rPr>
        <w:t>APPENDIX 1</w:t>
      </w:r>
    </w:p>
    <w:p w14:paraId="38CCD245" w14:textId="77777777" w:rsidR="00FA59E0" w:rsidRPr="00827762" w:rsidRDefault="00FA59E0" w:rsidP="00FA59E0">
      <w:pPr>
        <w:spacing w:line="240" w:lineRule="auto"/>
        <w:jc w:val="center"/>
        <w:rPr>
          <w:rFonts w:ascii="Arial" w:hAnsi="Arial" w:cs="Arial"/>
          <w:sz w:val="24"/>
          <w:szCs w:val="24"/>
        </w:rPr>
      </w:pPr>
    </w:p>
    <w:p w14:paraId="24AB6B19" w14:textId="77777777" w:rsidR="00FA59E0" w:rsidRPr="00827762" w:rsidRDefault="00FA59E0" w:rsidP="00FA59E0">
      <w:pPr>
        <w:numPr>
          <w:ilvl w:val="0"/>
          <w:numId w:val="9"/>
        </w:numPr>
        <w:tabs>
          <w:tab w:val="left" w:pos="570"/>
        </w:tabs>
        <w:spacing w:after="200"/>
        <w:ind w:left="570" w:hanging="570"/>
        <w:rPr>
          <w:rFonts w:ascii="Arial" w:hAnsi="Arial" w:cs="Arial"/>
        </w:rPr>
      </w:pPr>
      <w:r w:rsidRPr="00827762">
        <w:rPr>
          <w:rFonts w:ascii="Arial" w:eastAsia="Arial" w:hAnsi="Arial" w:cs="Arial"/>
          <w:b/>
          <w:bCs/>
          <w:color w:val="4F6228"/>
        </w:rPr>
        <w:t xml:space="preserve">Respondent Details  </w:t>
      </w:r>
    </w:p>
    <w:p w14:paraId="5F38633D" w14:textId="77777777" w:rsidR="00FA59E0" w:rsidRPr="00827762" w:rsidRDefault="00FA59E0" w:rsidP="00FA59E0">
      <w:pPr>
        <w:spacing w:after="120"/>
        <w:ind w:left="570"/>
        <w:rPr>
          <w:rFonts w:ascii="Arial" w:eastAsia="Arial" w:hAnsi="Arial" w:cs="Arial"/>
        </w:rPr>
      </w:pPr>
      <w:r w:rsidRPr="00827762">
        <w:rPr>
          <w:rFonts w:ascii="Arial" w:eastAsia="Arial" w:hAnsi="Arial" w:cs="Arial"/>
        </w:rPr>
        <w:t>Please provide the company name, contact name, address, telephone, and email details for your company:</w:t>
      </w:r>
    </w:p>
    <w:tbl>
      <w:tblPr>
        <w:tblStyle w:val="TableGrid"/>
        <w:tblW w:w="8930" w:type="dxa"/>
        <w:tblInd w:w="137" w:type="dxa"/>
        <w:tblLook w:val="01E0" w:firstRow="1" w:lastRow="1" w:firstColumn="1" w:lastColumn="1" w:noHBand="0" w:noVBand="0"/>
      </w:tblPr>
      <w:tblGrid>
        <w:gridCol w:w="3402"/>
        <w:gridCol w:w="5528"/>
      </w:tblGrid>
      <w:tr w:rsidR="00FA59E0" w:rsidRPr="00827762" w14:paraId="29357B3F" w14:textId="77777777" w:rsidTr="004079E0">
        <w:tc>
          <w:tcPr>
            <w:tcW w:w="3402" w:type="dxa"/>
          </w:tcPr>
          <w:p w14:paraId="11440E1A" w14:textId="77777777" w:rsidR="00FA59E0" w:rsidRPr="00827762" w:rsidRDefault="00FA59E0" w:rsidP="004079E0">
            <w:pPr>
              <w:spacing w:before="120" w:after="120"/>
              <w:rPr>
                <w:rFonts w:ascii="Arial" w:hAnsi="Arial" w:cs="Arial"/>
              </w:rPr>
            </w:pPr>
            <w:r w:rsidRPr="00827762">
              <w:rPr>
                <w:rFonts w:ascii="Arial" w:hAnsi="Arial" w:cs="Arial"/>
              </w:rPr>
              <w:t>Name of Respondent:</w:t>
            </w:r>
          </w:p>
        </w:tc>
        <w:tc>
          <w:tcPr>
            <w:tcW w:w="5528" w:type="dxa"/>
          </w:tcPr>
          <w:p w14:paraId="7ADDC758" w14:textId="77777777" w:rsidR="00FA59E0" w:rsidRPr="00827762" w:rsidRDefault="00FA59E0" w:rsidP="004079E0">
            <w:pPr>
              <w:spacing w:before="120" w:after="120"/>
              <w:rPr>
                <w:rFonts w:ascii="Arial" w:hAnsi="Arial" w:cs="Arial"/>
                <w:b/>
              </w:rPr>
            </w:pPr>
          </w:p>
        </w:tc>
      </w:tr>
      <w:tr w:rsidR="00FA59E0" w:rsidRPr="00827762" w14:paraId="050353AB" w14:textId="77777777" w:rsidTr="004079E0">
        <w:tc>
          <w:tcPr>
            <w:tcW w:w="3402" w:type="dxa"/>
          </w:tcPr>
          <w:p w14:paraId="03C5F888" w14:textId="77777777" w:rsidR="00FA59E0" w:rsidRPr="00827762" w:rsidRDefault="00FA59E0" w:rsidP="004079E0">
            <w:pPr>
              <w:spacing w:before="120" w:after="120"/>
              <w:rPr>
                <w:rFonts w:ascii="Arial" w:hAnsi="Arial" w:cs="Arial"/>
              </w:rPr>
            </w:pPr>
            <w:r w:rsidRPr="00827762">
              <w:rPr>
                <w:rFonts w:ascii="Arial" w:hAnsi="Arial" w:cs="Arial"/>
              </w:rPr>
              <w:t>Company Name:</w:t>
            </w:r>
          </w:p>
        </w:tc>
        <w:tc>
          <w:tcPr>
            <w:tcW w:w="5528" w:type="dxa"/>
          </w:tcPr>
          <w:p w14:paraId="5CDC284F" w14:textId="77777777" w:rsidR="00FA59E0" w:rsidRPr="00827762" w:rsidRDefault="00FA59E0" w:rsidP="004079E0">
            <w:pPr>
              <w:spacing w:before="120" w:after="120"/>
              <w:rPr>
                <w:rFonts w:ascii="Arial" w:hAnsi="Arial" w:cs="Arial"/>
                <w:b/>
              </w:rPr>
            </w:pPr>
          </w:p>
        </w:tc>
      </w:tr>
      <w:tr w:rsidR="00FA59E0" w:rsidRPr="00827762" w14:paraId="2F108FC6" w14:textId="77777777" w:rsidTr="004079E0">
        <w:tc>
          <w:tcPr>
            <w:tcW w:w="3402" w:type="dxa"/>
          </w:tcPr>
          <w:p w14:paraId="6BAD68FD" w14:textId="77777777" w:rsidR="00FA59E0" w:rsidRPr="00827762" w:rsidRDefault="00FA59E0" w:rsidP="004079E0">
            <w:pPr>
              <w:spacing w:before="120" w:after="120"/>
              <w:rPr>
                <w:rFonts w:ascii="Arial" w:hAnsi="Arial" w:cs="Arial"/>
              </w:rPr>
            </w:pPr>
            <w:r w:rsidRPr="00827762">
              <w:rPr>
                <w:rFonts w:ascii="Arial" w:hAnsi="Arial" w:cs="Arial"/>
              </w:rPr>
              <w:t>Address of Registered Office:</w:t>
            </w:r>
          </w:p>
        </w:tc>
        <w:tc>
          <w:tcPr>
            <w:tcW w:w="5528" w:type="dxa"/>
          </w:tcPr>
          <w:p w14:paraId="76A18FA4" w14:textId="77777777" w:rsidR="00FA59E0" w:rsidRPr="00827762" w:rsidRDefault="00FA59E0" w:rsidP="004079E0">
            <w:pPr>
              <w:spacing w:before="120" w:after="120"/>
              <w:rPr>
                <w:rFonts w:ascii="Arial" w:hAnsi="Arial" w:cs="Arial"/>
                <w:b/>
              </w:rPr>
            </w:pPr>
          </w:p>
        </w:tc>
      </w:tr>
      <w:tr w:rsidR="00FA59E0" w:rsidRPr="00827762" w14:paraId="1BB01FBB" w14:textId="77777777" w:rsidTr="004079E0">
        <w:tc>
          <w:tcPr>
            <w:tcW w:w="3402" w:type="dxa"/>
          </w:tcPr>
          <w:p w14:paraId="296868E3" w14:textId="77777777" w:rsidR="00FA59E0" w:rsidRPr="00827762" w:rsidRDefault="00FA59E0" w:rsidP="004079E0">
            <w:pPr>
              <w:spacing w:before="120" w:after="120"/>
              <w:rPr>
                <w:rFonts w:ascii="Arial" w:hAnsi="Arial" w:cs="Arial"/>
              </w:rPr>
            </w:pPr>
            <w:r w:rsidRPr="00827762">
              <w:rPr>
                <w:rFonts w:ascii="Arial" w:hAnsi="Arial" w:cs="Arial"/>
              </w:rPr>
              <w:t>Company Registration Number:</w:t>
            </w:r>
          </w:p>
        </w:tc>
        <w:tc>
          <w:tcPr>
            <w:tcW w:w="5528" w:type="dxa"/>
          </w:tcPr>
          <w:p w14:paraId="258C8AA8" w14:textId="77777777" w:rsidR="00FA59E0" w:rsidRPr="00827762" w:rsidRDefault="00FA59E0" w:rsidP="004079E0">
            <w:pPr>
              <w:spacing w:before="120" w:after="120"/>
              <w:rPr>
                <w:rFonts w:ascii="Arial" w:hAnsi="Arial" w:cs="Arial"/>
                <w:b/>
              </w:rPr>
            </w:pPr>
          </w:p>
        </w:tc>
      </w:tr>
      <w:tr w:rsidR="00FA59E0" w:rsidRPr="00827762" w14:paraId="11FB0739" w14:textId="77777777" w:rsidTr="004079E0">
        <w:tc>
          <w:tcPr>
            <w:tcW w:w="3402" w:type="dxa"/>
          </w:tcPr>
          <w:p w14:paraId="4EBE1476" w14:textId="77777777" w:rsidR="00FA59E0" w:rsidRPr="00827762" w:rsidRDefault="00FA59E0" w:rsidP="004079E0">
            <w:pPr>
              <w:spacing w:before="120" w:after="120"/>
              <w:rPr>
                <w:rFonts w:ascii="Arial" w:hAnsi="Arial" w:cs="Arial"/>
              </w:rPr>
            </w:pPr>
            <w:r w:rsidRPr="00827762">
              <w:rPr>
                <w:rFonts w:ascii="Arial" w:hAnsi="Arial" w:cs="Arial"/>
              </w:rPr>
              <w:t>Telephone:</w:t>
            </w:r>
          </w:p>
        </w:tc>
        <w:tc>
          <w:tcPr>
            <w:tcW w:w="5528" w:type="dxa"/>
          </w:tcPr>
          <w:p w14:paraId="6D23D04D" w14:textId="77777777" w:rsidR="00FA59E0" w:rsidRPr="00827762" w:rsidRDefault="00FA59E0" w:rsidP="004079E0">
            <w:pPr>
              <w:spacing w:before="120" w:after="120"/>
              <w:rPr>
                <w:rFonts w:ascii="Arial" w:hAnsi="Arial" w:cs="Arial"/>
                <w:b/>
              </w:rPr>
            </w:pPr>
          </w:p>
        </w:tc>
      </w:tr>
      <w:tr w:rsidR="00FA59E0" w:rsidRPr="00827762" w14:paraId="25C076F6" w14:textId="77777777" w:rsidTr="004079E0">
        <w:tc>
          <w:tcPr>
            <w:tcW w:w="3402" w:type="dxa"/>
          </w:tcPr>
          <w:p w14:paraId="6650C2E3" w14:textId="77777777" w:rsidR="00FA59E0" w:rsidRPr="00827762" w:rsidRDefault="00FA59E0" w:rsidP="004079E0">
            <w:pPr>
              <w:spacing w:before="120" w:after="120"/>
              <w:rPr>
                <w:rFonts w:ascii="Arial" w:hAnsi="Arial" w:cs="Arial"/>
              </w:rPr>
            </w:pPr>
            <w:r w:rsidRPr="00827762">
              <w:rPr>
                <w:rFonts w:ascii="Arial" w:hAnsi="Arial" w:cs="Arial"/>
              </w:rPr>
              <w:t>Email:</w:t>
            </w:r>
          </w:p>
        </w:tc>
        <w:tc>
          <w:tcPr>
            <w:tcW w:w="5528" w:type="dxa"/>
          </w:tcPr>
          <w:p w14:paraId="43516C9C" w14:textId="77777777" w:rsidR="00FA59E0" w:rsidRPr="00827762" w:rsidRDefault="00FA59E0" w:rsidP="004079E0">
            <w:pPr>
              <w:spacing w:before="120" w:after="120"/>
              <w:rPr>
                <w:rFonts w:ascii="Arial" w:hAnsi="Arial" w:cs="Arial"/>
                <w:b/>
              </w:rPr>
            </w:pPr>
          </w:p>
        </w:tc>
      </w:tr>
      <w:tr w:rsidR="00FA59E0" w:rsidRPr="00827762" w14:paraId="5548C560" w14:textId="77777777" w:rsidTr="004079E0">
        <w:tc>
          <w:tcPr>
            <w:tcW w:w="3402" w:type="dxa"/>
          </w:tcPr>
          <w:p w14:paraId="63A0907C" w14:textId="77777777" w:rsidR="00FA59E0" w:rsidRPr="00827762" w:rsidRDefault="00FA59E0" w:rsidP="004079E0">
            <w:pPr>
              <w:spacing w:before="120" w:after="120"/>
              <w:rPr>
                <w:rFonts w:ascii="Arial" w:hAnsi="Arial" w:cs="Arial"/>
              </w:rPr>
            </w:pPr>
            <w:r w:rsidRPr="00827762">
              <w:rPr>
                <w:rFonts w:ascii="Arial" w:hAnsi="Arial" w:cs="Arial"/>
              </w:rPr>
              <w:t>Web:</w:t>
            </w:r>
          </w:p>
        </w:tc>
        <w:tc>
          <w:tcPr>
            <w:tcW w:w="5528" w:type="dxa"/>
          </w:tcPr>
          <w:p w14:paraId="21D3CC13" w14:textId="77777777" w:rsidR="00FA59E0" w:rsidRPr="00827762" w:rsidRDefault="00FA59E0" w:rsidP="004079E0">
            <w:pPr>
              <w:spacing w:before="120" w:after="120"/>
              <w:rPr>
                <w:rFonts w:ascii="Arial" w:hAnsi="Arial" w:cs="Arial"/>
                <w:b/>
              </w:rPr>
            </w:pPr>
          </w:p>
        </w:tc>
      </w:tr>
      <w:tr w:rsidR="00FA59E0" w:rsidRPr="00827762" w14:paraId="14748BF8" w14:textId="77777777" w:rsidTr="004079E0">
        <w:tc>
          <w:tcPr>
            <w:tcW w:w="3402" w:type="dxa"/>
          </w:tcPr>
          <w:p w14:paraId="63C8D0DC" w14:textId="77777777" w:rsidR="00FA59E0" w:rsidRPr="00827762" w:rsidRDefault="00FA59E0" w:rsidP="004079E0">
            <w:pPr>
              <w:spacing w:before="120" w:after="120"/>
              <w:rPr>
                <w:rFonts w:ascii="Arial" w:hAnsi="Arial" w:cs="Arial"/>
              </w:rPr>
            </w:pPr>
            <w:r w:rsidRPr="00827762">
              <w:rPr>
                <w:rFonts w:ascii="Arial" w:hAnsi="Arial" w:cs="Arial"/>
              </w:rPr>
              <w:t>General Contact Person:</w:t>
            </w:r>
          </w:p>
        </w:tc>
        <w:tc>
          <w:tcPr>
            <w:tcW w:w="5528" w:type="dxa"/>
          </w:tcPr>
          <w:p w14:paraId="2A0171B9" w14:textId="77777777" w:rsidR="00FA59E0" w:rsidRPr="00827762" w:rsidRDefault="00FA59E0" w:rsidP="004079E0">
            <w:pPr>
              <w:spacing w:before="120" w:after="120"/>
              <w:rPr>
                <w:rFonts w:ascii="Arial" w:hAnsi="Arial" w:cs="Arial"/>
                <w:b/>
              </w:rPr>
            </w:pPr>
          </w:p>
        </w:tc>
      </w:tr>
    </w:tbl>
    <w:p w14:paraId="562A60B1" w14:textId="77777777" w:rsidR="00FA59E0" w:rsidRPr="00827762" w:rsidRDefault="00FA59E0" w:rsidP="00FA59E0">
      <w:pPr>
        <w:spacing w:after="120"/>
        <w:rPr>
          <w:rFonts w:ascii="Arial" w:hAnsi="Arial" w:cs="Arial"/>
        </w:rPr>
      </w:pPr>
    </w:p>
    <w:p w14:paraId="487DE60E" w14:textId="77777777" w:rsidR="00FA59E0" w:rsidRDefault="00FA59E0"/>
    <w:sectPr w:rsidR="00FA59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5ED68" w14:textId="77777777" w:rsidR="00F928D2" w:rsidRDefault="00F928D2">
      <w:pPr>
        <w:spacing w:line="240" w:lineRule="auto"/>
      </w:pPr>
      <w:r>
        <w:separator/>
      </w:r>
    </w:p>
  </w:endnote>
  <w:endnote w:type="continuationSeparator" w:id="0">
    <w:p w14:paraId="45958BE2" w14:textId="77777777" w:rsidR="00F928D2" w:rsidRDefault="00F928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877254"/>
    </w:sdtPr>
    <w:sdtEndPr/>
    <w:sdtContent>
      <w:p w14:paraId="25E8ADCF" w14:textId="70AA893B" w:rsidR="00D83A22" w:rsidRDefault="009E08B3">
        <w:pPr>
          <w:spacing w:line="240" w:lineRule="auto"/>
          <w:jc w:val="right"/>
        </w:pPr>
        <w:r>
          <w:t xml:space="preserve">Page | </w:t>
        </w:r>
        <w:r>
          <w:fldChar w:fldCharType="begin"/>
        </w:r>
        <w:r>
          <w:instrText xml:space="preserve"> PAGE   \* MERGEFORMAT </w:instrText>
        </w:r>
        <w:r>
          <w:fldChar w:fldCharType="separate"/>
        </w:r>
        <w:r w:rsidR="005F6FF1">
          <w:rPr>
            <w:noProof/>
          </w:rPr>
          <w:t>1</w:t>
        </w:r>
        <w:r>
          <w:fldChar w:fldCharType="end"/>
        </w:r>
        <w:r>
          <w:t xml:space="preserve"> </w:t>
        </w:r>
      </w:p>
    </w:sdtContent>
  </w:sdt>
  <w:p w14:paraId="6A60956B" w14:textId="77777777" w:rsidR="00D83A22" w:rsidRDefault="00D83A22">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8EABA" w14:textId="77777777" w:rsidR="00F928D2" w:rsidRDefault="00F928D2">
      <w:pPr>
        <w:spacing w:line="240" w:lineRule="auto"/>
      </w:pPr>
      <w:r>
        <w:separator/>
      </w:r>
    </w:p>
  </w:footnote>
  <w:footnote w:type="continuationSeparator" w:id="0">
    <w:p w14:paraId="3791BAF3" w14:textId="77777777" w:rsidR="00F928D2" w:rsidRDefault="00F928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C3799" w14:textId="77777777" w:rsidR="00D83A22" w:rsidRDefault="009E08B3">
    <w:pPr>
      <w:tabs>
        <w:tab w:val="center" w:pos="4513"/>
        <w:tab w:val="right" w:pos="9026"/>
      </w:tabs>
      <w:spacing w:line="240" w:lineRule="auto"/>
    </w:pPr>
    <w:r>
      <w:rPr>
        <w:noProof/>
        <w:lang w:val="en-GB" w:eastAsia="en-GB"/>
      </w:rPr>
      <w:drawing>
        <wp:inline distT="0" distB="0" distL="0" distR="0" wp14:anchorId="770E559A" wp14:editId="7BF6E52F">
          <wp:extent cx="1181100" cy="4857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485775"/>
                  </a:xfrm>
                  <a:prstGeom prst="rect">
                    <a:avLst/>
                  </a:prstGeom>
                  <a:noFill/>
                </pic:spPr>
              </pic:pic>
            </a:graphicData>
          </a:graphic>
        </wp:inline>
      </w:drawing>
    </w:r>
    <w:r>
      <w:tab/>
    </w:r>
    <w:r>
      <w:tab/>
    </w:r>
    <w:r>
      <w:rPr>
        <w:noProof/>
        <w:sz w:val="28"/>
        <w:szCs w:val="28"/>
        <w:lang w:val="en-GB" w:eastAsia="en-GB"/>
      </w:rPr>
      <w:drawing>
        <wp:inline distT="0" distB="0" distL="0" distR="0" wp14:anchorId="49C3402C" wp14:editId="6281BAD0">
          <wp:extent cx="1304925" cy="415925"/>
          <wp:effectExtent l="0" t="0" r="952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415925"/>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E5F4705C"/>
    <w:lvl w:ilvl="0">
      <w:start w:val="1"/>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Arial" w:eastAsia="Arial" w:hAnsi="Arial" w:cs="Arial"/>
        <w:b/>
        <w:bCs/>
        <w:sz w:val="28"/>
        <w:szCs w:val="28"/>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21FAF4FE">
      <w:start w:val="1"/>
      <w:numFmt w:val="bullet"/>
      <w:lvlText w:val=""/>
      <w:lvlJc w:val="left"/>
      <w:pPr>
        <w:ind w:left="720" w:hanging="360"/>
      </w:pPr>
      <w:rPr>
        <w:rFonts w:ascii="Symbol" w:hAnsi="Symbol"/>
        <w:b w:val="0"/>
        <w:bCs w:val="0"/>
      </w:rPr>
    </w:lvl>
    <w:lvl w:ilvl="1" w:tplc="34AE51EE">
      <w:start w:val="1"/>
      <w:numFmt w:val="bullet"/>
      <w:lvlText w:val="o"/>
      <w:lvlJc w:val="left"/>
      <w:pPr>
        <w:tabs>
          <w:tab w:val="num" w:pos="1440"/>
        </w:tabs>
        <w:ind w:left="1440" w:hanging="360"/>
      </w:pPr>
      <w:rPr>
        <w:rFonts w:ascii="Courier New" w:hAnsi="Courier New"/>
      </w:rPr>
    </w:lvl>
    <w:lvl w:ilvl="2" w:tplc="7B6EB4C0">
      <w:start w:val="1"/>
      <w:numFmt w:val="bullet"/>
      <w:lvlText w:val=""/>
      <w:lvlJc w:val="left"/>
      <w:pPr>
        <w:tabs>
          <w:tab w:val="num" w:pos="2160"/>
        </w:tabs>
        <w:ind w:left="2160" w:hanging="360"/>
      </w:pPr>
      <w:rPr>
        <w:rFonts w:ascii="Wingdings" w:hAnsi="Wingdings"/>
      </w:rPr>
    </w:lvl>
    <w:lvl w:ilvl="3" w:tplc="C28E6D1A">
      <w:start w:val="1"/>
      <w:numFmt w:val="bullet"/>
      <w:lvlText w:val=""/>
      <w:lvlJc w:val="left"/>
      <w:pPr>
        <w:tabs>
          <w:tab w:val="num" w:pos="2880"/>
        </w:tabs>
        <w:ind w:left="2880" w:hanging="360"/>
      </w:pPr>
      <w:rPr>
        <w:rFonts w:ascii="Symbol" w:hAnsi="Symbol"/>
      </w:rPr>
    </w:lvl>
    <w:lvl w:ilvl="4" w:tplc="1DC6B8AC">
      <w:start w:val="1"/>
      <w:numFmt w:val="bullet"/>
      <w:lvlText w:val="o"/>
      <w:lvlJc w:val="left"/>
      <w:pPr>
        <w:tabs>
          <w:tab w:val="num" w:pos="3600"/>
        </w:tabs>
        <w:ind w:left="3600" w:hanging="360"/>
      </w:pPr>
      <w:rPr>
        <w:rFonts w:ascii="Courier New" w:hAnsi="Courier New"/>
      </w:rPr>
    </w:lvl>
    <w:lvl w:ilvl="5" w:tplc="12C0C124">
      <w:start w:val="1"/>
      <w:numFmt w:val="bullet"/>
      <w:lvlText w:val=""/>
      <w:lvlJc w:val="left"/>
      <w:pPr>
        <w:tabs>
          <w:tab w:val="num" w:pos="4320"/>
        </w:tabs>
        <w:ind w:left="4320" w:hanging="360"/>
      </w:pPr>
      <w:rPr>
        <w:rFonts w:ascii="Wingdings" w:hAnsi="Wingdings"/>
      </w:rPr>
    </w:lvl>
    <w:lvl w:ilvl="6" w:tplc="377A99B2">
      <w:start w:val="1"/>
      <w:numFmt w:val="bullet"/>
      <w:lvlText w:val=""/>
      <w:lvlJc w:val="left"/>
      <w:pPr>
        <w:tabs>
          <w:tab w:val="num" w:pos="5040"/>
        </w:tabs>
        <w:ind w:left="5040" w:hanging="360"/>
      </w:pPr>
      <w:rPr>
        <w:rFonts w:ascii="Symbol" w:hAnsi="Symbol"/>
      </w:rPr>
    </w:lvl>
    <w:lvl w:ilvl="7" w:tplc="E2B6EC2A">
      <w:start w:val="1"/>
      <w:numFmt w:val="bullet"/>
      <w:lvlText w:val="o"/>
      <w:lvlJc w:val="left"/>
      <w:pPr>
        <w:tabs>
          <w:tab w:val="num" w:pos="5760"/>
        </w:tabs>
        <w:ind w:left="5760" w:hanging="360"/>
      </w:pPr>
      <w:rPr>
        <w:rFonts w:ascii="Courier New" w:hAnsi="Courier New"/>
      </w:rPr>
    </w:lvl>
    <w:lvl w:ilvl="8" w:tplc="95EE36F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F6F24A52"/>
    <w:lvl w:ilvl="0">
      <w:start w:val="1"/>
      <w:numFmt w:val="decimal"/>
      <w:lvlText w:val=""/>
      <w:lvlJc w:val="left"/>
      <w:pPr>
        <w:tabs>
          <w:tab w:val="num" w:pos="720"/>
        </w:tabs>
        <w:ind w:left="720" w:hanging="360"/>
      </w:pPr>
      <w:rPr>
        <w:rFonts w:ascii="Symbol" w:hAnsi="Symbol"/>
      </w:rPr>
    </w:lvl>
    <w:lvl w:ilvl="1">
      <w:start w:val="2"/>
      <w:numFmt w:val="decimal"/>
      <w:lvlText w:val="%1.%2"/>
      <w:lvlJc w:val="left"/>
      <w:pPr>
        <w:ind w:left="0" w:firstLine="0"/>
      </w:pPr>
      <w:rPr>
        <w:rFonts w:ascii="Arial" w:eastAsia="Arial" w:hAnsi="Arial" w:cs="Arial"/>
        <w:b/>
        <w:bCs/>
        <w:sz w:val="28"/>
        <w:szCs w:val="28"/>
      </w:rPr>
    </w:lvl>
    <w:lvl w:ilvl="2">
      <w:start w:val="1"/>
      <w:numFmt w:val="decimal"/>
      <w:lvlText w:val="%1.%2.%3"/>
      <w:lvlJc w:val="left"/>
      <w:pPr>
        <w:ind w:left="0" w:firstLine="0"/>
      </w:pPr>
      <w:rPr>
        <w:rFonts w:ascii="Arial" w:eastAsia="Arial" w:hAnsi="Arial" w:cs="Arial"/>
        <w:sz w:val="22"/>
        <w:szCs w:val="22"/>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6"/>
    <w:multiLevelType w:val="multilevel"/>
    <w:tmpl w:val="0000000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hybridMultilevel"/>
    <w:tmpl w:val="00000007"/>
    <w:lvl w:ilvl="0" w:tplc="CCC088B4">
      <w:start w:val="1"/>
      <w:numFmt w:val="bullet"/>
      <w:lvlText w:val=""/>
      <w:lvlJc w:val="left"/>
      <w:pPr>
        <w:ind w:left="720" w:hanging="360"/>
      </w:pPr>
      <w:rPr>
        <w:rFonts w:ascii="Symbol" w:hAnsi="Symbol"/>
        <w:b w:val="0"/>
        <w:bCs w:val="0"/>
      </w:rPr>
    </w:lvl>
    <w:lvl w:ilvl="1" w:tplc="F5648998">
      <w:start w:val="1"/>
      <w:numFmt w:val="bullet"/>
      <w:lvlText w:val="o"/>
      <w:lvlJc w:val="left"/>
      <w:pPr>
        <w:tabs>
          <w:tab w:val="num" w:pos="1440"/>
        </w:tabs>
        <w:ind w:left="1440" w:hanging="360"/>
      </w:pPr>
      <w:rPr>
        <w:rFonts w:ascii="Courier New" w:hAnsi="Courier New"/>
      </w:rPr>
    </w:lvl>
    <w:lvl w:ilvl="2" w:tplc="F7007B38">
      <w:start w:val="1"/>
      <w:numFmt w:val="bullet"/>
      <w:lvlText w:val=""/>
      <w:lvlJc w:val="left"/>
      <w:pPr>
        <w:tabs>
          <w:tab w:val="num" w:pos="2160"/>
        </w:tabs>
        <w:ind w:left="2160" w:hanging="360"/>
      </w:pPr>
      <w:rPr>
        <w:rFonts w:ascii="Wingdings" w:hAnsi="Wingdings"/>
      </w:rPr>
    </w:lvl>
    <w:lvl w:ilvl="3" w:tplc="78F6E8B4">
      <w:start w:val="1"/>
      <w:numFmt w:val="bullet"/>
      <w:lvlText w:val=""/>
      <w:lvlJc w:val="left"/>
      <w:pPr>
        <w:tabs>
          <w:tab w:val="num" w:pos="2880"/>
        </w:tabs>
        <w:ind w:left="2880" w:hanging="360"/>
      </w:pPr>
      <w:rPr>
        <w:rFonts w:ascii="Symbol" w:hAnsi="Symbol"/>
      </w:rPr>
    </w:lvl>
    <w:lvl w:ilvl="4" w:tplc="FC5636F6">
      <w:start w:val="1"/>
      <w:numFmt w:val="bullet"/>
      <w:lvlText w:val="o"/>
      <w:lvlJc w:val="left"/>
      <w:pPr>
        <w:tabs>
          <w:tab w:val="num" w:pos="3600"/>
        </w:tabs>
        <w:ind w:left="3600" w:hanging="360"/>
      </w:pPr>
      <w:rPr>
        <w:rFonts w:ascii="Courier New" w:hAnsi="Courier New"/>
      </w:rPr>
    </w:lvl>
    <w:lvl w:ilvl="5" w:tplc="C5A4D416">
      <w:start w:val="1"/>
      <w:numFmt w:val="bullet"/>
      <w:lvlText w:val=""/>
      <w:lvlJc w:val="left"/>
      <w:pPr>
        <w:tabs>
          <w:tab w:val="num" w:pos="4320"/>
        </w:tabs>
        <w:ind w:left="4320" w:hanging="360"/>
      </w:pPr>
      <w:rPr>
        <w:rFonts w:ascii="Wingdings" w:hAnsi="Wingdings"/>
      </w:rPr>
    </w:lvl>
    <w:lvl w:ilvl="6" w:tplc="DB62C93C">
      <w:start w:val="1"/>
      <w:numFmt w:val="bullet"/>
      <w:lvlText w:val=""/>
      <w:lvlJc w:val="left"/>
      <w:pPr>
        <w:tabs>
          <w:tab w:val="num" w:pos="5040"/>
        </w:tabs>
        <w:ind w:left="5040" w:hanging="360"/>
      </w:pPr>
      <w:rPr>
        <w:rFonts w:ascii="Symbol" w:hAnsi="Symbol"/>
      </w:rPr>
    </w:lvl>
    <w:lvl w:ilvl="7" w:tplc="AD88B15C">
      <w:start w:val="1"/>
      <w:numFmt w:val="bullet"/>
      <w:lvlText w:val="o"/>
      <w:lvlJc w:val="left"/>
      <w:pPr>
        <w:tabs>
          <w:tab w:val="num" w:pos="5760"/>
        </w:tabs>
        <w:ind w:left="5760" w:hanging="360"/>
      </w:pPr>
      <w:rPr>
        <w:rFonts w:ascii="Courier New" w:hAnsi="Courier New"/>
      </w:rPr>
    </w:lvl>
    <w:lvl w:ilvl="8" w:tplc="8794DBF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8"/>
    <w:multiLevelType w:val="hybridMultilevel"/>
    <w:tmpl w:val="00000008"/>
    <w:lvl w:ilvl="0" w:tplc="AC9C8936">
      <w:start w:val="1"/>
      <w:numFmt w:val="bullet"/>
      <w:lvlText w:val=""/>
      <w:lvlJc w:val="left"/>
      <w:pPr>
        <w:ind w:left="720" w:hanging="360"/>
      </w:pPr>
      <w:rPr>
        <w:rFonts w:ascii="Symbol" w:hAnsi="Symbol"/>
        <w:b w:val="0"/>
        <w:bCs w:val="0"/>
      </w:rPr>
    </w:lvl>
    <w:lvl w:ilvl="1" w:tplc="70A86C2C">
      <w:start w:val="1"/>
      <w:numFmt w:val="bullet"/>
      <w:lvlText w:val="o"/>
      <w:lvlJc w:val="left"/>
      <w:pPr>
        <w:tabs>
          <w:tab w:val="num" w:pos="1440"/>
        </w:tabs>
        <w:ind w:left="1440" w:hanging="360"/>
      </w:pPr>
      <w:rPr>
        <w:rFonts w:ascii="Courier New" w:hAnsi="Courier New"/>
      </w:rPr>
    </w:lvl>
    <w:lvl w:ilvl="2" w:tplc="396EAA82">
      <w:start w:val="1"/>
      <w:numFmt w:val="bullet"/>
      <w:lvlText w:val=""/>
      <w:lvlJc w:val="left"/>
      <w:pPr>
        <w:tabs>
          <w:tab w:val="num" w:pos="2160"/>
        </w:tabs>
        <w:ind w:left="2160" w:hanging="360"/>
      </w:pPr>
      <w:rPr>
        <w:rFonts w:ascii="Wingdings" w:hAnsi="Wingdings"/>
      </w:rPr>
    </w:lvl>
    <w:lvl w:ilvl="3" w:tplc="A82E7B84">
      <w:start w:val="1"/>
      <w:numFmt w:val="bullet"/>
      <w:lvlText w:val=""/>
      <w:lvlJc w:val="left"/>
      <w:pPr>
        <w:tabs>
          <w:tab w:val="num" w:pos="2880"/>
        </w:tabs>
        <w:ind w:left="2880" w:hanging="360"/>
      </w:pPr>
      <w:rPr>
        <w:rFonts w:ascii="Symbol" w:hAnsi="Symbol"/>
      </w:rPr>
    </w:lvl>
    <w:lvl w:ilvl="4" w:tplc="040EF942">
      <w:start w:val="1"/>
      <w:numFmt w:val="bullet"/>
      <w:lvlText w:val="o"/>
      <w:lvlJc w:val="left"/>
      <w:pPr>
        <w:tabs>
          <w:tab w:val="num" w:pos="3600"/>
        </w:tabs>
        <w:ind w:left="3600" w:hanging="360"/>
      </w:pPr>
      <w:rPr>
        <w:rFonts w:ascii="Courier New" w:hAnsi="Courier New"/>
      </w:rPr>
    </w:lvl>
    <w:lvl w:ilvl="5" w:tplc="F5B00596">
      <w:start w:val="1"/>
      <w:numFmt w:val="bullet"/>
      <w:lvlText w:val=""/>
      <w:lvlJc w:val="left"/>
      <w:pPr>
        <w:tabs>
          <w:tab w:val="num" w:pos="4320"/>
        </w:tabs>
        <w:ind w:left="4320" w:hanging="360"/>
      </w:pPr>
      <w:rPr>
        <w:rFonts w:ascii="Wingdings" w:hAnsi="Wingdings"/>
      </w:rPr>
    </w:lvl>
    <w:lvl w:ilvl="6" w:tplc="9DE0282C">
      <w:start w:val="1"/>
      <w:numFmt w:val="bullet"/>
      <w:lvlText w:val=""/>
      <w:lvlJc w:val="left"/>
      <w:pPr>
        <w:tabs>
          <w:tab w:val="num" w:pos="5040"/>
        </w:tabs>
        <w:ind w:left="5040" w:hanging="360"/>
      </w:pPr>
      <w:rPr>
        <w:rFonts w:ascii="Symbol" w:hAnsi="Symbol"/>
      </w:rPr>
    </w:lvl>
    <w:lvl w:ilvl="7" w:tplc="A5A4F37E">
      <w:start w:val="1"/>
      <w:numFmt w:val="bullet"/>
      <w:lvlText w:val="o"/>
      <w:lvlJc w:val="left"/>
      <w:pPr>
        <w:tabs>
          <w:tab w:val="num" w:pos="5760"/>
        </w:tabs>
        <w:ind w:left="5760" w:hanging="360"/>
      </w:pPr>
      <w:rPr>
        <w:rFonts w:ascii="Courier New" w:hAnsi="Courier New"/>
      </w:rPr>
    </w:lvl>
    <w:lvl w:ilvl="8" w:tplc="CA3AD02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9"/>
    <w:multiLevelType w:val="hybridMultilevel"/>
    <w:tmpl w:val="00000009"/>
    <w:lvl w:ilvl="0" w:tplc="997E1A9A">
      <w:start w:val="1"/>
      <w:numFmt w:val="bullet"/>
      <w:lvlText w:val=""/>
      <w:lvlJc w:val="left"/>
      <w:pPr>
        <w:ind w:left="720" w:hanging="360"/>
      </w:pPr>
      <w:rPr>
        <w:rFonts w:ascii="Symbol" w:hAnsi="Symbol"/>
        <w:b w:val="0"/>
        <w:bCs w:val="0"/>
      </w:rPr>
    </w:lvl>
    <w:lvl w:ilvl="1" w:tplc="D7C41A8E">
      <w:start w:val="1"/>
      <w:numFmt w:val="bullet"/>
      <w:lvlText w:val="o"/>
      <w:lvlJc w:val="left"/>
      <w:pPr>
        <w:tabs>
          <w:tab w:val="num" w:pos="1440"/>
        </w:tabs>
        <w:ind w:left="1440" w:hanging="360"/>
      </w:pPr>
      <w:rPr>
        <w:rFonts w:ascii="Courier New" w:hAnsi="Courier New"/>
      </w:rPr>
    </w:lvl>
    <w:lvl w:ilvl="2" w:tplc="3DA691B8">
      <w:start w:val="1"/>
      <w:numFmt w:val="bullet"/>
      <w:lvlText w:val=""/>
      <w:lvlJc w:val="left"/>
      <w:pPr>
        <w:tabs>
          <w:tab w:val="num" w:pos="2160"/>
        </w:tabs>
        <w:ind w:left="2160" w:hanging="360"/>
      </w:pPr>
      <w:rPr>
        <w:rFonts w:ascii="Wingdings" w:hAnsi="Wingdings"/>
      </w:rPr>
    </w:lvl>
    <w:lvl w:ilvl="3" w:tplc="D9F88D80">
      <w:start w:val="1"/>
      <w:numFmt w:val="bullet"/>
      <w:lvlText w:val=""/>
      <w:lvlJc w:val="left"/>
      <w:pPr>
        <w:tabs>
          <w:tab w:val="num" w:pos="2880"/>
        </w:tabs>
        <w:ind w:left="2880" w:hanging="360"/>
      </w:pPr>
      <w:rPr>
        <w:rFonts w:ascii="Symbol" w:hAnsi="Symbol"/>
      </w:rPr>
    </w:lvl>
    <w:lvl w:ilvl="4" w:tplc="D3F027FC">
      <w:start w:val="1"/>
      <w:numFmt w:val="bullet"/>
      <w:lvlText w:val="o"/>
      <w:lvlJc w:val="left"/>
      <w:pPr>
        <w:tabs>
          <w:tab w:val="num" w:pos="3600"/>
        </w:tabs>
        <w:ind w:left="3600" w:hanging="360"/>
      </w:pPr>
      <w:rPr>
        <w:rFonts w:ascii="Courier New" w:hAnsi="Courier New"/>
      </w:rPr>
    </w:lvl>
    <w:lvl w:ilvl="5" w:tplc="6C3219BC">
      <w:start w:val="1"/>
      <w:numFmt w:val="bullet"/>
      <w:lvlText w:val=""/>
      <w:lvlJc w:val="left"/>
      <w:pPr>
        <w:tabs>
          <w:tab w:val="num" w:pos="4320"/>
        </w:tabs>
        <w:ind w:left="4320" w:hanging="360"/>
      </w:pPr>
      <w:rPr>
        <w:rFonts w:ascii="Wingdings" w:hAnsi="Wingdings"/>
      </w:rPr>
    </w:lvl>
    <w:lvl w:ilvl="6" w:tplc="8BB66A48">
      <w:start w:val="1"/>
      <w:numFmt w:val="bullet"/>
      <w:lvlText w:val=""/>
      <w:lvlJc w:val="left"/>
      <w:pPr>
        <w:tabs>
          <w:tab w:val="num" w:pos="5040"/>
        </w:tabs>
        <w:ind w:left="5040" w:hanging="360"/>
      </w:pPr>
      <w:rPr>
        <w:rFonts w:ascii="Symbol" w:hAnsi="Symbol"/>
      </w:rPr>
    </w:lvl>
    <w:lvl w:ilvl="7" w:tplc="AAA65198">
      <w:start w:val="1"/>
      <w:numFmt w:val="bullet"/>
      <w:lvlText w:val="o"/>
      <w:lvlJc w:val="left"/>
      <w:pPr>
        <w:tabs>
          <w:tab w:val="num" w:pos="5760"/>
        </w:tabs>
        <w:ind w:left="5760" w:hanging="360"/>
      </w:pPr>
      <w:rPr>
        <w:rFonts w:ascii="Courier New" w:hAnsi="Courier New"/>
      </w:rPr>
    </w:lvl>
    <w:lvl w:ilvl="8" w:tplc="C98212F0">
      <w:start w:val="1"/>
      <w:numFmt w:val="bullet"/>
      <w:lvlText w:val=""/>
      <w:lvlJc w:val="left"/>
      <w:pPr>
        <w:tabs>
          <w:tab w:val="num" w:pos="6480"/>
        </w:tabs>
        <w:ind w:left="6480" w:hanging="360"/>
      </w:pPr>
      <w:rPr>
        <w:rFonts w:ascii="Wingdings" w:hAnsi="Wingdings"/>
      </w:rPr>
    </w:lvl>
  </w:abstractNum>
  <w:abstractNum w:abstractNumId="8" w15:restartNumberingAfterBreak="0">
    <w:nsid w:val="0000000B"/>
    <w:multiLevelType w:val="hybridMultilevel"/>
    <w:tmpl w:val="4478304A"/>
    <w:lvl w:ilvl="0" w:tplc="D646D0B4">
      <w:start w:val="1"/>
      <w:numFmt w:val="decimal"/>
      <w:lvlText w:val="%1"/>
      <w:lvlJc w:val="left"/>
      <w:pPr>
        <w:ind w:left="0" w:firstLine="0"/>
      </w:pPr>
      <w:rPr>
        <w:rFonts w:ascii="Arial" w:eastAsia="Arial" w:hAnsi="Arial" w:cs="Arial"/>
        <w:b/>
        <w:bCs/>
        <w:color w:val="275317" w:themeColor="accent6" w:themeShade="80"/>
        <w:sz w:val="22"/>
        <w:szCs w:val="22"/>
      </w:rPr>
    </w:lvl>
    <w:lvl w:ilvl="1" w:tplc="A0AA03C2">
      <w:start w:val="1"/>
      <w:numFmt w:val="bullet"/>
      <w:lvlText w:val="o"/>
      <w:lvlJc w:val="left"/>
      <w:pPr>
        <w:tabs>
          <w:tab w:val="num" w:pos="1440"/>
        </w:tabs>
        <w:ind w:left="1440" w:hanging="360"/>
      </w:pPr>
      <w:rPr>
        <w:rFonts w:ascii="Courier New" w:hAnsi="Courier New"/>
      </w:rPr>
    </w:lvl>
    <w:lvl w:ilvl="2" w:tplc="91FAA232">
      <w:start w:val="1"/>
      <w:numFmt w:val="bullet"/>
      <w:lvlText w:val=""/>
      <w:lvlJc w:val="left"/>
      <w:pPr>
        <w:tabs>
          <w:tab w:val="num" w:pos="2160"/>
        </w:tabs>
        <w:ind w:left="2160" w:hanging="360"/>
      </w:pPr>
      <w:rPr>
        <w:rFonts w:ascii="Wingdings" w:hAnsi="Wingdings"/>
      </w:rPr>
    </w:lvl>
    <w:lvl w:ilvl="3" w:tplc="FEBC410E">
      <w:start w:val="1"/>
      <w:numFmt w:val="bullet"/>
      <w:lvlText w:val=""/>
      <w:lvlJc w:val="left"/>
      <w:pPr>
        <w:tabs>
          <w:tab w:val="num" w:pos="2880"/>
        </w:tabs>
        <w:ind w:left="2880" w:hanging="360"/>
      </w:pPr>
      <w:rPr>
        <w:rFonts w:ascii="Symbol" w:hAnsi="Symbol"/>
      </w:rPr>
    </w:lvl>
    <w:lvl w:ilvl="4" w:tplc="38EADD80">
      <w:start w:val="1"/>
      <w:numFmt w:val="bullet"/>
      <w:lvlText w:val="o"/>
      <w:lvlJc w:val="left"/>
      <w:pPr>
        <w:tabs>
          <w:tab w:val="num" w:pos="3600"/>
        </w:tabs>
        <w:ind w:left="3600" w:hanging="360"/>
      </w:pPr>
      <w:rPr>
        <w:rFonts w:ascii="Courier New" w:hAnsi="Courier New"/>
      </w:rPr>
    </w:lvl>
    <w:lvl w:ilvl="5" w:tplc="0A605600">
      <w:start w:val="1"/>
      <w:numFmt w:val="bullet"/>
      <w:lvlText w:val=""/>
      <w:lvlJc w:val="left"/>
      <w:pPr>
        <w:tabs>
          <w:tab w:val="num" w:pos="4320"/>
        </w:tabs>
        <w:ind w:left="4320" w:hanging="360"/>
      </w:pPr>
      <w:rPr>
        <w:rFonts w:ascii="Wingdings" w:hAnsi="Wingdings"/>
      </w:rPr>
    </w:lvl>
    <w:lvl w:ilvl="6" w:tplc="9F20F8AC">
      <w:start w:val="1"/>
      <w:numFmt w:val="bullet"/>
      <w:lvlText w:val=""/>
      <w:lvlJc w:val="left"/>
      <w:pPr>
        <w:tabs>
          <w:tab w:val="num" w:pos="5040"/>
        </w:tabs>
        <w:ind w:left="5040" w:hanging="360"/>
      </w:pPr>
      <w:rPr>
        <w:rFonts w:ascii="Symbol" w:hAnsi="Symbol"/>
      </w:rPr>
    </w:lvl>
    <w:lvl w:ilvl="7" w:tplc="757A6268">
      <w:start w:val="1"/>
      <w:numFmt w:val="bullet"/>
      <w:lvlText w:val="o"/>
      <w:lvlJc w:val="left"/>
      <w:pPr>
        <w:tabs>
          <w:tab w:val="num" w:pos="5760"/>
        </w:tabs>
        <w:ind w:left="5760" w:hanging="360"/>
      </w:pPr>
      <w:rPr>
        <w:rFonts w:ascii="Courier New" w:hAnsi="Courier New"/>
      </w:rPr>
    </w:lvl>
    <w:lvl w:ilvl="8" w:tplc="C34CEF58">
      <w:start w:val="1"/>
      <w:numFmt w:val="bullet"/>
      <w:lvlText w:val=""/>
      <w:lvlJc w:val="left"/>
      <w:pPr>
        <w:tabs>
          <w:tab w:val="num" w:pos="6480"/>
        </w:tabs>
        <w:ind w:left="6480" w:hanging="360"/>
      </w:pPr>
      <w:rPr>
        <w:rFonts w:ascii="Wingdings" w:hAnsi="Wingdings"/>
      </w:rPr>
    </w:lvl>
  </w:abstractNum>
  <w:abstractNum w:abstractNumId="9" w15:restartNumberingAfterBreak="0">
    <w:nsid w:val="00B12AEF"/>
    <w:multiLevelType w:val="multilevel"/>
    <w:tmpl w:val="9EBAF7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29837EF"/>
    <w:multiLevelType w:val="multilevel"/>
    <w:tmpl w:val="1A58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525269"/>
    <w:multiLevelType w:val="multilevel"/>
    <w:tmpl w:val="AFC469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3351DF"/>
    <w:multiLevelType w:val="multilevel"/>
    <w:tmpl w:val="26389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6926BB"/>
    <w:multiLevelType w:val="multilevel"/>
    <w:tmpl w:val="10EC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DE021F"/>
    <w:multiLevelType w:val="multilevel"/>
    <w:tmpl w:val="05A03F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46455B"/>
    <w:multiLevelType w:val="multilevel"/>
    <w:tmpl w:val="CD0CCA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007B05"/>
    <w:multiLevelType w:val="multilevel"/>
    <w:tmpl w:val="624ECE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926F5B"/>
    <w:multiLevelType w:val="hybridMultilevel"/>
    <w:tmpl w:val="19321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FD4EB5"/>
    <w:multiLevelType w:val="multilevel"/>
    <w:tmpl w:val="79E24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446DDD"/>
    <w:multiLevelType w:val="multilevel"/>
    <w:tmpl w:val="2A5C6D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7052A8"/>
    <w:multiLevelType w:val="multilevel"/>
    <w:tmpl w:val="6060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F0148E"/>
    <w:multiLevelType w:val="multilevel"/>
    <w:tmpl w:val="62D4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C82118"/>
    <w:multiLevelType w:val="multilevel"/>
    <w:tmpl w:val="A6241B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B80A9E"/>
    <w:multiLevelType w:val="multilevel"/>
    <w:tmpl w:val="F848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E751EA"/>
    <w:multiLevelType w:val="hybridMultilevel"/>
    <w:tmpl w:val="7B4E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39395C"/>
    <w:multiLevelType w:val="multilevel"/>
    <w:tmpl w:val="681A2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C4166C"/>
    <w:multiLevelType w:val="multilevel"/>
    <w:tmpl w:val="31C0156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sz w:val="28"/>
        <w:szCs w:val="28"/>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6B352D1F"/>
    <w:multiLevelType w:val="multilevel"/>
    <w:tmpl w:val="7780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5F4256"/>
    <w:multiLevelType w:val="hybridMultilevel"/>
    <w:tmpl w:val="B986C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6D1F29"/>
    <w:multiLevelType w:val="multilevel"/>
    <w:tmpl w:val="61A0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C110AC"/>
    <w:multiLevelType w:val="multilevel"/>
    <w:tmpl w:val="B4C8F3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274C6F"/>
    <w:multiLevelType w:val="multilevel"/>
    <w:tmpl w:val="040EF9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26"/>
  </w:num>
  <w:num w:numId="11">
    <w:abstractNumId w:val="17"/>
  </w:num>
  <w:num w:numId="12">
    <w:abstractNumId w:val="28"/>
  </w:num>
  <w:num w:numId="13">
    <w:abstractNumId w:val="24"/>
  </w:num>
  <w:num w:numId="14">
    <w:abstractNumId w:val="29"/>
  </w:num>
  <w:num w:numId="15">
    <w:abstractNumId w:val="21"/>
  </w:num>
  <w:num w:numId="16">
    <w:abstractNumId w:val="20"/>
  </w:num>
  <w:num w:numId="17">
    <w:abstractNumId w:val="13"/>
  </w:num>
  <w:num w:numId="18">
    <w:abstractNumId w:val="10"/>
  </w:num>
  <w:num w:numId="19">
    <w:abstractNumId w:val="23"/>
  </w:num>
  <w:num w:numId="20">
    <w:abstractNumId w:val="27"/>
  </w:num>
  <w:num w:numId="21">
    <w:abstractNumId w:val="18"/>
  </w:num>
  <w:num w:numId="22">
    <w:abstractNumId w:val="16"/>
  </w:num>
  <w:num w:numId="23">
    <w:abstractNumId w:val="14"/>
  </w:num>
  <w:num w:numId="24">
    <w:abstractNumId w:val="31"/>
  </w:num>
  <w:num w:numId="25">
    <w:abstractNumId w:val="25"/>
  </w:num>
  <w:num w:numId="26">
    <w:abstractNumId w:val="22"/>
  </w:num>
  <w:num w:numId="27">
    <w:abstractNumId w:val="15"/>
  </w:num>
  <w:num w:numId="28">
    <w:abstractNumId w:val="19"/>
  </w:num>
  <w:num w:numId="29">
    <w:abstractNumId w:val="12"/>
  </w:num>
  <w:num w:numId="30">
    <w:abstractNumId w:val="9"/>
  </w:num>
  <w:num w:numId="31">
    <w:abstractNumId w:val="11"/>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9E0"/>
    <w:rsid w:val="001A547E"/>
    <w:rsid w:val="004F7C4F"/>
    <w:rsid w:val="005F6FF1"/>
    <w:rsid w:val="006F7FC3"/>
    <w:rsid w:val="00827762"/>
    <w:rsid w:val="008707B4"/>
    <w:rsid w:val="009E08B3"/>
    <w:rsid w:val="00AA5D03"/>
    <w:rsid w:val="00D83A22"/>
    <w:rsid w:val="00DD3108"/>
    <w:rsid w:val="00E14EAB"/>
    <w:rsid w:val="00E50475"/>
    <w:rsid w:val="00EC1FC9"/>
    <w:rsid w:val="00F521C9"/>
    <w:rsid w:val="00F928D2"/>
    <w:rsid w:val="00FA59E0"/>
    <w:rsid w:val="00FE41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5E4FC"/>
  <w15:chartTrackingRefBased/>
  <w15:docId w15:val="{59FB750E-E0E0-404D-9A66-395B0678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9E0"/>
    <w:pPr>
      <w:spacing w:after="0" w:line="276" w:lineRule="auto"/>
    </w:pPr>
    <w:rPr>
      <w:rFonts w:ascii="Calibri" w:eastAsia="Calibri" w:hAnsi="Calibri" w:cs="Calibri"/>
      <w:kern w:val="0"/>
      <w:sz w:val="22"/>
      <w:szCs w:val="22"/>
      <w:lang w:val="en-US"/>
      <w14:ligatures w14:val="none"/>
    </w:rPr>
  </w:style>
  <w:style w:type="paragraph" w:styleId="Heading1">
    <w:name w:val="heading 1"/>
    <w:basedOn w:val="Normal"/>
    <w:next w:val="Normal"/>
    <w:link w:val="Heading1Char"/>
    <w:uiPriority w:val="9"/>
    <w:qFormat/>
    <w:rsid w:val="00FA59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59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59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59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59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59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9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9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9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9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59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59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59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59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59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9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9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9E0"/>
    <w:rPr>
      <w:rFonts w:eastAsiaTheme="majorEastAsia" w:cstheme="majorBidi"/>
      <w:color w:val="272727" w:themeColor="text1" w:themeTint="D8"/>
    </w:rPr>
  </w:style>
  <w:style w:type="paragraph" w:styleId="Title">
    <w:name w:val="Title"/>
    <w:basedOn w:val="Normal"/>
    <w:next w:val="Normal"/>
    <w:link w:val="TitleChar"/>
    <w:uiPriority w:val="10"/>
    <w:qFormat/>
    <w:rsid w:val="00FA5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9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9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9E0"/>
    <w:pPr>
      <w:spacing w:before="160"/>
      <w:jc w:val="center"/>
    </w:pPr>
    <w:rPr>
      <w:i/>
      <w:iCs/>
      <w:color w:val="404040" w:themeColor="text1" w:themeTint="BF"/>
    </w:rPr>
  </w:style>
  <w:style w:type="character" w:customStyle="1" w:styleId="QuoteChar">
    <w:name w:val="Quote Char"/>
    <w:basedOn w:val="DefaultParagraphFont"/>
    <w:link w:val="Quote"/>
    <w:uiPriority w:val="29"/>
    <w:rsid w:val="00FA59E0"/>
    <w:rPr>
      <w:i/>
      <w:iCs/>
      <w:color w:val="404040" w:themeColor="text1" w:themeTint="BF"/>
    </w:rPr>
  </w:style>
  <w:style w:type="paragraph" w:styleId="ListParagraph">
    <w:name w:val="List Paragraph"/>
    <w:basedOn w:val="Normal"/>
    <w:uiPriority w:val="34"/>
    <w:qFormat/>
    <w:rsid w:val="00FA59E0"/>
    <w:pPr>
      <w:ind w:left="720"/>
      <w:contextualSpacing/>
    </w:pPr>
  </w:style>
  <w:style w:type="character" w:styleId="IntenseEmphasis">
    <w:name w:val="Intense Emphasis"/>
    <w:basedOn w:val="DefaultParagraphFont"/>
    <w:uiPriority w:val="21"/>
    <w:qFormat/>
    <w:rsid w:val="00FA59E0"/>
    <w:rPr>
      <w:i/>
      <w:iCs/>
      <w:color w:val="0F4761" w:themeColor="accent1" w:themeShade="BF"/>
    </w:rPr>
  </w:style>
  <w:style w:type="paragraph" w:styleId="IntenseQuote">
    <w:name w:val="Intense Quote"/>
    <w:basedOn w:val="Normal"/>
    <w:next w:val="Normal"/>
    <w:link w:val="IntenseQuoteChar"/>
    <w:uiPriority w:val="30"/>
    <w:qFormat/>
    <w:rsid w:val="00FA59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59E0"/>
    <w:rPr>
      <w:i/>
      <w:iCs/>
      <w:color w:val="0F4761" w:themeColor="accent1" w:themeShade="BF"/>
    </w:rPr>
  </w:style>
  <w:style w:type="character" w:styleId="IntenseReference">
    <w:name w:val="Intense Reference"/>
    <w:basedOn w:val="DefaultParagraphFont"/>
    <w:uiPriority w:val="32"/>
    <w:qFormat/>
    <w:rsid w:val="00FA59E0"/>
    <w:rPr>
      <w:b/>
      <w:bCs/>
      <w:smallCaps/>
      <w:color w:val="0F4761" w:themeColor="accent1" w:themeShade="BF"/>
      <w:spacing w:val="5"/>
    </w:rPr>
  </w:style>
  <w:style w:type="character" w:styleId="Hyperlink">
    <w:name w:val="Hyperlink"/>
    <w:basedOn w:val="DefaultParagraphFont"/>
    <w:uiPriority w:val="99"/>
    <w:unhideWhenUsed/>
    <w:rsid w:val="00FA59E0"/>
    <w:rPr>
      <w:color w:val="467886" w:themeColor="hyperlink"/>
      <w:u w:val="single"/>
    </w:rPr>
  </w:style>
  <w:style w:type="table" w:styleId="TableGrid">
    <w:name w:val="Table Grid"/>
    <w:basedOn w:val="TableNormal"/>
    <w:rsid w:val="00FA59E0"/>
    <w:pPr>
      <w:spacing w:after="0" w:line="240" w:lineRule="auto"/>
    </w:pPr>
    <w:rPr>
      <w:rFonts w:ascii="Times New Roman" w:eastAsia="Times New Roman" w:hAnsi="Times New Roman" w:cs="Times New Roman"/>
      <w:kern w:val="0"/>
      <w:sz w:val="20"/>
      <w:szCs w:val="20"/>
      <w:lang w:val="en-AU"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A59E0"/>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FA59E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FA59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kch.nhs.uk/about/the-kings-story/partnership-working" TargetMode="External"/><Relationship Id="rId4" Type="http://schemas.openxmlformats.org/officeDocument/2006/relationships/webSettings" Target="webSettings.xml"/><Relationship Id="rId9" Type="http://schemas.openxmlformats.org/officeDocument/2006/relationships/hyperlink" Target="https://www.kch.nhs.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2111</Words>
  <Characters>12035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King's College Hospital NHS Foundation Trust</Company>
  <LinksUpToDate>false</LinksUpToDate>
  <CharactersWithSpaces>14118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SHEIKH, Umar (KING'S COLLEGE HOSPITAL NHS FOUNDATION TRUST)</dc:creator>
  <cp:keywords/>
  <dc:description/>
  <cp:lastModifiedBy>Okhiria, Sunday</cp:lastModifiedBy>
  <cp:revision>2</cp:revision>
  <dcterms:created xsi:type="dcterms:W3CDTF">2026-02-09T16:01:00Z</dcterms:created>
  <dcterms:modified xsi:type="dcterms:W3CDTF">2026-02-09T16:01:00Z</dcterms:modified>
</cp:coreProperties>
</file>