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A4" w:rsidRPr="009B5CA4" w:rsidRDefault="009B5CA4" w:rsidP="009B5CA4">
      <w:pPr>
        <w:rPr>
          <w:rFonts w:ascii="nta" w:hAnsi="nta" w:cs="Arial"/>
          <w:color w:val="0B0C0C"/>
          <w:lang w:val="en" w:eastAsia="en-GB"/>
        </w:rPr>
      </w:pPr>
      <w:r w:rsidRPr="009B5CA4">
        <w:rPr>
          <w:rFonts w:ascii="nta" w:hAnsi="nta" w:cs="Arial"/>
          <w:color w:val="6F777B"/>
          <w:sz w:val="27"/>
          <w:szCs w:val="27"/>
          <w:lang w:val="en" w:eastAsia="en-GB"/>
        </w:rPr>
        <w:t>UBDS IT Consulting Ltd</w:t>
      </w:r>
    </w:p>
    <w:p w:rsidR="009B5CA4" w:rsidRPr="009B5CA4" w:rsidRDefault="009B5CA4" w:rsidP="009B5CA4">
      <w:pPr>
        <w:spacing w:after="300"/>
        <w:outlineLvl w:val="0"/>
        <w:rPr>
          <w:rFonts w:ascii="nta" w:hAnsi="nta" w:cs="Arial"/>
          <w:b/>
          <w:bCs/>
          <w:color w:val="0B0C0C"/>
          <w:kern w:val="36"/>
          <w:sz w:val="36"/>
          <w:szCs w:val="36"/>
          <w:lang w:val="en" w:eastAsia="en-GB"/>
        </w:rPr>
      </w:pPr>
      <w:r w:rsidRPr="009B5CA4">
        <w:rPr>
          <w:rFonts w:ascii="nta" w:hAnsi="nta" w:cs="Arial"/>
          <w:b/>
          <w:bCs/>
          <w:color w:val="0B0C0C"/>
          <w:kern w:val="36"/>
          <w:sz w:val="36"/>
          <w:szCs w:val="36"/>
          <w:lang w:val="en" w:eastAsia="en-GB"/>
        </w:rPr>
        <w:t>Network Transformation for Cloud Adoption</w:t>
      </w:r>
    </w:p>
    <w:p w:rsidR="009B5CA4" w:rsidRPr="009B5CA4" w:rsidRDefault="009B5CA4" w:rsidP="009B5CA4">
      <w:pPr>
        <w:rPr>
          <w:rFonts w:ascii="nta" w:hAnsi="nta" w:cs="Arial"/>
          <w:color w:val="0B0C0C"/>
          <w:lang w:val="en" w:eastAsia="en-GB"/>
        </w:rPr>
      </w:pPr>
      <w:r w:rsidRPr="009B5CA4">
        <w:rPr>
          <w:rFonts w:ascii="nta" w:hAnsi="nta" w:cs="Arial"/>
          <w:color w:val="0B0C0C"/>
          <w:lang w:val="en" w:eastAsia="en-GB"/>
        </w:rPr>
        <w:t xml:space="preserve">UBDS IT helps </w:t>
      </w:r>
      <w:proofErr w:type="spellStart"/>
      <w:r w:rsidRPr="009B5CA4">
        <w:rPr>
          <w:rFonts w:ascii="nta" w:hAnsi="nta" w:cs="Arial"/>
          <w:color w:val="0B0C0C"/>
          <w:lang w:val="en" w:eastAsia="en-GB"/>
        </w:rPr>
        <w:t>organisations</w:t>
      </w:r>
      <w:proofErr w:type="spellEnd"/>
      <w:r w:rsidRPr="009B5CA4">
        <w:rPr>
          <w:rFonts w:ascii="nta" w:hAnsi="nta" w:cs="Arial"/>
          <w:color w:val="0B0C0C"/>
          <w:lang w:val="en" w:eastAsia="en-GB"/>
        </w:rPr>
        <w:t xml:space="preserve"> plan, design and implement resilient cloud-based services. Our managed architecture services support </w:t>
      </w:r>
      <w:proofErr w:type="spellStart"/>
      <w:r w:rsidRPr="009B5CA4">
        <w:rPr>
          <w:rFonts w:ascii="nta" w:hAnsi="nta" w:cs="Arial"/>
          <w:color w:val="0B0C0C"/>
          <w:lang w:val="en" w:eastAsia="en-GB"/>
        </w:rPr>
        <w:t>organisations</w:t>
      </w:r>
      <w:proofErr w:type="spellEnd"/>
      <w:r w:rsidRPr="009B5CA4">
        <w:rPr>
          <w:rFonts w:ascii="nta" w:hAnsi="nta" w:cs="Arial"/>
          <w:color w:val="0B0C0C"/>
          <w:lang w:val="en" w:eastAsia="en-GB"/>
        </w:rPr>
        <w:t xml:space="preserve"> transform their IT operating model, develop their IT roadmap, establish integration capabilities and create implementation/transition plans to migrate from existing architecture to cloud. Technology agnostic approach and aligned with industry frameworks/methodologies.</w:t>
      </w:r>
    </w:p>
    <w:p w:rsidR="009B5CA4" w:rsidRPr="009B5CA4" w:rsidRDefault="009B5CA4" w:rsidP="009B5CA4">
      <w:pPr>
        <w:spacing w:before="525" w:after="150"/>
        <w:outlineLvl w:val="1"/>
        <w:rPr>
          <w:rFonts w:ascii="nta" w:hAnsi="nta" w:cs="Arial"/>
          <w:b/>
          <w:bCs/>
          <w:color w:val="0B0C0C"/>
          <w:sz w:val="27"/>
          <w:szCs w:val="27"/>
          <w:lang w:val="en" w:eastAsia="en-GB"/>
        </w:rPr>
      </w:pPr>
      <w:r w:rsidRPr="009B5CA4">
        <w:rPr>
          <w:rFonts w:ascii="nta" w:hAnsi="nta" w:cs="Arial"/>
          <w:b/>
          <w:bCs/>
          <w:color w:val="0B0C0C"/>
          <w:sz w:val="27"/>
          <w:szCs w:val="27"/>
          <w:lang w:val="en" w:eastAsia="en-GB"/>
        </w:rPr>
        <w:t>Features</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Strategy, Architecture and ROI support for transition to cloud</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Technical solution design and validation to support transition</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Architecture capability assessment and improvement planning</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proofErr w:type="spellStart"/>
      <w:r w:rsidRPr="009B5CA4">
        <w:rPr>
          <w:rFonts w:ascii="nta" w:hAnsi="nta" w:cs="Arial"/>
          <w:color w:val="0B0C0C"/>
          <w:lang w:val="en" w:eastAsia="en-GB"/>
        </w:rPr>
        <w:t>Programme</w:t>
      </w:r>
      <w:proofErr w:type="spellEnd"/>
      <w:r w:rsidRPr="009B5CA4">
        <w:rPr>
          <w:rFonts w:ascii="nta" w:hAnsi="nta" w:cs="Arial"/>
          <w:color w:val="0B0C0C"/>
          <w:lang w:val="en" w:eastAsia="en-GB"/>
        </w:rPr>
        <w:t xml:space="preserve"> Management and Transformation Planning with knowledge transfer</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Evaluation and advice on IaaS, PaaS, SaaS adoption</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Architectural blueprints, roadmaps, governance, transition planning, high/low level designs</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Creating Architectural vision: Cloud and digital service strategies, readiness assessment</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 xml:space="preserve">Transition from heritage legacy infrastructure - network, remote access, </w:t>
      </w:r>
      <w:proofErr w:type="spellStart"/>
      <w:r w:rsidRPr="009B5CA4">
        <w:rPr>
          <w:rFonts w:ascii="nta" w:hAnsi="nta" w:cs="Arial"/>
          <w:color w:val="0B0C0C"/>
          <w:lang w:val="en" w:eastAsia="en-GB"/>
        </w:rPr>
        <w:t>datacentre</w:t>
      </w:r>
      <w:proofErr w:type="spellEnd"/>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Design and implementation of new network topologies - SDWAN</w:t>
      </w:r>
    </w:p>
    <w:p w:rsidR="009B5CA4" w:rsidRPr="009B5CA4" w:rsidRDefault="009B5CA4" w:rsidP="009B5CA4">
      <w:pPr>
        <w:numPr>
          <w:ilvl w:val="0"/>
          <w:numId w:val="1"/>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Incubation and adoption of Site Reliability Engineering</w:t>
      </w:r>
    </w:p>
    <w:p w:rsidR="009B5CA4" w:rsidRPr="009B5CA4" w:rsidRDefault="009B5CA4" w:rsidP="009B5CA4">
      <w:pPr>
        <w:spacing w:before="525" w:after="150"/>
        <w:outlineLvl w:val="1"/>
        <w:rPr>
          <w:rFonts w:ascii="nta" w:hAnsi="nta" w:cs="Arial"/>
          <w:b/>
          <w:bCs/>
          <w:color w:val="0B0C0C"/>
          <w:sz w:val="27"/>
          <w:szCs w:val="27"/>
          <w:lang w:val="en" w:eastAsia="en-GB"/>
        </w:rPr>
      </w:pPr>
      <w:r w:rsidRPr="009B5CA4">
        <w:rPr>
          <w:rFonts w:ascii="nta" w:hAnsi="nta" w:cs="Arial"/>
          <w:b/>
          <w:bCs/>
          <w:color w:val="0B0C0C"/>
          <w:sz w:val="27"/>
          <w:szCs w:val="27"/>
          <w:lang w:val="en" w:eastAsia="en-GB"/>
        </w:rPr>
        <w:t>Benefits</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Flexible, scalable, independent, technology agnostic approach</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Multi-disciplinary expertise with extensive supply/client side experience in complex environments</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Multiple delivery options providing flexible and bespoke Architecture solutions</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Extensive experience in Public, Private, Hybrid Cloud and digital services</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 xml:space="preserve">Reduced cost of migration to cloud and legacy </w:t>
      </w:r>
      <w:proofErr w:type="spellStart"/>
      <w:r w:rsidRPr="009B5CA4">
        <w:rPr>
          <w:rFonts w:ascii="nta" w:hAnsi="nta" w:cs="Arial"/>
          <w:color w:val="0B0C0C"/>
          <w:lang w:val="en" w:eastAsia="en-GB"/>
        </w:rPr>
        <w:t>rationalisation</w:t>
      </w:r>
      <w:proofErr w:type="spellEnd"/>
      <w:r w:rsidRPr="009B5CA4">
        <w:rPr>
          <w:rFonts w:ascii="nta" w:hAnsi="nta" w:cs="Arial"/>
          <w:color w:val="0B0C0C"/>
          <w:lang w:val="en" w:eastAsia="en-GB"/>
        </w:rPr>
        <w:t xml:space="preserve"> (networks)</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 xml:space="preserve">Cloud solutions aligned to business drivers, </w:t>
      </w:r>
      <w:proofErr w:type="spellStart"/>
      <w:r w:rsidRPr="009B5CA4">
        <w:rPr>
          <w:rFonts w:ascii="nta" w:hAnsi="nta" w:cs="Arial"/>
          <w:color w:val="0B0C0C"/>
          <w:lang w:val="en" w:eastAsia="en-GB"/>
        </w:rPr>
        <w:t>maximising</w:t>
      </w:r>
      <w:proofErr w:type="spellEnd"/>
      <w:r w:rsidRPr="009B5CA4">
        <w:rPr>
          <w:rFonts w:ascii="nta" w:hAnsi="nta" w:cs="Arial"/>
          <w:color w:val="0B0C0C"/>
          <w:lang w:val="en" w:eastAsia="en-GB"/>
        </w:rPr>
        <w:t xml:space="preserve"> efficiency and ROI</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 xml:space="preserve">Expertise aligned with best practice architecture standards/frameworks (TOGAF, </w:t>
      </w:r>
      <w:proofErr w:type="spellStart"/>
      <w:r w:rsidRPr="009B5CA4">
        <w:rPr>
          <w:rFonts w:ascii="nta" w:hAnsi="nta" w:cs="Arial"/>
          <w:color w:val="0B0C0C"/>
          <w:lang w:val="en" w:eastAsia="en-GB"/>
        </w:rPr>
        <w:t>Zachman</w:t>
      </w:r>
      <w:proofErr w:type="spellEnd"/>
      <w:r w:rsidRPr="009B5CA4">
        <w:rPr>
          <w:rFonts w:ascii="nta" w:hAnsi="nta" w:cs="Arial"/>
          <w:color w:val="0B0C0C"/>
          <w:lang w:val="en" w:eastAsia="en-GB"/>
        </w:rPr>
        <w:t>)</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 xml:space="preserve">Moving to </w:t>
      </w:r>
      <w:proofErr w:type="spellStart"/>
      <w:proofErr w:type="gramStart"/>
      <w:r w:rsidRPr="009B5CA4">
        <w:rPr>
          <w:rFonts w:ascii="nta" w:hAnsi="nta" w:cs="Arial"/>
          <w:color w:val="0B0C0C"/>
          <w:lang w:val="en" w:eastAsia="en-GB"/>
        </w:rPr>
        <w:t>a</w:t>
      </w:r>
      <w:proofErr w:type="spellEnd"/>
      <w:proofErr w:type="gramEnd"/>
      <w:r w:rsidRPr="009B5CA4">
        <w:rPr>
          <w:rFonts w:ascii="nta" w:hAnsi="nta" w:cs="Arial"/>
          <w:color w:val="0B0C0C"/>
          <w:lang w:val="en" w:eastAsia="en-GB"/>
        </w:rPr>
        <w:t xml:space="preserve"> Agile delivery model from ITSM</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t>Success in operating a Cloud Centre of Excellence</w:t>
      </w:r>
    </w:p>
    <w:p w:rsidR="009B5CA4" w:rsidRPr="009B5CA4" w:rsidRDefault="009B5CA4" w:rsidP="009B5CA4">
      <w:pPr>
        <w:numPr>
          <w:ilvl w:val="0"/>
          <w:numId w:val="2"/>
        </w:numPr>
        <w:spacing w:before="100" w:beforeAutospacing="1" w:after="150"/>
        <w:ind w:left="300"/>
        <w:rPr>
          <w:rFonts w:ascii="nta" w:hAnsi="nta" w:cs="Arial"/>
          <w:color w:val="0B0C0C"/>
          <w:lang w:val="en" w:eastAsia="en-GB"/>
        </w:rPr>
      </w:pPr>
      <w:r w:rsidRPr="009B5CA4">
        <w:rPr>
          <w:rFonts w:ascii="nta" w:hAnsi="nta" w:cs="Arial"/>
          <w:color w:val="0B0C0C"/>
          <w:lang w:val="en" w:eastAsia="en-GB"/>
        </w:rPr>
        <w:lastRenderedPageBreak/>
        <w:t>Expertise to transition to a bi-model approach</w:t>
      </w:r>
    </w:p>
    <w:p w:rsidR="009B5CA4" w:rsidRPr="009B5CA4" w:rsidRDefault="009B5CA4" w:rsidP="009B5CA4">
      <w:pPr>
        <w:ind w:left="-15" w:right="-15"/>
        <w:outlineLvl w:val="1"/>
        <w:rPr>
          <w:rFonts w:ascii="nta" w:hAnsi="nta" w:cs="Arial"/>
          <w:b/>
          <w:bCs/>
          <w:color w:val="0B0C0C"/>
          <w:sz w:val="36"/>
          <w:szCs w:val="36"/>
          <w:lang w:val="en" w:eastAsia="en-GB"/>
        </w:rPr>
      </w:pPr>
      <w:r w:rsidRPr="009B5CA4">
        <w:rPr>
          <w:rFonts w:ascii="nta" w:hAnsi="nta" w:cs="Arial"/>
          <w:b/>
          <w:bCs/>
          <w:color w:val="0B0C0C"/>
          <w:sz w:val="36"/>
          <w:szCs w:val="36"/>
          <w:lang w:val="en" w:eastAsia="en-GB"/>
        </w:rPr>
        <w:t>Pricing</w:t>
      </w:r>
    </w:p>
    <w:p w:rsidR="009B5CA4" w:rsidRPr="009B5CA4" w:rsidRDefault="009B5CA4" w:rsidP="009B5CA4">
      <w:pPr>
        <w:spacing w:before="525" w:after="150"/>
        <w:rPr>
          <w:rFonts w:ascii="nta" w:hAnsi="nta" w:cs="Arial"/>
          <w:b/>
          <w:bCs/>
          <w:color w:val="0B0C0C"/>
          <w:sz w:val="27"/>
          <w:szCs w:val="27"/>
          <w:lang w:val="en" w:eastAsia="en-GB"/>
        </w:rPr>
      </w:pPr>
      <w:r w:rsidRPr="009B5CA4">
        <w:rPr>
          <w:rFonts w:ascii="nta" w:hAnsi="nta" w:cs="Arial"/>
          <w:b/>
          <w:bCs/>
          <w:color w:val="0B0C0C"/>
          <w:sz w:val="27"/>
          <w:szCs w:val="27"/>
          <w:lang w:val="en" w:eastAsia="en-GB"/>
        </w:rPr>
        <w:t>£450 to £1750 per person per day</w:t>
      </w:r>
    </w:p>
    <w:p w:rsidR="009B5CA4" w:rsidRPr="009B5CA4" w:rsidRDefault="009B5CA4" w:rsidP="009B5CA4">
      <w:pPr>
        <w:numPr>
          <w:ilvl w:val="0"/>
          <w:numId w:val="3"/>
        </w:numPr>
        <w:spacing w:before="100" w:beforeAutospacing="1" w:after="75"/>
        <w:ind w:left="0"/>
        <w:rPr>
          <w:rFonts w:ascii="nta" w:hAnsi="nta" w:cs="Arial"/>
          <w:color w:val="0B0C0C"/>
          <w:sz w:val="21"/>
          <w:szCs w:val="21"/>
          <w:lang w:val="en" w:eastAsia="en-GB"/>
        </w:rPr>
      </w:pPr>
      <w:r w:rsidRPr="009B5CA4">
        <w:rPr>
          <w:rFonts w:ascii="nta" w:hAnsi="nta" w:cs="Arial"/>
          <w:color w:val="0B0C0C"/>
          <w:sz w:val="21"/>
          <w:szCs w:val="21"/>
          <w:lang w:val="en" w:eastAsia="en-GB"/>
        </w:rPr>
        <w:t xml:space="preserve">Education pricing available </w:t>
      </w:r>
    </w:p>
    <w:p w:rsidR="009B5CA4" w:rsidRPr="009B5CA4" w:rsidRDefault="009B5CA4" w:rsidP="009B5CA4">
      <w:pPr>
        <w:ind w:left="-15" w:right="-15"/>
        <w:outlineLvl w:val="1"/>
        <w:rPr>
          <w:rFonts w:ascii="nta" w:hAnsi="nta" w:cs="Arial"/>
          <w:b/>
          <w:bCs/>
          <w:color w:val="0B0C0C"/>
          <w:sz w:val="36"/>
          <w:szCs w:val="36"/>
          <w:lang w:val="en" w:eastAsia="en-GB"/>
        </w:rPr>
      </w:pPr>
      <w:r w:rsidRPr="009B5CA4">
        <w:rPr>
          <w:rFonts w:ascii="nta" w:hAnsi="nta" w:cs="Arial"/>
          <w:b/>
          <w:bCs/>
          <w:color w:val="0B0C0C"/>
          <w:sz w:val="36"/>
          <w:szCs w:val="36"/>
          <w:lang w:val="en" w:eastAsia="en-GB"/>
        </w:rPr>
        <w:t>Service documents</w:t>
      </w:r>
    </w:p>
    <w:p w:rsidR="009B5CA4" w:rsidRPr="009B5CA4" w:rsidRDefault="007526A6" w:rsidP="009B5CA4">
      <w:pPr>
        <w:numPr>
          <w:ilvl w:val="0"/>
          <w:numId w:val="4"/>
        </w:numPr>
        <w:spacing w:beforeAutospacing="1" w:afterAutospacing="1"/>
        <w:ind w:left="0"/>
        <w:rPr>
          <w:rFonts w:ascii="nta" w:hAnsi="nta" w:cs="Arial"/>
          <w:color w:val="0B0C0C"/>
          <w:lang w:val="en" w:eastAsia="en-GB"/>
        </w:rPr>
      </w:pPr>
      <w:hyperlink r:id="rId5" w:history="1">
        <w:r w:rsidR="009B5CA4" w:rsidRPr="009B5CA4">
          <w:rPr>
            <w:rFonts w:ascii="Arial" w:hAnsi="Arial" w:cs="Arial"/>
            <w:b/>
            <w:bCs/>
            <w:color w:val="6F777B"/>
            <w:sz w:val="21"/>
            <w:szCs w:val="21"/>
            <w:bdr w:val="single" w:sz="6" w:space="5" w:color="BFC1C3" w:frame="1"/>
            <w:lang w:val="en" w:eastAsia="en-GB"/>
          </w:rPr>
          <w:t>pdf document:</w:t>
        </w:r>
        <w:r w:rsidR="009B5CA4" w:rsidRPr="009B5CA4">
          <w:rPr>
            <w:rFonts w:ascii="Arial" w:hAnsi="Arial" w:cs="Arial"/>
            <w:color w:val="0000FF"/>
            <w:u w:val="single"/>
            <w:lang w:val="en" w:eastAsia="en-GB"/>
          </w:rPr>
          <w:t xml:space="preserve"> Pricing document </w:t>
        </w:r>
      </w:hyperlink>
    </w:p>
    <w:p w:rsidR="009B5CA4" w:rsidRPr="009B5CA4" w:rsidRDefault="007526A6" w:rsidP="009B5CA4">
      <w:pPr>
        <w:numPr>
          <w:ilvl w:val="0"/>
          <w:numId w:val="4"/>
        </w:numPr>
        <w:spacing w:beforeAutospacing="1" w:afterAutospacing="1"/>
        <w:ind w:left="0"/>
        <w:rPr>
          <w:rFonts w:ascii="nta" w:hAnsi="nta" w:cs="Arial"/>
          <w:color w:val="0B0C0C"/>
          <w:lang w:val="en" w:eastAsia="en-GB"/>
        </w:rPr>
      </w:pPr>
      <w:hyperlink r:id="rId6" w:history="1">
        <w:r w:rsidR="009B5CA4" w:rsidRPr="009B5CA4">
          <w:rPr>
            <w:rFonts w:ascii="Arial" w:hAnsi="Arial" w:cs="Arial"/>
            <w:b/>
            <w:bCs/>
            <w:color w:val="6F777B"/>
            <w:sz w:val="21"/>
            <w:szCs w:val="21"/>
            <w:bdr w:val="single" w:sz="6" w:space="5" w:color="BFC1C3" w:frame="1"/>
            <w:lang w:val="en" w:eastAsia="en-GB"/>
          </w:rPr>
          <w:t>pdf document:</w:t>
        </w:r>
        <w:r w:rsidR="009B5CA4" w:rsidRPr="009B5CA4">
          <w:rPr>
            <w:rFonts w:ascii="Arial" w:hAnsi="Arial" w:cs="Arial"/>
            <w:color w:val="0000FF"/>
            <w:u w:val="single"/>
            <w:lang w:val="en" w:eastAsia="en-GB"/>
          </w:rPr>
          <w:t xml:space="preserve"> Skills Framework for the Information Age rate card </w:t>
        </w:r>
      </w:hyperlink>
    </w:p>
    <w:p w:rsidR="009B5CA4" w:rsidRPr="009B5CA4" w:rsidRDefault="007526A6" w:rsidP="009B5CA4">
      <w:pPr>
        <w:numPr>
          <w:ilvl w:val="0"/>
          <w:numId w:val="4"/>
        </w:numPr>
        <w:spacing w:beforeAutospacing="1" w:afterAutospacing="1"/>
        <w:ind w:left="0"/>
        <w:rPr>
          <w:rFonts w:ascii="nta" w:hAnsi="nta" w:cs="Arial"/>
          <w:color w:val="0B0C0C"/>
          <w:lang w:val="en" w:eastAsia="en-GB"/>
        </w:rPr>
      </w:pPr>
      <w:hyperlink r:id="rId7" w:history="1">
        <w:r w:rsidR="009B5CA4" w:rsidRPr="009B5CA4">
          <w:rPr>
            <w:rFonts w:ascii="Arial" w:hAnsi="Arial" w:cs="Arial"/>
            <w:b/>
            <w:bCs/>
            <w:color w:val="6F777B"/>
            <w:sz w:val="21"/>
            <w:szCs w:val="21"/>
            <w:bdr w:val="single" w:sz="6" w:space="5" w:color="BFC1C3" w:frame="1"/>
            <w:lang w:val="en" w:eastAsia="en-GB"/>
          </w:rPr>
          <w:t>pdf document:</w:t>
        </w:r>
        <w:r w:rsidR="009B5CA4" w:rsidRPr="009B5CA4">
          <w:rPr>
            <w:rFonts w:ascii="Arial" w:hAnsi="Arial" w:cs="Arial"/>
            <w:color w:val="0000FF"/>
            <w:u w:val="single"/>
            <w:lang w:val="en" w:eastAsia="en-GB"/>
          </w:rPr>
          <w:t xml:space="preserve"> Terms and conditions </w:t>
        </w:r>
      </w:hyperlink>
    </w:p>
    <w:p w:rsidR="009B5CA4" w:rsidRPr="009B5CA4" w:rsidRDefault="009B5CA4" w:rsidP="009B5CA4">
      <w:pPr>
        <w:spacing w:before="100" w:beforeAutospacing="1" w:after="75"/>
        <w:outlineLvl w:val="1"/>
        <w:rPr>
          <w:rFonts w:ascii="nta" w:hAnsi="nta" w:cs="Arial"/>
          <w:b/>
          <w:bCs/>
          <w:color w:val="0B0C0C"/>
          <w:lang w:val="en" w:eastAsia="en-GB"/>
        </w:rPr>
      </w:pPr>
      <w:r w:rsidRPr="009B5CA4">
        <w:rPr>
          <w:rFonts w:ascii="nta" w:hAnsi="nta" w:cs="Arial"/>
          <w:b/>
          <w:bCs/>
          <w:color w:val="0B0C0C"/>
          <w:lang w:val="en" w:eastAsia="en-GB"/>
        </w:rPr>
        <w:t>Framework</w:t>
      </w:r>
    </w:p>
    <w:p w:rsidR="009B5CA4" w:rsidRPr="009B5CA4" w:rsidRDefault="009B5CA4" w:rsidP="009B5CA4">
      <w:pPr>
        <w:spacing w:after="450"/>
        <w:rPr>
          <w:rFonts w:ascii="nta" w:hAnsi="nta" w:cs="Arial"/>
          <w:color w:val="0B0C0C"/>
          <w:lang w:val="en" w:eastAsia="en-GB"/>
        </w:rPr>
      </w:pPr>
      <w:r w:rsidRPr="009B5CA4">
        <w:rPr>
          <w:rFonts w:ascii="nta" w:hAnsi="nta" w:cs="Arial"/>
          <w:color w:val="0B0C0C"/>
          <w:lang w:val="en" w:eastAsia="en-GB"/>
        </w:rPr>
        <w:t>G-Cloud 11</w:t>
      </w:r>
    </w:p>
    <w:p w:rsidR="009B5CA4" w:rsidRPr="009B5CA4" w:rsidRDefault="009B5CA4" w:rsidP="009B5CA4">
      <w:pPr>
        <w:spacing w:before="100" w:beforeAutospacing="1" w:after="75"/>
        <w:outlineLvl w:val="1"/>
        <w:rPr>
          <w:rFonts w:ascii="nta" w:hAnsi="nta" w:cs="Arial"/>
          <w:b/>
          <w:bCs/>
          <w:color w:val="0B0C0C"/>
          <w:highlight w:val="yellow"/>
          <w:lang w:val="en" w:eastAsia="en-GB"/>
        </w:rPr>
      </w:pPr>
      <w:r w:rsidRPr="009B5CA4">
        <w:rPr>
          <w:rFonts w:ascii="nta" w:hAnsi="nta" w:cs="Arial"/>
          <w:b/>
          <w:bCs/>
          <w:color w:val="0B0C0C"/>
          <w:highlight w:val="yellow"/>
          <w:lang w:val="en" w:eastAsia="en-GB"/>
        </w:rPr>
        <w:t>Service ID</w:t>
      </w:r>
    </w:p>
    <w:p w:rsidR="009B5CA4" w:rsidRPr="009B5CA4" w:rsidRDefault="009B5CA4" w:rsidP="009B5CA4">
      <w:pPr>
        <w:rPr>
          <w:rFonts w:ascii="nta" w:hAnsi="nta" w:cs="Arial"/>
          <w:color w:val="0B0C0C"/>
          <w:lang w:val="en" w:eastAsia="en-GB"/>
        </w:rPr>
      </w:pPr>
      <w:r w:rsidRPr="009B5CA4">
        <w:rPr>
          <w:rFonts w:ascii="nta" w:hAnsi="nta" w:cs="Arial"/>
          <w:color w:val="0B0C0C"/>
          <w:highlight w:val="yellow"/>
          <w:lang w:val="en" w:eastAsia="en-GB"/>
        </w:rPr>
        <w:t>160234613037075</w:t>
      </w:r>
      <w:r w:rsidRPr="009B5CA4">
        <w:rPr>
          <w:rFonts w:ascii="nta" w:hAnsi="nta" w:cs="Arial"/>
          <w:color w:val="0B0C0C"/>
          <w:lang w:val="en" w:eastAsia="en-GB"/>
        </w:rPr>
        <w:t xml:space="preserve"> </w:t>
      </w:r>
    </w:p>
    <w:p w:rsidR="009B5CA4" w:rsidRPr="009B5CA4" w:rsidRDefault="009B5CA4" w:rsidP="009B5CA4">
      <w:pPr>
        <w:spacing w:before="100" w:beforeAutospacing="1" w:after="75"/>
        <w:outlineLvl w:val="1"/>
        <w:rPr>
          <w:rFonts w:ascii="nta" w:hAnsi="nta" w:cs="Arial"/>
          <w:b/>
          <w:bCs/>
          <w:color w:val="0B0C0C"/>
          <w:lang w:val="en" w:eastAsia="en-GB"/>
        </w:rPr>
      </w:pPr>
      <w:r w:rsidRPr="009B5CA4">
        <w:rPr>
          <w:rFonts w:ascii="nta" w:hAnsi="nta" w:cs="Arial"/>
          <w:b/>
          <w:bCs/>
          <w:color w:val="0B0C0C"/>
          <w:lang w:val="en" w:eastAsia="en-GB"/>
        </w:rPr>
        <w:t>Contact</w:t>
      </w:r>
    </w:p>
    <w:p w:rsidR="009B5CA4" w:rsidRPr="009B5CA4" w:rsidRDefault="009B5CA4" w:rsidP="009B5CA4">
      <w:pPr>
        <w:spacing w:after="75"/>
        <w:rPr>
          <w:rFonts w:ascii="Arial" w:hAnsi="Arial" w:cs="Arial"/>
          <w:b/>
          <w:bCs/>
          <w:color w:val="0B0C0C"/>
          <w:lang w:val="en" w:eastAsia="en-GB"/>
        </w:rPr>
      </w:pPr>
      <w:r w:rsidRPr="009B5CA4">
        <w:rPr>
          <w:rFonts w:ascii="Arial" w:hAnsi="Arial" w:cs="Arial"/>
          <w:b/>
          <w:bCs/>
          <w:color w:val="0B0C0C"/>
          <w:lang w:val="en" w:eastAsia="en-GB"/>
        </w:rPr>
        <w:t xml:space="preserve">UBDS IT Consulting Ltd </w:t>
      </w:r>
    </w:p>
    <w:p w:rsidR="009B5CA4" w:rsidRPr="009B5CA4" w:rsidRDefault="009B5CA4" w:rsidP="009B5CA4">
      <w:pPr>
        <w:spacing w:after="75"/>
        <w:rPr>
          <w:rFonts w:ascii="nta" w:hAnsi="nta" w:cs="Arial"/>
          <w:color w:val="0B0C0C"/>
          <w:lang w:val="en" w:eastAsia="en-GB"/>
        </w:rPr>
      </w:pPr>
      <w:r w:rsidRPr="009B5CA4">
        <w:rPr>
          <w:rFonts w:ascii="nta" w:hAnsi="nta" w:cs="Arial"/>
          <w:color w:val="0B0C0C"/>
          <w:lang w:val="en" w:eastAsia="en-GB"/>
        </w:rPr>
        <w:t xml:space="preserve">Jasmine Leitao </w:t>
      </w:r>
    </w:p>
    <w:p w:rsidR="009B5CA4" w:rsidRPr="009B5CA4" w:rsidRDefault="007526A6" w:rsidP="009B5CA4">
      <w:pPr>
        <w:spacing w:after="75"/>
        <w:rPr>
          <w:rFonts w:ascii="nta" w:hAnsi="nta" w:cs="Arial"/>
          <w:color w:val="0B0C0C"/>
          <w:lang w:val="en" w:eastAsia="en-GB"/>
        </w:rPr>
      </w:pPr>
      <w:hyperlink r:id="rId8" w:history="1">
        <w:r w:rsidR="009B5CA4" w:rsidRPr="009B5CA4">
          <w:rPr>
            <w:rFonts w:ascii="Arial" w:hAnsi="Arial" w:cs="Arial"/>
            <w:color w:val="0000FF"/>
            <w:u w:val="single"/>
            <w:lang w:val="en" w:eastAsia="en-GB"/>
          </w:rPr>
          <w:t>Jasmine@ubdsit.com</w:t>
        </w:r>
      </w:hyperlink>
      <w:r w:rsidR="009B5CA4" w:rsidRPr="009B5CA4">
        <w:rPr>
          <w:rFonts w:ascii="nta" w:hAnsi="nta" w:cs="Arial"/>
          <w:color w:val="0B0C0C"/>
          <w:lang w:val="en" w:eastAsia="en-GB"/>
        </w:rPr>
        <w:t xml:space="preserve"> </w:t>
      </w:r>
    </w:p>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Planning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Planning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Planning service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How the planning service works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We can enable an organisation to review their existing hosting infrastructure, whether hosted in their own on-premises infrastructure, outsourced to a service integrator or hosted in existing community or public Cloud services. Through this evaluation we can assess through a TCO approach, evaluation of the current technical environment the appropriate target Cloud hosting approach - whether to refactor, </w:t>
            </w:r>
            <w:proofErr w:type="spellStart"/>
            <w:r w:rsidRPr="009B5CA4">
              <w:rPr>
                <w:rFonts w:ascii="Arial" w:hAnsi="Arial" w:cs="Arial"/>
                <w:color w:val="0B0C0C"/>
                <w:sz w:val="21"/>
                <w:szCs w:val="21"/>
                <w:lang w:eastAsia="en-GB"/>
              </w:rPr>
              <w:t>rearchitect</w:t>
            </w:r>
            <w:proofErr w:type="spellEnd"/>
            <w:r w:rsidRPr="009B5CA4">
              <w:rPr>
                <w:rFonts w:ascii="Arial" w:hAnsi="Arial" w:cs="Arial"/>
                <w:color w:val="0B0C0C"/>
                <w:sz w:val="21"/>
                <w:szCs w:val="21"/>
                <w:lang w:eastAsia="en-GB"/>
              </w:rPr>
              <w:t xml:space="preserve"> or </w:t>
            </w:r>
            <w:proofErr w:type="spellStart"/>
            <w:r w:rsidRPr="009B5CA4">
              <w:rPr>
                <w:rFonts w:ascii="Arial" w:hAnsi="Arial" w:cs="Arial"/>
                <w:color w:val="0B0C0C"/>
                <w:sz w:val="21"/>
                <w:szCs w:val="21"/>
                <w:lang w:eastAsia="en-GB"/>
              </w:rPr>
              <w:t>rehost</w:t>
            </w:r>
            <w:proofErr w:type="spellEnd"/>
            <w:r w:rsidRPr="009B5CA4">
              <w:rPr>
                <w:rFonts w:ascii="Arial" w:hAnsi="Arial" w:cs="Arial"/>
                <w:color w:val="0B0C0C"/>
                <w:sz w:val="21"/>
                <w:szCs w:val="21"/>
                <w:lang w:eastAsia="en-GB"/>
              </w:rPr>
              <w:t xml:space="preserve"> until the application </w:t>
            </w:r>
            <w:proofErr w:type="spellStart"/>
            <w:r w:rsidRPr="009B5CA4">
              <w:rPr>
                <w:rFonts w:ascii="Arial" w:hAnsi="Arial" w:cs="Arial"/>
                <w:color w:val="0B0C0C"/>
                <w:sz w:val="21"/>
                <w:szCs w:val="21"/>
                <w:lang w:eastAsia="en-GB"/>
              </w:rPr>
              <w:t>lifecyle</w:t>
            </w:r>
            <w:proofErr w:type="spellEnd"/>
            <w:r w:rsidRPr="009B5CA4">
              <w:rPr>
                <w:rFonts w:ascii="Arial" w:hAnsi="Arial" w:cs="Arial"/>
                <w:color w:val="0B0C0C"/>
                <w:sz w:val="21"/>
                <w:szCs w:val="21"/>
                <w:lang w:eastAsia="en-GB"/>
              </w:rPr>
              <w:t xml:space="preserve"> permits the most cost effective approach. We can support in design and implementing as secure solution architecture to enable a landing zone with shared services </w:t>
            </w:r>
            <w:r w:rsidRPr="009B5CA4">
              <w:rPr>
                <w:rFonts w:ascii="Arial" w:hAnsi="Arial" w:cs="Arial"/>
                <w:color w:val="0B0C0C"/>
                <w:sz w:val="21"/>
                <w:szCs w:val="21"/>
                <w:lang w:eastAsia="en-GB"/>
              </w:rPr>
              <w:lastRenderedPageBreak/>
              <w:t xml:space="preserve">to transition hosting environments to the appropriate Cloud service provider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lastRenderedPageBreak/>
              <w:t xml:space="preserve">Planning service works with specific services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Hosting or software services the planning service works with </w:t>
            </w:r>
          </w:p>
        </w:tc>
        <w:tc>
          <w:tcPr>
            <w:tcW w:w="0" w:type="auto"/>
            <w:tcMar>
              <w:top w:w="180" w:type="dxa"/>
              <w:left w:w="15" w:type="dxa"/>
              <w:bottom w:w="135" w:type="dxa"/>
              <w:right w:w="15" w:type="dxa"/>
            </w:tcMar>
            <w:hideMark/>
          </w:tcPr>
          <w:p w:rsidR="009B5CA4" w:rsidRPr="009B5CA4" w:rsidRDefault="009B5CA4" w:rsidP="009B5CA4">
            <w:pPr>
              <w:numPr>
                <w:ilvl w:val="0"/>
                <w:numId w:val="5"/>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Community Cloud</w:t>
            </w:r>
          </w:p>
          <w:p w:rsidR="009B5CA4" w:rsidRPr="009B5CA4" w:rsidRDefault="009B5CA4" w:rsidP="009B5CA4">
            <w:pPr>
              <w:numPr>
                <w:ilvl w:val="0"/>
                <w:numId w:val="5"/>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On Premises Hosting</w:t>
            </w:r>
          </w:p>
          <w:p w:rsidR="009B5CA4" w:rsidRPr="009B5CA4" w:rsidRDefault="009B5CA4" w:rsidP="009B5CA4">
            <w:pPr>
              <w:numPr>
                <w:ilvl w:val="0"/>
                <w:numId w:val="5"/>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Datacentre Infrastructure</w:t>
            </w:r>
          </w:p>
          <w:p w:rsidR="009B5CA4" w:rsidRPr="009B5CA4" w:rsidRDefault="009B5CA4" w:rsidP="009B5CA4">
            <w:pPr>
              <w:numPr>
                <w:ilvl w:val="0"/>
                <w:numId w:val="5"/>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Microsoft Azure</w:t>
            </w:r>
          </w:p>
          <w:p w:rsidR="009B5CA4" w:rsidRPr="009B5CA4" w:rsidRDefault="009B5CA4" w:rsidP="009B5CA4">
            <w:pPr>
              <w:numPr>
                <w:ilvl w:val="0"/>
                <w:numId w:val="5"/>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Google Cloud</w:t>
            </w:r>
          </w:p>
          <w:p w:rsidR="009B5CA4" w:rsidRPr="009B5CA4" w:rsidRDefault="009B5CA4" w:rsidP="009B5CA4">
            <w:pPr>
              <w:numPr>
                <w:ilvl w:val="0"/>
                <w:numId w:val="5"/>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Amazon Web Services</w:t>
            </w:r>
          </w:p>
          <w:p w:rsidR="009B5CA4" w:rsidRPr="009B5CA4" w:rsidRDefault="009B5CA4" w:rsidP="009B5CA4">
            <w:pPr>
              <w:numPr>
                <w:ilvl w:val="0"/>
                <w:numId w:val="5"/>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Private Cloud</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Training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Training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Training service provided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No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Setup and migration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Setup and migration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Setup or migration service available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How the setup or migration service works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We would support this through developing a Cloud Centre of Excellence to enable the successful transition of services. Through this, we would create the key components to enabling adopting Cloud services - processes, governance, technical solution (landing zone), an operational model using site reliability engineering practices. Working with clients we would then review the end to end delivery approach to enable the successful transition of services without impacting production services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Setup or migration service is for specific cloud services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No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Quality assurance and performance testing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Quality assurance and performance testing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Quality assurance and performance testing service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How the quality assurance and performance testing works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We provide services to ensure that migration and execution of services on public Cloud are delivered using an approach that will not compromise the integrity or availability of the transition. We carried out quality assurance on any development and migrations plans to ensure that technical, communications, testing is incorporated into any activity using </w:t>
            </w:r>
            <w:proofErr w:type="spellStart"/>
            <w:r w:rsidRPr="009B5CA4">
              <w:rPr>
                <w:rFonts w:ascii="Arial" w:hAnsi="Arial" w:cs="Arial"/>
                <w:color w:val="0B0C0C"/>
                <w:sz w:val="21"/>
                <w:szCs w:val="21"/>
                <w:lang w:eastAsia="en-GB"/>
              </w:rPr>
              <w:t>runbooks</w:t>
            </w:r>
            <w:proofErr w:type="spellEnd"/>
            <w:r w:rsidRPr="009B5CA4">
              <w:rPr>
                <w:rFonts w:ascii="Arial" w:hAnsi="Arial" w:cs="Arial"/>
                <w:color w:val="0B0C0C"/>
                <w:sz w:val="21"/>
                <w:szCs w:val="21"/>
                <w:lang w:eastAsia="en-GB"/>
              </w:rPr>
              <w:t xml:space="preserve"> and other tools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Security testing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Security testing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Security services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Security services type </w:t>
            </w:r>
          </w:p>
        </w:tc>
        <w:tc>
          <w:tcPr>
            <w:tcW w:w="0" w:type="auto"/>
            <w:tcMar>
              <w:top w:w="180" w:type="dxa"/>
              <w:left w:w="15" w:type="dxa"/>
              <w:bottom w:w="135" w:type="dxa"/>
              <w:right w:w="15" w:type="dxa"/>
            </w:tcMar>
            <w:hideMark/>
          </w:tcPr>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Security strategy</w:t>
            </w:r>
          </w:p>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Security risk management</w:t>
            </w:r>
          </w:p>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Security design</w:t>
            </w:r>
          </w:p>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Cyber security consultancy</w:t>
            </w:r>
          </w:p>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Security testing</w:t>
            </w:r>
          </w:p>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Security incident management</w:t>
            </w:r>
          </w:p>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Security audit services</w:t>
            </w:r>
          </w:p>
          <w:p w:rsidR="009B5CA4" w:rsidRPr="009B5CA4" w:rsidRDefault="009B5CA4" w:rsidP="009B5CA4">
            <w:pPr>
              <w:numPr>
                <w:ilvl w:val="0"/>
                <w:numId w:val="6"/>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Other</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Other security services </w:t>
            </w:r>
          </w:p>
        </w:tc>
        <w:tc>
          <w:tcPr>
            <w:tcW w:w="0" w:type="auto"/>
            <w:tcMar>
              <w:top w:w="180" w:type="dxa"/>
              <w:left w:w="15" w:type="dxa"/>
              <w:bottom w:w="135" w:type="dxa"/>
              <w:right w:w="15" w:type="dxa"/>
            </w:tcMar>
            <w:hideMark/>
          </w:tcPr>
          <w:p w:rsidR="009B5CA4" w:rsidRPr="009B5CA4" w:rsidRDefault="009B5CA4" w:rsidP="009B5CA4">
            <w:pPr>
              <w:numPr>
                <w:ilvl w:val="0"/>
                <w:numId w:val="7"/>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Cloud Security Assessment</w:t>
            </w:r>
          </w:p>
          <w:p w:rsidR="009B5CA4" w:rsidRPr="009B5CA4" w:rsidRDefault="009B5CA4" w:rsidP="009B5CA4">
            <w:pPr>
              <w:numPr>
                <w:ilvl w:val="0"/>
                <w:numId w:val="7"/>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Cloud Security Operations Design and Implementation</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Certified security testers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No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Ongoing support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Ongoing support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Ongoing support service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Types of service supported </w:t>
            </w:r>
          </w:p>
        </w:tc>
        <w:tc>
          <w:tcPr>
            <w:tcW w:w="0" w:type="auto"/>
            <w:tcMar>
              <w:top w:w="180" w:type="dxa"/>
              <w:left w:w="15" w:type="dxa"/>
              <w:bottom w:w="135" w:type="dxa"/>
              <w:right w:w="15" w:type="dxa"/>
            </w:tcMar>
            <w:hideMark/>
          </w:tcPr>
          <w:p w:rsidR="009B5CA4" w:rsidRPr="009B5CA4" w:rsidRDefault="009B5CA4" w:rsidP="009B5CA4">
            <w:pPr>
              <w:numPr>
                <w:ilvl w:val="0"/>
                <w:numId w:val="8"/>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Buyer hosting or software</w:t>
            </w:r>
          </w:p>
          <w:p w:rsidR="009B5CA4" w:rsidRPr="009B5CA4" w:rsidRDefault="009B5CA4" w:rsidP="009B5CA4">
            <w:pPr>
              <w:numPr>
                <w:ilvl w:val="0"/>
                <w:numId w:val="8"/>
              </w:numPr>
              <w:spacing w:before="100" w:beforeAutospacing="1" w:after="100" w:afterAutospacing="1"/>
              <w:ind w:left="0"/>
              <w:rPr>
                <w:rFonts w:ascii="Arial" w:hAnsi="Arial" w:cs="Arial"/>
                <w:color w:val="0B0C0C"/>
                <w:sz w:val="21"/>
                <w:szCs w:val="21"/>
                <w:lang w:eastAsia="en-GB"/>
              </w:rPr>
            </w:pPr>
            <w:r w:rsidRPr="009B5CA4">
              <w:rPr>
                <w:rFonts w:ascii="Arial" w:hAnsi="Arial" w:cs="Arial"/>
                <w:color w:val="0B0C0C"/>
                <w:sz w:val="21"/>
                <w:szCs w:val="21"/>
                <w:lang w:eastAsia="en-GB"/>
              </w:rPr>
              <w:t>Hosting or software provided by a third-party organisation</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How the support service works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Provision of expertise to provide root cause analysis and supplier management to address service issues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Service scope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Service scope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Service constraints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No constraints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User support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User support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Email or online ticketing support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Email or online ticketing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Support response times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Within 2 hours between the hours of 07:00 - 00:00, 7 days a week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User can manage status and priority of support tickets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No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Phone support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Phone support availability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24 hours, 7 days a week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Web chat support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No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Support levels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Single support level - Platinum at no extra cost</w:t>
            </w:r>
            <w:r w:rsidRPr="009B5CA4">
              <w:rPr>
                <w:rFonts w:ascii="Arial" w:hAnsi="Arial" w:cs="Arial"/>
                <w:color w:val="0B0C0C"/>
                <w:sz w:val="21"/>
                <w:szCs w:val="21"/>
                <w:lang w:eastAsia="en-GB"/>
              </w:rPr>
              <w:br/>
              <w:t>Hours of operation: 07:00 - 00:00 - two hour response</w:t>
            </w:r>
            <w:r w:rsidRPr="009B5CA4">
              <w:rPr>
                <w:rFonts w:ascii="Arial" w:hAnsi="Arial" w:cs="Arial"/>
                <w:color w:val="0B0C0C"/>
                <w:sz w:val="21"/>
                <w:szCs w:val="21"/>
                <w:lang w:eastAsia="en-GB"/>
              </w:rPr>
              <w:br/>
            </w:r>
            <w:r w:rsidRPr="009B5CA4">
              <w:rPr>
                <w:rFonts w:ascii="Arial" w:hAnsi="Arial" w:cs="Arial"/>
                <w:color w:val="0B0C0C"/>
                <w:sz w:val="21"/>
                <w:szCs w:val="21"/>
                <w:lang w:eastAsia="en-GB"/>
              </w:rPr>
              <w:br/>
              <w:t xml:space="preserve">Technical Account Manager provided at no extra cost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Resellers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Resellers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Supplier type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Not a reseller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Staff security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83"/>
        <w:gridCol w:w="552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Staff security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Staff security clearance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Conforms to BS7858:2012 </w:t>
            </w:r>
          </w:p>
        </w:tc>
      </w:tr>
      <w:tr w:rsidR="009B5CA4" w:rsidRPr="009B5CA4" w:rsidTr="009B5CA4">
        <w:trPr>
          <w:tblCellSpacing w:w="15" w:type="dxa"/>
        </w:trPr>
        <w:tc>
          <w:tcPr>
            <w:tcW w:w="1666"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Government security clearance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Up to Developed Vetting (DV) </w:t>
            </w:r>
          </w:p>
        </w:tc>
      </w:tr>
    </w:tbl>
    <w:p w:rsidR="009B5CA4" w:rsidRPr="009B5CA4" w:rsidRDefault="009B5CA4" w:rsidP="009B5CA4">
      <w:pPr>
        <w:spacing w:after="150"/>
        <w:outlineLvl w:val="1"/>
        <w:rPr>
          <w:rFonts w:ascii="Arial" w:hAnsi="Arial" w:cs="Arial"/>
          <w:b/>
          <w:bCs/>
          <w:color w:val="0B0C0C"/>
          <w:sz w:val="30"/>
          <w:szCs w:val="30"/>
          <w:lang w:val="en" w:eastAsia="en-GB"/>
        </w:rPr>
      </w:pPr>
      <w:r w:rsidRPr="009B5CA4">
        <w:rPr>
          <w:rFonts w:ascii="Arial" w:hAnsi="Arial" w:cs="Arial"/>
          <w:b/>
          <w:bCs/>
          <w:color w:val="0B0C0C"/>
          <w:sz w:val="30"/>
          <w:szCs w:val="30"/>
          <w:lang w:val="en" w:eastAsia="en-GB"/>
        </w:rPr>
        <w:t xml:space="preserve">Pricing </w:t>
      </w:r>
    </w:p>
    <w:tbl>
      <w:tblPr>
        <w:tblW w:w="5000" w:type="pct"/>
        <w:tblCellSpacing w:w="15" w:type="dxa"/>
        <w:tblBorders>
          <w:bottom w:val="single" w:sz="6" w:space="0" w:color="BFC1C3"/>
        </w:tblBorders>
        <w:tblCellMar>
          <w:top w:w="15" w:type="dxa"/>
          <w:left w:w="15" w:type="dxa"/>
          <w:bottom w:w="15" w:type="dxa"/>
          <w:right w:w="15" w:type="dxa"/>
        </w:tblCellMar>
        <w:tblLook w:val="04A0" w:firstRow="1" w:lastRow="0" w:firstColumn="1" w:lastColumn="0" w:noHBand="0" w:noVBand="1"/>
      </w:tblPr>
      <w:tblGrid>
        <w:gridCol w:w="2753"/>
        <w:gridCol w:w="5553"/>
      </w:tblGrid>
      <w:tr w:rsidR="009B5CA4" w:rsidRPr="009B5CA4" w:rsidTr="009B5CA4">
        <w:trPr>
          <w:gridAfter w:val="1"/>
          <w:tblHeader/>
          <w:tblCellSpacing w:w="15" w:type="dxa"/>
        </w:trPr>
        <w:tc>
          <w:tcPr>
            <w:tcW w:w="0" w:type="auto"/>
            <w:tcBorders>
              <w:top w:val="nil"/>
              <w:left w:val="nil"/>
              <w:bottom w:val="nil"/>
              <w:right w:val="nil"/>
            </w:tcBorders>
            <w:tcMar>
              <w:top w:w="180" w:type="dxa"/>
              <w:left w:w="15" w:type="dxa"/>
              <w:bottom w:w="135" w:type="dxa"/>
              <w:right w:w="15" w:type="dxa"/>
            </w:tcMar>
            <w:vAlign w:val="center"/>
            <w:hideMark/>
          </w:tcPr>
          <w:p w:rsidR="009B5CA4" w:rsidRPr="009B5CA4" w:rsidRDefault="009B5CA4" w:rsidP="009B5CA4">
            <w:pPr>
              <w:ind w:left="-15" w:right="-15"/>
              <w:rPr>
                <w:rFonts w:ascii="Arial" w:hAnsi="Arial" w:cs="Arial"/>
                <w:color w:val="0B0C0C"/>
                <w:sz w:val="21"/>
                <w:szCs w:val="21"/>
                <w:lang w:eastAsia="en-GB"/>
              </w:rPr>
            </w:pPr>
            <w:r w:rsidRPr="009B5CA4">
              <w:rPr>
                <w:rFonts w:ascii="Arial" w:hAnsi="Arial" w:cs="Arial"/>
                <w:color w:val="0B0C0C"/>
                <w:sz w:val="21"/>
                <w:szCs w:val="21"/>
                <w:lang w:eastAsia="en-GB"/>
              </w:rPr>
              <w:t xml:space="preserve">Pricing </w:t>
            </w:r>
          </w:p>
        </w:tc>
      </w:tr>
      <w:tr w:rsidR="009B5CA4" w:rsidRPr="009B5CA4" w:rsidTr="009B5CA4">
        <w:trPr>
          <w:gridAfter w:val="1"/>
          <w:tblHeader/>
          <w:tblCellSpacing w:w="15" w:type="dxa"/>
        </w:trPr>
        <w:tc>
          <w:tcPr>
            <w:tcW w:w="0" w:type="auto"/>
            <w:tcMar>
              <w:top w:w="180" w:type="dxa"/>
              <w:left w:w="15" w:type="dxa"/>
              <w:bottom w:w="135" w:type="dxa"/>
              <w:right w:w="15" w:type="dxa"/>
            </w:tcMar>
            <w:hideMark/>
          </w:tcPr>
          <w:p w:rsidR="009B5CA4" w:rsidRPr="009B5CA4" w:rsidRDefault="009B5CA4" w:rsidP="009B5CA4">
            <w:pPr>
              <w:ind w:left="-15" w:right="-15"/>
              <w:rPr>
                <w:rFonts w:ascii="Arial" w:hAnsi="Arial" w:cs="Arial"/>
                <w:color w:val="0B0C0C"/>
                <w:sz w:val="21"/>
                <w:szCs w:val="21"/>
                <w:lang w:eastAsia="en-GB"/>
              </w:rPr>
            </w:pPr>
          </w:p>
        </w:tc>
      </w:tr>
      <w:tr w:rsidR="009B5CA4" w:rsidRPr="009B5CA4" w:rsidTr="007526A6">
        <w:trPr>
          <w:tblCellSpacing w:w="15" w:type="dxa"/>
        </w:trPr>
        <w:tc>
          <w:tcPr>
            <w:tcW w:w="1648"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Price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£450 to £1750 per person per day </w:t>
            </w:r>
          </w:p>
        </w:tc>
      </w:tr>
      <w:tr w:rsidR="009B5CA4" w:rsidRPr="009B5CA4" w:rsidTr="007526A6">
        <w:trPr>
          <w:tblCellSpacing w:w="15" w:type="dxa"/>
        </w:trPr>
        <w:tc>
          <w:tcPr>
            <w:tcW w:w="1648" w:type="pct"/>
            <w:tcMar>
              <w:top w:w="180" w:type="dxa"/>
              <w:left w:w="15" w:type="dxa"/>
              <w:bottom w:w="135" w:type="dxa"/>
              <w:right w:w="180"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Discount for educational organisations </w:t>
            </w:r>
          </w:p>
        </w:tc>
        <w:tc>
          <w:tcPr>
            <w:tcW w:w="0" w:type="auto"/>
            <w:tcMar>
              <w:top w:w="180" w:type="dxa"/>
              <w:left w:w="15" w:type="dxa"/>
              <w:bottom w:w="135" w:type="dxa"/>
              <w:right w:w="15" w:type="dxa"/>
            </w:tcMar>
            <w:hideMark/>
          </w:tcPr>
          <w:p w:rsidR="009B5CA4" w:rsidRPr="009B5CA4" w:rsidRDefault="009B5CA4" w:rsidP="009B5CA4">
            <w:pPr>
              <w:rPr>
                <w:rFonts w:ascii="Arial" w:hAnsi="Arial" w:cs="Arial"/>
                <w:color w:val="0B0C0C"/>
                <w:sz w:val="21"/>
                <w:szCs w:val="21"/>
                <w:lang w:eastAsia="en-GB"/>
              </w:rPr>
            </w:pPr>
            <w:r w:rsidRPr="009B5CA4">
              <w:rPr>
                <w:rFonts w:ascii="Arial" w:hAnsi="Arial" w:cs="Arial"/>
                <w:color w:val="0B0C0C"/>
                <w:sz w:val="21"/>
                <w:szCs w:val="21"/>
                <w:lang w:eastAsia="en-GB"/>
              </w:rPr>
              <w:t xml:space="preserve">Yes </w:t>
            </w:r>
          </w:p>
        </w:tc>
      </w:tr>
      <w:tr w:rsidR="009B5CA4" w:rsidRPr="009B5CA4" w:rsidTr="009B5CA4">
        <w:trPr>
          <w:tblHeader/>
          <w:tblCellSpacing w:w="15" w:type="dxa"/>
        </w:trPr>
        <w:tc>
          <w:tcPr>
            <w:tcW w:w="0" w:type="auto"/>
            <w:gridSpan w:val="2"/>
            <w:tcMar>
              <w:top w:w="180" w:type="dxa"/>
              <w:left w:w="15" w:type="dxa"/>
              <w:bottom w:w="135" w:type="dxa"/>
              <w:right w:w="15" w:type="dxa"/>
            </w:tcMar>
            <w:hideMark/>
          </w:tcPr>
          <w:p w:rsidR="009B5CA4" w:rsidRPr="009B5CA4" w:rsidRDefault="009B5CA4" w:rsidP="007526A6">
            <w:pPr>
              <w:rPr>
                <w:rFonts w:ascii="Arial" w:hAnsi="Arial" w:cs="Arial"/>
                <w:color w:val="0B0C0C"/>
                <w:sz w:val="21"/>
                <w:szCs w:val="21"/>
                <w:lang w:eastAsia="en-GB"/>
              </w:rPr>
            </w:pPr>
            <w:bookmarkStart w:id="0" w:name="_GoBack"/>
            <w:bookmarkEnd w:id="0"/>
          </w:p>
        </w:tc>
      </w:tr>
      <w:tr w:rsidR="009B5CA4" w:rsidRPr="009B5CA4" w:rsidTr="009B5CA4">
        <w:trPr>
          <w:tblCellSpacing w:w="15" w:type="dxa"/>
        </w:trPr>
        <w:tc>
          <w:tcPr>
            <w:tcW w:w="0" w:type="auto"/>
            <w:gridSpan w:val="2"/>
            <w:tcMar>
              <w:top w:w="180" w:type="dxa"/>
              <w:left w:w="15" w:type="dxa"/>
              <w:bottom w:w="135" w:type="dxa"/>
              <w:right w:w="15" w:type="dxa"/>
            </w:tcMar>
            <w:hideMark/>
          </w:tcPr>
          <w:p w:rsidR="009B5CA4" w:rsidRPr="009B5CA4" w:rsidRDefault="009B5CA4" w:rsidP="009B5CA4">
            <w:pPr>
              <w:rPr>
                <w:sz w:val="20"/>
                <w:szCs w:val="20"/>
                <w:lang w:eastAsia="en-GB"/>
              </w:rPr>
            </w:pPr>
          </w:p>
        </w:tc>
      </w:tr>
      <w:tr w:rsidR="009B5CA4" w:rsidRPr="009B5CA4" w:rsidTr="009B5CA4">
        <w:trPr>
          <w:tblCellSpacing w:w="15" w:type="dxa"/>
        </w:trPr>
        <w:tc>
          <w:tcPr>
            <w:tcW w:w="0" w:type="auto"/>
            <w:gridSpan w:val="2"/>
            <w:tcMar>
              <w:top w:w="180" w:type="dxa"/>
              <w:left w:w="15" w:type="dxa"/>
              <w:bottom w:w="135" w:type="dxa"/>
              <w:right w:w="15" w:type="dxa"/>
            </w:tcMar>
            <w:hideMark/>
          </w:tcPr>
          <w:p w:rsidR="009B5CA4" w:rsidRPr="009B5CA4" w:rsidRDefault="009B5CA4" w:rsidP="009B5CA4">
            <w:pPr>
              <w:rPr>
                <w:sz w:val="20"/>
                <w:szCs w:val="20"/>
                <w:lang w:eastAsia="en-GB"/>
              </w:rPr>
            </w:pPr>
          </w:p>
        </w:tc>
      </w:tr>
      <w:tr w:rsidR="009B5CA4" w:rsidRPr="009B5CA4" w:rsidTr="009B5CA4">
        <w:trPr>
          <w:tblCellSpacing w:w="15" w:type="dxa"/>
        </w:trPr>
        <w:tc>
          <w:tcPr>
            <w:tcW w:w="0" w:type="auto"/>
            <w:gridSpan w:val="2"/>
            <w:vAlign w:val="center"/>
            <w:hideMark/>
          </w:tcPr>
          <w:p w:rsidR="009B5CA4" w:rsidRPr="009B5CA4" w:rsidRDefault="009B5CA4" w:rsidP="009B5CA4">
            <w:pPr>
              <w:rPr>
                <w:sz w:val="20"/>
                <w:szCs w:val="20"/>
                <w:lang w:eastAsia="en-GB"/>
              </w:rPr>
            </w:pPr>
          </w:p>
        </w:tc>
      </w:tr>
    </w:tbl>
    <w:p w:rsidR="0093611D" w:rsidRDefault="0093611D"/>
    <w:sectPr w:rsidR="0093611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t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0554"/>
    <w:multiLevelType w:val="multilevel"/>
    <w:tmpl w:val="1CB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C7218"/>
    <w:multiLevelType w:val="multilevel"/>
    <w:tmpl w:val="A19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E6C80"/>
    <w:multiLevelType w:val="multilevel"/>
    <w:tmpl w:val="61AA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324AD"/>
    <w:multiLevelType w:val="multilevel"/>
    <w:tmpl w:val="7F02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63DCC"/>
    <w:multiLevelType w:val="multilevel"/>
    <w:tmpl w:val="0116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543380"/>
    <w:multiLevelType w:val="multilevel"/>
    <w:tmpl w:val="ED9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36869"/>
    <w:multiLevelType w:val="multilevel"/>
    <w:tmpl w:val="92CE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C45D7F"/>
    <w:multiLevelType w:val="multilevel"/>
    <w:tmpl w:val="1D6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E431F5"/>
    <w:multiLevelType w:val="multilevel"/>
    <w:tmpl w:val="9CC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7"/>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A4"/>
    <w:rsid w:val="000D3DAE"/>
    <w:rsid w:val="00146AD4"/>
    <w:rsid w:val="00176619"/>
    <w:rsid w:val="00206E9E"/>
    <w:rsid w:val="002162CD"/>
    <w:rsid w:val="0028178D"/>
    <w:rsid w:val="0030341E"/>
    <w:rsid w:val="00317F05"/>
    <w:rsid w:val="003A6CD5"/>
    <w:rsid w:val="00414C9A"/>
    <w:rsid w:val="00415720"/>
    <w:rsid w:val="004A45D0"/>
    <w:rsid w:val="004C4BF1"/>
    <w:rsid w:val="00630004"/>
    <w:rsid w:val="007413FC"/>
    <w:rsid w:val="007526A6"/>
    <w:rsid w:val="00753D2B"/>
    <w:rsid w:val="007D4418"/>
    <w:rsid w:val="007D7133"/>
    <w:rsid w:val="008736BD"/>
    <w:rsid w:val="008B238F"/>
    <w:rsid w:val="008D02DE"/>
    <w:rsid w:val="0093611D"/>
    <w:rsid w:val="009A0A68"/>
    <w:rsid w:val="009B5CA4"/>
    <w:rsid w:val="009F5DB6"/>
    <w:rsid w:val="00A10971"/>
    <w:rsid w:val="00AC2935"/>
    <w:rsid w:val="00B11400"/>
    <w:rsid w:val="00B4683C"/>
    <w:rsid w:val="00B57D1A"/>
    <w:rsid w:val="00B7423C"/>
    <w:rsid w:val="00B87EAA"/>
    <w:rsid w:val="00BE6D22"/>
    <w:rsid w:val="00C40905"/>
    <w:rsid w:val="00C576AA"/>
    <w:rsid w:val="00D01EDE"/>
    <w:rsid w:val="00D667F6"/>
    <w:rsid w:val="00D82BF4"/>
    <w:rsid w:val="00DF1416"/>
    <w:rsid w:val="00E411F3"/>
    <w:rsid w:val="00EA26A1"/>
    <w:rsid w:val="00F4102D"/>
    <w:rsid w:val="00F7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A4E28-819D-49E4-9852-AD8576FE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9B5CA4"/>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9B5CA4"/>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A4"/>
    <w:rPr>
      <w:b/>
      <w:bCs/>
      <w:kern w:val="36"/>
      <w:sz w:val="48"/>
      <w:szCs w:val="48"/>
    </w:rPr>
  </w:style>
  <w:style w:type="character" w:customStyle="1" w:styleId="Heading2Char">
    <w:name w:val="Heading 2 Char"/>
    <w:basedOn w:val="DefaultParagraphFont"/>
    <w:link w:val="Heading2"/>
    <w:uiPriority w:val="9"/>
    <w:rsid w:val="009B5CA4"/>
    <w:rPr>
      <w:b/>
      <w:bCs/>
      <w:sz w:val="36"/>
      <w:szCs w:val="36"/>
    </w:rPr>
  </w:style>
  <w:style w:type="character" w:styleId="Hyperlink">
    <w:name w:val="Hyperlink"/>
    <w:basedOn w:val="DefaultParagraphFont"/>
    <w:uiPriority w:val="99"/>
    <w:semiHidden/>
    <w:unhideWhenUsed/>
    <w:rsid w:val="009B5CA4"/>
    <w:rPr>
      <w:rFonts w:ascii="Arial" w:hAnsi="Arial" w:cs="Arial" w:hint="default"/>
      <w:color w:val="0000FF"/>
      <w:u w:val="single"/>
    </w:rPr>
  </w:style>
  <w:style w:type="paragraph" w:customStyle="1" w:styleId="contact-details-organisation">
    <w:name w:val="contact-details-organisation"/>
    <w:basedOn w:val="Normal"/>
    <w:rsid w:val="009B5CA4"/>
    <w:pPr>
      <w:spacing w:after="75"/>
    </w:pPr>
    <w:rPr>
      <w:rFonts w:ascii="Arial" w:hAnsi="Arial" w:cs="Arial"/>
      <w:b/>
      <w:bCs/>
      <w:color w:val="0B0C0C"/>
      <w:lang w:eastAsia="en-GB"/>
    </w:rPr>
  </w:style>
  <w:style w:type="paragraph" w:customStyle="1" w:styleId="contact-details-block">
    <w:name w:val="contact-details-block"/>
    <w:basedOn w:val="Normal"/>
    <w:rsid w:val="009B5CA4"/>
    <w:pPr>
      <w:spacing w:after="75"/>
    </w:pPr>
    <w:rPr>
      <w:rFonts w:ascii="nta" w:hAnsi="nta"/>
      <w:color w:val="0B0C0C"/>
      <w:lang w:eastAsia="en-GB"/>
    </w:rPr>
  </w:style>
  <w:style w:type="paragraph" w:customStyle="1" w:styleId="price">
    <w:name w:val="price"/>
    <w:basedOn w:val="Normal"/>
    <w:rsid w:val="009B5CA4"/>
    <w:pPr>
      <w:spacing w:before="525" w:after="150"/>
    </w:pPr>
    <w:rPr>
      <w:rFonts w:ascii="nta" w:hAnsi="nta"/>
      <w:b/>
      <w:bCs/>
      <w:color w:val="0B0C0C"/>
      <w:sz w:val="27"/>
      <w:szCs w:val="27"/>
      <w:lang w:eastAsia="en-GB"/>
    </w:rPr>
  </w:style>
  <w:style w:type="paragraph" w:customStyle="1" w:styleId="service-summary-lede">
    <w:name w:val="service-summary-lede"/>
    <w:basedOn w:val="Normal"/>
    <w:rsid w:val="009B5CA4"/>
    <w:rPr>
      <w:rFonts w:ascii="nta" w:hAnsi="nta"/>
      <w:color w:val="0B0C0C"/>
      <w:lang w:eastAsia="en-GB"/>
    </w:rPr>
  </w:style>
  <w:style w:type="paragraph" w:customStyle="1" w:styleId="framework-name1">
    <w:name w:val="framework-name1"/>
    <w:basedOn w:val="Normal"/>
    <w:rsid w:val="009B5CA4"/>
    <w:pPr>
      <w:spacing w:after="450"/>
    </w:pPr>
    <w:rPr>
      <w:rFonts w:ascii="nta" w:hAnsi="nta"/>
      <w:color w:val="0B0C0C"/>
      <w:lang w:eastAsia="en-GB"/>
    </w:rPr>
  </w:style>
  <w:style w:type="character" w:customStyle="1" w:styleId="govuk-caption-l1">
    <w:name w:val="govuk-caption-l1"/>
    <w:basedOn w:val="DefaultParagraphFont"/>
    <w:rsid w:val="009B5CA4"/>
    <w:rPr>
      <w:rFonts w:ascii="nta" w:hAnsi="nta" w:hint="default"/>
      <w:b w:val="0"/>
      <w:bCs w:val="0"/>
      <w:vanish w:val="0"/>
      <w:webHidden w:val="0"/>
      <w:color w:val="6F777B"/>
      <w:sz w:val="27"/>
      <w:szCs w:val="27"/>
      <w:specVanish w:val="0"/>
    </w:rPr>
  </w:style>
  <w:style w:type="character" w:customStyle="1" w:styleId="document-icon1">
    <w:name w:val="document-icon1"/>
    <w:basedOn w:val="DefaultParagraphFont"/>
    <w:rsid w:val="009B5CA4"/>
    <w:rPr>
      <w:rFonts w:ascii="Arial" w:hAnsi="Arial" w:cs="Arial" w:hint="default"/>
      <w:b/>
      <w:bCs/>
      <w:strike w:val="0"/>
      <w:dstrike w:val="0"/>
      <w:vanish w:val="0"/>
      <w:webHidden w:val="0"/>
      <w:color w:val="6F777B"/>
      <w:sz w:val="21"/>
      <w:szCs w:val="21"/>
      <w:u w:val="none"/>
      <w:effect w:val="none"/>
      <w:bdr w:val="single" w:sz="6" w:space="5" w:color="BFC1C3" w:frame="1"/>
      <w:shd w:val="clear" w:color="auto" w:fill="auto"/>
      <w:specVanish w:val="0"/>
    </w:rPr>
  </w:style>
  <w:style w:type="character" w:customStyle="1" w:styleId="service-id-chunk1">
    <w:name w:val="service-id-chunk1"/>
    <w:basedOn w:val="DefaultParagraphFont"/>
    <w:rsid w:val="009B5CA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83544">
      <w:bodyDiv w:val="1"/>
      <w:marLeft w:val="0"/>
      <w:marRight w:val="0"/>
      <w:marTop w:val="0"/>
      <w:marBottom w:val="0"/>
      <w:divBdr>
        <w:top w:val="none" w:sz="0" w:space="0" w:color="auto"/>
        <w:left w:val="none" w:sz="0" w:space="0" w:color="auto"/>
        <w:bottom w:val="none" w:sz="0" w:space="0" w:color="auto"/>
        <w:right w:val="none" w:sz="0" w:space="0" w:color="auto"/>
      </w:divBdr>
      <w:divsChild>
        <w:div w:id="96678460">
          <w:marLeft w:val="225"/>
          <w:marRight w:val="225"/>
          <w:marTop w:val="0"/>
          <w:marBottom w:val="0"/>
          <w:divBdr>
            <w:top w:val="none" w:sz="0" w:space="0" w:color="auto"/>
            <w:left w:val="none" w:sz="0" w:space="0" w:color="auto"/>
            <w:bottom w:val="none" w:sz="0" w:space="0" w:color="auto"/>
            <w:right w:val="none" w:sz="0" w:space="0" w:color="auto"/>
          </w:divBdr>
          <w:divsChild>
            <w:div w:id="659043640">
              <w:marLeft w:val="-225"/>
              <w:marRight w:val="-225"/>
              <w:marTop w:val="0"/>
              <w:marBottom w:val="0"/>
              <w:divBdr>
                <w:top w:val="none" w:sz="0" w:space="0" w:color="auto"/>
                <w:left w:val="none" w:sz="0" w:space="0" w:color="auto"/>
                <w:bottom w:val="none" w:sz="0" w:space="0" w:color="auto"/>
                <w:right w:val="none" w:sz="0" w:space="0" w:color="auto"/>
              </w:divBdr>
              <w:divsChild>
                <w:div w:id="2055763860">
                  <w:marLeft w:val="0"/>
                  <w:marRight w:val="0"/>
                  <w:marTop w:val="0"/>
                  <w:marBottom w:val="0"/>
                  <w:divBdr>
                    <w:top w:val="none" w:sz="0" w:space="0" w:color="auto"/>
                    <w:left w:val="none" w:sz="0" w:space="0" w:color="auto"/>
                    <w:bottom w:val="none" w:sz="0" w:space="0" w:color="auto"/>
                    <w:right w:val="none" w:sz="0" w:space="0" w:color="auto"/>
                  </w:divBdr>
                </w:div>
              </w:divsChild>
            </w:div>
            <w:div w:id="925110603">
              <w:marLeft w:val="-225"/>
              <w:marRight w:val="-225"/>
              <w:marTop w:val="0"/>
              <w:marBottom w:val="0"/>
              <w:divBdr>
                <w:top w:val="none" w:sz="0" w:space="0" w:color="auto"/>
                <w:left w:val="none" w:sz="0" w:space="0" w:color="auto"/>
                <w:bottom w:val="none" w:sz="0" w:space="0" w:color="auto"/>
                <w:right w:val="none" w:sz="0" w:space="0" w:color="auto"/>
              </w:divBdr>
              <w:divsChild>
                <w:div w:id="128792724">
                  <w:marLeft w:val="0"/>
                  <w:marRight w:val="0"/>
                  <w:marTop w:val="0"/>
                  <w:marBottom w:val="0"/>
                  <w:divBdr>
                    <w:top w:val="none" w:sz="0" w:space="0" w:color="auto"/>
                    <w:left w:val="none" w:sz="0" w:space="0" w:color="auto"/>
                    <w:bottom w:val="none" w:sz="0" w:space="0" w:color="auto"/>
                    <w:right w:val="none" w:sz="0" w:space="0" w:color="auto"/>
                  </w:divBdr>
                </w:div>
                <w:div w:id="827983764">
                  <w:marLeft w:val="0"/>
                  <w:marRight w:val="0"/>
                  <w:marTop w:val="0"/>
                  <w:marBottom w:val="0"/>
                  <w:divBdr>
                    <w:top w:val="none" w:sz="0" w:space="0" w:color="auto"/>
                    <w:left w:val="none" w:sz="0" w:space="0" w:color="auto"/>
                    <w:bottom w:val="none" w:sz="0" w:space="0" w:color="auto"/>
                    <w:right w:val="none" w:sz="0" w:space="0" w:color="auto"/>
                  </w:divBdr>
                  <w:divsChild>
                    <w:div w:id="641351482">
                      <w:marLeft w:val="0"/>
                      <w:marRight w:val="0"/>
                      <w:marTop w:val="0"/>
                      <w:marBottom w:val="0"/>
                      <w:divBdr>
                        <w:top w:val="none" w:sz="0" w:space="0" w:color="auto"/>
                        <w:left w:val="none" w:sz="0" w:space="0" w:color="auto"/>
                        <w:bottom w:val="none" w:sz="0" w:space="0" w:color="auto"/>
                        <w:right w:val="none" w:sz="0" w:space="0" w:color="auto"/>
                      </w:divBdr>
                      <w:divsChild>
                        <w:div w:id="1949388969">
                          <w:marLeft w:val="0"/>
                          <w:marRight w:val="0"/>
                          <w:marTop w:val="0"/>
                          <w:marBottom w:val="450"/>
                          <w:divBdr>
                            <w:top w:val="none" w:sz="0" w:space="0" w:color="auto"/>
                            <w:left w:val="none" w:sz="0" w:space="0" w:color="auto"/>
                            <w:bottom w:val="none" w:sz="0" w:space="0" w:color="auto"/>
                            <w:right w:val="none" w:sz="0" w:space="0" w:color="auto"/>
                          </w:divBdr>
                        </w:div>
                        <w:div w:id="19796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62059">
              <w:marLeft w:val="-225"/>
              <w:marRight w:val="-225"/>
              <w:marTop w:val="0"/>
              <w:marBottom w:val="0"/>
              <w:divBdr>
                <w:top w:val="none" w:sz="0" w:space="0" w:color="auto"/>
                <w:left w:val="none" w:sz="0" w:space="0" w:color="auto"/>
                <w:bottom w:val="none" w:sz="0" w:space="0" w:color="auto"/>
                <w:right w:val="none" w:sz="0" w:space="0" w:color="auto"/>
              </w:divBdr>
              <w:divsChild>
                <w:div w:id="1634215613">
                  <w:marLeft w:val="0"/>
                  <w:marRight w:val="0"/>
                  <w:marTop w:val="0"/>
                  <w:marBottom w:val="0"/>
                  <w:divBdr>
                    <w:top w:val="none" w:sz="0" w:space="0" w:color="auto"/>
                    <w:left w:val="none" w:sz="0" w:space="0" w:color="auto"/>
                    <w:bottom w:val="none" w:sz="0" w:space="0" w:color="auto"/>
                    <w:right w:val="none" w:sz="0" w:space="0" w:color="auto"/>
                  </w:divBdr>
                  <w:divsChild>
                    <w:div w:id="2823165">
                      <w:marLeft w:val="0"/>
                      <w:marRight w:val="0"/>
                      <w:marTop w:val="0"/>
                      <w:marBottom w:val="0"/>
                      <w:divBdr>
                        <w:top w:val="none" w:sz="0" w:space="0" w:color="auto"/>
                        <w:left w:val="none" w:sz="0" w:space="0" w:color="auto"/>
                        <w:bottom w:val="none" w:sz="0" w:space="0" w:color="auto"/>
                        <w:right w:val="none" w:sz="0" w:space="0" w:color="auto"/>
                      </w:divBdr>
                    </w:div>
                    <w:div w:id="1420519734">
                      <w:marLeft w:val="0"/>
                      <w:marRight w:val="0"/>
                      <w:marTop w:val="0"/>
                      <w:marBottom w:val="0"/>
                      <w:divBdr>
                        <w:top w:val="none" w:sz="0" w:space="0" w:color="auto"/>
                        <w:left w:val="none" w:sz="0" w:space="0" w:color="auto"/>
                        <w:bottom w:val="none" w:sz="0" w:space="0" w:color="auto"/>
                        <w:right w:val="none" w:sz="0" w:space="0" w:color="auto"/>
                      </w:divBdr>
                    </w:div>
                    <w:div w:id="203180891">
                      <w:marLeft w:val="0"/>
                      <w:marRight w:val="0"/>
                      <w:marTop w:val="0"/>
                      <w:marBottom w:val="0"/>
                      <w:divBdr>
                        <w:top w:val="none" w:sz="0" w:space="0" w:color="auto"/>
                        <w:left w:val="none" w:sz="0" w:space="0" w:color="auto"/>
                        <w:bottom w:val="none" w:sz="0" w:space="0" w:color="auto"/>
                        <w:right w:val="none" w:sz="0" w:space="0" w:color="auto"/>
                      </w:divBdr>
                    </w:div>
                    <w:div w:id="1644699129">
                      <w:marLeft w:val="0"/>
                      <w:marRight w:val="0"/>
                      <w:marTop w:val="0"/>
                      <w:marBottom w:val="0"/>
                      <w:divBdr>
                        <w:top w:val="none" w:sz="0" w:space="0" w:color="auto"/>
                        <w:left w:val="none" w:sz="0" w:space="0" w:color="auto"/>
                        <w:bottom w:val="none" w:sz="0" w:space="0" w:color="auto"/>
                        <w:right w:val="none" w:sz="0" w:space="0" w:color="auto"/>
                      </w:divBdr>
                    </w:div>
                    <w:div w:id="1550533591">
                      <w:marLeft w:val="0"/>
                      <w:marRight w:val="0"/>
                      <w:marTop w:val="0"/>
                      <w:marBottom w:val="0"/>
                      <w:divBdr>
                        <w:top w:val="none" w:sz="0" w:space="0" w:color="auto"/>
                        <w:left w:val="none" w:sz="0" w:space="0" w:color="auto"/>
                        <w:bottom w:val="none" w:sz="0" w:space="0" w:color="auto"/>
                        <w:right w:val="none" w:sz="0" w:space="0" w:color="auto"/>
                      </w:divBdr>
                    </w:div>
                    <w:div w:id="2085907070">
                      <w:marLeft w:val="0"/>
                      <w:marRight w:val="0"/>
                      <w:marTop w:val="0"/>
                      <w:marBottom w:val="0"/>
                      <w:divBdr>
                        <w:top w:val="none" w:sz="0" w:space="0" w:color="auto"/>
                        <w:left w:val="none" w:sz="0" w:space="0" w:color="auto"/>
                        <w:bottom w:val="none" w:sz="0" w:space="0" w:color="auto"/>
                        <w:right w:val="none" w:sz="0" w:space="0" w:color="auto"/>
                      </w:divBdr>
                    </w:div>
                    <w:div w:id="661199675">
                      <w:marLeft w:val="0"/>
                      <w:marRight w:val="0"/>
                      <w:marTop w:val="0"/>
                      <w:marBottom w:val="0"/>
                      <w:divBdr>
                        <w:top w:val="none" w:sz="0" w:space="0" w:color="auto"/>
                        <w:left w:val="none" w:sz="0" w:space="0" w:color="auto"/>
                        <w:bottom w:val="none" w:sz="0" w:space="0" w:color="auto"/>
                        <w:right w:val="none" w:sz="0" w:space="0" w:color="auto"/>
                      </w:divBdr>
                    </w:div>
                    <w:div w:id="1968731211">
                      <w:marLeft w:val="0"/>
                      <w:marRight w:val="0"/>
                      <w:marTop w:val="0"/>
                      <w:marBottom w:val="0"/>
                      <w:divBdr>
                        <w:top w:val="none" w:sz="0" w:space="0" w:color="auto"/>
                        <w:left w:val="none" w:sz="0" w:space="0" w:color="auto"/>
                        <w:bottom w:val="none" w:sz="0" w:space="0" w:color="auto"/>
                        <w:right w:val="none" w:sz="0" w:space="0" w:color="auto"/>
                      </w:divBdr>
                    </w:div>
                    <w:div w:id="872495241">
                      <w:marLeft w:val="0"/>
                      <w:marRight w:val="0"/>
                      <w:marTop w:val="0"/>
                      <w:marBottom w:val="0"/>
                      <w:divBdr>
                        <w:top w:val="none" w:sz="0" w:space="0" w:color="auto"/>
                        <w:left w:val="none" w:sz="0" w:space="0" w:color="auto"/>
                        <w:bottom w:val="none" w:sz="0" w:space="0" w:color="auto"/>
                        <w:right w:val="none" w:sz="0" w:space="0" w:color="auto"/>
                      </w:divBdr>
                    </w:div>
                    <w:div w:id="1324627250">
                      <w:marLeft w:val="0"/>
                      <w:marRight w:val="0"/>
                      <w:marTop w:val="0"/>
                      <w:marBottom w:val="0"/>
                      <w:divBdr>
                        <w:top w:val="none" w:sz="0" w:space="0" w:color="auto"/>
                        <w:left w:val="none" w:sz="0" w:space="0" w:color="auto"/>
                        <w:bottom w:val="none" w:sz="0" w:space="0" w:color="auto"/>
                        <w:right w:val="none" w:sz="0" w:space="0" w:color="auto"/>
                      </w:divBdr>
                    </w:div>
                    <w:div w:id="9812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1408">
          <w:marLeft w:val="225"/>
          <w:marRight w:val="225"/>
          <w:marTop w:val="0"/>
          <w:marBottom w:val="0"/>
          <w:divBdr>
            <w:top w:val="none" w:sz="0" w:space="0" w:color="auto"/>
            <w:left w:val="none" w:sz="0" w:space="0" w:color="auto"/>
            <w:bottom w:val="none" w:sz="0" w:space="0" w:color="auto"/>
            <w:right w:val="none" w:sz="0" w:space="0" w:color="auto"/>
          </w:divBdr>
          <w:divsChild>
            <w:div w:id="513230558">
              <w:marLeft w:val="-225"/>
              <w:marRight w:val="-225"/>
              <w:marTop w:val="0"/>
              <w:marBottom w:val="0"/>
              <w:divBdr>
                <w:top w:val="none" w:sz="0" w:space="0" w:color="auto"/>
                <w:left w:val="none" w:sz="0" w:space="0" w:color="auto"/>
                <w:bottom w:val="none" w:sz="0" w:space="0" w:color="auto"/>
                <w:right w:val="none" w:sz="0" w:space="0" w:color="auto"/>
              </w:divBdr>
              <w:divsChild>
                <w:div w:id="753360758">
                  <w:marLeft w:val="225"/>
                  <w:marRight w:val="225"/>
                  <w:marTop w:val="0"/>
                  <w:marBottom w:val="450"/>
                  <w:divBdr>
                    <w:top w:val="none" w:sz="0" w:space="0" w:color="auto"/>
                    <w:left w:val="none" w:sz="0" w:space="0" w:color="auto"/>
                    <w:bottom w:val="none" w:sz="0" w:space="0" w:color="auto"/>
                    <w:right w:val="none" w:sz="0" w:space="0" w:color="auto"/>
                  </w:divBdr>
                </w:div>
                <w:div w:id="1653410687">
                  <w:marLeft w:val="225"/>
                  <w:marRight w:val="225"/>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mine@ubdsit.com" TargetMode="External"/><Relationship Id="rId3" Type="http://schemas.openxmlformats.org/officeDocument/2006/relationships/settings" Target="settings.xml"/><Relationship Id="rId7" Type="http://schemas.openxmlformats.org/officeDocument/2006/relationships/hyperlink" Target="https://assets.digitalmarketplace.service.gov.uk/g-cloud-11/documents/92975/160234613037075-terms-and-conditions-2019-05-22-14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digitalmarketplace.service.gov.uk/g-cloud-11/documents/92975/160234613037075-sfia-rate-card-2019-05-22-1425.pdf" TargetMode="External"/><Relationship Id="rId5" Type="http://schemas.openxmlformats.org/officeDocument/2006/relationships/hyperlink" Target="https://assets.digitalmarketplace.service.gov.uk/g-cloud-11/documents/92975/160234613037075-pricing-document-2019-05-22-14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37A91A02</Template>
  <TotalTime>3</TotalTime>
  <Pages>6</Pages>
  <Words>827</Words>
  <Characters>5840</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Network Transformation for Cloud Adoption</vt:lpstr>
      <vt:lpstr>    Features</vt:lpstr>
      <vt:lpstr>    Benefits</vt:lpstr>
      <vt:lpstr>    Pricing</vt:lpstr>
      <vt:lpstr>    Service documents</vt:lpstr>
      <vt:lpstr>    Framework</vt:lpstr>
      <vt:lpstr>    Service ID</vt:lpstr>
      <vt:lpstr>    Contact</vt:lpstr>
      <vt:lpstr>    Planning </vt:lpstr>
      <vt:lpstr>    Training </vt:lpstr>
      <vt:lpstr>    Setup and migration </vt:lpstr>
      <vt:lpstr>    Quality assurance and performance testing </vt:lpstr>
      <vt:lpstr>    Security testing </vt:lpstr>
      <vt:lpstr>    Ongoing support </vt:lpstr>
      <vt:lpstr>    Service scope </vt:lpstr>
      <vt:lpstr>    User support </vt:lpstr>
      <vt:lpstr>    Resellers </vt:lpstr>
      <vt:lpstr>    Staff security </vt:lpstr>
      <vt:lpstr>    Pricing </vt:lpstr>
      <vt:lpstr>    Service documents </vt:lpstr>
    </vt:vector>
  </TitlesOfParts>
  <Company>DWP</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Joanne DWP COMMERCIAL DIRECTORATE</dc:creator>
  <cp:keywords/>
  <dc:description/>
  <cp:lastModifiedBy>Young Joanne DWP COMMERCIAL DIRECTORATE</cp:lastModifiedBy>
  <cp:revision>3</cp:revision>
  <dcterms:created xsi:type="dcterms:W3CDTF">2020-04-06T11:29:00Z</dcterms:created>
  <dcterms:modified xsi:type="dcterms:W3CDTF">2020-04-06T11:31:00Z</dcterms:modified>
</cp:coreProperties>
</file>