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80" w:rsidRPr="002332E3" w:rsidRDefault="002332E3" w:rsidP="002332E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332E3">
        <w:rPr>
          <w:rFonts w:ascii="Arial" w:hAnsi="Arial" w:cs="Arial"/>
          <w:b/>
          <w:sz w:val="24"/>
          <w:szCs w:val="24"/>
        </w:rPr>
        <w:t>BILLERICAY TOWN COUNCIL</w:t>
      </w:r>
    </w:p>
    <w:p w:rsidR="002332E3" w:rsidRDefault="002332E3" w:rsidP="002332E3">
      <w:pPr>
        <w:pStyle w:val="NoSpacing"/>
        <w:rPr>
          <w:rFonts w:ascii="Arial" w:hAnsi="Arial" w:cs="Arial"/>
          <w:sz w:val="24"/>
          <w:szCs w:val="24"/>
        </w:rPr>
      </w:pPr>
    </w:p>
    <w:p w:rsidR="00F57DD5" w:rsidRDefault="002332E3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April 2016 Billericay Town Council acquired the Day Centre from Basildon Borough Council on a 99 year lease.  A recent feasibility study found the current building to be at end of life and a</w:t>
      </w:r>
      <w:r w:rsidR="00C80A20">
        <w:rPr>
          <w:rFonts w:ascii="Arial" w:hAnsi="Arial" w:cs="Arial"/>
          <w:sz w:val="24"/>
          <w:szCs w:val="24"/>
        </w:rPr>
        <w:t>n initial</w:t>
      </w:r>
      <w:r>
        <w:rPr>
          <w:rFonts w:ascii="Arial" w:hAnsi="Arial" w:cs="Arial"/>
          <w:sz w:val="24"/>
          <w:szCs w:val="24"/>
        </w:rPr>
        <w:t xml:space="preserve"> design for a new building on the site has</w:t>
      </w:r>
      <w:r w:rsidR="00F57DD5">
        <w:rPr>
          <w:rFonts w:ascii="Arial" w:hAnsi="Arial" w:cs="Arial"/>
          <w:sz w:val="24"/>
          <w:szCs w:val="24"/>
        </w:rPr>
        <w:t xml:space="preserve"> been prepared and submitted for</w:t>
      </w:r>
      <w:r>
        <w:rPr>
          <w:rFonts w:ascii="Arial" w:hAnsi="Arial" w:cs="Arial"/>
          <w:sz w:val="24"/>
          <w:szCs w:val="24"/>
        </w:rPr>
        <w:t xml:space="preserve"> pre-application planning advice.  </w:t>
      </w:r>
    </w:p>
    <w:p w:rsidR="00F57DD5" w:rsidRDefault="00F57DD5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57DD5" w:rsidRDefault="00F57DD5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is now ready to begin the second stage of this project and invites tenders for the post planning design services for the proposed new community building "The </w:t>
      </w:r>
      <w:proofErr w:type="spellStart"/>
      <w:r>
        <w:rPr>
          <w:rFonts w:ascii="Arial" w:hAnsi="Arial" w:cs="Arial"/>
          <w:sz w:val="24"/>
          <w:szCs w:val="24"/>
        </w:rPr>
        <w:t>Chantry</w:t>
      </w:r>
      <w:proofErr w:type="spellEnd"/>
      <w:r>
        <w:rPr>
          <w:rFonts w:ascii="Arial" w:hAnsi="Arial" w:cs="Arial"/>
          <w:sz w:val="24"/>
          <w:szCs w:val="24"/>
        </w:rPr>
        <w:t xml:space="preserve"> Centre, </w:t>
      </w:r>
      <w:proofErr w:type="spellStart"/>
      <w:r>
        <w:rPr>
          <w:rFonts w:ascii="Arial" w:hAnsi="Arial" w:cs="Arial"/>
          <w:sz w:val="24"/>
          <w:szCs w:val="24"/>
        </w:rPr>
        <w:t>Chantry</w:t>
      </w:r>
      <w:proofErr w:type="spellEnd"/>
      <w:r>
        <w:rPr>
          <w:rFonts w:ascii="Arial" w:hAnsi="Arial" w:cs="Arial"/>
          <w:sz w:val="24"/>
          <w:szCs w:val="24"/>
        </w:rPr>
        <w:t xml:space="preserve"> Way, Billericay, Essex CM11 2BB" </w:t>
      </w:r>
    </w:p>
    <w:p w:rsidR="00F57DD5" w:rsidRDefault="00F57DD5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57DD5" w:rsidRDefault="00F57DD5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Tenders are to assume a £1m project and are to include the following:</w:t>
      </w:r>
    </w:p>
    <w:p w:rsidR="00F57DD5" w:rsidRDefault="00F57DD5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57DD5" w:rsidRDefault="00F57DD5" w:rsidP="00F57DD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Plans Planning Application</w:t>
      </w:r>
    </w:p>
    <w:p w:rsidR="00F57DD5" w:rsidRDefault="00F57DD5" w:rsidP="00F57DD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Regulations application</w:t>
      </w:r>
    </w:p>
    <w:p w:rsidR="00F57DD5" w:rsidRDefault="00F57DD5" w:rsidP="00F57DD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</w:t>
      </w:r>
    </w:p>
    <w:p w:rsidR="00F57DD5" w:rsidRDefault="00F57DD5" w:rsidP="00F57DD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to construction drawings including site supervision</w:t>
      </w:r>
    </w:p>
    <w:p w:rsidR="00583999" w:rsidRPr="00583999" w:rsidRDefault="00F57DD5" w:rsidP="00583999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to completion in relation to the above works</w:t>
      </w:r>
    </w:p>
    <w:p w:rsidR="002332E3" w:rsidRDefault="00F57DD5" w:rsidP="002332E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2067D" w:rsidTr="0052067D">
        <w:tc>
          <w:tcPr>
            <w:tcW w:w="9242" w:type="dxa"/>
          </w:tcPr>
          <w:p w:rsidR="0052067D" w:rsidRPr="0052067D" w:rsidRDefault="0052067D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067D">
              <w:rPr>
                <w:rFonts w:ascii="Arial" w:hAnsi="Arial" w:cs="Arial"/>
                <w:b/>
                <w:sz w:val="24"/>
                <w:szCs w:val="24"/>
              </w:rPr>
              <w:t>1. Architectural Services</w:t>
            </w:r>
          </w:p>
        </w:tc>
      </w:tr>
      <w:tr w:rsidR="0052067D" w:rsidTr="0052067D">
        <w:tc>
          <w:tcPr>
            <w:tcW w:w="9242" w:type="dxa"/>
          </w:tcPr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to recent Pre-Application proceed to next stage of Full Application including preparation of Planning, Design and Access Statement, amending drawings in accordance with requirements and make and monitor application.</w:t>
            </w:r>
          </w:p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2067D">
              <w:rPr>
                <w:rFonts w:ascii="Arial" w:hAnsi="Arial" w:cs="Arial"/>
                <w:sz w:val="24"/>
                <w:szCs w:val="24"/>
                <w:u w:val="single"/>
              </w:rPr>
              <w:t>Building Regulations</w:t>
            </w:r>
          </w:p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067D" w:rsidRDefault="0052067D" w:rsidP="0052067D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team coordination</w:t>
            </w:r>
          </w:p>
          <w:p w:rsidR="0052067D" w:rsidRDefault="0052067D" w:rsidP="0052067D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Proceed with next stage of Building Regulations Applications, including preparation of Building Regulations Submission, Specification and Workmanship/Quality Clauses, dimensioned construction quality drawings showing compliance</w:t>
            </w:r>
          </w:p>
          <w:p w:rsidR="0052067D" w:rsidRDefault="0052067D" w:rsidP="0052067D">
            <w:pPr>
              <w:pStyle w:val="NoSpacing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2067D">
              <w:rPr>
                <w:rFonts w:ascii="Arial" w:hAnsi="Arial" w:cs="Arial"/>
                <w:sz w:val="24"/>
                <w:szCs w:val="24"/>
                <w:u w:val="single"/>
              </w:rPr>
              <w:t>Tender Stage</w:t>
            </w:r>
          </w:p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2067D" w:rsidRPr="0052067D" w:rsidRDefault="0052067D" w:rsidP="0052067D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team coordination</w:t>
            </w:r>
          </w:p>
          <w:p w:rsidR="0052067D" w:rsidRDefault="0052067D" w:rsidP="0052067D">
            <w:pPr>
              <w:pStyle w:val="NoSpacing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Following Planning and Building Regulations Approval, prepare sufficient construction information for approved drawings and specification to tendering contractors (4 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tenderers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recommended by the Town Council and/or contracted architects</w:t>
            </w:r>
            <w:r w:rsidR="005651A6">
              <w:rPr>
                <w:rFonts w:ascii="Arial" w:hAnsi="Arial" w:cs="Arial"/>
                <w:sz w:val="24"/>
                <w:szCs w:val="24"/>
              </w:rPr>
              <w:t>), including appointment and liaison with Structural Engineer, and issue of a Tender Report (via the Quantity Surveyor).</w:t>
            </w:r>
          </w:p>
          <w:p w:rsid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651A6">
              <w:rPr>
                <w:rFonts w:ascii="Arial" w:hAnsi="Arial" w:cs="Arial"/>
                <w:sz w:val="24"/>
                <w:szCs w:val="24"/>
                <w:u w:val="single"/>
              </w:rPr>
              <w:t>Post Tender Stage</w:t>
            </w:r>
          </w:p>
          <w:p w:rsid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team coordination and site supervision, on site Contract Administrator duties post tender to construction and then completion, includi</w:t>
            </w:r>
            <w:r w:rsidR="00583999">
              <w:rPr>
                <w:rFonts w:ascii="Arial" w:hAnsi="Arial" w:cs="Arial"/>
                <w:sz w:val="24"/>
                <w:szCs w:val="24"/>
              </w:rPr>
              <w:t>ng meetings (monthly</w:t>
            </w:r>
            <w:r w:rsidR="00C80A20">
              <w:rPr>
                <w:rFonts w:ascii="Arial" w:hAnsi="Arial" w:cs="Arial"/>
                <w:sz w:val="24"/>
                <w:szCs w:val="24"/>
              </w:rPr>
              <w:t>, assuming a</w:t>
            </w:r>
            <w:r>
              <w:rPr>
                <w:rFonts w:ascii="Arial" w:hAnsi="Arial" w:cs="Arial"/>
                <w:sz w:val="24"/>
                <w:szCs w:val="24"/>
              </w:rPr>
              <w:t xml:space="preserve"> 12-month contract period).  To include: snagging, raising monthly certificates and site inspections.</w:t>
            </w:r>
          </w:p>
          <w:p w:rsidR="005651A6" w:rsidRP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067D" w:rsidTr="0052067D">
        <w:tc>
          <w:tcPr>
            <w:tcW w:w="9242" w:type="dxa"/>
          </w:tcPr>
          <w:p w:rsidR="005651A6" w:rsidRPr="005651A6" w:rsidRDefault="005651A6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1A6">
              <w:rPr>
                <w:rFonts w:ascii="Arial" w:hAnsi="Arial" w:cs="Arial"/>
                <w:b/>
                <w:sz w:val="24"/>
                <w:szCs w:val="24"/>
              </w:rPr>
              <w:lastRenderedPageBreak/>
              <w:t>2. Building Surveying Services</w:t>
            </w:r>
          </w:p>
        </w:tc>
      </w:tr>
      <w:tr w:rsidR="0052067D" w:rsidTr="0052067D">
        <w:tc>
          <w:tcPr>
            <w:tcW w:w="9242" w:type="dxa"/>
          </w:tcPr>
          <w:p w:rsidR="0052067D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Preparation of appropriate tender documentation, including a Prelims section, Schedule of Works, Invitation to Tender Letters and Specification.</w:t>
            </w:r>
          </w:p>
        </w:tc>
      </w:tr>
      <w:tr w:rsidR="0052067D" w:rsidTr="0052067D">
        <w:tc>
          <w:tcPr>
            <w:tcW w:w="9242" w:type="dxa"/>
          </w:tcPr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067D" w:rsidTr="0052067D">
        <w:tc>
          <w:tcPr>
            <w:tcW w:w="9242" w:type="dxa"/>
          </w:tcPr>
          <w:p w:rsidR="0052067D" w:rsidRPr="005651A6" w:rsidRDefault="005651A6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1A6">
              <w:rPr>
                <w:rFonts w:ascii="Arial" w:hAnsi="Arial" w:cs="Arial"/>
                <w:b/>
                <w:sz w:val="24"/>
                <w:szCs w:val="24"/>
              </w:rPr>
              <w:t>3. Quantity Surveying Services</w:t>
            </w:r>
          </w:p>
        </w:tc>
      </w:tr>
      <w:tr w:rsidR="0052067D" w:rsidTr="0052067D">
        <w:tc>
          <w:tcPr>
            <w:tcW w:w="9242" w:type="dxa"/>
          </w:tcPr>
          <w:p w:rsid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2067D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651A6">
              <w:rPr>
                <w:rFonts w:ascii="Arial" w:hAnsi="Arial" w:cs="Arial"/>
                <w:sz w:val="24"/>
                <w:szCs w:val="24"/>
                <w:u w:val="single"/>
              </w:rPr>
              <w:t>Pre-Contract QS Services</w:t>
            </w:r>
          </w:p>
          <w:p w:rsidR="005651A6" w:rsidRDefault="005651A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651A6" w:rsidRDefault="00C80A20" w:rsidP="005651A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Reporting o</w:t>
            </w:r>
            <w:r w:rsidR="005651A6">
              <w:rPr>
                <w:rFonts w:ascii="Arial" w:hAnsi="Arial" w:cs="Arial"/>
                <w:sz w:val="24"/>
                <w:szCs w:val="24"/>
              </w:rPr>
              <w:t>n tendering returns.</w:t>
            </w:r>
          </w:p>
          <w:p w:rsidR="005651A6" w:rsidRDefault="005651A6" w:rsidP="005651A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Preparing Contract Documents (JCT Intermediate Contract) and arranging for    execution by both parties</w:t>
            </w:r>
          </w:p>
          <w:p w:rsidR="005651A6" w:rsidRDefault="005651A6" w:rsidP="005651A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Attendance at pre-start meeting.</w:t>
            </w:r>
          </w:p>
          <w:p w:rsidR="005651A6" w:rsidRDefault="005651A6" w:rsidP="005651A6">
            <w:pPr>
              <w:pStyle w:val="NoSpacing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51A6" w:rsidRDefault="005651A6" w:rsidP="005651A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651A6">
              <w:rPr>
                <w:rFonts w:ascii="Arial" w:hAnsi="Arial" w:cs="Arial"/>
                <w:sz w:val="24"/>
                <w:szCs w:val="24"/>
                <w:u w:val="single"/>
              </w:rPr>
              <w:t>Post Contract QS Services</w:t>
            </w:r>
          </w:p>
          <w:p w:rsidR="005651A6" w:rsidRDefault="005651A6" w:rsidP="005651A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651A6" w:rsidRPr="005651A6" w:rsidRDefault="005651A6" w:rsidP="005651A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Attendance at monthly site progress meetings.</w:t>
            </w:r>
          </w:p>
          <w:p w:rsidR="005651A6" w:rsidRPr="005651A6" w:rsidRDefault="005651A6" w:rsidP="005651A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Assessing the value of works completed on site, and making recommendations for monthly interim payments to the Main Contractor (CA to certify).</w:t>
            </w:r>
          </w:p>
          <w:p w:rsidR="005651A6" w:rsidRPr="005651A6" w:rsidRDefault="005651A6" w:rsidP="005651A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Preparation of periodic assessments of final account.</w:t>
            </w:r>
          </w:p>
          <w:p w:rsidR="005651A6" w:rsidRDefault="005651A6" w:rsidP="005651A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1A6">
              <w:rPr>
                <w:rFonts w:ascii="Arial" w:hAnsi="Arial" w:cs="Arial"/>
                <w:sz w:val="24"/>
                <w:szCs w:val="24"/>
              </w:rPr>
              <w:t>Evaluation of variations covered by formal Contract Instructions (CA to determine liability and issue instructions).</w:t>
            </w:r>
          </w:p>
          <w:p w:rsidR="005651A6" w:rsidRDefault="005651A6" w:rsidP="005651A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Negotiating and agreeing the final account with the Main Contractor upon completion of the project.</w:t>
            </w:r>
          </w:p>
          <w:p w:rsidR="008353CD" w:rsidRPr="008353CD" w:rsidRDefault="008353CD" w:rsidP="008353CD">
            <w:pPr>
              <w:pStyle w:val="NoSpacing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2067D" w:rsidTr="0052067D">
        <w:tc>
          <w:tcPr>
            <w:tcW w:w="9242" w:type="dxa"/>
          </w:tcPr>
          <w:p w:rsidR="0052067D" w:rsidRDefault="0052067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3CD" w:rsidTr="0052067D">
        <w:tc>
          <w:tcPr>
            <w:tcW w:w="9242" w:type="dxa"/>
          </w:tcPr>
          <w:p w:rsidR="008353CD" w:rsidRPr="008353CD" w:rsidRDefault="008353CD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M&amp;E Services</w:t>
            </w:r>
          </w:p>
        </w:tc>
      </w:tr>
      <w:tr w:rsidR="008353CD" w:rsidTr="0052067D">
        <w:tc>
          <w:tcPr>
            <w:tcW w:w="9242" w:type="dxa"/>
          </w:tcPr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353CD">
              <w:rPr>
                <w:rFonts w:ascii="Arial" w:hAnsi="Arial" w:cs="Arial"/>
                <w:sz w:val="24"/>
                <w:szCs w:val="24"/>
                <w:u w:val="single"/>
              </w:rPr>
              <w:t>Mechanical</w:t>
            </w: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Drawings, equipment schedules and specification for hot and cold water services, heating, cooling, ventilation, gas services and utilities.</w:t>
            </w: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353CD">
              <w:rPr>
                <w:rFonts w:ascii="Arial" w:hAnsi="Arial" w:cs="Arial"/>
                <w:sz w:val="24"/>
                <w:szCs w:val="24"/>
                <w:u w:val="single"/>
              </w:rPr>
              <w:t>Electrical</w:t>
            </w: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Drawings, equipment schedules and specification for lighting systems, small power, IT/Data, fire alarm. security, main electrical distribution and utilities</w:t>
            </w: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survey</w:t>
            </w: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Quote to include for post design assistance and liaison wi</w:t>
            </w:r>
            <w:r w:rsidR="009307A3">
              <w:rPr>
                <w:rFonts w:ascii="Arial" w:hAnsi="Arial" w:cs="Arial"/>
                <w:sz w:val="24"/>
                <w:szCs w:val="24"/>
              </w:rPr>
              <w:t>th the utilities providers.  S</w:t>
            </w:r>
            <w:r>
              <w:rPr>
                <w:rFonts w:ascii="Arial" w:hAnsi="Arial" w:cs="Arial"/>
                <w:sz w:val="24"/>
                <w:szCs w:val="24"/>
              </w:rPr>
              <w:t>tandard terms and conditions to apply and a daily rate for any additional site visits.</w:t>
            </w:r>
          </w:p>
          <w:p w:rsidR="008353CD" w:rsidRPr="008353CD" w:rsidRDefault="008353CD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3CD" w:rsidTr="0052067D">
        <w:tc>
          <w:tcPr>
            <w:tcW w:w="9242" w:type="dxa"/>
          </w:tcPr>
          <w:p w:rsidR="008353CD" w:rsidRPr="00A629D2" w:rsidRDefault="008353CD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9D2" w:rsidTr="0052067D">
        <w:tc>
          <w:tcPr>
            <w:tcW w:w="9242" w:type="dxa"/>
          </w:tcPr>
          <w:p w:rsidR="00A629D2" w:rsidRPr="00A629D2" w:rsidRDefault="00A629D2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29D2">
              <w:rPr>
                <w:rFonts w:ascii="Arial" w:hAnsi="Arial" w:cs="Arial"/>
                <w:b/>
                <w:sz w:val="24"/>
                <w:szCs w:val="24"/>
              </w:rPr>
              <w:t>5. Structural &amp; Civil Services</w:t>
            </w:r>
          </w:p>
        </w:tc>
      </w:tr>
      <w:tr w:rsidR="00A629D2" w:rsidTr="0052067D">
        <w:tc>
          <w:tcPr>
            <w:tcW w:w="9242" w:type="dxa"/>
          </w:tcPr>
          <w:p w:rsidR="00A629D2" w:rsidRDefault="00A629D2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based on the assumption that any specialist timber design will be by the manufacturer/supplier.</w:t>
            </w: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Steelwork connections will be designed by the steelwork contractor to specified design loads.</w:t>
            </w: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provide a geotechnical site investigation report for foundation design.  </w:t>
            </w: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include 4 site visits - 1 each month for the first half of the construction programme then rate for further visits as and when required.</w:t>
            </w:r>
          </w:p>
          <w:p w:rsidR="006D4796" w:rsidRP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4796" w:rsidTr="0052067D">
        <w:tc>
          <w:tcPr>
            <w:tcW w:w="9242" w:type="dxa"/>
          </w:tcPr>
          <w:p w:rsidR="00684A4C" w:rsidRDefault="00684A4C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D4796" w:rsidRPr="006D4796" w:rsidRDefault="006D4796" w:rsidP="0052067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D4796">
              <w:rPr>
                <w:rFonts w:ascii="Arial" w:hAnsi="Arial" w:cs="Arial"/>
                <w:b/>
                <w:sz w:val="24"/>
                <w:szCs w:val="24"/>
                <w:u w:val="single"/>
              </w:rPr>
              <w:t>Exclusions and Assumptions</w:t>
            </w:r>
          </w:p>
          <w:p w:rsidR="006D4796" w:rsidRDefault="006D4796" w:rsidP="005206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180240" w:rsidRDefault="00180240" w:rsidP="00180240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Statutory fees, such as Building Control/Planning and specialised surveys (e.g. asbestos) to be excluded, although estimated costs to be provided as an indication.</w:t>
            </w:r>
          </w:p>
          <w:p w:rsidR="00180240" w:rsidRDefault="00180240" w:rsidP="00180240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Fees for Structural Engineering services to be excluded, although estimated costs to be given as a guide.</w:t>
            </w:r>
          </w:p>
          <w:p w:rsidR="00180240" w:rsidRDefault="00180240" w:rsidP="00180240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Fees for CDM Co-ordination, party wall agreements and legal costs to be excluded.</w:t>
            </w:r>
          </w:p>
          <w:p w:rsidR="006D4796" w:rsidRPr="00180240" w:rsidRDefault="00180240" w:rsidP="00180240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Documents to be issued digitally.  </w:t>
            </w:r>
          </w:p>
          <w:p w:rsidR="00180240" w:rsidRPr="006D4796" w:rsidRDefault="00180240" w:rsidP="00180240">
            <w:pPr>
              <w:pStyle w:val="NoSpacing"/>
              <w:ind w:left="72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F57DD5" w:rsidRDefault="00F57DD5" w:rsidP="0052067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3999" w:rsidRDefault="00583999" w:rsidP="0052067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3999" w:rsidRPr="00583999" w:rsidRDefault="00583999" w:rsidP="005206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83999">
        <w:rPr>
          <w:rFonts w:ascii="Arial" w:hAnsi="Arial" w:cs="Arial"/>
          <w:b/>
          <w:sz w:val="24"/>
          <w:szCs w:val="24"/>
        </w:rPr>
        <w:t>APPLICANTS PLEASE NOTE THE FOLLOWING:</w:t>
      </w:r>
    </w:p>
    <w:p w:rsidR="00583999" w:rsidRPr="00583999" w:rsidRDefault="00583999" w:rsidP="005206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83999" w:rsidRDefault="00583999" w:rsidP="005206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Contract Start Date is anticipated for </w:t>
      </w:r>
      <w:r w:rsidRPr="00583999">
        <w:rPr>
          <w:rFonts w:ascii="Arial" w:hAnsi="Arial" w:cs="Arial"/>
          <w:b/>
          <w:sz w:val="24"/>
          <w:szCs w:val="24"/>
        </w:rPr>
        <w:t>1st December 2017</w:t>
      </w:r>
      <w:r>
        <w:rPr>
          <w:rFonts w:ascii="Arial" w:hAnsi="Arial" w:cs="Arial"/>
          <w:b/>
          <w:sz w:val="24"/>
          <w:szCs w:val="24"/>
        </w:rPr>
        <w:t>, this date</w:t>
      </w:r>
      <w:r w:rsidRPr="00583999">
        <w:rPr>
          <w:rFonts w:ascii="Arial" w:hAnsi="Arial" w:cs="Arial"/>
          <w:b/>
          <w:sz w:val="24"/>
          <w:szCs w:val="24"/>
        </w:rPr>
        <w:t xml:space="preserve"> may be subject to amendment, and the project is expected to take 12 months.  </w:t>
      </w:r>
    </w:p>
    <w:p w:rsidR="001B5588" w:rsidRDefault="001B5588" w:rsidP="005206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B5588" w:rsidRDefault="001B5588" w:rsidP="005206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tenders to be sent via post to the Council's offices and are to be marked as follows:</w:t>
      </w:r>
    </w:p>
    <w:p w:rsidR="001B5588" w:rsidRDefault="001B5588" w:rsidP="001B558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PRIVATE &amp; CONFIDENTIAL</w:t>
      </w:r>
    </w:p>
    <w:p w:rsidR="001B5588" w:rsidRPr="00583999" w:rsidRDefault="001B5588" w:rsidP="001B558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attention of the Town Clerk</w:t>
      </w:r>
    </w:p>
    <w:sectPr w:rsidR="001B5588" w:rsidRPr="00583999" w:rsidSect="004D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E51"/>
    <w:multiLevelType w:val="hybridMultilevel"/>
    <w:tmpl w:val="EFA66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08B1"/>
    <w:multiLevelType w:val="hybridMultilevel"/>
    <w:tmpl w:val="F356C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1134B"/>
    <w:multiLevelType w:val="hybridMultilevel"/>
    <w:tmpl w:val="C9B4B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858"/>
    <w:multiLevelType w:val="hybridMultilevel"/>
    <w:tmpl w:val="9F48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28A8"/>
    <w:multiLevelType w:val="hybridMultilevel"/>
    <w:tmpl w:val="EA52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E4927"/>
    <w:multiLevelType w:val="hybridMultilevel"/>
    <w:tmpl w:val="2BB0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F6FF5"/>
    <w:multiLevelType w:val="hybridMultilevel"/>
    <w:tmpl w:val="C6CAA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55352"/>
    <w:multiLevelType w:val="hybridMultilevel"/>
    <w:tmpl w:val="61208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32E3"/>
    <w:rsid w:val="00180240"/>
    <w:rsid w:val="001B53D5"/>
    <w:rsid w:val="001B5588"/>
    <w:rsid w:val="002332E3"/>
    <w:rsid w:val="00331364"/>
    <w:rsid w:val="003C3E3C"/>
    <w:rsid w:val="004646D3"/>
    <w:rsid w:val="004D3E80"/>
    <w:rsid w:val="0052067D"/>
    <w:rsid w:val="005651A6"/>
    <w:rsid w:val="00583999"/>
    <w:rsid w:val="00684A4C"/>
    <w:rsid w:val="006D4796"/>
    <w:rsid w:val="008353CD"/>
    <w:rsid w:val="009135AD"/>
    <w:rsid w:val="009307A3"/>
    <w:rsid w:val="00A629D2"/>
    <w:rsid w:val="00C541B1"/>
    <w:rsid w:val="00C80A20"/>
    <w:rsid w:val="00F5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2E3"/>
    <w:pPr>
      <w:spacing w:after="0" w:line="240" w:lineRule="auto"/>
    </w:pPr>
  </w:style>
  <w:style w:type="table" w:styleId="TableGrid">
    <w:name w:val="Table Grid"/>
    <w:basedOn w:val="TableNormal"/>
    <w:uiPriority w:val="59"/>
    <w:rsid w:val="00F5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5D631-2449-420D-93F0-8E9AC7C2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HelenPhilpott</dc:creator>
  <cp:lastModifiedBy>HelenPhilpott</cp:lastModifiedBy>
  <cp:revision>7</cp:revision>
  <cp:lastPrinted>2017-09-13T12:24:00Z</cp:lastPrinted>
  <dcterms:created xsi:type="dcterms:W3CDTF">2017-08-18T09:25:00Z</dcterms:created>
  <dcterms:modified xsi:type="dcterms:W3CDTF">2017-10-05T08:59:00Z</dcterms:modified>
</cp:coreProperties>
</file>