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DD5D0E">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DD5D0E">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DD5D0E">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DD5D0E">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DD5D0E"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DD5D0E">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DD5D0E">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DD5D0E">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DD5D0E">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DD5D0E">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DD5D0E">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DD5D0E">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2860214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w:t>
      </w:r>
      <w:r w:rsidR="00F91017">
        <w:t xml:space="preserve">r is not entitled to </w:t>
      </w:r>
      <w:r>
        <w:t xml:space="preserve">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 xml:space="preserve">Any requirement of Law to account for the Goods and/or Services in any currency other than Sterling, (or to prepare for such accounting) instead of </w:t>
      </w:r>
      <w:r>
        <w:lastRenderedPageBreak/>
        <w:t>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E3C5694"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A72664">
        <w:t>2</w:t>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39651717"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w:t>
      </w:r>
      <w:r w:rsidR="00A72664">
        <w:t>5</w:t>
      </w:r>
      <w:r w:rsidR="001F798B" w:rsidRPr="002438DC">
        <w:t>a)</w:t>
      </w:r>
      <w:r w:rsidR="007A2B7D" w:rsidRPr="002438DC">
        <w:fldChar w:fldCharType="end"/>
      </w:r>
      <w:r w:rsidRPr="002438DC">
        <w:t xml:space="preserve">); and/or </w:t>
      </w:r>
    </w:p>
    <w:p w14:paraId="5C3DC11E" w14:textId="7633A757"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A72664">
        <w:t>2</w:t>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lastRenderedPageBreak/>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4A73AAA2" w:rsidR="00661527" w:rsidRDefault="004868C7" w:rsidP="0021005C">
      <w:pPr>
        <w:pStyle w:val="ListParagraph"/>
        <w:numPr>
          <w:ilvl w:val="2"/>
          <w:numId w:val="61"/>
        </w:numPr>
        <w:tabs>
          <w:tab w:val="center" w:pos="2552"/>
        </w:tabs>
        <w:spacing w:before="120" w:after="120" w:line="240" w:lineRule="auto"/>
        <w:ind w:left="2552" w:hanging="851"/>
        <w:contextualSpacing w:val="0"/>
      </w:pPr>
      <w:r>
        <w:t xml:space="preserve">use its best endeavours to </w:t>
      </w:r>
      <w:r w:rsidR="00661527">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the ICT Policy) and provide the Goods and/or Services to the reasonable satisfaction of the Customer; and </w:t>
      </w:r>
    </w:p>
    <w:p w14:paraId="70CAFC9A" w14:textId="428AB55B"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lastRenderedPageBreak/>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5569195B" w:rsidR="00661527" w:rsidRDefault="00661527" w:rsidP="0021005C">
      <w:pPr>
        <w:pStyle w:val="ListParagraph"/>
        <w:numPr>
          <w:ilvl w:val="1"/>
          <w:numId w:val="61"/>
        </w:numPr>
        <w:tabs>
          <w:tab w:val="center" w:pos="1701"/>
        </w:tabs>
        <w:ind w:left="1701" w:hanging="850"/>
      </w:pPr>
      <w:r>
        <w:t>If the Customer reasonably believes that any of the Supplier Personnel are unsuitable to undertake work in respect of this Contract, it may</w:t>
      </w:r>
      <w:r w:rsidR="00EE04D3">
        <w:t>, upon provision of a reasonable explanation</w:t>
      </w:r>
      <w:r>
        <w:t xml:space="preserve">: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lastRenderedPageBreak/>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lastRenderedPageBreak/>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lastRenderedPageBreak/>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w:t>
      </w:r>
      <w:r>
        <w:lastRenderedPageBreak/>
        <w:t xml:space="preserve">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lastRenderedPageBreak/>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2DE4AC5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r w:rsidR="00116CAD">
        <w:t>At any time following the Contract Expiry Date, the Supplier may terminate a licence granted in accordance with 22.5 with immediate effect</w:t>
      </w:r>
      <w:r w:rsidR="00A37D62">
        <w:t>.</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lastRenderedPageBreak/>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w:t>
      </w:r>
      <w:r w:rsidRPr="002438DC">
        <w:lastRenderedPageBreak/>
        <w:t xml:space="preserve">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lastRenderedPageBreak/>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319E065C" w:rsidR="00661527" w:rsidRDefault="003F17BE" w:rsidP="0021005C">
      <w:pPr>
        <w:pStyle w:val="ListParagraph"/>
        <w:numPr>
          <w:ilvl w:val="1"/>
          <w:numId w:val="61"/>
        </w:numPr>
        <w:tabs>
          <w:tab w:val="center" w:pos="1701"/>
        </w:tabs>
        <w:spacing w:before="120" w:after="120" w:line="240" w:lineRule="auto"/>
        <w:ind w:left="1702" w:hanging="851"/>
        <w:contextualSpacing w:val="0"/>
      </w:pPr>
      <w:bookmarkStart w:id="96" w:name="_Ref534635057"/>
      <w:r>
        <w:t>Both parties</w:t>
      </w:r>
      <w:r w:rsidR="00661527">
        <w:t xml:space="preserve"> shall, during and after the Contract Period, on written demand, indemnify the </w:t>
      </w:r>
      <w:r>
        <w:t xml:space="preserve">other </w:t>
      </w:r>
      <w:r w:rsidR="00661527">
        <w:t xml:space="preserve">against all Losses incurred by, awarded against, or agreed to be paid by the </w:t>
      </w:r>
      <w:r w:rsidR="009336FE">
        <w:t xml:space="preserve">other </w:t>
      </w:r>
      <w:r w:rsidR="00661527">
        <w:t>(whether before or after the making of the demand pursuant to the indemnity hereunder) arising from an IPR Claim.</w:t>
      </w:r>
      <w:bookmarkEnd w:id="96"/>
      <w:r w:rsidR="00661527">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lastRenderedPageBreak/>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w:t>
      </w:r>
      <w:r>
        <w:lastRenderedPageBreak/>
        <w:t xml:space="preserve">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8A04768" w:rsidR="00661527" w:rsidRDefault="00661527" w:rsidP="0021005C">
      <w:pPr>
        <w:pStyle w:val="ListParagraph"/>
        <w:numPr>
          <w:ilvl w:val="2"/>
          <w:numId w:val="61"/>
        </w:numPr>
        <w:tabs>
          <w:tab w:val="center" w:pos="2552"/>
        </w:tabs>
        <w:spacing w:before="120" w:after="120" w:line="240" w:lineRule="auto"/>
        <w:ind w:left="2552" w:hanging="851"/>
        <w:contextualSpacing w:val="0"/>
      </w:pPr>
      <w:r>
        <w:t>on a confidential basis for the purpose of the exercise of its rights under this Contract</w:t>
      </w:r>
      <w:r w:rsidR="003E75DE">
        <w:t>, provided the Supplier has consented to the disclosure</w:t>
      </w:r>
      <w:r>
        <w:t xml:space="preserve">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716FF00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 xml:space="preserve">In the event that </w:t>
      </w:r>
      <w:r w:rsidR="00465F18">
        <w:t xml:space="preserve">either party </w:t>
      </w:r>
      <w:r>
        <w:t>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w:t>
      </w:r>
      <w:proofErr w:type="spellStart"/>
      <w:r w:rsidR="00465F18">
        <w:t>the</w:t>
      </w:r>
      <w:proofErr w:type="spellEnd"/>
      <w:r w:rsidR="00465F18">
        <w:t xml:space="preserve"> other party </w:t>
      </w:r>
      <w:r>
        <w:t>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D6798F">
          <w:rPr>
            <w:rStyle w:val="Hyperlink"/>
          </w:rPr>
          <w:t>https://www.gov.uk/government/publications/procurement-policy-note-0117-update-to-transparency-principles</w:t>
        </w:r>
      </w:hyperlink>
      <w:r w:rsidRPr="002438DC">
        <w:t xml:space="preserve"> The Supplier shall comply with the </w:t>
      </w:r>
      <w:r w:rsidRPr="002438DC">
        <w:lastRenderedPageBreak/>
        <w:t xml:space="preserve">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15ADE10" w:rsidR="00661527" w:rsidRDefault="00DD7E8B" w:rsidP="0021005C">
      <w:pPr>
        <w:pStyle w:val="ListParagraph"/>
        <w:numPr>
          <w:ilvl w:val="1"/>
          <w:numId w:val="61"/>
        </w:numPr>
        <w:tabs>
          <w:tab w:val="center" w:pos="1701"/>
        </w:tabs>
        <w:ind w:left="1701" w:hanging="850"/>
      </w:pPr>
      <w:bookmarkStart w:id="111" w:name="_Ref534886623"/>
      <w:r>
        <w:t>Both parties</w:t>
      </w:r>
      <w:r w:rsidR="00661527">
        <w:t xml:space="preserve"> acknowledge that the </w:t>
      </w:r>
      <w:r>
        <w:t xml:space="preserve">other </w:t>
      </w:r>
      <w:r w:rsidR="00661527">
        <w:t xml:space="preserve">is subject to the requirements of the FOIA and the EIRs. </w:t>
      </w:r>
      <w:r>
        <w:t>Both parties</w:t>
      </w:r>
      <w:r w:rsidR="00661527">
        <w:t xml:space="preserve"> shall:</w:t>
      </w:r>
      <w:bookmarkEnd w:id="111"/>
      <w:r w:rsidR="00661527">
        <w:t xml:space="preserve"> </w:t>
      </w:r>
    </w:p>
    <w:p w14:paraId="101FB2F5" w14:textId="61AD27A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w:t>
      </w:r>
      <w:r w:rsidR="00A70C7A">
        <w:t>a party</w:t>
      </w:r>
      <w:r w:rsidR="001357A0">
        <w:t xml:space="preserve"> </w:t>
      </w:r>
      <w:r>
        <w:t>to enable th</w:t>
      </w:r>
      <w:r w:rsidR="00A70C7A">
        <w:t>at party</w:t>
      </w:r>
      <w:r>
        <w:t xml:space="preserve"> to comply with its Information disclosure obligations under the FOIA and EIRs; </w:t>
      </w:r>
    </w:p>
    <w:p w14:paraId="2B211468" w14:textId="1A6D496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w:t>
      </w:r>
      <w:r w:rsidR="00A70C7A">
        <w:t xml:space="preserve">requesting party </w:t>
      </w:r>
      <w:r>
        <w:t xml:space="preserve">all Requests for Information relating to this Contract that it receives as soon as practicable and in any event within two (2) Working Days of receipt; </w:t>
      </w:r>
    </w:p>
    <w:p w14:paraId="2F18A47C" w14:textId="38DA8CA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w:t>
      </w:r>
      <w:r w:rsidR="00A70C7A">
        <w:t xml:space="preserve">other party </w:t>
      </w:r>
      <w:r>
        <w:t>with a copy of all Information belonging to the</w:t>
      </w:r>
      <w:r w:rsidR="00A70C7A">
        <w:t xml:space="preserve"> other party </w:t>
      </w:r>
      <w:r>
        <w:t xml:space="preserve">requested in the Request for Information which is in its possession or control in the form that </w:t>
      </w:r>
      <w:r w:rsidR="00A70C7A">
        <w:t>that party</w:t>
      </w:r>
      <w:r>
        <w:t xml:space="preserve"> requires within five (5) Working Days (or such other period </w:t>
      </w:r>
      <w:r w:rsidR="00A70C7A">
        <w:t>as that party</w:t>
      </w:r>
      <w:r>
        <w:t xml:space="preserve"> may reasonably specify) of the </w:t>
      </w:r>
      <w:r w:rsidR="00A70C7A">
        <w:t xml:space="preserve">relevant party’s </w:t>
      </w:r>
      <w:r>
        <w:t xml:space="preserve">request for such Information; and </w:t>
      </w:r>
    </w:p>
    <w:p w14:paraId="5F6B068E" w14:textId="3352A7E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w:t>
      </w:r>
      <w:r w:rsidR="0047171B">
        <w:t>other party</w:t>
      </w:r>
      <w:r>
        <w:t xml:space="preserve">. </w:t>
      </w:r>
    </w:p>
    <w:p w14:paraId="01399380" w14:textId="77777777" w:rsidR="004D4420" w:rsidRDefault="004D4420" w:rsidP="002438DC">
      <w:pPr>
        <w:pStyle w:val="ListParagraph"/>
        <w:tabs>
          <w:tab w:val="center" w:pos="2552"/>
        </w:tabs>
        <w:ind w:left="2552" w:firstLine="0"/>
        <w:jc w:val="left"/>
      </w:pPr>
    </w:p>
    <w:p w14:paraId="27E769CD" w14:textId="262BDF05" w:rsidR="00661527" w:rsidRDefault="0047171B" w:rsidP="0021005C">
      <w:pPr>
        <w:pStyle w:val="ListParagraph"/>
        <w:numPr>
          <w:ilvl w:val="1"/>
          <w:numId w:val="61"/>
        </w:numPr>
        <w:tabs>
          <w:tab w:val="center" w:pos="1701"/>
        </w:tabs>
        <w:ind w:left="1701" w:hanging="850"/>
      </w:pPr>
      <w:bookmarkStart w:id="112" w:name="_Ref534886634"/>
      <w:r>
        <w:t xml:space="preserve">Both parties </w:t>
      </w:r>
      <w:r w:rsidR="00661527">
        <w:t xml:space="preserve">acknowledge that the </w:t>
      </w:r>
      <w:r>
        <w:t xml:space="preserve">other party </w:t>
      </w:r>
      <w:r w:rsidR="00661527">
        <w:t xml:space="preserve">may be required under the FOIA and EIRs to disclose Information (including Commercially Sensitive Information) without consulting or obtaining consent from the </w:t>
      </w:r>
      <w:r>
        <w:t>other</w:t>
      </w:r>
      <w:r w:rsidR="00661527">
        <w:t xml:space="preserve">. </w:t>
      </w:r>
      <w:r>
        <w:t>Each party</w:t>
      </w:r>
      <w:r w:rsidR="00661527">
        <w:t xml:space="preserve"> shall take reasonable steps to notify the </w:t>
      </w:r>
      <w:r>
        <w:t xml:space="preserve">other </w:t>
      </w:r>
      <w:r w:rsidR="00661527">
        <w:t>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w:t>
      </w:r>
      <w:r w:rsidR="00A878E9">
        <w:t>at party</w:t>
      </w:r>
      <w:r w:rsidR="00661527">
        <w:t xml:space="preserve"> shall be responsible for determining in its absolute discretion whether any Commercially Sensitive Information and/or any other information is exempt from disclosure in accordance with the FOIA and/or the EIRs.</w:t>
      </w:r>
      <w:bookmarkEnd w:id="112"/>
      <w:r w:rsidR="00661527">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lastRenderedPageBreak/>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lastRenderedPageBreak/>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lastRenderedPageBreak/>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35DA21C6"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r w:rsidR="005C438B">
        <w:t xml:space="preserve"> The Controller shall remain fully liable for all acts or omissions of any of its sub-controllers.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lastRenderedPageBreak/>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0444D779" w:rsidR="00661527" w:rsidRDefault="007E17DE" w:rsidP="0021005C">
      <w:pPr>
        <w:numPr>
          <w:ilvl w:val="1"/>
          <w:numId w:val="61"/>
        </w:numPr>
        <w:spacing w:before="280" w:after="120" w:line="240" w:lineRule="auto"/>
        <w:ind w:left="1701" w:hanging="850"/>
      </w:pPr>
      <w:bookmarkStart w:id="138" w:name="_Ref534637515"/>
      <w:r>
        <w:rPr>
          <w:rFonts w:eastAsia="Calibri"/>
        </w:rPr>
        <w:t xml:space="preserve">Neither </w:t>
      </w:r>
      <w:proofErr w:type="spellStart"/>
      <w:r>
        <w:rPr>
          <w:rFonts w:eastAsia="Calibri"/>
        </w:rPr>
        <w:t>party</w:t>
      </w:r>
      <w:r>
        <w:t>will</w:t>
      </w:r>
      <w:proofErr w:type="spellEnd"/>
      <w:r>
        <w:t xml:space="preserve"> </w:t>
      </w:r>
      <w:r w:rsidR="00661527">
        <w:t xml:space="preserve"> exclude or limit its liability in respect of the indemnity in </w:t>
      </w:r>
      <w:r w:rsidR="00661527"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00661527" w:rsidRPr="002438DC">
        <w:t xml:space="preserve"> (IPR Indemnity)</w:t>
      </w:r>
      <w:r w:rsidR="00661527">
        <w:t xml:space="preserve"> and in each case whether before or after the making of a demand pursuant to the indemnity therein.</w:t>
      </w:r>
      <w:bookmarkEnd w:id="138"/>
      <w:r w:rsidR="00661527">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20CFE22C"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in respect of all Losses incurred by the Customer under or in connection with this Contract as a result of Defaults by the Supplier shall in no event exceed: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6224792A"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p>
    <w:p w14:paraId="649D9200" w14:textId="2C492F87" w:rsidR="00661527" w:rsidRDefault="00661527" w:rsidP="000C2B0C">
      <w:pPr>
        <w:spacing w:after="120" w:line="240" w:lineRule="auto"/>
        <w:ind w:left="1447" w:firstLine="0"/>
      </w:pPr>
      <w:r>
        <w:t xml:space="preserve">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 xml:space="preserve">costs associated with such Replacement </w:t>
      </w:r>
      <w:r w:rsidR="002D7B4F">
        <w:lastRenderedPageBreak/>
        <w:t>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w:t>
      </w:r>
      <w:r>
        <w:lastRenderedPageBreak/>
        <w:t xml:space="preserve">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w:t>
      </w:r>
      <w:r>
        <w:lastRenderedPageBreak/>
        <w:t xml:space="preserve">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w:t>
      </w:r>
      <w:proofErr w:type="spellStart"/>
      <w:r w:rsidRPr="002438DC">
        <w:t>i</w:t>
      </w:r>
      <w:proofErr w:type="spellEnd"/>
      <w:r w:rsidRPr="002438DC">
        <w:t>):</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 xml:space="preserve">its decision and the Supplier shall take the reasons into account in the preparation of a revised Rectification Plan. The Supplier shall submit the revised draft of the Rectification Plan to the Customer for review within five (5) Working Days </w:t>
      </w:r>
      <w:r w:rsidR="002C720F">
        <w:lastRenderedPageBreak/>
        <w:t>(or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w:t>
      </w:r>
      <w:r>
        <w:lastRenderedPageBreak/>
        <w:t xml:space="preserve">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t>
      </w:r>
      <w:r>
        <w:lastRenderedPageBreak/>
        <w:t>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w:t>
      </w:r>
      <w:r>
        <w:lastRenderedPageBreak/>
        <w:t xml:space="preserve">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lastRenderedPageBreak/>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3BCFCC3C"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 xml:space="preserve">and the said undisputed sum due remains outstanding for </w:t>
      </w:r>
      <w:r w:rsidR="005969C7">
        <w:t>thirty</w:t>
      </w:r>
      <w:bookmarkEnd w:id="199"/>
      <w:r>
        <w:t xml:space="preserve"> </w:t>
      </w:r>
      <w:r w:rsidR="00CA6DE2">
        <w:t>(</w:t>
      </w:r>
      <w:r w:rsidR="005969C7">
        <w:t>3</w:t>
      </w:r>
      <w:r w:rsidR="00CA6DE2">
        <w:t>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w:t>
      </w:r>
      <w:r w:rsidR="00661527">
        <w:lastRenderedPageBreak/>
        <w:t>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24D20E03"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disputed sums of money (whether in whole or in part)</w:t>
      </w:r>
      <w:r w:rsidR="003E7F72">
        <w:t xml:space="preserve"> but shall be entitled to suspend the supply of Goods or Services if </w:t>
      </w:r>
      <w:r w:rsidR="0093087E">
        <w:t>the Customer fails to pay undisputed sums.</w:t>
      </w:r>
      <w:bookmarkEnd w:id="202"/>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lastRenderedPageBreak/>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(Confidentiality), (Freedom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w:t>
      </w:r>
      <w:r>
        <w:lastRenderedPageBreak/>
        <w:t xml:space="preserve">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lastRenderedPageBreak/>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297044F6" w:rsidR="00661527" w:rsidRDefault="007A2D8E" w:rsidP="0021005C">
      <w:pPr>
        <w:numPr>
          <w:ilvl w:val="1"/>
          <w:numId w:val="61"/>
        </w:numPr>
        <w:spacing w:before="120" w:after="120" w:line="240" w:lineRule="auto"/>
        <w:ind w:left="1702" w:hanging="851"/>
      </w:pPr>
      <w:bookmarkStart w:id="218" w:name="_Ref534803030"/>
      <w:r>
        <w:t>Provided the Supplier is informed in writing of any intention to do so, t</w:t>
      </w:r>
      <w:r w:rsidR="00661527">
        <w:t>he Customer may assign, novate or otherwise dispose of any or all of its rights, liabilities and obligations under this Contract or any part thereof to:</w:t>
      </w:r>
      <w:bookmarkEnd w:id="218"/>
      <w:r w:rsidR="00661527">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w:t>
      </w:r>
      <w:r>
        <w:lastRenderedPageBreak/>
        <w:t xml:space="preserve">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lastRenderedPageBreak/>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lastRenderedPageBreak/>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lastRenderedPageBreak/>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lastRenderedPageBreak/>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009E65D7" w:rsidRPr="009E65D7">
              <w:rPr>
                <w:rFonts w:eastAsia="Times New Roman"/>
                <w:color w:val="auto"/>
                <w:lang w:eastAsia="en-US"/>
              </w:rPr>
              <w:t>body</w:t>
            </w:r>
            <w:proofErr w:type="spellEnd"/>
            <w:r w:rsidR="009E65D7" w:rsidRP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20F83CD1" w:rsidR="00EC5090" w:rsidRDefault="00B04DB1" w:rsidP="0021005C">
      <w:pPr>
        <w:pStyle w:val="ListParagraph"/>
        <w:numPr>
          <w:ilvl w:val="0"/>
          <w:numId w:val="72"/>
        </w:numPr>
        <w:ind w:left="851" w:hanging="851"/>
      </w:pPr>
      <w:r>
        <w:rPr>
          <w:rFonts w:ascii="Times" w:hAnsi="Times" w:cs="Times"/>
          <w:color w:val="FF0000"/>
          <w:sz w:val="27"/>
          <w:szCs w:val="27"/>
        </w:rPr>
        <w:t>REDACTED TEXT under FOIA Section 43, Commercial Interests</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26F8A410"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r w:rsidR="00575193">
        <w:t>– NOT APPLICABLE</w:t>
      </w:r>
    </w:p>
    <w:p w14:paraId="528ED629" w14:textId="77777777" w:rsidR="00661527" w:rsidRDefault="00661527" w:rsidP="00661527"/>
    <w:p w14:paraId="4CBABE3B" w14:textId="77777777" w:rsidR="00661527" w:rsidRPr="00723B9F" w:rsidRDefault="00661527" w:rsidP="00661527"/>
    <w:p w14:paraId="3320C762" w14:textId="32F47CA2" w:rsidR="00661527" w:rsidRDefault="005E6AEA" w:rsidP="001724D7">
      <w:pPr>
        <w:ind w:left="0" w:right="52" w:firstLine="0"/>
      </w:pPr>
      <w:r>
        <w:t>[</w:t>
      </w:r>
      <w:r w:rsidRPr="00E22EB9">
        <w:t>SUPPLIER / CUSTOMER TO INSERT HERE IF CUSTOMER REQUIRES THIS</w:t>
      </w:r>
      <w:r>
        <w:t>]</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lastRenderedPageBreak/>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lastRenderedPageBreak/>
        <w:t xml:space="preserve">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w:t>
      </w:r>
      <w:r>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lastRenderedPageBreak/>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7124D766" w:rsidR="00906CB0" w:rsidRPr="002438DC" w:rsidRDefault="00906CB0" w:rsidP="0021005C">
      <w:pPr>
        <w:keepNext/>
        <w:numPr>
          <w:ilvl w:val="2"/>
          <w:numId w:val="67"/>
        </w:numPr>
        <w:spacing w:after="0" w:line="240" w:lineRule="auto"/>
      </w:pPr>
      <w:r w:rsidRPr="002438DC">
        <w:t xml:space="preserve">The contact details of the Controller’s Data Protection Officer are: </w:t>
      </w:r>
      <w:r w:rsidR="00B04DB1">
        <w:rPr>
          <w:rFonts w:ascii="Times" w:hAnsi="Times" w:cs="Times"/>
          <w:color w:val="FF0000"/>
          <w:sz w:val="27"/>
          <w:szCs w:val="27"/>
        </w:rPr>
        <w:t>REDACTED TEXT under FOIA Section 40, Personal Information</w:t>
      </w:r>
    </w:p>
    <w:p w14:paraId="17266993" w14:textId="1308AAEC" w:rsidR="00906CB0" w:rsidRPr="002438DC" w:rsidRDefault="00906CB0" w:rsidP="0021005C">
      <w:pPr>
        <w:keepNext/>
        <w:numPr>
          <w:ilvl w:val="2"/>
          <w:numId w:val="67"/>
        </w:numPr>
        <w:spacing w:after="0" w:line="240" w:lineRule="auto"/>
      </w:pPr>
      <w:r w:rsidRPr="002438DC">
        <w:t xml:space="preserve">The contact details of the Processor’s Data Protection Officer are: </w:t>
      </w:r>
      <w:r w:rsidR="00777399" w:rsidRPr="00777399">
        <w:t>To be confirmed on contract award</w:t>
      </w: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tcPr>
          <w:p w14:paraId="649EDB46" w14:textId="5A7AC612" w:rsidR="00906CB0" w:rsidRPr="00D714D6" w:rsidRDefault="00906CB0" w:rsidP="00D714D6">
            <w:pPr>
              <w:spacing w:after="0" w:line="240" w:lineRule="auto"/>
              <w:ind w:left="8"/>
            </w:pPr>
            <w:r w:rsidRPr="002438DC">
              <w:t xml:space="preserve">The Parties acknowledge that for the purposes of the Data Protection Legislation, the Customer is the Controller and the Contractor is the Processor in accordance </w:t>
            </w:r>
            <w:r w:rsidRPr="00D714D6">
              <w:t xml:space="preserve">with Clause </w:t>
            </w:r>
            <w:r w:rsidR="00432086" w:rsidRPr="00D714D6">
              <w:fldChar w:fldCharType="begin"/>
            </w:r>
            <w:r w:rsidR="00432086" w:rsidRPr="00D714D6">
              <w:instrText xml:space="preserve"> REF _Ref534988365 \r \h </w:instrText>
            </w:r>
            <w:r w:rsidR="00423768" w:rsidRPr="00D714D6">
              <w:instrText xml:space="preserve"> \* MERGEFORMAT </w:instrText>
            </w:r>
            <w:r w:rsidR="00432086" w:rsidRPr="00D714D6">
              <w:fldChar w:fldCharType="separate"/>
            </w:r>
            <w:r w:rsidR="001F798B" w:rsidRPr="00D714D6">
              <w:t>23.25</w:t>
            </w:r>
            <w:r w:rsidR="00432086" w:rsidRPr="00D714D6">
              <w:fldChar w:fldCharType="end"/>
            </w:r>
            <w:r w:rsidRPr="00D714D6">
              <w:t>.</w:t>
            </w:r>
          </w:p>
        </w:tc>
      </w:tr>
      <w:tr w:rsidR="00906CB0" w14:paraId="673FF4F4" w14:textId="77777777" w:rsidTr="007977B2">
        <w:trPr>
          <w:gridBefore w:val="1"/>
          <w:wBefore w:w="34" w:type="dxa"/>
          <w:trHeight w:val="1620"/>
        </w:trPr>
        <w:tc>
          <w:tcPr>
            <w:tcW w:w="3045" w:type="dxa"/>
          </w:tcPr>
          <w:p w14:paraId="1937BBF8" w14:textId="77777777" w:rsidR="00906CB0" w:rsidRPr="002438DC" w:rsidRDefault="00906CB0" w:rsidP="007977B2">
            <w:pPr>
              <w:spacing w:after="200" w:line="240" w:lineRule="auto"/>
              <w:ind w:left="8"/>
            </w:pPr>
            <w:r w:rsidRPr="002438DC">
              <w:t>Subject matter of the processing</w:t>
            </w:r>
          </w:p>
        </w:tc>
        <w:tc>
          <w:tcPr>
            <w:tcW w:w="7140" w:type="dxa"/>
            <w:gridSpan w:val="3"/>
          </w:tcPr>
          <w:p w14:paraId="0A32E96C" w14:textId="77777777" w:rsidR="00906CB0" w:rsidRPr="002438DC" w:rsidRDefault="00906CB0" w:rsidP="007977B2">
            <w:pPr>
              <w:spacing w:after="0" w:line="240" w:lineRule="auto"/>
              <w:ind w:left="8"/>
              <w:rPr>
                <w:i/>
              </w:rPr>
            </w:pPr>
            <w:r w:rsidRPr="002438DC">
              <w:rPr>
                <w:i/>
              </w:rPr>
              <w:t xml:space="preserve">[This should be a high level, short description of what the processing is about i.e. its subject matter of the contract. </w:t>
            </w:r>
          </w:p>
          <w:p w14:paraId="5E317CEB" w14:textId="77777777" w:rsidR="00906CB0" w:rsidRPr="002438DC" w:rsidRDefault="00906CB0" w:rsidP="00906CB0">
            <w:pPr>
              <w:spacing w:after="0" w:line="240" w:lineRule="auto"/>
              <w:rPr>
                <w:i/>
              </w:rPr>
            </w:pPr>
          </w:p>
          <w:p w14:paraId="2B92356A" w14:textId="77777777" w:rsidR="00906CB0" w:rsidRPr="002438DC" w:rsidRDefault="00906CB0" w:rsidP="007977B2">
            <w:pPr>
              <w:spacing w:after="0" w:line="240" w:lineRule="auto"/>
              <w:ind w:left="16"/>
              <w:rPr>
                <w:i/>
              </w:rPr>
            </w:pPr>
            <w:r w:rsidRPr="002438DC">
              <w:rPr>
                <w:i/>
              </w:rPr>
              <w:t>Example: The processing is needed in order to ensure that the Processor can effectively deliver the contract to provide a service to members of the public. ]</w:t>
            </w:r>
          </w:p>
          <w:p w14:paraId="2317E885" w14:textId="77777777" w:rsidR="00906CB0" w:rsidRPr="002438DC" w:rsidRDefault="00906CB0" w:rsidP="00906CB0">
            <w:pPr>
              <w:spacing w:after="0" w:line="240" w:lineRule="auto"/>
            </w:pPr>
          </w:p>
        </w:tc>
      </w:tr>
      <w:tr w:rsidR="00906CB0" w14:paraId="6ACF12C6" w14:textId="77777777" w:rsidTr="007977B2">
        <w:trPr>
          <w:gridBefore w:val="1"/>
          <w:wBefore w:w="34" w:type="dxa"/>
          <w:trHeight w:val="640"/>
        </w:trPr>
        <w:tc>
          <w:tcPr>
            <w:tcW w:w="3045" w:type="dxa"/>
          </w:tcPr>
          <w:p w14:paraId="1BA52F27" w14:textId="77777777" w:rsidR="00906CB0" w:rsidRPr="002438DC" w:rsidRDefault="00906CB0" w:rsidP="007977B2">
            <w:pPr>
              <w:spacing w:after="200" w:line="240" w:lineRule="auto"/>
              <w:ind w:left="8"/>
            </w:pPr>
            <w:r w:rsidRPr="002438DC">
              <w:t>Duration of the processing</w:t>
            </w:r>
          </w:p>
        </w:tc>
        <w:tc>
          <w:tcPr>
            <w:tcW w:w="7140" w:type="dxa"/>
            <w:gridSpan w:val="3"/>
          </w:tcPr>
          <w:p w14:paraId="2B0E9DF9" w14:textId="77777777" w:rsidR="00906CB0" w:rsidRPr="002438DC" w:rsidRDefault="00906CB0" w:rsidP="007977B2">
            <w:pPr>
              <w:spacing w:after="0" w:line="240" w:lineRule="auto"/>
              <w:ind w:left="8"/>
            </w:pPr>
            <w:r w:rsidRPr="002438DC">
              <w:rPr>
                <w:i/>
              </w:rPr>
              <w:t>[Clearly set out the duration of the processing including dates]</w:t>
            </w:r>
          </w:p>
        </w:tc>
      </w:tr>
      <w:tr w:rsidR="00906CB0" w14:paraId="36D241B4" w14:textId="77777777" w:rsidTr="007977B2">
        <w:trPr>
          <w:gridBefore w:val="1"/>
          <w:wBefore w:w="34" w:type="dxa"/>
          <w:trHeight w:val="1520"/>
        </w:trPr>
        <w:tc>
          <w:tcPr>
            <w:tcW w:w="3045" w:type="dxa"/>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tcPr>
          <w:p w14:paraId="79B76AFF" w14:textId="77777777" w:rsidR="00906CB0" w:rsidRPr="002438DC" w:rsidRDefault="00906CB0" w:rsidP="007977B2">
            <w:pPr>
              <w:spacing w:after="0" w:line="240" w:lineRule="auto"/>
              <w:ind w:left="8"/>
              <w:rPr>
                <w:i/>
              </w:rPr>
            </w:pPr>
            <w:r w:rsidRPr="002438DC">
              <w:rPr>
                <w:i/>
              </w:rPr>
              <w:t xml:space="preserve">[Please be as specific as possible, but make sure that you cover all intended purposes. </w:t>
            </w:r>
          </w:p>
          <w:p w14:paraId="0C90A416" w14:textId="77777777" w:rsidR="00906CB0" w:rsidRPr="002438DC" w:rsidRDefault="00906CB0" w:rsidP="00906CB0">
            <w:pPr>
              <w:spacing w:after="0" w:line="240" w:lineRule="auto"/>
              <w:rPr>
                <w:i/>
              </w:rPr>
            </w:pPr>
          </w:p>
          <w:p w14:paraId="23F3A5C1" w14:textId="77777777" w:rsidR="00906CB0" w:rsidRPr="002438DC" w:rsidRDefault="00906CB0" w:rsidP="007977B2">
            <w:pPr>
              <w:spacing w:after="0" w:line="240" w:lineRule="auto"/>
              <w:ind w:left="16"/>
              <w:rPr>
                <w:i/>
              </w:rPr>
            </w:pPr>
            <w:r w:rsidRPr="002438DC">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52A94B6" w14:textId="77777777" w:rsidR="00906CB0" w:rsidRPr="002438DC" w:rsidRDefault="00906CB0" w:rsidP="00906CB0">
            <w:pPr>
              <w:spacing w:after="0" w:line="240" w:lineRule="auto"/>
              <w:rPr>
                <w:i/>
              </w:rPr>
            </w:pPr>
          </w:p>
          <w:p w14:paraId="5D97DB6A" w14:textId="77777777" w:rsidR="00906CB0" w:rsidRPr="002438DC" w:rsidRDefault="00906CB0" w:rsidP="007977B2">
            <w:pPr>
              <w:spacing w:after="0" w:line="240" w:lineRule="auto"/>
              <w:ind w:left="24"/>
              <w:rPr>
                <w:i/>
              </w:rPr>
            </w:pPr>
            <w:r w:rsidRPr="002438DC">
              <w:rPr>
                <w:i/>
              </w:rPr>
              <w:t>The purpose might include: employment processing, statutory obligation, recruitment assessment etc]</w:t>
            </w:r>
          </w:p>
          <w:p w14:paraId="25C94E6C" w14:textId="77777777" w:rsidR="00906CB0" w:rsidRPr="002438DC" w:rsidRDefault="00906CB0" w:rsidP="00906CB0">
            <w:pPr>
              <w:spacing w:after="0" w:line="240" w:lineRule="auto"/>
            </w:pPr>
            <w:r w:rsidRPr="002438DC">
              <w:rPr>
                <w:i/>
              </w:rPr>
              <w:t xml:space="preserve"> </w:t>
            </w:r>
          </w:p>
        </w:tc>
      </w:tr>
      <w:tr w:rsidR="00906CB0" w14:paraId="765E1F7C" w14:textId="77777777" w:rsidTr="007977B2">
        <w:trPr>
          <w:gridBefore w:val="1"/>
          <w:wBefore w:w="34" w:type="dxa"/>
          <w:trHeight w:val="740"/>
        </w:trPr>
        <w:tc>
          <w:tcPr>
            <w:tcW w:w="3045" w:type="dxa"/>
          </w:tcPr>
          <w:p w14:paraId="3B2F6045" w14:textId="77777777" w:rsidR="00906CB0" w:rsidRPr="002438DC" w:rsidRDefault="00906CB0" w:rsidP="007977B2">
            <w:pPr>
              <w:spacing w:after="200" w:line="240" w:lineRule="auto"/>
              <w:ind w:left="8"/>
            </w:pPr>
            <w:r w:rsidRPr="002438DC">
              <w:t>Type of Personal Data being Processed</w:t>
            </w:r>
          </w:p>
        </w:tc>
        <w:tc>
          <w:tcPr>
            <w:tcW w:w="7140" w:type="dxa"/>
            <w:gridSpan w:val="3"/>
          </w:tcPr>
          <w:p w14:paraId="238D14A7" w14:textId="77777777" w:rsidR="00906CB0" w:rsidRPr="002438DC" w:rsidRDefault="00906CB0" w:rsidP="007977B2">
            <w:pPr>
              <w:spacing w:after="0" w:line="240" w:lineRule="auto"/>
              <w:ind w:left="8"/>
            </w:pPr>
            <w:r w:rsidRPr="002438DC">
              <w:rPr>
                <w:i/>
              </w:rPr>
              <w:t>[Examples here include: name, address, date of birth, NI number, telephone number, pay, images, biometric data etc]</w:t>
            </w:r>
          </w:p>
        </w:tc>
      </w:tr>
      <w:tr w:rsidR="00906CB0" w14:paraId="04B9646E" w14:textId="77777777" w:rsidTr="007977B2">
        <w:trPr>
          <w:gridBefore w:val="1"/>
          <w:wBefore w:w="34" w:type="dxa"/>
          <w:trHeight w:val="1280"/>
        </w:trPr>
        <w:tc>
          <w:tcPr>
            <w:tcW w:w="3045" w:type="dxa"/>
          </w:tcPr>
          <w:p w14:paraId="13EAC991" w14:textId="77777777" w:rsidR="00906CB0" w:rsidRPr="002438DC" w:rsidRDefault="00906CB0" w:rsidP="007977B2">
            <w:pPr>
              <w:spacing w:after="200" w:line="240" w:lineRule="auto"/>
              <w:ind w:left="8"/>
            </w:pPr>
            <w:r w:rsidRPr="002438DC">
              <w:t>Categories of Data Subject</w:t>
            </w:r>
          </w:p>
        </w:tc>
        <w:tc>
          <w:tcPr>
            <w:tcW w:w="7140" w:type="dxa"/>
            <w:gridSpan w:val="3"/>
          </w:tcPr>
          <w:p w14:paraId="31437A59" w14:textId="77777777" w:rsidR="00906CB0" w:rsidRPr="002438DC" w:rsidRDefault="00906CB0" w:rsidP="007977B2">
            <w:pPr>
              <w:spacing w:after="0" w:line="240" w:lineRule="auto"/>
              <w:ind w:left="8"/>
            </w:pPr>
            <w:r w:rsidRPr="002438DC">
              <w:rPr>
                <w:i/>
              </w:rPr>
              <w:t>[Examples include: Staff (including volunteers, agents, and temporary workers), customers/ clients, suppliers, patients, students / pupils, members of the public, users of a particular</w:t>
            </w:r>
            <w:r w:rsidRPr="002438DC">
              <w:rPr>
                <w:i/>
              </w:rPr>
              <w:br/>
              <w:t>website etc]</w:t>
            </w:r>
          </w:p>
        </w:tc>
      </w:tr>
      <w:tr w:rsidR="00906CB0" w14:paraId="53394B34" w14:textId="77777777" w:rsidTr="007977B2">
        <w:trPr>
          <w:gridAfter w:val="1"/>
          <w:wAfter w:w="12" w:type="dxa"/>
          <w:trHeight w:val="1660"/>
        </w:trPr>
        <w:tc>
          <w:tcPr>
            <w:tcW w:w="3119" w:type="dxa"/>
            <w:gridSpan w:val="3"/>
          </w:tcPr>
          <w:p w14:paraId="574E76FF" w14:textId="77777777" w:rsidR="00906CB0" w:rsidRPr="002438DC" w:rsidRDefault="00906CB0" w:rsidP="007977B2">
            <w:pPr>
              <w:spacing w:after="200" w:line="240" w:lineRule="auto"/>
              <w:ind w:left="8"/>
            </w:pPr>
            <w:r w:rsidRPr="002438DC">
              <w:lastRenderedPageBreak/>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tcPr>
          <w:p w14:paraId="186AC5F7" w14:textId="77777777" w:rsidR="00906CB0" w:rsidRPr="002438DC" w:rsidRDefault="00906CB0" w:rsidP="007977B2">
            <w:pPr>
              <w:spacing w:after="0" w:line="240" w:lineRule="auto"/>
              <w:ind w:left="8"/>
            </w:pPr>
            <w:r w:rsidRPr="002438DC">
              <w:rPr>
                <w:i/>
              </w:rPr>
              <w:t>[Describe how long the data will be retained for, how it be returned or destroyed]</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1BBD653F" w:rsidR="00912EEB" w:rsidRPr="002438DC" w:rsidRDefault="00FC6A69" w:rsidP="002438DC">
      <w:pPr>
        <w:pStyle w:val="Heading1"/>
        <w:jc w:val="center"/>
        <w:rPr>
          <w:color w:val="auto"/>
          <w:u w:val="none"/>
        </w:rPr>
      </w:pPr>
      <w:bookmarkStart w:id="300" w:name="_Toc3894346"/>
      <w:bookmarkStart w:id="301" w:name="_Toc4715587"/>
      <w:r w:rsidRPr="002438DC">
        <w:rPr>
          <w:color w:val="auto"/>
          <w:u w:val="none"/>
        </w:rPr>
        <w:lastRenderedPageBreak/>
        <w:t>CONTRACT</w:t>
      </w:r>
      <w:bookmarkEnd w:id="300"/>
      <w:r w:rsidR="00033A3D">
        <w:rPr>
          <w:color w:val="auto"/>
          <w:u w:val="none"/>
        </w:rPr>
        <w:t xml:space="preserve"> </w:t>
      </w:r>
      <w:r w:rsidRPr="002438DC">
        <w:rPr>
          <w:color w:val="auto"/>
          <w:u w:val="none"/>
        </w:rPr>
        <w:t>SCHEDULE 8: JOINT CONTROLLER AGREEMENT</w:t>
      </w:r>
      <w:bookmarkEnd w:id="301"/>
      <w:r w:rsidR="00D714D6">
        <w:rPr>
          <w:color w:val="auto"/>
          <w:u w:val="none"/>
        </w:rPr>
        <w:t xml:space="preserve"> – NOT USED</w:t>
      </w:r>
    </w:p>
    <w:p w14:paraId="3845CF29" w14:textId="13C64800" w:rsidR="00912EEB" w:rsidRPr="002438DC" w:rsidRDefault="00FF02D6" w:rsidP="00912EEB">
      <w:pPr>
        <w:spacing w:after="200" w:line="240" w:lineRule="auto"/>
      </w:pPr>
      <w:r w:rsidRPr="002438DC">
        <w:t xml:space="preserve"> </w:t>
      </w:r>
      <w:r w:rsidR="00912EEB" w:rsidRPr="002438DC">
        <w:t xml:space="preserve">[In this Annex the Parties must outline each party’s responsibilities for: </w:t>
      </w:r>
    </w:p>
    <w:p w14:paraId="692918EE" w14:textId="47D81626" w:rsidR="00912EEB" w:rsidRPr="00741EA3" w:rsidRDefault="00912EEB" w:rsidP="0021005C">
      <w:pPr>
        <w:numPr>
          <w:ilvl w:val="0"/>
          <w:numId w:val="68"/>
        </w:numPr>
        <w:spacing w:after="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 GDPR. </w:t>
      </w:r>
    </w:p>
    <w:p w14:paraId="68AE55C6" w14:textId="47D69170" w:rsidR="00912EEB" w:rsidRPr="002438DC" w:rsidRDefault="00912EEB" w:rsidP="0021005C">
      <w:pPr>
        <w:numPr>
          <w:ilvl w:val="0"/>
          <w:numId w:val="68"/>
        </w:numPr>
        <w:spacing w:after="0" w:line="240" w:lineRule="auto"/>
        <w:contextualSpacing/>
        <w:jc w:val="left"/>
      </w:pPr>
      <w:r w:rsidRPr="002438DC">
        <w:t xml:space="preserve">responding to data subject requests under </w:t>
      </w:r>
      <w:hyperlink r:id="rId34">
        <w:r w:rsidRPr="002438DC">
          <w:rPr>
            <w:color w:val="1155CC"/>
            <w:u w:val="single"/>
          </w:rPr>
          <w:t>Articles 15-22</w:t>
        </w:r>
      </w:hyperlink>
      <w:r w:rsidRPr="002438DC">
        <w:t xml:space="preserve"> of the GDPR</w:t>
      </w:r>
    </w:p>
    <w:p w14:paraId="031D7BAE" w14:textId="77777777" w:rsidR="00912EEB" w:rsidRPr="00741EA3" w:rsidRDefault="00912EEB" w:rsidP="0021005C">
      <w:pPr>
        <w:numPr>
          <w:ilvl w:val="0"/>
          <w:numId w:val="68"/>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21005C">
      <w:pPr>
        <w:numPr>
          <w:ilvl w:val="0"/>
          <w:numId w:val="68"/>
        </w:numPr>
        <w:spacing w:after="0" w:line="240" w:lineRule="auto"/>
        <w:contextualSpacing/>
        <w:jc w:val="left"/>
      </w:pPr>
      <w:r w:rsidRPr="002438DC">
        <w:t xml:space="preserve">maintaining records of processing under </w:t>
      </w:r>
      <w:hyperlink r:id="rId35">
        <w:r w:rsidRPr="002438DC">
          <w:rPr>
            <w:color w:val="1155CC"/>
            <w:u w:val="single"/>
          </w:rPr>
          <w:t>Article 30</w:t>
        </w:r>
      </w:hyperlink>
      <w:r w:rsidRPr="002438DC">
        <w:t xml:space="preserve"> of the GDPR </w:t>
      </w:r>
    </w:p>
    <w:p w14:paraId="3182160C" w14:textId="77777777" w:rsidR="00912EEB" w:rsidRPr="002438DC" w:rsidRDefault="00912EEB" w:rsidP="0021005C">
      <w:pPr>
        <w:numPr>
          <w:ilvl w:val="0"/>
          <w:numId w:val="68"/>
        </w:numPr>
        <w:spacing w:after="0" w:line="240" w:lineRule="auto"/>
        <w:contextualSpacing/>
        <w:jc w:val="left"/>
      </w:pPr>
      <w:r w:rsidRPr="002438DC">
        <w:t>carrying out any required Data Protection Impact Assessment</w:t>
      </w:r>
    </w:p>
    <w:p w14:paraId="6694A505" w14:textId="77777777" w:rsidR="00912EEB" w:rsidRPr="00741EA3" w:rsidRDefault="00912EEB" w:rsidP="0021005C">
      <w:pPr>
        <w:numPr>
          <w:ilvl w:val="0"/>
          <w:numId w:val="68"/>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2438DC" w:rsidRDefault="00912EEB" w:rsidP="00912EEB">
      <w:pPr>
        <w:spacing w:after="200" w:line="240" w:lineRule="auto"/>
        <w:ind w:left="494"/>
      </w:pPr>
      <w:r w:rsidRPr="002438DC">
        <w:t>You may wish to incorporate some clauses equivalent to th</w:t>
      </w:r>
      <w:r w:rsidR="00692649" w:rsidRPr="002438DC">
        <w:t xml:space="preserve">ose specified in </w:t>
      </w:r>
      <w:r w:rsidR="00692649" w:rsidRPr="00FF02D6">
        <w:t>Clauses</w:t>
      </w:r>
      <w:r w:rsidRPr="00FF02D6">
        <w:t xml:space="preserve"> </w:t>
      </w:r>
      <w:r w:rsidR="00692649" w:rsidRPr="00FF02D6">
        <w:fldChar w:fldCharType="begin"/>
      </w:r>
      <w:r w:rsidR="00692649" w:rsidRPr="00FF02D6">
        <w:instrText xml:space="preserve"> REF _Ref534988365 \r \h </w:instrText>
      </w:r>
      <w:r w:rsidR="00423768" w:rsidRPr="00FF02D6">
        <w:instrText xml:space="preserve"> \* MERGEFORMAT </w:instrText>
      </w:r>
      <w:r w:rsidR="00692649" w:rsidRPr="00FF02D6">
        <w:fldChar w:fldCharType="separate"/>
      </w:r>
      <w:r w:rsidR="001F798B" w:rsidRPr="00FF02D6">
        <w:t>23.25</w:t>
      </w:r>
      <w:r w:rsidR="00692649" w:rsidRPr="00FF02D6">
        <w:fldChar w:fldCharType="end"/>
      </w:r>
      <w:r w:rsidR="00692649" w:rsidRPr="00FF02D6">
        <w:t xml:space="preserve"> - </w:t>
      </w:r>
      <w:r w:rsidR="00692649" w:rsidRPr="00FF02D6">
        <w:fldChar w:fldCharType="begin"/>
      </w:r>
      <w:r w:rsidR="00692649" w:rsidRPr="00FF02D6">
        <w:instrText xml:space="preserve"> REF _Ref534988399 \w \h </w:instrText>
      </w:r>
      <w:r w:rsidR="00423768" w:rsidRPr="00FF02D6">
        <w:instrText xml:space="preserve"> \* MERGEFORMAT </w:instrText>
      </w:r>
      <w:r w:rsidR="00692649" w:rsidRPr="00FF02D6">
        <w:fldChar w:fldCharType="separate"/>
      </w:r>
      <w:r w:rsidR="001F798B" w:rsidRPr="00FF02D6">
        <w:t>23.39</w:t>
      </w:r>
      <w:r w:rsidR="00692649" w:rsidRPr="00FF02D6">
        <w:fldChar w:fldCharType="end"/>
      </w:r>
    </w:p>
    <w:p w14:paraId="55ACBAD3" w14:textId="77777777" w:rsidR="00912EEB" w:rsidRPr="002438DC" w:rsidRDefault="00912EEB" w:rsidP="007977B2">
      <w:pPr>
        <w:spacing w:after="200" w:line="240" w:lineRule="auto"/>
        <w:ind w:left="502"/>
      </w:pPr>
      <w:r w:rsidRPr="002438DC">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2438DC">
        <w:t xml:space="preserve">Where there is a Joint Control relationship, but no controller to processor relationship under the contract, this completed </w:t>
      </w:r>
      <w:r w:rsidR="00FC6A69">
        <w:t xml:space="preserve">Contract </w:t>
      </w:r>
      <w:r w:rsidRPr="002438DC">
        <w:t xml:space="preserve">Schedule </w:t>
      </w:r>
      <w:r w:rsidR="00FC6A69">
        <w:t>8</w:t>
      </w:r>
      <w:r w:rsidRPr="002438DC">
        <w:t xml:space="preserve"> should be</w:t>
      </w:r>
      <w:r w:rsidR="00692649" w:rsidRPr="002438DC">
        <w:t xml:space="preserve"> used instead of </w:t>
      </w:r>
      <w:r w:rsidR="00692649" w:rsidRPr="00FF02D6">
        <w:t xml:space="preserve">Clause </w:t>
      </w:r>
      <w:r w:rsidR="00692649" w:rsidRPr="00FF02D6">
        <w:fldChar w:fldCharType="begin"/>
      </w:r>
      <w:r w:rsidR="00692649" w:rsidRPr="00FF02D6">
        <w:instrText xml:space="preserve"> REF _Ref534988365 \r \h </w:instrText>
      </w:r>
      <w:r w:rsidR="00423768" w:rsidRPr="00FF02D6">
        <w:instrText xml:space="preserve"> \* MERGEFORMAT </w:instrText>
      </w:r>
      <w:r w:rsidR="00692649" w:rsidRPr="00FF02D6">
        <w:fldChar w:fldCharType="separate"/>
      </w:r>
      <w:r w:rsidR="001F798B" w:rsidRPr="00FF02D6">
        <w:t>23.25</w:t>
      </w:r>
      <w:r w:rsidR="00692649" w:rsidRPr="00FF02D6">
        <w:fldChar w:fldCharType="end"/>
      </w:r>
      <w:r w:rsidR="00692649" w:rsidRPr="00FF02D6">
        <w:t xml:space="preserve"> - </w:t>
      </w:r>
      <w:r w:rsidR="00692649" w:rsidRPr="00FF02D6">
        <w:fldChar w:fldCharType="begin"/>
      </w:r>
      <w:r w:rsidR="00692649" w:rsidRPr="00FF02D6">
        <w:instrText xml:space="preserve"> REF _Ref534988399 \w \h </w:instrText>
      </w:r>
      <w:r w:rsidR="00423768" w:rsidRPr="00FF02D6">
        <w:instrText xml:space="preserve"> \* MERGEFORMAT </w:instrText>
      </w:r>
      <w:r w:rsidR="00692649" w:rsidRPr="00FF02D6">
        <w:fldChar w:fldCharType="separate"/>
      </w:r>
      <w:r w:rsidR="001F798B" w:rsidRPr="00FF02D6">
        <w:t>23.39</w:t>
      </w:r>
      <w:r w:rsidR="00692649" w:rsidRPr="00FF02D6">
        <w:fldChar w:fldCharType="end"/>
      </w:r>
      <w:r w:rsidRPr="00FF02D6">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5EE370F6"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lastRenderedPageBreak/>
        <w:t>CONTRACT SCHEDULE 9</w:t>
      </w:r>
      <w:r w:rsidR="00A40215" w:rsidRPr="002438DC">
        <w:rPr>
          <w:color w:val="auto"/>
          <w:sz w:val="24"/>
          <w:szCs w:val="24"/>
          <w:u w:val="none"/>
        </w:rPr>
        <w:t>: TRANSPARENCY REPORTS</w:t>
      </w:r>
      <w:bookmarkEnd w:id="302"/>
      <w:r w:rsidR="00E22EB9">
        <w:rPr>
          <w:color w:val="auto"/>
          <w:sz w:val="24"/>
          <w:szCs w:val="24"/>
          <w:u w:val="none"/>
        </w:rPr>
        <w:t xml:space="preserve"> – NOT APPLICABLE</w:t>
      </w:r>
    </w:p>
    <w:p w14:paraId="318C0366" w14:textId="03395EDD" w:rsidR="00E82DAA" w:rsidRDefault="00E82DAA" w:rsidP="007977B2">
      <w:pPr>
        <w:ind w:left="510"/>
        <w:rPr>
          <w:sz w:val="24"/>
          <w:szCs w:val="24"/>
        </w:rPr>
      </w:pPr>
    </w:p>
    <w:p w14:paraId="68ED7209" w14:textId="77777777" w:rsidR="00E82DAA" w:rsidRDefault="00E82DAA" w:rsidP="007977B2">
      <w:pPr>
        <w:ind w:left="510"/>
      </w:pPr>
      <w:r>
        <w:t xml:space="preserve">List of Transparency Reports </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2438DC" w:rsidRDefault="00DD000E">
            <w:pPr>
              <w:ind w:left="0" w:firstLine="0"/>
            </w:pPr>
            <w:r w:rsidRPr="002438DC">
              <w:t>[</w:t>
            </w:r>
            <w:r w:rsidRPr="00E22EB9">
              <w:t>Performance</w:t>
            </w:r>
            <w:r w:rsidRPr="002438DC">
              <w:t>]</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2438DC" w:rsidRDefault="00DD000E">
            <w:pPr>
              <w:ind w:left="0" w:firstLine="0"/>
            </w:pPr>
            <w:r w:rsidRPr="002438DC">
              <w:t>[</w:t>
            </w:r>
            <w:r w:rsidRPr="00E22EB9">
              <w:t>Call off Contract Charges</w:t>
            </w:r>
            <w:r w:rsidRPr="002438DC">
              <w:t>]</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2438DC" w:rsidRDefault="00DD000E" w:rsidP="00E22EB9">
            <w:pPr>
              <w:ind w:left="0" w:firstLine="0"/>
            </w:pPr>
            <w:r w:rsidRPr="002438DC">
              <w:t>[</w:t>
            </w:r>
            <w:r w:rsidRPr="00E22EB9">
              <w:t>Key Sub</w:t>
            </w:r>
            <w:r w:rsidR="008F10B0" w:rsidRPr="00E22EB9">
              <w:t>-</w:t>
            </w:r>
            <w:r w:rsidRPr="00E22EB9">
              <w:t>contractors</w:t>
            </w:r>
            <w:r w:rsidRPr="002438DC">
              <w:t>]</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2438DC" w:rsidRDefault="00DD000E">
            <w:pPr>
              <w:ind w:left="0" w:firstLine="0"/>
            </w:pPr>
            <w:r w:rsidRPr="002438DC">
              <w:t>[</w:t>
            </w:r>
            <w:r w:rsidRPr="00E22EB9">
              <w:t>Technical</w:t>
            </w:r>
            <w:r w:rsidRPr="002438DC">
              <w:t>]</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E22EB9">
              <w:t>Performance management</w:t>
            </w:r>
            <w:r w:rsidRPr="002438DC">
              <w: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0DB5C33" w:rsidR="00800221" w:rsidRDefault="00800221"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lastRenderedPageBreak/>
        <w:t>CONTRACT SCHEDULE 10: EXIT MANAGEMENT</w:t>
      </w:r>
      <w:bookmarkEnd w:id="303"/>
      <w:r>
        <w:rPr>
          <w:color w:val="000000"/>
          <w:u w:val="none" w:color="000000"/>
        </w:rPr>
        <w:t xml:space="preserve"> </w:t>
      </w:r>
      <w:bookmarkEnd w:id="304"/>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lastRenderedPageBreak/>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lastRenderedPageBreak/>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lastRenderedPageBreak/>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lastRenderedPageBreak/>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In Clause 36.2.1(b)(</w:t>
      </w:r>
      <w:proofErr w:type="spellStart"/>
      <w:r>
        <w:t>i</w:t>
      </w:r>
      <w:proofErr w:type="spellEnd"/>
      <w:r>
        <w:t xml:space="preserve">) remove the monetary amount and the percentage stated therein and replace respectively with: </w:t>
      </w:r>
    </w:p>
    <w:p w14:paraId="07C4D306"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24E042F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4A765AB2" w14:textId="77777777" w:rsidR="00DC2924" w:rsidRDefault="00DC2924" w:rsidP="00DC2924">
      <w:pPr>
        <w:spacing w:after="213"/>
        <w:ind w:left="1128" w:right="186"/>
      </w:pPr>
      <w:r>
        <w:t xml:space="preserve">In Clause 36.2.1(b)(ii) remove the monetary amount and the percentage stated therein and replace respectively with: </w:t>
      </w:r>
    </w:p>
    <w:p w14:paraId="39822B6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1C7752B" w14:textId="77777777" w:rsidR="00DC2924" w:rsidRDefault="00DC2924" w:rsidP="00DC2924">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BE6C44A" w14:textId="77777777" w:rsidR="00DC2924" w:rsidRDefault="00DC2924" w:rsidP="00DC2924">
      <w:pPr>
        <w:spacing w:after="210"/>
        <w:ind w:left="1128" w:right="186"/>
      </w:pPr>
      <w:r>
        <w:t xml:space="preserve">In Clause 36.2.1(b)(iii) remove the monetary amount and the percentage stated therein and replace respectively with: </w:t>
      </w:r>
    </w:p>
    <w:p w14:paraId="0F054AA4" w14:textId="77777777" w:rsidR="00DC2924" w:rsidRDefault="00DC2924" w:rsidP="00DC2924">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90D1D84" w14:textId="77777777" w:rsidR="00DC2924" w:rsidRDefault="00DC2924" w:rsidP="00DC2924">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7777777" w:rsidR="00DC2924" w:rsidRDefault="00DC2924" w:rsidP="00DC2924">
      <w:pPr>
        <w:numPr>
          <w:ilvl w:val="0"/>
          <w:numId w:val="97"/>
        </w:numPr>
        <w:spacing w:after="235" w:line="249" w:lineRule="auto"/>
        <w:ind w:right="184" w:hanging="360"/>
      </w:pPr>
      <w:r>
        <w:rPr>
          <w:b/>
        </w:rPr>
        <w:t xml:space="preserve">NHS ADDITIONAL CLAUSES </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2B7C64A8" w14:textId="77777777" w:rsidR="00DC2924" w:rsidRDefault="00DC2924" w:rsidP="00DC2924">
      <w:pPr>
        <w:pStyle w:val="Heading3"/>
        <w:ind w:left="1469"/>
      </w:pPr>
      <w:r>
        <w:t xml:space="preserve">59. </w:t>
      </w:r>
      <w:r>
        <w:rPr>
          <w:b w:val="0"/>
        </w:rPr>
        <w:t xml:space="preserve"> </w:t>
      </w:r>
      <w:r>
        <w:t>[CODING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77777777" w:rsidR="00DC2924" w:rsidRDefault="00DC2924" w:rsidP="00DC2924">
      <w:pPr>
        <w:spacing w:after="218" w:line="259" w:lineRule="auto"/>
        <w:ind w:left="0" w:right="3357" w:firstLine="0"/>
        <w:jc w:val="right"/>
      </w:pPr>
      <w:r>
        <w:rPr>
          <w:b/>
          <w:i/>
          <w:shd w:val="clear" w:color="auto" w:fill="FFFF00"/>
        </w:rPr>
        <w:t>[insert text of applicable DEFCONs and DEFFORMs]</w:t>
      </w: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07996B64"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r w:rsidR="002E485E">
        <w:rPr>
          <w:color w:val="000000"/>
          <w:u w:val="none" w:color="000000"/>
        </w:rPr>
        <w:t xml:space="preserve">  NOT APPLICABLE</w:t>
      </w:r>
    </w:p>
    <w:p w14:paraId="49957E9C" w14:textId="77777777" w:rsidR="00702281" w:rsidRPr="00DC2924" w:rsidRDefault="00702281" w:rsidP="00741EA3">
      <w:pPr>
        <w:ind w:left="510"/>
      </w:pPr>
    </w:p>
    <w:sectPr w:rsidR="00702281" w:rsidRPr="00DC292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6560" w14:textId="77777777" w:rsidR="00DD5D0E" w:rsidRDefault="00DD5D0E">
      <w:pPr>
        <w:spacing w:after="0" w:line="240" w:lineRule="auto"/>
      </w:pPr>
      <w:r>
        <w:separator/>
      </w:r>
    </w:p>
  </w:endnote>
  <w:endnote w:type="continuationSeparator" w:id="0">
    <w:p w14:paraId="320CB9AB" w14:textId="77777777" w:rsidR="00DD5D0E" w:rsidRDefault="00DD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77777777" w:rsidR="00575193" w:rsidRDefault="0057519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1C9A7813" w:rsidR="00575193" w:rsidRDefault="00575193">
    <w:pPr>
      <w:spacing w:after="0" w:line="259" w:lineRule="auto"/>
      <w:ind w:left="1301" w:firstLine="0"/>
      <w:jc w:val="center"/>
    </w:pPr>
    <w:r>
      <w:fldChar w:fldCharType="begin"/>
    </w:r>
    <w:r>
      <w:instrText xml:space="preserve"> PAGE   \* MERGEFORMAT </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77777777" w:rsidR="00575193" w:rsidRDefault="0057519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B3A5" w14:textId="77777777" w:rsidR="00DD5D0E" w:rsidRDefault="00DD5D0E">
      <w:pPr>
        <w:spacing w:after="0" w:line="240" w:lineRule="auto"/>
      </w:pPr>
      <w:r>
        <w:separator/>
      </w:r>
    </w:p>
  </w:footnote>
  <w:footnote w:type="continuationSeparator" w:id="0">
    <w:p w14:paraId="0667F865" w14:textId="77777777" w:rsidR="00DD5D0E" w:rsidRDefault="00DD5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568B9F6F" w:rsidR="00575193" w:rsidRDefault="0057519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75193" w:rsidRDefault="0057519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45705724" w:rsidR="00575193" w:rsidRDefault="0057519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75193" w:rsidRDefault="005751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7A743113" w:rsidR="00575193" w:rsidRDefault="0057519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75193" w:rsidRDefault="0057519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5"/>
  </w:num>
  <w:num w:numId="2">
    <w:abstractNumId w:val="29"/>
  </w:num>
  <w:num w:numId="3">
    <w:abstractNumId w:val="8"/>
  </w:num>
  <w:num w:numId="4">
    <w:abstractNumId w:val="90"/>
  </w:num>
  <w:num w:numId="5">
    <w:abstractNumId w:val="43"/>
  </w:num>
  <w:num w:numId="6">
    <w:abstractNumId w:val="17"/>
  </w:num>
  <w:num w:numId="7">
    <w:abstractNumId w:val="51"/>
  </w:num>
  <w:num w:numId="8">
    <w:abstractNumId w:val="30"/>
  </w:num>
  <w:num w:numId="9">
    <w:abstractNumId w:val="88"/>
  </w:num>
  <w:num w:numId="10">
    <w:abstractNumId w:val="87"/>
  </w:num>
  <w:num w:numId="11">
    <w:abstractNumId w:val="58"/>
  </w:num>
  <w:num w:numId="12">
    <w:abstractNumId w:val="28"/>
  </w:num>
  <w:num w:numId="13">
    <w:abstractNumId w:val="14"/>
  </w:num>
  <w:num w:numId="14">
    <w:abstractNumId w:val="73"/>
  </w:num>
  <w:num w:numId="15">
    <w:abstractNumId w:val="38"/>
  </w:num>
  <w:num w:numId="16">
    <w:abstractNumId w:val="91"/>
  </w:num>
  <w:num w:numId="17">
    <w:abstractNumId w:val="56"/>
  </w:num>
  <w:num w:numId="18">
    <w:abstractNumId w:val="21"/>
  </w:num>
  <w:num w:numId="19">
    <w:abstractNumId w:val="62"/>
  </w:num>
  <w:num w:numId="20">
    <w:abstractNumId w:val="83"/>
  </w:num>
  <w:num w:numId="21">
    <w:abstractNumId w:val="49"/>
  </w:num>
  <w:num w:numId="22">
    <w:abstractNumId w:val="12"/>
  </w:num>
  <w:num w:numId="23">
    <w:abstractNumId w:val="40"/>
  </w:num>
  <w:num w:numId="24">
    <w:abstractNumId w:val="65"/>
  </w:num>
  <w:num w:numId="25">
    <w:abstractNumId w:val="69"/>
  </w:num>
  <w:num w:numId="26">
    <w:abstractNumId w:val="16"/>
  </w:num>
  <w:num w:numId="27">
    <w:abstractNumId w:val="71"/>
  </w:num>
  <w:num w:numId="28">
    <w:abstractNumId w:val="5"/>
  </w:num>
  <w:num w:numId="29">
    <w:abstractNumId w:val="94"/>
  </w:num>
  <w:num w:numId="30">
    <w:abstractNumId w:val="6"/>
  </w:num>
  <w:num w:numId="31">
    <w:abstractNumId w:val="66"/>
  </w:num>
  <w:num w:numId="32">
    <w:abstractNumId w:val="50"/>
  </w:num>
  <w:num w:numId="33">
    <w:abstractNumId w:val="10"/>
  </w:num>
  <w:num w:numId="34">
    <w:abstractNumId w:val="92"/>
  </w:num>
  <w:num w:numId="35">
    <w:abstractNumId w:val="45"/>
  </w:num>
  <w:num w:numId="36">
    <w:abstractNumId w:val="41"/>
  </w:num>
  <w:num w:numId="37">
    <w:abstractNumId w:val="86"/>
  </w:num>
  <w:num w:numId="38">
    <w:abstractNumId w:val="33"/>
  </w:num>
  <w:num w:numId="39">
    <w:abstractNumId w:val="54"/>
  </w:num>
  <w:num w:numId="40">
    <w:abstractNumId w:val="24"/>
  </w:num>
  <w:num w:numId="41">
    <w:abstractNumId w:val="27"/>
  </w:num>
  <w:num w:numId="42">
    <w:abstractNumId w:val="93"/>
  </w:num>
  <w:num w:numId="43">
    <w:abstractNumId w:val="35"/>
  </w:num>
  <w:num w:numId="44">
    <w:abstractNumId w:val="55"/>
  </w:num>
  <w:num w:numId="45">
    <w:abstractNumId w:val="61"/>
  </w:num>
  <w:num w:numId="46">
    <w:abstractNumId w:val="46"/>
  </w:num>
  <w:num w:numId="47">
    <w:abstractNumId w:val="68"/>
  </w:num>
  <w:num w:numId="48">
    <w:abstractNumId w:val="15"/>
  </w:num>
  <w:num w:numId="49">
    <w:abstractNumId w:val="76"/>
  </w:num>
  <w:num w:numId="50">
    <w:abstractNumId w:val="25"/>
  </w:num>
  <w:num w:numId="51">
    <w:abstractNumId w:val="75"/>
  </w:num>
  <w:num w:numId="52">
    <w:abstractNumId w:val="63"/>
  </w:num>
  <w:num w:numId="53">
    <w:abstractNumId w:val="79"/>
  </w:num>
  <w:num w:numId="54">
    <w:abstractNumId w:val="70"/>
  </w:num>
  <w:num w:numId="55">
    <w:abstractNumId w:val="44"/>
  </w:num>
  <w:num w:numId="56">
    <w:abstractNumId w:val="60"/>
  </w:num>
  <w:num w:numId="57">
    <w:abstractNumId w:val="32"/>
  </w:num>
  <w:num w:numId="58">
    <w:abstractNumId w:val="78"/>
  </w:num>
  <w:num w:numId="59">
    <w:abstractNumId w:val="64"/>
  </w:num>
  <w:num w:numId="60">
    <w:abstractNumId w:val="26"/>
  </w:num>
  <w:num w:numId="61">
    <w:abstractNumId w:val="1"/>
  </w:num>
  <w:num w:numId="62">
    <w:abstractNumId w:val="2"/>
  </w:num>
  <w:num w:numId="63">
    <w:abstractNumId w:val="42"/>
  </w:num>
  <w:num w:numId="64">
    <w:abstractNumId w:val="0"/>
  </w:num>
  <w:num w:numId="65">
    <w:abstractNumId w:val="18"/>
  </w:num>
  <w:num w:numId="66">
    <w:abstractNumId w:val="20"/>
  </w:num>
  <w:num w:numId="67">
    <w:abstractNumId w:val="3"/>
  </w:num>
  <w:num w:numId="68">
    <w:abstractNumId w:val="84"/>
  </w:num>
  <w:num w:numId="69">
    <w:abstractNumId w:val="39"/>
  </w:num>
  <w:num w:numId="70">
    <w:abstractNumId w:val="57"/>
  </w:num>
  <w:num w:numId="71">
    <w:abstractNumId w:val="4"/>
  </w:num>
  <w:num w:numId="72">
    <w:abstractNumId w:val="74"/>
  </w:num>
  <w:num w:numId="73">
    <w:abstractNumId w:val="13"/>
  </w:num>
  <w:num w:numId="74">
    <w:abstractNumId w:val="7"/>
  </w:num>
  <w:num w:numId="75">
    <w:abstractNumId w:val="9"/>
  </w:num>
  <w:num w:numId="76">
    <w:abstractNumId w:val="52"/>
  </w:num>
  <w:num w:numId="77">
    <w:abstractNumId w:val="81"/>
  </w:num>
  <w:num w:numId="78">
    <w:abstractNumId w:val="59"/>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7"/>
    <w:lvlOverride w:ilvl="0">
      <w:startOverride w:val="1"/>
    </w:lvlOverride>
    <w:lvlOverride w:ilvl="1">
      <w:startOverride w:val="5"/>
    </w:lvlOverride>
  </w:num>
  <w:num w:numId="82">
    <w:abstractNumId w:val="7"/>
    <w:lvlOverride w:ilvl="0">
      <w:startOverride w:val="1"/>
    </w:lvlOverride>
    <w:lvlOverride w:ilvl="1">
      <w:startOverride w:val="5"/>
    </w:lvlOverride>
  </w:num>
  <w:num w:numId="83">
    <w:abstractNumId w:val="5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num>
  <w:num w:numId="90">
    <w:abstractNumId w:val="77"/>
  </w:num>
  <w:num w:numId="91">
    <w:abstractNumId w:val="36"/>
  </w:num>
  <w:num w:numId="92">
    <w:abstractNumId w:val="80"/>
  </w:num>
  <w:num w:numId="93">
    <w:abstractNumId w:val="22"/>
  </w:num>
  <w:num w:numId="94">
    <w:abstractNumId w:val="19"/>
  </w:num>
  <w:num w:numId="95">
    <w:abstractNumId w:val="89"/>
  </w:num>
  <w:num w:numId="96">
    <w:abstractNumId w:val="23"/>
  </w:num>
  <w:num w:numId="97">
    <w:abstractNumId w:val="11"/>
  </w:num>
  <w:num w:numId="9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05AA1"/>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D4C"/>
    <w:rsid w:val="00065FCB"/>
    <w:rsid w:val="00075FED"/>
    <w:rsid w:val="000778E4"/>
    <w:rsid w:val="00081980"/>
    <w:rsid w:val="000855D1"/>
    <w:rsid w:val="00092291"/>
    <w:rsid w:val="00094152"/>
    <w:rsid w:val="00095A0D"/>
    <w:rsid w:val="0009675A"/>
    <w:rsid w:val="000A4E19"/>
    <w:rsid w:val="000B25FB"/>
    <w:rsid w:val="000B2A9F"/>
    <w:rsid w:val="000C2B0C"/>
    <w:rsid w:val="000D0528"/>
    <w:rsid w:val="000E66DE"/>
    <w:rsid w:val="000E7104"/>
    <w:rsid w:val="000F5DB2"/>
    <w:rsid w:val="00104531"/>
    <w:rsid w:val="001149DC"/>
    <w:rsid w:val="00115FDE"/>
    <w:rsid w:val="00116CAD"/>
    <w:rsid w:val="0012714F"/>
    <w:rsid w:val="001275EE"/>
    <w:rsid w:val="00127F75"/>
    <w:rsid w:val="00130E73"/>
    <w:rsid w:val="00134277"/>
    <w:rsid w:val="00134364"/>
    <w:rsid w:val="001357A0"/>
    <w:rsid w:val="00136359"/>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3897"/>
    <w:rsid w:val="0023595D"/>
    <w:rsid w:val="0024059B"/>
    <w:rsid w:val="002438DC"/>
    <w:rsid w:val="002503F3"/>
    <w:rsid w:val="00263D38"/>
    <w:rsid w:val="00275A5E"/>
    <w:rsid w:val="00282F22"/>
    <w:rsid w:val="00286664"/>
    <w:rsid w:val="002927F1"/>
    <w:rsid w:val="002A3714"/>
    <w:rsid w:val="002A4124"/>
    <w:rsid w:val="002A499C"/>
    <w:rsid w:val="002B5CAA"/>
    <w:rsid w:val="002C0A6A"/>
    <w:rsid w:val="002C1063"/>
    <w:rsid w:val="002C720F"/>
    <w:rsid w:val="002D011B"/>
    <w:rsid w:val="002D7B4F"/>
    <w:rsid w:val="002E485E"/>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513"/>
    <w:rsid w:val="00383BF3"/>
    <w:rsid w:val="00385E9F"/>
    <w:rsid w:val="00395CEE"/>
    <w:rsid w:val="00397745"/>
    <w:rsid w:val="003A4003"/>
    <w:rsid w:val="003A77A3"/>
    <w:rsid w:val="003B2669"/>
    <w:rsid w:val="003B492F"/>
    <w:rsid w:val="003C1B9E"/>
    <w:rsid w:val="003C34C0"/>
    <w:rsid w:val="003C6CED"/>
    <w:rsid w:val="003C6E54"/>
    <w:rsid w:val="003D2B84"/>
    <w:rsid w:val="003D54C5"/>
    <w:rsid w:val="003E2053"/>
    <w:rsid w:val="003E75DE"/>
    <w:rsid w:val="003E7F72"/>
    <w:rsid w:val="003F17BE"/>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65F18"/>
    <w:rsid w:val="0047169F"/>
    <w:rsid w:val="0047171B"/>
    <w:rsid w:val="004868C7"/>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193"/>
    <w:rsid w:val="00575ECA"/>
    <w:rsid w:val="00581060"/>
    <w:rsid w:val="00590E09"/>
    <w:rsid w:val="005956EE"/>
    <w:rsid w:val="005969C7"/>
    <w:rsid w:val="005A2CC6"/>
    <w:rsid w:val="005B3903"/>
    <w:rsid w:val="005C13B5"/>
    <w:rsid w:val="005C438B"/>
    <w:rsid w:val="005C6F61"/>
    <w:rsid w:val="005D5E66"/>
    <w:rsid w:val="005E6AEA"/>
    <w:rsid w:val="005E77E1"/>
    <w:rsid w:val="00601506"/>
    <w:rsid w:val="00604D28"/>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2D04"/>
    <w:rsid w:val="006734BC"/>
    <w:rsid w:val="0068441B"/>
    <w:rsid w:val="00692649"/>
    <w:rsid w:val="00696DD9"/>
    <w:rsid w:val="006A15F5"/>
    <w:rsid w:val="006D0589"/>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4709F"/>
    <w:rsid w:val="00751B04"/>
    <w:rsid w:val="007526DA"/>
    <w:rsid w:val="007538E8"/>
    <w:rsid w:val="00761443"/>
    <w:rsid w:val="00774521"/>
    <w:rsid w:val="00774FFC"/>
    <w:rsid w:val="00777399"/>
    <w:rsid w:val="00786AA8"/>
    <w:rsid w:val="00795C05"/>
    <w:rsid w:val="007977B2"/>
    <w:rsid w:val="007A2628"/>
    <w:rsid w:val="007A2B7D"/>
    <w:rsid w:val="007A2D8E"/>
    <w:rsid w:val="007A7631"/>
    <w:rsid w:val="007A7E3E"/>
    <w:rsid w:val="007B3917"/>
    <w:rsid w:val="007C33A8"/>
    <w:rsid w:val="007D4C61"/>
    <w:rsid w:val="007D6413"/>
    <w:rsid w:val="007D66F2"/>
    <w:rsid w:val="007E1776"/>
    <w:rsid w:val="007E17DE"/>
    <w:rsid w:val="007E570F"/>
    <w:rsid w:val="007E75F0"/>
    <w:rsid w:val="007F14D5"/>
    <w:rsid w:val="007F2043"/>
    <w:rsid w:val="007F4B21"/>
    <w:rsid w:val="007F5F50"/>
    <w:rsid w:val="007F7CB2"/>
    <w:rsid w:val="00800221"/>
    <w:rsid w:val="00800EB8"/>
    <w:rsid w:val="00801B21"/>
    <w:rsid w:val="008073A7"/>
    <w:rsid w:val="008265B2"/>
    <w:rsid w:val="00835217"/>
    <w:rsid w:val="00835F7C"/>
    <w:rsid w:val="00845378"/>
    <w:rsid w:val="00855053"/>
    <w:rsid w:val="0085532A"/>
    <w:rsid w:val="008619D8"/>
    <w:rsid w:val="0086300E"/>
    <w:rsid w:val="00864FA6"/>
    <w:rsid w:val="00872856"/>
    <w:rsid w:val="00886E36"/>
    <w:rsid w:val="008876D2"/>
    <w:rsid w:val="008A01D9"/>
    <w:rsid w:val="008A0F16"/>
    <w:rsid w:val="008A5EE9"/>
    <w:rsid w:val="008A6DFC"/>
    <w:rsid w:val="008B13B7"/>
    <w:rsid w:val="008B3247"/>
    <w:rsid w:val="008B4A64"/>
    <w:rsid w:val="008B56F3"/>
    <w:rsid w:val="008B7EF8"/>
    <w:rsid w:val="008E2770"/>
    <w:rsid w:val="008E27F6"/>
    <w:rsid w:val="008E32D7"/>
    <w:rsid w:val="008E5DA1"/>
    <w:rsid w:val="008E6413"/>
    <w:rsid w:val="008F10B0"/>
    <w:rsid w:val="00906CB0"/>
    <w:rsid w:val="00907121"/>
    <w:rsid w:val="009111C2"/>
    <w:rsid w:val="00912006"/>
    <w:rsid w:val="00912EEB"/>
    <w:rsid w:val="00914F82"/>
    <w:rsid w:val="00915D7A"/>
    <w:rsid w:val="009271F6"/>
    <w:rsid w:val="0093087E"/>
    <w:rsid w:val="00931275"/>
    <w:rsid w:val="009336FE"/>
    <w:rsid w:val="00933D05"/>
    <w:rsid w:val="0093495B"/>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27FF5"/>
    <w:rsid w:val="00A309AA"/>
    <w:rsid w:val="00A37D62"/>
    <w:rsid w:val="00A40095"/>
    <w:rsid w:val="00A40215"/>
    <w:rsid w:val="00A41DA0"/>
    <w:rsid w:val="00A45BB8"/>
    <w:rsid w:val="00A462D7"/>
    <w:rsid w:val="00A51FE7"/>
    <w:rsid w:val="00A5452D"/>
    <w:rsid w:val="00A54876"/>
    <w:rsid w:val="00A575FC"/>
    <w:rsid w:val="00A57D07"/>
    <w:rsid w:val="00A6045F"/>
    <w:rsid w:val="00A60F8E"/>
    <w:rsid w:val="00A620A9"/>
    <w:rsid w:val="00A644B7"/>
    <w:rsid w:val="00A70C7A"/>
    <w:rsid w:val="00A7142D"/>
    <w:rsid w:val="00A72664"/>
    <w:rsid w:val="00A745FD"/>
    <w:rsid w:val="00A75147"/>
    <w:rsid w:val="00A80A8B"/>
    <w:rsid w:val="00A878E9"/>
    <w:rsid w:val="00A95526"/>
    <w:rsid w:val="00A97546"/>
    <w:rsid w:val="00AB4F21"/>
    <w:rsid w:val="00AC4446"/>
    <w:rsid w:val="00AC4D30"/>
    <w:rsid w:val="00AC756F"/>
    <w:rsid w:val="00AD2CB2"/>
    <w:rsid w:val="00AD2F3C"/>
    <w:rsid w:val="00AD4B53"/>
    <w:rsid w:val="00AD5F9E"/>
    <w:rsid w:val="00AD747B"/>
    <w:rsid w:val="00AE12F2"/>
    <w:rsid w:val="00AE25D5"/>
    <w:rsid w:val="00AF0926"/>
    <w:rsid w:val="00AF0FD1"/>
    <w:rsid w:val="00AF534C"/>
    <w:rsid w:val="00B04DB1"/>
    <w:rsid w:val="00B0618B"/>
    <w:rsid w:val="00B1584C"/>
    <w:rsid w:val="00B202BD"/>
    <w:rsid w:val="00B24679"/>
    <w:rsid w:val="00B27E06"/>
    <w:rsid w:val="00B3443C"/>
    <w:rsid w:val="00B3666A"/>
    <w:rsid w:val="00B36949"/>
    <w:rsid w:val="00B36CB0"/>
    <w:rsid w:val="00B417BF"/>
    <w:rsid w:val="00B45026"/>
    <w:rsid w:val="00B50FBF"/>
    <w:rsid w:val="00B51656"/>
    <w:rsid w:val="00B53B16"/>
    <w:rsid w:val="00B55398"/>
    <w:rsid w:val="00B567A3"/>
    <w:rsid w:val="00B568D2"/>
    <w:rsid w:val="00B56D86"/>
    <w:rsid w:val="00B57920"/>
    <w:rsid w:val="00B6095C"/>
    <w:rsid w:val="00B748E2"/>
    <w:rsid w:val="00B77998"/>
    <w:rsid w:val="00B82D9F"/>
    <w:rsid w:val="00B92D9D"/>
    <w:rsid w:val="00B9639F"/>
    <w:rsid w:val="00BA193F"/>
    <w:rsid w:val="00BA527A"/>
    <w:rsid w:val="00BB282F"/>
    <w:rsid w:val="00BB2F73"/>
    <w:rsid w:val="00BB5D13"/>
    <w:rsid w:val="00BC2843"/>
    <w:rsid w:val="00BD3B79"/>
    <w:rsid w:val="00BD6A20"/>
    <w:rsid w:val="00BE05B9"/>
    <w:rsid w:val="00BE143D"/>
    <w:rsid w:val="00BE309E"/>
    <w:rsid w:val="00BE7177"/>
    <w:rsid w:val="00C0150D"/>
    <w:rsid w:val="00C02CAA"/>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0FDB"/>
    <w:rsid w:val="00CA6DE2"/>
    <w:rsid w:val="00CA7CE2"/>
    <w:rsid w:val="00CC0D0F"/>
    <w:rsid w:val="00CC4EFD"/>
    <w:rsid w:val="00CC5A1F"/>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0CBF"/>
    <w:rsid w:val="00D53FE6"/>
    <w:rsid w:val="00D55628"/>
    <w:rsid w:val="00D6798F"/>
    <w:rsid w:val="00D714D6"/>
    <w:rsid w:val="00D75CA5"/>
    <w:rsid w:val="00D7786F"/>
    <w:rsid w:val="00D92B8A"/>
    <w:rsid w:val="00DA418E"/>
    <w:rsid w:val="00DB2AC9"/>
    <w:rsid w:val="00DC2924"/>
    <w:rsid w:val="00DC33CE"/>
    <w:rsid w:val="00DC41FC"/>
    <w:rsid w:val="00DD000E"/>
    <w:rsid w:val="00DD0F63"/>
    <w:rsid w:val="00DD1425"/>
    <w:rsid w:val="00DD5D0E"/>
    <w:rsid w:val="00DD7E8B"/>
    <w:rsid w:val="00DF2DAF"/>
    <w:rsid w:val="00DF2EF8"/>
    <w:rsid w:val="00DF5909"/>
    <w:rsid w:val="00DF6F75"/>
    <w:rsid w:val="00E07AC5"/>
    <w:rsid w:val="00E22EB9"/>
    <w:rsid w:val="00E23BE7"/>
    <w:rsid w:val="00E345AD"/>
    <w:rsid w:val="00E42129"/>
    <w:rsid w:val="00E43C39"/>
    <w:rsid w:val="00E503E5"/>
    <w:rsid w:val="00E60C24"/>
    <w:rsid w:val="00E82DAA"/>
    <w:rsid w:val="00E83DA2"/>
    <w:rsid w:val="00E83FE8"/>
    <w:rsid w:val="00E85081"/>
    <w:rsid w:val="00E87015"/>
    <w:rsid w:val="00E955F4"/>
    <w:rsid w:val="00E9729A"/>
    <w:rsid w:val="00E97830"/>
    <w:rsid w:val="00EA0652"/>
    <w:rsid w:val="00EA178F"/>
    <w:rsid w:val="00EA7BDD"/>
    <w:rsid w:val="00EA7E4E"/>
    <w:rsid w:val="00EB10E1"/>
    <w:rsid w:val="00EB1906"/>
    <w:rsid w:val="00EB3DF3"/>
    <w:rsid w:val="00EB5832"/>
    <w:rsid w:val="00EC261A"/>
    <w:rsid w:val="00EC3176"/>
    <w:rsid w:val="00EC360C"/>
    <w:rsid w:val="00EC4348"/>
    <w:rsid w:val="00EC4BBE"/>
    <w:rsid w:val="00EC5090"/>
    <w:rsid w:val="00EC55C6"/>
    <w:rsid w:val="00EE04D3"/>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1017"/>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02D6"/>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paragraph" w:styleId="Revision">
    <w:name w:val="Revision"/>
    <w:hidden/>
    <w:uiPriority w:val="99"/>
    <w:semiHidden/>
    <w:rsid w:val="00F91017"/>
    <w:pPr>
      <w:spacing w:after="0" w:line="240" w:lineRule="auto"/>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 Id="rId8" Type="http://schemas.openxmlformats.org/officeDocument/2006/relationships/hyperlink" Target="https://www.gov.uk/government/publications/procurement-policy-note-0117-update-to-transparency-principles" TargetMode="External"/><Relationship Id="rId3" Type="http://schemas.openxmlformats.org/officeDocument/2006/relationships/styles" Target="styl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6477-D65B-4473-A93A-2407BF9E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56150</Words>
  <Characters>320059</Characters>
  <Application>Microsoft Office Word</Application>
  <DocSecurity>0</DocSecurity>
  <Lines>2667</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2025-11-05T14:57:00Z</dcterms:created>
  <dcterms:modified xsi:type="dcterms:W3CDTF">2025-11-05T17:15:00Z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