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02FE4"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6D602FE7" w14:textId="77777777" w:rsidTr="00061C01">
        <w:tc>
          <w:tcPr>
            <w:tcW w:w="4539" w:type="dxa"/>
          </w:tcPr>
          <w:p w14:paraId="6D602FE5"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6D603199" wp14:editId="6D60319A">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6D602FE6"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6D60319B" wp14:editId="6D60319C">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6D602FE8" w14:textId="77777777" w:rsidR="00582B96" w:rsidRDefault="00582B96" w:rsidP="00582B96"/>
    <w:p w14:paraId="6D602FE9" w14:textId="77777777" w:rsidR="00582B96" w:rsidRPr="00D144D9" w:rsidRDefault="00582B96" w:rsidP="00582B96">
      <w:pPr>
        <w:rPr>
          <w:color w:val="FF0000"/>
        </w:rPr>
      </w:pPr>
    </w:p>
    <w:p w14:paraId="6D602FEA" w14:textId="77777777" w:rsidR="00582B96" w:rsidRDefault="00582B96" w:rsidP="00582B96"/>
    <w:p w14:paraId="6D602FEB" w14:textId="77777777" w:rsidR="00582B96" w:rsidRDefault="00582B96" w:rsidP="00582B96"/>
    <w:p w14:paraId="6D602FEC" w14:textId="77777777" w:rsidR="00582B96" w:rsidRDefault="00582B96" w:rsidP="00582B96"/>
    <w:p w14:paraId="6D602FED" w14:textId="77777777" w:rsidR="00C5289B" w:rsidRDefault="00C5289B" w:rsidP="00582B96">
      <w:pPr>
        <w:rPr>
          <w:b/>
          <w:sz w:val="52"/>
          <w:szCs w:val="52"/>
        </w:rPr>
      </w:pPr>
    </w:p>
    <w:p w14:paraId="6D602FEE" w14:textId="1B518E2D" w:rsidR="00582B96" w:rsidRPr="00E8658B" w:rsidRDefault="00582B96" w:rsidP="00582B96">
      <w:pPr>
        <w:rPr>
          <w:b/>
          <w:sz w:val="48"/>
          <w:szCs w:val="48"/>
        </w:rPr>
      </w:pPr>
      <w:r w:rsidRPr="00E8658B">
        <w:rPr>
          <w:b/>
          <w:sz w:val="48"/>
          <w:szCs w:val="48"/>
        </w:rPr>
        <w:t xml:space="preserve">SPECIFICATION </w:t>
      </w:r>
      <w:r w:rsidR="00E8658B" w:rsidRPr="00E8658B">
        <w:rPr>
          <w:b/>
          <w:sz w:val="48"/>
          <w:szCs w:val="48"/>
        </w:rPr>
        <w:t>&amp; QUESTIONNAIRE</w:t>
      </w:r>
    </w:p>
    <w:p w14:paraId="6D602FEF" w14:textId="77777777" w:rsidR="00582B96" w:rsidRDefault="00582B96" w:rsidP="00582B96">
      <w:pPr>
        <w:rPr>
          <w:b/>
          <w:sz w:val="48"/>
          <w:szCs w:val="48"/>
        </w:rPr>
      </w:pPr>
    </w:p>
    <w:p w14:paraId="6D602FF0" w14:textId="77777777" w:rsidR="00582B96" w:rsidRDefault="00582B96" w:rsidP="00582B96">
      <w:pPr>
        <w:rPr>
          <w:b/>
          <w:sz w:val="48"/>
          <w:szCs w:val="48"/>
        </w:rPr>
      </w:pPr>
    </w:p>
    <w:p w14:paraId="6D602FF1" w14:textId="77777777" w:rsidR="00582B96" w:rsidRDefault="00582B96" w:rsidP="00582B96">
      <w:pPr>
        <w:rPr>
          <w:b/>
          <w:sz w:val="48"/>
          <w:szCs w:val="48"/>
        </w:rPr>
      </w:pPr>
    </w:p>
    <w:p w14:paraId="6D602FF2" w14:textId="3860E95A" w:rsidR="00582B96" w:rsidRPr="00E8658B" w:rsidRDefault="00582B96" w:rsidP="00582B96">
      <w:pPr>
        <w:rPr>
          <w:b/>
          <w:sz w:val="36"/>
          <w:szCs w:val="36"/>
        </w:rPr>
      </w:pPr>
      <w:r w:rsidRPr="00360CDD">
        <w:rPr>
          <w:b/>
          <w:sz w:val="36"/>
          <w:szCs w:val="36"/>
        </w:rPr>
        <w:t xml:space="preserve">INVITATION TO TENDER </w:t>
      </w:r>
      <w:r w:rsidR="00711E1C" w:rsidRPr="00E8658B">
        <w:rPr>
          <w:b/>
          <w:sz w:val="36"/>
          <w:szCs w:val="36"/>
        </w:rPr>
        <w:t>–itt_30107</w:t>
      </w:r>
    </w:p>
    <w:p w14:paraId="6D602FF3" w14:textId="77777777" w:rsidR="00582B96" w:rsidRPr="00360CDD" w:rsidRDefault="00582B96" w:rsidP="00582B96">
      <w:pPr>
        <w:autoSpaceDE w:val="0"/>
        <w:autoSpaceDN w:val="0"/>
        <w:adjustRightInd w:val="0"/>
        <w:rPr>
          <w:rFonts w:cs="Arial"/>
          <w:b/>
          <w:bCs/>
          <w:sz w:val="48"/>
          <w:szCs w:val="48"/>
        </w:rPr>
      </w:pPr>
    </w:p>
    <w:p w14:paraId="6D602FF4" w14:textId="77777777" w:rsidR="00582B96" w:rsidRPr="00360CDD" w:rsidRDefault="00582B96" w:rsidP="00582B96">
      <w:pPr>
        <w:autoSpaceDE w:val="0"/>
        <w:autoSpaceDN w:val="0"/>
        <w:adjustRightInd w:val="0"/>
        <w:rPr>
          <w:rFonts w:cs="Arial"/>
          <w:b/>
          <w:bCs/>
          <w:sz w:val="48"/>
          <w:szCs w:val="48"/>
        </w:rPr>
      </w:pPr>
    </w:p>
    <w:p w14:paraId="6D602FF6" w14:textId="20A0C6A7" w:rsidR="00202271" w:rsidRPr="00711E1C" w:rsidRDefault="00711E1C" w:rsidP="00582B96">
      <w:pPr>
        <w:autoSpaceDE w:val="0"/>
        <w:autoSpaceDN w:val="0"/>
        <w:adjustRightInd w:val="0"/>
        <w:rPr>
          <w:rFonts w:cs="Arial"/>
          <w:b/>
          <w:bCs/>
          <w:sz w:val="36"/>
          <w:szCs w:val="36"/>
        </w:rPr>
      </w:pPr>
      <w:r>
        <w:rPr>
          <w:rFonts w:cs="Arial"/>
          <w:b/>
          <w:bCs/>
          <w:sz w:val="36"/>
          <w:szCs w:val="36"/>
        </w:rPr>
        <w:t>Careers Education IAG</w:t>
      </w:r>
    </w:p>
    <w:p w14:paraId="6D602FF7" w14:textId="77777777" w:rsidR="00582B96" w:rsidRDefault="00582B96" w:rsidP="00582B96">
      <w:pPr>
        <w:rPr>
          <w:b/>
          <w:sz w:val="48"/>
          <w:szCs w:val="48"/>
        </w:rPr>
      </w:pPr>
    </w:p>
    <w:p w14:paraId="6D602FF8" w14:textId="77777777" w:rsidR="00582B96" w:rsidRDefault="00582B96" w:rsidP="00582B96">
      <w:pPr>
        <w:rPr>
          <w:b/>
          <w:sz w:val="48"/>
          <w:szCs w:val="48"/>
        </w:rPr>
      </w:pPr>
    </w:p>
    <w:p w14:paraId="6D602FF9" w14:textId="77777777" w:rsidR="00582B96" w:rsidRPr="00360CDD" w:rsidRDefault="007C0D42" w:rsidP="00582B96">
      <w:pPr>
        <w:rPr>
          <w:b/>
          <w:color w:val="FF0000"/>
          <w:sz w:val="36"/>
          <w:szCs w:val="36"/>
        </w:rPr>
      </w:pPr>
      <w:r w:rsidRPr="00711E1C">
        <w:rPr>
          <w:b/>
          <w:sz w:val="36"/>
          <w:szCs w:val="36"/>
        </w:rPr>
        <w:t xml:space="preserve">Leicester &amp; Leicestershire Enterprise Partnership (LLEP) </w:t>
      </w:r>
    </w:p>
    <w:p w14:paraId="6D602FFA" w14:textId="77777777" w:rsidR="00582B96" w:rsidRDefault="00582B96" w:rsidP="00582B96">
      <w:pPr>
        <w:rPr>
          <w:b/>
          <w:sz w:val="48"/>
          <w:szCs w:val="48"/>
        </w:rPr>
      </w:pPr>
    </w:p>
    <w:p w14:paraId="6D602FFB" w14:textId="77777777" w:rsidR="00582B96" w:rsidRDefault="00582B96" w:rsidP="00582B96">
      <w:pPr>
        <w:rPr>
          <w:b/>
          <w:sz w:val="48"/>
          <w:szCs w:val="48"/>
        </w:rPr>
      </w:pPr>
    </w:p>
    <w:p w14:paraId="6D602FFC" w14:textId="77777777" w:rsidR="00582B96" w:rsidRDefault="00582B96" w:rsidP="00582B96">
      <w:pPr>
        <w:rPr>
          <w:b/>
          <w:sz w:val="48"/>
          <w:szCs w:val="48"/>
        </w:rPr>
      </w:pPr>
    </w:p>
    <w:p w14:paraId="6D602FFD" w14:textId="4FF6053E" w:rsidR="00582B96" w:rsidRPr="00360CDD" w:rsidRDefault="00582B96" w:rsidP="00582B96">
      <w:pPr>
        <w:rPr>
          <w:b/>
          <w:sz w:val="36"/>
          <w:szCs w:val="36"/>
        </w:rPr>
      </w:pPr>
      <w:r w:rsidRPr="00360CDD">
        <w:rPr>
          <w:b/>
          <w:sz w:val="36"/>
          <w:szCs w:val="36"/>
        </w:rPr>
        <w:t>DATE:</w:t>
      </w:r>
      <w:r w:rsidR="002F71DB">
        <w:rPr>
          <w:b/>
          <w:sz w:val="36"/>
          <w:szCs w:val="36"/>
        </w:rPr>
        <w:t xml:space="preserve"> </w:t>
      </w:r>
      <w:r w:rsidR="00711E1C">
        <w:rPr>
          <w:b/>
          <w:sz w:val="36"/>
          <w:szCs w:val="36"/>
        </w:rPr>
        <w:t xml:space="preserve">24 </w:t>
      </w:r>
      <w:r w:rsidR="00202271">
        <w:rPr>
          <w:b/>
          <w:sz w:val="36"/>
          <w:szCs w:val="36"/>
        </w:rPr>
        <w:t>June</w:t>
      </w:r>
      <w:r w:rsidR="007C0D42">
        <w:rPr>
          <w:b/>
          <w:sz w:val="36"/>
          <w:szCs w:val="36"/>
        </w:rPr>
        <w:t xml:space="preserve"> </w:t>
      </w:r>
      <w:r w:rsidR="00204192">
        <w:rPr>
          <w:b/>
          <w:sz w:val="36"/>
          <w:szCs w:val="36"/>
        </w:rPr>
        <w:t>2016</w:t>
      </w:r>
    </w:p>
    <w:p w14:paraId="6D602FFE" w14:textId="77777777" w:rsidR="00582B96" w:rsidRDefault="00582B96"/>
    <w:tbl>
      <w:tblPr>
        <w:tblW w:w="0" w:type="auto"/>
        <w:tblLook w:val="01E0" w:firstRow="1" w:lastRow="1" w:firstColumn="1" w:lastColumn="1" w:noHBand="0" w:noVBand="0"/>
      </w:tblPr>
      <w:tblGrid>
        <w:gridCol w:w="4421"/>
        <w:gridCol w:w="4366"/>
      </w:tblGrid>
      <w:tr w:rsidR="00ED67E0" w14:paraId="6D603001" w14:textId="77777777" w:rsidTr="00B24D65">
        <w:tc>
          <w:tcPr>
            <w:tcW w:w="4421" w:type="dxa"/>
          </w:tcPr>
          <w:p w14:paraId="6D602FFF" w14:textId="77777777" w:rsidR="00ED67E0" w:rsidRDefault="00ED67E0" w:rsidP="000419AD">
            <w:pPr>
              <w:pStyle w:val="Header"/>
              <w:tabs>
                <w:tab w:val="clear" w:pos="4153"/>
                <w:tab w:val="clear" w:pos="8306"/>
                <w:tab w:val="left" w:pos="1185"/>
              </w:tabs>
            </w:pPr>
            <w:r>
              <w:tab/>
            </w:r>
          </w:p>
        </w:tc>
        <w:tc>
          <w:tcPr>
            <w:tcW w:w="4366" w:type="dxa"/>
          </w:tcPr>
          <w:p w14:paraId="6D603000" w14:textId="77777777" w:rsidR="00ED67E0" w:rsidRDefault="00ED67E0" w:rsidP="000419AD">
            <w:pPr>
              <w:pStyle w:val="Header"/>
              <w:jc w:val="right"/>
            </w:pPr>
          </w:p>
        </w:tc>
      </w:tr>
      <w:tr w:rsidR="00ED67E0" w:rsidRPr="002465E9" w14:paraId="6D603004" w14:textId="77777777" w:rsidTr="00B24D65">
        <w:tc>
          <w:tcPr>
            <w:tcW w:w="4421" w:type="dxa"/>
          </w:tcPr>
          <w:p w14:paraId="6D603002" w14:textId="77777777" w:rsidR="00ED67E0" w:rsidRDefault="00ED67E0" w:rsidP="000419AD">
            <w:pPr>
              <w:pStyle w:val="Header"/>
            </w:pPr>
            <w:r>
              <w:rPr>
                <w:noProof/>
                <w:lang w:eastAsia="en-GB"/>
              </w:rPr>
              <w:lastRenderedPageBreak/>
              <w:drawing>
                <wp:inline distT="0" distB="0" distL="0" distR="0" wp14:anchorId="6D60319D" wp14:editId="6D60319E">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6D603003" w14:textId="77777777" w:rsidR="00ED67E0" w:rsidRDefault="000D51DE" w:rsidP="000419AD">
            <w:pPr>
              <w:pStyle w:val="Header"/>
              <w:jc w:val="right"/>
            </w:pPr>
            <w:r>
              <w:rPr>
                <w:noProof/>
                <w:lang w:eastAsia="en-GB"/>
              </w:rPr>
              <w:drawing>
                <wp:inline distT="0" distB="0" distL="0" distR="0" wp14:anchorId="6D60319F" wp14:editId="6D6031A0">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6D603007" w14:textId="77777777" w:rsidTr="00B24D65">
        <w:tc>
          <w:tcPr>
            <w:tcW w:w="4421" w:type="dxa"/>
          </w:tcPr>
          <w:p w14:paraId="6D603005" w14:textId="77777777" w:rsidR="008441FE" w:rsidRDefault="008441FE" w:rsidP="000419AD">
            <w:pPr>
              <w:pStyle w:val="Header"/>
              <w:rPr>
                <w:noProof/>
                <w:lang w:eastAsia="en-GB"/>
              </w:rPr>
            </w:pPr>
          </w:p>
        </w:tc>
        <w:tc>
          <w:tcPr>
            <w:tcW w:w="4366" w:type="dxa"/>
          </w:tcPr>
          <w:p w14:paraId="6D603006" w14:textId="77777777" w:rsidR="008441FE" w:rsidRDefault="008441FE" w:rsidP="000419AD">
            <w:pPr>
              <w:pStyle w:val="Header"/>
              <w:jc w:val="right"/>
              <w:rPr>
                <w:noProof/>
                <w:lang w:eastAsia="en-GB"/>
              </w:rPr>
            </w:pPr>
          </w:p>
        </w:tc>
      </w:tr>
    </w:tbl>
    <w:p w14:paraId="6D603008" w14:textId="77777777" w:rsidR="0015011A" w:rsidRDefault="0015011A" w:rsidP="0015011A"/>
    <w:tbl>
      <w:tblPr>
        <w:tblStyle w:val="TableGrid"/>
        <w:tblW w:w="5177" w:type="pct"/>
        <w:tblLook w:val="04A0" w:firstRow="1" w:lastRow="0" w:firstColumn="1" w:lastColumn="0" w:noHBand="0" w:noVBand="1"/>
      </w:tblPr>
      <w:tblGrid>
        <w:gridCol w:w="9088"/>
      </w:tblGrid>
      <w:tr w:rsidR="00967429" w:rsidRPr="00EF4406" w14:paraId="6D60300C" w14:textId="77777777" w:rsidTr="00202271">
        <w:trPr>
          <w:trHeight w:val="597"/>
        </w:trPr>
        <w:tc>
          <w:tcPr>
            <w:tcW w:w="9088" w:type="dxa"/>
          </w:tcPr>
          <w:p w14:paraId="6D60300A" w14:textId="29D64668" w:rsidR="007654E6" w:rsidRPr="00711E1C" w:rsidRDefault="00E8658B" w:rsidP="00A524B5">
            <w:pPr>
              <w:pStyle w:val="BodyText"/>
              <w:tabs>
                <w:tab w:val="num" w:pos="1134"/>
              </w:tabs>
              <w:spacing w:after="0"/>
              <w:jc w:val="both"/>
              <w:rPr>
                <w:rFonts w:ascii="Arial" w:hAnsi="Arial" w:cs="Arial"/>
                <w:b/>
              </w:rPr>
            </w:pPr>
            <w:r>
              <w:rPr>
                <w:rFonts w:ascii="Arial" w:hAnsi="Arial" w:cs="Arial"/>
                <w:b/>
              </w:rPr>
              <w:t>ESF</w:t>
            </w:r>
            <w:r w:rsidR="00B3399A" w:rsidRPr="00711E1C">
              <w:rPr>
                <w:rFonts w:ascii="Arial" w:hAnsi="Arial" w:cs="Arial"/>
                <w:b/>
              </w:rPr>
              <w:t xml:space="preserve">: </w:t>
            </w:r>
            <w:r w:rsidR="0005224F" w:rsidRPr="00711E1C">
              <w:rPr>
                <w:rFonts w:ascii="Arial" w:hAnsi="Arial" w:cs="Arial"/>
                <w:b/>
              </w:rPr>
              <w:t>Access to Employment</w:t>
            </w:r>
            <w:r>
              <w:rPr>
                <w:rFonts w:ascii="Arial" w:hAnsi="Arial" w:cs="Arial"/>
                <w:b/>
              </w:rPr>
              <w:t xml:space="preserve"> - Careers Education IAG itt_</w:t>
            </w:r>
            <w:r w:rsidR="00716BA3">
              <w:rPr>
                <w:rFonts w:ascii="Arial" w:hAnsi="Arial" w:cs="Arial"/>
                <w:b/>
              </w:rPr>
              <w:t>30107</w:t>
            </w:r>
          </w:p>
          <w:p w14:paraId="6D60300B"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6D60300E" w14:textId="77777777" w:rsidTr="003B7E78">
        <w:trPr>
          <w:trHeight w:val="567"/>
        </w:trPr>
        <w:tc>
          <w:tcPr>
            <w:tcW w:w="9088" w:type="dxa"/>
            <w:shd w:val="clear" w:color="auto" w:fill="D9D9D9" w:themeFill="background1" w:themeFillShade="D9"/>
            <w:vAlign w:val="center"/>
          </w:tcPr>
          <w:p w14:paraId="6D60300D" w14:textId="77777777" w:rsidR="00967429" w:rsidRPr="00FD3B0A" w:rsidRDefault="004C726D" w:rsidP="00FD3B0A">
            <w:pPr>
              <w:pStyle w:val="SpecificationHeading"/>
            </w:pPr>
            <w:r w:rsidRPr="00FD3B0A">
              <w:t>BACKGROUND</w:t>
            </w:r>
          </w:p>
        </w:tc>
      </w:tr>
      <w:tr w:rsidR="00967429" w:rsidRPr="00EF4406" w14:paraId="6D60306B" w14:textId="77777777" w:rsidTr="00202271">
        <w:tc>
          <w:tcPr>
            <w:tcW w:w="9088" w:type="dxa"/>
          </w:tcPr>
          <w:p w14:paraId="6D60300F" w14:textId="77777777" w:rsidR="00B24D65" w:rsidRPr="002833D9" w:rsidRDefault="00B24D65" w:rsidP="00A524B5">
            <w:pPr>
              <w:tabs>
                <w:tab w:val="num" w:pos="900"/>
              </w:tabs>
              <w:autoSpaceDE w:val="0"/>
              <w:autoSpaceDN w:val="0"/>
              <w:adjustRightInd w:val="0"/>
              <w:rPr>
                <w:rFonts w:cs="Arial"/>
                <w:b/>
              </w:rPr>
            </w:pPr>
          </w:p>
          <w:p w14:paraId="6D603010"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6D603011" w14:textId="77777777" w:rsidR="002833D9" w:rsidRPr="002833D9" w:rsidRDefault="002833D9" w:rsidP="00A524B5">
            <w:pPr>
              <w:tabs>
                <w:tab w:val="num" w:pos="900"/>
              </w:tabs>
              <w:autoSpaceDE w:val="0"/>
              <w:autoSpaceDN w:val="0"/>
              <w:adjustRightInd w:val="0"/>
              <w:rPr>
                <w:rFonts w:cs="Arial"/>
                <w:b/>
              </w:rPr>
            </w:pPr>
          </w:p>
          <w:p w14:paraId="6D603012"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6D603013" w14:textId="77777777" w:rsidR="002833D9" w:rsidRPr="005A1D76" w:rsidRDefault="002833D9" w:rsidP="00A524B5">
            <w:pPr>
              <w:tabs>
                <w:tab w:val="num" w:pos="900"/>
              </w:tabs>
              <w:autoSpaceDE w:val="0"/>
              <w:autoSpaceDN w:val="0"/>
              <w:adjustRightInd w:val="0"/>
              <w:rPr>
                <w:rFonts w:cs="Arial"/>
              </w:rPr>
            </w:pPr>
          </w:p>
          <w:p w14:paraId="6D603014"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6D603015" w14:textId="77777777" w:rsidR="002833D9" w:rsidRPr="005A1D76" w:rsidRDefault="002833D9" w:rsidP="00A524B5">
            <w:pPr>
              <w:rPr>
                <w:rFonts w:cs="Arial"/>
              </w:rPr>
            </w:pPr>
          </w:p>
          <w:p w14:paraId="6D603016"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w:t>
            </w:r>
            <w:r w:rsidR="00204192">
              <w:rPr>
                <w:rFonts w:cs="Arial"/>
              </w:rPr>
              <w:t>1</w:t>
            </w:r>
            <w:r w:rsidR="00A63E89">
              <w:rPr>
                <w:rFonts w:cs="Arial"/>
              </w:rPr>
              <w:t xml:space="preserve"> and </w:t>
            </w:r>
            <w:r w:rsidR="00204192">
              <w:rPr>
                <w:rFonts w:cs="Arial"/>
              </w:rPr>
              <w:t>its</w:t>
            </w:r>
            <w:r w:rsidR="00A63E89">
              <w:rPr>
                <w:rFonts w:cs="Arial"/>
              </w:rPr>
              <w:t xml:space="preserve"> Investment Priorit</w:t>
            </w:r>
            <w:r w:rsidR="00204192">
              <w:rPr>
                <w:rFonts w:cs="Arial"/>
              </w:rPr>
              <w:t>ies</w:t>
            </w:r>
            <w:r w:rsidR="00A63E89">
              <w:rPr>
                <w:rFonts w:cs="Arial"/>
              </w:rPr>
              <w:t xml:space="preserve"> (IP)</w:t>
            </w:r>
            <w:r w:rsidR="00204192">
              <w:t>, wh</w:t>
            </w:r>
            <w:r w:rsidR="00A63E89" w:rsidRPr="00A63E89">
              <w:t xml:space="preserve">ere the need has been identified both in the LEP area and European Structural and Investment Fund Strategies.  </w:t>
            </w:r>
          </w:p>
          <w:p w14:paraId="6D603017" w14:textId="77777777" w:rsidR="00AD0B65" w:rsidRPr="00AD0B65" w:rsidRDefault="00AD0B65" w:rsidP="00AD0B65">
            <w:pPr>
              <w:rPr>
                <w:rFonts w:cs="Arial"/>
              </w:rPr>
            </w:pPr>
          </w:p>
          <w:p w14:paraId="6D603018" w14:textId="77777777" w:rsidR="00204192" w:rsidRDefault="009E7A30" w:rsidP="00AD0B65">
            <w:r w:rsidRPr="00A94CF2">
              <w:t>The</w:t>
            </w:r>
            <w:r w:rsidR="00A63E89" w:rsidRPr="00A94CF2">
              <w:t xml:space="preserve"> </w:t>
            </w:r>
            <w:r w:rsidR="00204192" w:rsidRPr="00A94CF2">
              <w:t xml:space="preserve">Priority Axis 1 </w:t>
            </w:r>
            <w:r w:rsidR="00A63E89" w:rsidRPr="00A94CF2">
              <w:t xml:space="preserve">supports </w:t>
            </w:r>
            <w:r w:rsidR="00204192" w:rsidRPr="00A94CF2">
              <w:t xml:space="preserve">activity </w:t>
            </w:r>
            <w:r w:rsidR="00204192" w:rsidRPr="00360E2D">
              <w:t xml:space="preserve">to increase participation in the labour market and thereby improve social inclusion and mobility.   The objectives of Priority Axis 1 </w:t>
            </w:r>
            <w:r w:rsidR="00F0539E" w:rsidRPr="00360E2D">
              <w:t xml:space="preserve">covered in this specification </w:t>
            </w:r>
            <w:r w:rsidR="00204192" w:rsidRPr="00360E2D">
              <w:t>are:</w:t>
            </w:r>
          </w:p>
          <w:p w14:paraId="6D603019" w14:textId="77777777" w:rsidR="00A94CF2" w:rsidRPr="00360E2D" w:rsidRDefault="00A94CF2" w:rsidP="00AD0B65"/>
          <w:p w14:paraId="6D60301A" w14:textId="77777777" w:rsidR="00204192" w:rsidRPr="00360E2D" w:rsidRDefault="00204192" w:rsidP="00A503FD">
            <w:pPr>
              <w:pStyle w:val="ListParagraph"/>
              <w:numPr>
                <w:ilvl w:val="0"/>
                <w:numId w:val="11"/>
              </w:numPr>
            </w:pPr>
            <w:r w:rsidRPr="00360E2D">
              <w:t>To improve the employability of long-term unemployed people, so that they can compete effectively in the labour market.</w:t>
            </w:r>
          </w:p>
          <w:p w14:paraId="6D60301B" w14:textId="77777777" w:rsidR="00204192" w:rsidRPr="00360E2D" w:rsidRDefault="00204192" w:rsidP="00A503FD">
            <w:pPr>
              <w:pStyle w:val="ListParagraph"/>
              <w:numPr>
                <w:ilvl w:val="0"/>
                <w:numId w:val="11"/>
              </w:numPr>
            </w:pPr>
            <w:r w:rsidRPr="00360E2D">
              <w:t>To provide individuals from groups which face particular labour market disadvantage with additional support so that they can compete effectively in the labour market.</w:t>
            </w:r>
          </w:p>
          <w:p w14:paraId="6D60301C" w14:textId="77777777" w:rsidR="00204192" w:rsidRPr="00360E2D" w:rsidRDefault="00204192" w:rsidP="00A503FD">
            <w:pPr>
              <w:pStyle w:val="ListParagraph"/>
              <w:numPr>
                <w:ilvl w:val="0"/>
                <w:numId w:val="11"/>
              </w:numPr>
            </w:pPr>
            <w:r w:rsidRPr="00360E2D">
              <w:t>To encourage inactive people to participate in the labour market and to improve their employability.</w:t>
            </w:r>
          </w:p>
          <w:p w14:paraId="6D60301D" w14:textId="77777777" w:rsidR="00204192" w:rsidRPr="00360E2D" w:rsidRDefault="00204192" w:rsidP="00A503FD">
            <w:pPr>
              <w:pStyle w:val="ListParagraph"/>
              <w:numPr>
                <w:ilvl w:val="0"/>
                <w:numId w:val="11"/>
              </w:numPr>
            </w:pPr>
            <w:r w:rsidRPr="00360E2D">
              <w:t>To address the basic skills needs of unemployed and inactive people so that they can compete effectively in the labour market.</w:t>
            </w:r>
          </w:p>
          <w:p w14:paraId="6D60301E" w14:textId="77777777" w:rsidR="00204192" w:rsidRPr="00360E2D" w:rsidRDefault="00204192" w:rsidP="00A503FD">
            <w:pPr>
              <w:pStyle w:val="Default"/>
              <w:numPr>
                <w:ilvl w:val="0"/>
                <w:numId w:val="11"/>
              </w:numPr>
            </w:pPr>
            <w:r w:rsidRPr="00360E2D">
              <w:t xml:space="preserve">To provide support for women at a disadvantage in the labour market, and particularly those who are currently inactive, to contribute to our efforts to reduce the gender employment gap. </w:t>
            </w:r>
          </w:p>
          <w:p w14:paraId="6D60301F" w14:textId="77777777" w:rsidR="00F0539E" w:rsidRPr="00360E2D" w:rsidRDefault="00F0539E" w:rsidP="00A503FD">
            <w:pPr>
              <w:pStyle w:val="Default"/>
              <w:numPr>
                <w:ilvl w:val="0"/>
                <w:numId w:val="11"/>
              </w:numPr>
            </w:pPr>
            <w:r w:rsidRPr="00360E2D">
              <w:lastRenderedPageBreak/>
              <w:t xml:space="preserve">To support people with multiple and complex barriers to participation to address these underlying issues and to move closer to or into the labour market. </w:t>
            </w:r>
          </w:p>
          <w:p w14:paraId="6D603020" w14:textId="77777777" w:rsidR="00204192" w:rsidRPr="00360E2D" w:rsidRDefault="00F0539E" w:rsidP="00A503FD">
            <w:pPr>
              <w:pStyle w:val="ListParagraph"/>
              <w:numPr>
                <w:ilvl w:val="0"/>
                <w:numId w:val="11"/>
              </w:numPr>
            </w:pPr>
            <w:r w:rsidRPr="00360E2D">
              <w:t>To engage marginalised individuals and support them to re-engage with education, training, or in employment.</w:t>
            </w:r>
          </w:p>
          <w:p w14:paraId="6D603021" w14:textId="77777777" w:rsidR="0096491B" w:rsidRPr="00360E2D" w:rsidRDefault="0096491B" w:rsidP="00466FA7">
            <w:pPr>
              <w:pStyle w:val="Default"/>
              <w:numPr>
                <w:ilvl w:val="0"/>
                <w:numId w:val="11"/>
              </w:numPr>
            </w:pPr>
            <w:r w:rsidRPr="00360E2D">
              <w:t>To engage marginalised 1</w:t>
            </w:r>
            <w:r w:rsidR="007C0D42">
              <w:t>6</w:t>
            </w:r>
            <w:r w:rsidRPr="00360E2D">
              <w:t xml:space="preserve">-18 year olds and support them to re-engage with education or training. </w:t>
            </w:r>
          </w:p>
          <w:p w14:paraId="6D603022" w14:textId="77777777" w:rsidR="0096491B" w:rsidRPr="00360E2D" w:rsidRDefault="0096491B" w:rsidP="0096491B">
            <w:pPr>
              <w:pStyle w:val="ListParagraph"/>
              <w:numPr>
                <w:ilvl w:val="0"/>
                <w:numId w:val="11"/>
              </w:numPr>
            </w:pPr>
            <w:r w:rsidRPr="00360E2D">
              <w:t>To support young lone parents to overcome the barriers they face in participating in the labour market (including childcare).</w:t>
            </w:r>
          </w:p>
          <w:p w14:paraId="6D603023" w14:textId="77777777" w:rsidR="0096491B" w:rsidRPr="00360E2D" w:rsidRDefault="0096491B" w:rsidP="00D20ECF">
            <w:pPr>
              <w:pStyle w:val="ListParagraph"/>
              <w:numPr>
                <w:ilvl w:val="0"/>
                <w:numId w:val="11"/>
              </w:numPr>
            </w:pPr>
            <w:r w:rsidRPr="00360E2D">
              <w:t xml:space="preserve">To support the rise in the participation age by providing additional </w:t>
            </w:r>
            <w:r w:rsidR="000476C3">
              <w:t>a</w:t>
            </w:r>
            <w:r w:rsidRPr="00360E2D">
              <w:t>pprenticeship opportunities.</w:t>
            </w:r>
          </w:p>
          <w:p w14:paraId="6D603024" w14:textId="77777777" w:rsidR="007E51DD" w:rsidRDefault="007E51DD" w:rsidP="00AD0B65"/>
          <w:p w14:paraId="6D603025" w14:textId="0C4D5294" w:rsidR="004A2467" w:rsidRDefault="004A2467" w:rsidP="00AD0B65">
            <w:r>
              <w:t xml:space="preserve">The </w:t>
            </w:r>
            <w:r w:rsidR="0037436D">
              <w:t>investment priority</w:t>
            </w:r>
            <w:r>
              <w:t xml:space="preserve"> </w:t>
            </w:r>
            <w:r w:rsidR="00F0539E">
              <w:t xml:space="preserve">in this specification </w:t>
            </w:r>
            <w:r w:rsidR="0037436D">
              <w:t>is</w:t>
            </w:r>
            <w:r>
              <w:t>:</w:t>
            </w:r>
          </w:p>
          <w:p w14:paraId="18AE1E6C" w14:textId="77777777" w:rsidR="003B7E78" w:rsidRDefault="003B7E78" w:rsidP="00AD0B65"/>
          <w:p w14:paraId="6D603026" w14:textId="77777777" w:rsidR="00204192" w:rsidRDefault="00204192" w:rsidP="00A503FD">
            <w:pPr>
              <w:pStyle w:val="ListParagraph"/>
              <w:numPr>
                <w:ilvl w:val="0"/>
                <w:numId w:val="12"/>
              </w:numPr>
            </w:pPr>
            <w:r w:rsidRPr="003E0C7F">
              <w:rPr>
                <w:b/>
              </w:rPr>
              <w:t>Access to employment for jobseekers and inactive people</w:t>
            </w:r>
            <w:r>
              <w:t xml:space="preserve"> (IP1.1) - to help those who are disadvantaged but still relatively close to the labour market to tackle their barriers to work, and enter and sustain employment.</w:t>
            </w:r>
            <w:r w:rsidR="005C5B32">
              <w:t xml:space="preserve">  </w:t>
            </w:r>
          </w:p>
          <w:p w14:paraId="6D603027" w14:textId="77777777" w:rsidR="009B1204" w:rsidRDefault="009B1204" w:rsidP="00A524B5">
            <w:pPr>
              <w:tabs>
                <w:tab w:val="num" w:pos="900"/>
              </w:tabs>
              <w:autoSpaceDE w:val="0"/>
              <w:autoSpaceDN w:val="0"/>
              <w:adjustRightInd w:val="0"/>
              <w:rPr>
                <w:rFonts w:cs="Arial"/>
              </w:rPr>
            </w:pPr>
          </w:p>
          <w:p w14:paraId="6D603028" w14:textId="77777777" w:rsidR="009B1204" w:rsidRPr="003E0C7F" w:rsidRDefault="009B1204" w:rsidP="009B1204">
            <w:pPr>
              <w:rPr>
                <w:b/>
              </w:rPr>
            </w:pPr>
            <w:r w:rsidRPr="003E0C7F">
              <w:rPr>
                <w:b/>
              </w:rPr>
              <w:t xml:space="preserve">Access to </w:t>
            </w:r>
            <w:r w:rsidR="003E0C7F">
              <w:rPr>
                <w:b/>
              </w:rPr>
              <w:t>E</w:t>
            </w:r>
            <w:r w:rsidRPr="003E0C7F">
              <w:rPr>
                <w:b/>
              </w:rPr>
              <w:t xml:space="preserve">mployment for </w:t>
            </w:r>
            <w:r w:rsidR="003E0C7F">
              <w:rPr>
                <w:b/>
              </w:rPr>
              <w:t>J</w:t>
            </w:r>
            <w:r w:rsidRPr="003E0C7F">
              <w:rPr>
                <w:b/>
              </w:rPr>
              <w:t xml:space="preserve">obseekers and </w:t>
            </w:r>
            <w:r w:rsidR="003E0C7F">
              <w:rPr>
                <w:b/>
              </w:rPr>
              <w:t>I</w:t>
            </w:r>
            <w:r w:rsidRPr="003E0C7F">
              <w:rPr>
                <w:b/>
              </w:rPr>
              <w:t xml:space="preserve">nactive </w:t>
            </w:r>
            <w:r w:rsidR="003E0C7F">
              <w:rPr>
                <w:b/>
              </w:rPr>
              <w:t>P</w:t>
            </w:r>
            <w:r w:rsidRPr="003E0C7F">
              <w:rPr>
                <w:b/>
              </w:rPr>
              <w:t>eople</w:t>
            </w:r>
          </w:p>
          <w:p w14:paraId="6D603029" w14:textId="77777777" w:rsidR="009B1204" w:rsidRDefault="009B1204" w:rsidP="009B1204">
            <w:pPr>
              <w:rPr>
                <w:rFonts w:cs="Arial"/>
                <w:b/>
              </w:rPr>
            </w:pPr>
          </w:p>
          <w:p w14:paraId="6D60302A" w14:textId="77777777" w:rsidR="009B1204" w:rsidRPr="00360E2D" w:rsidRDefault="009B1204" w:rsidP="00360E2D">
            <w:r w:rsidRPr="00360E2D">
              <w:t xml:space="preserve">The Government is promoting employment for all by providing support mechanisms and benefits that incentivise work and reduce worklessness, to ensure that individuals can fulfil their potential within the labour market. National policies to help people move from welfare to employment are designed to ensure that jobseekers get the support they need to find a job and, in return, jobseekers are expected to do all they can to find work. </w:t>
            </w:r>
          </w:p>
          <w:p w14:paraId="6D60302B" w14:textId="77777777" w:rsidR="009B1204" w:rsidRPr="00360E2D" w:rsidRDefault="009B1204" w:rsidP="00360E2D">
            <w:pPr>
              <w:pStyle w:val="ListParagraph"/>
            </w:pPr>
          </w:p>
          <w:p w14:paraId="6D60302C" w14:textId="6846754B" w:rsidR="009B1204" w:rsidRPr="007E15DA" w:rsidRDefault="009B1204" w:rsidP="00360E2D">
            <w:r w:rsidRPr="00360E2D">
              <w:t xml:space="preserve">As the recovery strengthens, it is likely that those closest to the labour market will find it easier to find work, but there is a risk that the most disadvantaged will be left behind and find it increasingly difficult to compete effectively for work. ESF will therefore be used to ensure that these disadvantaged groups are provided with the right level of support, tailored to the needs of individuals and businesses in local labour markets. This will be the primary added value for ESF. Activities </w:t>
            </w:r>
            <w:r w:rsidR="00A94CF2">
              <w:t xml:space="preserve">could </w:t>
            </w:r>
            <w:r w:rsidRPr="00360E2D">
              <w:t xml:space="preserve">include help to identify the barriers individuals face in moving into work (for example: confidence, lack of recent work experience, basic skills, job-related skills, </w:t>
            </w:r>
            <w:r w:rsidR="003B7E78" w:rsidRPr="00360E2D">
              <w:t>job seeking</w:t>
            </w:r>
            <w:r w:rsidRPr="00360E2D">
              <w:t xml:space="preserve"> skills, or other material barriers like debt and working with </w:t>
            </w:r>
            <w:r w:rsidR="00A94CF2">
              <w:t>individuals</w:t>
            </w:r>
            <w:r w:rsidRPr="00360E2D">
              <w:t xml:space="preserve"> to tackle these barriers.</w:t>
            </w:r>
          </w:p>
          <w:p w14:paraId="6D60302D" w14:textId="77777777" w:rsidR="009B1204" w:rsidRDefault="009B1204" w:rsidP="00A524B5">
            <w:pPr>
              <w:tabs>
                <w:tab w:val="num" w:pos="900"/>
              </w:tabs>
              <w:autoSpaceDE w:val="0"/>
              <w:autoSpaceDN w:val="0"/>
              <w:adjustRightInd w:val="0"/>
              <w:rPr>
                <w:rFonts w:cs="Arial"/>
              </w:rPr>
            </w:pPr>
          </w:p>
          <w:p w14:paraId="6D60302E" w14:textId="558C09E5" w:rsidR="00442DA3" w:rsidRDefault="00B24D65" w:rsidP="00A524B5">
            <w:pPr>
              <w:rPr>
                <w:rFonts w:cs="Arial"/>
              </w:rPr>
            </w:pPr>
            <w:r w:rsidRPr="005A1D76">
              <w:rPr>
                <w:rFonts w:cs="Arial"/>
              </w:rPr>
              <w:t xml:space="preserve">The SFA is looking to procure an organisation to </w:t>
            </w:r>
            <w:r w:rsidR="007654E6" w:rsidRPr="005A1D76">
              <w:rPr>
                <w:rFonts w:cs="Arial"/>
              </w:rPr>
              <w:t>deliver education and training</w:t>
            </w:r>
            <w:r w:rsidR="00F925C5" w:rsidRPr="005A1D76">
              <w:rPr>
                <w:lang w:eastAsia="en-GB"/>
              </w:rPr>
              <w:t xml:space="preserve"> that </w:t>
            </w:r>
            <w:r w:rsidR="00D20ECF" w:rsidRPr="00202271">
              <w:rPr>
                <w:rFonts w:cs="Arial"/>
              </w:rPr>
              <w:t>helps unemployed and inactive people to enter into and sustain employment in the LEP area set out below</w:t>
            </w:r>
            <w:r w:rsidR="00E231E9">
              <w:rPr>
                <w:rFonts w:cs="Arial"/>
              </w:rPr>
              <w:t>.</w:t>
            </w:r>
          </w:p>
          <w:p w14:paraId="6D60302F" w14:textId="77777777" w:rsidR="00360E2D" w:rsidRDefault="00360E2D" w:rsidP="00A524B5">
            <w:pPr>
              <w:rPr>
                <w:rFonts w:cs="Arial"/>
                <w:b/>
              </w:rPr>
            </w:pPr>
          </w:p>
          <w:p w14:paraId="6AD1D60C" w14:textId="77777777" w:rsidR="003B7E78" w:rsidRDefault="003B7E78" w:rsidP="00A524B5">
            <w:pPr>
              <w:rPr>
                <w:rFonts w:cs="Arial"/>
                <w:b/>
              </w:rPr>
            </w:pPr>
          </w:p>
          <w:p w14:paraId="0F0D68C6" w14:textId="77777777" w:rsidR="003B7E78" w:rsidRDefault="003B7E78" w:rsidP="00A524B5">
            <w:pPr>
              <w:rPr>
                <w:rFonts w:cs="Arial"/>
                <w:b/>
              </w:rPr>
            </w:pPr>
          </w:p>
          <w:p w14:paraId="10792250" w14:textId="77777777" w:rsidR="003B7E78" w:rsidRDefault="003B7E78" w:rsidP="00A524B5">
            <w:pPr>
              <w:rPr>
                <w:rFonts w:cs="Arial"/>
                <w:b/>
              </w:rPr>
            </w:pPr>
          </w:p>
          <w:p w14:paraId="6D603030" w14:textId="77777777" w:rsidR="002833D9" w:rsidRDefault="007C0D42" w:rsidP="00A524B5">
            <w:pPr>
              <w:rPr>
                <w:rFonts w:cs="Arial"/>
                <w:b/>
              </w:rPr>
            </w:pPr>
            <w:r>
              <w:rPr>
                <w:rFonts w:cs="Arial"/>
                <w:b/>
              </w:rPr>
              <w:t xml:space="preserve">Leicester and Leicestershire </w:t>
            </w:r>
            <w:r w:rsidR="000304B2">
              <w:rPr>
                <w:rFonts w:cs="Arial"/>
                <w:b/>
              </w:rPr>
              <w:t xml:space="preserve">Local </w:t>
            </w:r>
            <w:r w:rsidR="00A76A58">
              <w:rPr>
                <w:rFonts w:cs="Arial"/>
                <w:b/>
              </w:rPr>
              <w:t>Enterprise Partnership</w:t>
            </w:r>
            <w:r w:rsidR="00F24C41">
              <w:rPr>
                <w:rFonts w:cs="Arial"/>
                <w:b/>
              </w:rPr>
              <w:t xml:space="preserve"> Background</w:t>
            </w:r>
          </w:p>
          <w:p w14:paraId="6D603031" w14:textId="77777777" w:rsidR="000D51DE" w:rsidRPr="000D51DE" w:rsidRDefault="000D51DE" w:rsidP="00A524B5">
            <w:pPr>
              <w:rPr>
                <w:rFonts w:cs="Arial"/>
              </w:rPr>
            </w:pPr>
          </w:p>
          <w:p w14:paraId="6D603032" w14:textId="77777777" w:rsidR="007C0D42" w:rsidRDefault="007C0D42" w:rsidP="007C0D42">
            <w:pPr>
              <w:rPr>
                <w:rFonts w:cs="Arial"/>
              </w:rPr>
            </w:pPr>
            <w:r>
              <w:rPr>
                <w:rFonts w:cs="Arial"/>
              </w:rPr>
              <w:lastRenderedPageBreak/>
              <w:t>The Leicester and Leicestershire Enterprise Partnership (LLEP) is one of 39 Local Enterprise Partnerships created by Government to determine local investment priorities and stimulate local economic growth. The LLEP was established in May 2011 and serves the City of Leicester and the County of Leicestershire.</w:t>
            </w:r>
          </w:p>
          <w:p w14:paraId="6D603033" w14:textId="77777777" w:rsidR="007C0D42" w:rsidRDefault="007C0D42" w:rsidP="007C0D42">
            <w:pPr>
              <w:rPr>
                <w:rFonts w:cs="Arial"/>
              </w:rPr>
            </w:pPr>
          </w:p>
          <w:p w14:paraId="6D603034" w14:textId="77777777" w:rsidR="007C0D42" w:rsidRDefault="007C0D42" w:rsidP="007C0D42">
            <w:pPr>
              <w:rPr>
                <w:rFonts w:cs="Arial"/>
              </w:rPr>
            </w:pPr>
            <w:r>
              <w:rPr>
                <w:rFonts w:cs="Arial"/>
              </w:rPr>
              <w:t>The LLEP’s vision is to “create a vibrant, attractive and distinctive place with highly skilled people making Leicester and Leicestershire the destination of choice for successful businesses.”</w:t>
            </w:r>
          </w:p>
          <w:p w14:paraId="6D603035" w14:textId="77777777" w:rsidR="007C0D42" w:rsidRDefault="007C0D42" w:rsidP="007C0D42">
            <w:pPr>
              <w:rPr>
                <w:rFonts w:cs="Arial"/>
              </w:rPr>
            </w:pPr>
          </w:p>
          <w:p w14:paraId="6D603036" w14:textId="77777777" w:rsidR="007C0D42" w:rsidRDefault="007C0D42" w:rsidP="007C0D42">
            <w:pPr>
              <w:rPr>
                <w:rFonts w:cs="Arial"/>
              </w:rPr>
            </w:pPr>
            <w:r>
              <w:rPr>
                <w:rFonts w:cs="Arial"/>
              </w:rPr>
              <w:t>By 2020, the LLEP’s aim is to have:</w:t>
            </w:r>
          </w:p>
          <w:p w14:paraId="6D603037" w14:textId="77777777" w:rsidR="007C0D42" w:rsidRDefault="007C0D42" w:rsidP="007C0D42">
            <w:pPr>
              <w:rPr>
                <w:rFonts w:cs="Arial"/>
              </w:rPr>
            </w:pPr>
          </w:p>
          <w:p w14:paraId="6D603038" w14:textId="77777777" w:rsidR="007C0D42" w:rsidRDefault="007C0D42" w:rsidP="00202271">
            <w:pPr>
              <w:pStyle w:val="ListParagraph"/>
              <w:numPr>
                <w:ilvl w:val="0"/>
                <w:numId w:val="31"/>
              </w:numPr>
              <w:rPr>
                <w:rFonts w:cs="Arial"/>
              </w:rPr>
            </w:pPr>
            <w:r>
              <w:rPr>
                <w:rFonts w:cs="Arial"/>
              </w:rPr>
              <w:t>Created 45,000 new jobs</w:t>
            </w:r>
          </w:p>
          <w:p w14:paraId="6D603039" w14:textId="77777777" w:rsidR="007C0D42" w:rsidRDefault="007C0D42" w:rsidP="00202271">
            <w:pPr>
              <w:pStyle w:val="ListParagraph"/>
              <w:numPr>
                <w:ilvl w:val="0"/>
                <w:numId w:val="31"/>
              </w:numPr>
              <w:rPr>
                <w:rFonts w:cs="Arial"/>
              </w:rPr>
            </w:pPr>
            <w:r>
              <w:rPr>
                <w:rFonts w:cs="Arial"/>
              </w:rPr>
              <w:t>Leveraged £2.5 billion of private sector investment</w:t>
            </w:r>
          </w:p>
          <w:p w14:paraId="6D60303A" w14:textId="77777777" w:rsidR="007C0D42" w:rsidRDefault="007C0D42" w:rsidP="00202271">
            <w:pPr>
              <w:pStyle w:val="ListParagraph"/>
              <w:numPr>
                <w:ilvl w:val="0"/>
                <w:numId w:val="31"/>
              </w:numPr>
              <w:rPr>
                <w:rFonts w:cs="Arial"/>
              </w:rPr>
            </w:pPr>
            <w:r>
              <w:rPr>
                <w:rFonts w:cs="Arial"/>
              </w:rPr>
              <w:t>Increased Gross Value Added (GVA) by £4 billion from £19 billion to £23 billion</w:t>
            </w:r>
          </w:p>
          <w:p w14:paraId="6D60303B" w14:textId="77777777" w:rsidR="007C0D42" w:rsidRDefault="007C0D42" w:rsidP="007C0D42">
            <w:pPr>
              <w:rPr>
                <w:rFonts w:cs="Arial"/>
              </w:rPr>
            </w:pPr>
          </w:p>
          <w:p w14:paraId="6D60303C" w14:textId="77777777" w:rsidR="007C0D42" w:rsidRPr="004024CF" w:rsidRDefault="007C0D42" w:rsidP="007C0D42">
            <w:pPr>
              <w:rPr>
                <w:rFonts w:cs="Arial"/>
              </w:rPr>
            </w:pPr>
            <w:r w:rsidRPr="004024CF">
              <w:rPr>
                <w:rFonts w:cs="Arial"/>
              </w:rPr>
              <w:t>The LLEP area’s labour market has some distinctive features, including:</w:t>
            </w:r>
          </w:p>
          <w:p w14:paraId="6D60303D" w14:textId="77777777" w:rsidR="007C0D42" w:rsidRPr="004024CF" w:rsidRDefault="007C0D42" w:rsidP="007C0D42">
            <w:pPr>
              <w:rPr>
                <w:rFonts w:cs="Arial"/>
              </w:rPr>
            </w:pPr>
          </w:p>
          <w:p w14:paraId="6D60303E" w14:textId="77777777" w:rsidR="007C0D42" w:rsidRDefault="007C0D42" w:rsidP="00202271">
            <w:pPr>
              <w:pStyle w:val="ListParagraph"/>
              <w:numPr>
                <w:ilvl w:val="0"/>
                <w:numId w:val="32"/>
              </w:numPr>
              <w:rPr>
                <w:rFonts w:cs="Arial"/>
              </w:rPr>
            </w:pPr>
            <w:r w:rsidRPr="004024CF">
              <w:rPr>
                <w:rFonts w:cs="Arial"/>
              </w:rPr>
              <w:t>A high concentration of manufacturing when compared nationally</w:t>
            </w:r>
          </w:p>
          <w:p w14:paraId="6D60303F" w14:textId="77777777" w:rsidR="007C0D42" w:rsidRDefault="007C0D42" w:rsidP="00202271">
            <w:pPr>
              <w:pStyle w:val="ListParagraph"/>
              <w:numPr>
                <w:ilvl w:val="0"/>
                <w:numId w:val="32"/>
              </w:numPr>
              <w:rPr>
                <w:rFonts w:cs="Arial"/>
              </w:rPr>
            </w:pPr>
            <w:r w:rsidRPr="004024CF">
              <w:rPr>
                <w:rFonts w:cs="Arial"/>
              </w:rPr>
              <w:t>A high concentration of logistics sector employment within Leicestershire</w:t>
            </w:r>
          </w:p>
          <w:p w14:paraId="6D603040" w14:textId="77777777" w:rsidR="007C0D42" w:rsidRDefault="007C0D42" w:rsidP="00202271">
            <w:pPr>
              <w:pStyle w:val="ListParagraph"/>
              <w:numPr>
                <w:ilvl w:val="0"/>
                <w:numId w:val="32"/>
              </w:numPr>
              <w:rPr>
                <w:rFonts w:cs="Arial"/>
              </w:rPr>
            </w:pPr>
            <w:r w:rsidRPr="004024CF">
              <w:rPr>
                <w:rFonts w:cs="Arial"/>
              </w:rPr>
              <w:t>A high reliance on the public sector for employment in Leicester</w:t>
            </w:r>
          </w:p>
          <w:p w14:paraId="6D603041" w14:textId="77777777" w:rsidR="007C0D42" w:rsidRPr="004024CF" w:rsidRDefault="007C0D42" w:rsidP="00202271">
            <w:pPr>
              <w:pStyle w:val="ListParagraph"/>
              <w:numPr>
                <w:ilvl w:val="0"/>
                <w:numId w:val="32"/>
              </w:numPr>
              <w:rPr>
                <w:rFonts w:cs="Arial"/>
              </w:rPr>
            </w:pPr>
            <w:r w:rsidRPr="004024CF">
              <w:rPr>
                <w:rFonts w:cs="Arial"/>
              </w:rPr>
              <w:t>A lower share of residents in Leicester employed in higher skilled occupation than nationally in Leicestershire</w:t>
            </w:r>
          </w:p>
          <w:p w14:paraId="6D603042" w14:textId="77777777" w:rsidR="007C0D42" w:rsidRPr="004024CF" w:rsidRDefault="007C0D42" w:rsidP="007C0D42">
            <w:pPr>
              <w:rPr>
                <w:rFonts w:cs="Arial"/>
              </w:rPr>
            </w:pPr>
          </w:p>
          <w:p w14:paraId="6D603043" w14:textId="77777777" w:rsidR="007C0D42" w:rsidRDefault="007C0D42" w:rsidP="007C0D42">
            <w:pPr>
              <w:rPr>
                <w:rFonts w:cs="Arial"/>
              </w:rPr>
            </w:pPr>
            <w:r w:rsidRPr="004024CF">
              <w:rPr>
                <w:rFonts w:cs="Arial"/>
              </w:rPr>
              <w:t>In 2013 the LLEP conducted a Skills Needs Assessment to identify the skills priorities for local employers and the current supply of skills to meet these needs.</w:t>
            </w:r>
          </w:p>
          <w:p w14:paraId="6D603044" w14:textId="77777777" w:rsidR="007C0D42" w:rsidRDefault="007C0D42" w:rsidP="007C0D42">
            <w:pPr>
              <w:rPr>
                <w:rFonts w:cs="Arial"/>
              </w:rPr>
            </w:pPr>
          </w:p>
          <w:p w14:paraId="6D603045" w14:textId="77777777" w:rsidR="007C0D42" w:rsidRPr="00AE3EBE" w:rsidRDefault="007C0D42" w:rsidP="007C0D42">
            <w:pPr>
              <w:rPr>
                <w:rFonts w:cs="Arial"/>
              </w:rPr>
            </w:pPr>
            <w:r w:rsidRPr="00AE3EBE">
              <w:rPr>
                <w:rFonts w:cs="Arial"/>
              </w:rPr>
              <w:t>The LLEP has identified eight key business sectors where there is the potential for further local economic growth. These are:</w:t>
            </w:r>
          </w:p>
          <w:p w14:paraId="6D603046" w14:textId="77777777" w:rsidR="007C0D42" w:rsidRPr="00AE3EBE" w:rsidRDefault="007C0D42" w:rsidP="007C0D42">
            <w:pPr>
              <w:rPr>
                <w:rFonts w:cs="Arial"/>
              </w:rPr>
            </w:pPr>
          </w:p>
          <w:p w14:paraId="6D603047" w14:textId="77777777" w:rsidR="007C0D42" w:rsidRDefault="007C0D42" w:rsidP="00202271">
            <w:pPr>
              <w:pStyle w:val="ListParagraph"/>
              <w:numPr>
                <w:ilvl w:val="0"/>
                <w:numId w:val="33"/>
              </w:numPr>
              <w:rPr>
                <w:rFonts w:cs="Arial"/>
              </w:rPr>
            </w:pPr>
            <w:r w:rsidRPr="004024CF">
              <w:rPr>
                <w:rFonts w:cs="Arial"/>
              </w:rPr>
              <w:t>Advanced manufacturing and engineering</w:t>
            </w:r>
          </w:p>
          <w:p w14:paraId="6D603048" w14:textId="77777777" w:rsidR="007C0D42" w:rsidRDefault="007C0D42" w:rsidP="00202271">
            <w:pPr>
              <w:pStyle w:val="ListParagraph"/>
              <w:numPr>
                <w:ilvl w:val="0"/>
                <w:numId w:val="33"/>
              </w:numPr>
              <w:rPr>
                <w:rFonts w:cs="Arial"/>
              </w:rPr>
            </w:pPr>
            <w:r w:rsidRPr="004024CF">
              <w:rPr>
                <w:rFonts w:cs="Arial"/>
              </w:rPr>
              <w:t>Creative industries</w:t>
            </w:r>
          </w:p>
          <w:p w14:paraId="6D603049" w14:textId="77777777" w:rsidR="007C0D42" w:rsidRDefault="007C0D42" w:rsidP="00202271">
            <w:pPr>
              <w:pStyle w:val="ListParagraph"/>
              <w:numPr>
                <w:ilvl w:val="0"/>
                <w:numId w:val="33"/>
              </w:numPr>
              <w:rPr>
                <w:rFonts w:cs="Arial"/>
              </w:rPr>
            </w:pPr>
            <w:r w:rsidRPr="004024CF">
              <w:rPr>
                <w:rFonts w:cs="Arial"/>
              </w:rPr>
              <w:t>Food and drink</w:t>
            </w:r>
          </w:p>
          <w:p w14:paraId="6D60304A" w14:textId="77777777" w:rsidR="007C0D42" w:rsidRDefault="007C0D42" w:rsidP="00202271">
            <w:pPr>
              <w:pStyle w:val="ListParagraph"/>
              <w:numPr>
                <w:ilvl w:val="0"/>
                <w:numId w:val="33"/>
              </w:numPr>
              <w:rPr>
                <w:rFonts w:cs="Arial"/>
              </w:rPr>
            </w:pPr>
            <w:r w:rsidRPr="004024CF">
              <w:rPr>
                <w:rFonts w:cs="Arial"/>
              </w:rPr>
              <w:t>Logistics and distribution</w:t>
            </w:r>
          </w:p>
          <w:p w14:paraId="6D60304B" w14:textId="77777777" w:rsidR="007C0D42" w:rsidRDefault="007C0D42" w:rsidP="00202271">
            <w:pPr>
              <w:pStyle w:val="ListParagraph"/>
              <w:numPr>
                <w:ilvl w:val="0"/>
                <w:numId w:val="33"/>
              </w:numPr>
              <w:rPr>
                <w:rFonts w:cs="Arial"/>
              </w:rPr>
            </w:pPr>
            <w:r w:rsidRPr="004024CF">
              <w:rPr>
                <w:rFonts w:cs="Arial"/>
              </w:rPr>
              <w:t>Low carbon</w:t>
            </w:r>
          </w:p>
          <w:p w14:paraId="6D60304C" w14:textId="77777777" w:rsidR="007C0D42" w:rsidRDefault="007C0D42" w:rsidP="00202271">
            <w:pPr>
              <w:pStyle w:val="ListParagraph"/>
              <w:numPr>
                <w:ilvl w:val="0"/>
                <w:numId w:val="33"/>
              </w:numPr>
              <w:rPr>
                <w:rFonts w:cs="Arial"/>
              </w:rPr>
            </w:pPr>
            <w:r w:rsidRPr="004024CF">
              <w:rPr>
                <w:rFonts w:cs="Arial"/>
              </w:rPr>
              <w:t>Professional and financial services</w:t>
            </w:r>
          </w:p>
          <w:p w14:paraId="6D60304D" w14:textId="77777777" w:rsidR="007C0D42" w:rsidRDefault="007C0D42" w:rsidP="00202271">
            <w:pPr>
              <w:pStyle w:val="ListParagraph"/>
              <w:numPr>
                <w:ilvl w:val="0"/>
                <w:numId w:val="33"/>
              </w:numPr>
              <w:rPr>
                <w:rFonts w:cs="Arial"/>
              </w:rPr>
            </w:pPr>
            <w:r w:rsidRPr="004024CF">
              <w:rPr>
                <w:rFonts w:cs="Arial"/>
              </w:rPr>
              <w:t>Textiles</w:t>
            </w:r>
          </w:p>
          <w:p w14:paraId="6D60304E" w14:textId="77777777" w:rsidR="007C0D42" w:rsidRPr="004024CF" w:rsidRDefault="007C0D42" w:rsidP="00202271">
            <w:pPr>
              <w:pStyle w:val="ListParagraph"/>
              <w:numPr>
                <w:ilvl w:val="0"/>
                <w:numId w:val="33"/>
              </w:numPr>
              <w:rPr>
                <w:rFonts w:cs="Arial"/>
              </w:rPr>
            </w:pPr>
            <w:r w:rsidRPr="004024CF">
              <w:rPr>
                <w:rFonts w:cs="Arial"/>
              </w:rPr>
              <w:t>Tourism and hospitality</w:t>
            </w:r>
          </w:p>
          <w:p w14:paraId="6D60304F" w14:textId="77777777" w:rsidR="007C0D42" w:rsidRPr="00AE3EBE" w:rsidRDefault="007C0D42" w:rsidP="007C0D42">
            <w:pPr>
              <w:rPr>
                <w:rFonts w:cs="Arial"/>
              </w:rPr>
            </w:pPr>
          </w:p>
          <w:p w14:paraId="6D603050" w14:textId="77777777" w:rsidR="007C0D42" w:rsidRPr="00AE3EBE" w:rsidRDefault="007C0D42" w:rsidP="007C0D42">
            <w:pPr>
              <w:rPr>
                <w:rFonts w:cs="Arial"/>
              </w:rPr>
            </w:pPr>
            <w:r w:rsidRPr="00AE3EBE">
              <w:rPr>
                <w:rFonts w:cs="Arial"/>
              </w:rPr>
              <w:t>To support the development of each sector, the LLEP has created eight Sector Growth Plans. These were prepared by a variety of expert consultants in collaboration with partners and stakeholders drawn from a wide range of backgrounds and specialisms. Each Sector Growth Plan has identified the strength, weaknesses, opportunities and threats within each sector and has created an action plan to take forward their development.</w:t>
            </w:r>
          </w:p>
          <w:p w14:paraId="6D603051" w14:textId="77777777" w:rsidR="007C0D42" w:rsidRDefault="007C0D42" w:rsidP="007C0D42">
            <w:pPr>
              <w:rPr>
                <w:rFonts w:cs="Arial"/>
              </w:rPr>
            </w:pPr>
          </w:p>
          <w:p w14:paraId="6D603052" w14:textId="77777777" w:rsidR="007C0D42" w:rsidRDefault="007C0D42" w:rsidP="007C0D42">
            <w:pPr>
              <w:rPr>
                <w:rFonts w:cs="Arial"/>
              </w:rPr>
            </w:pPr>
            <w:r>
              <w:rPr>
                <w:rFonts w:cs="Arial"/>
              </w:rPr>
              <w:t>This activity fully aligns with the LLEP’s European Structural and Investment Funds (ESIF) Strategy and our City Deal (signed March 2014).</w:t>
            </w:r>
          </w:p>
          <w:p w14:paraId="6D603053" w14:textId="77777777" w:rsidR="007C0D42" w:rsidRDefault="007C0D42" w:rsidP="007C0D42">
            <w:pPr>
              <w:rPr>
                <w:rFonts w:cs="Arial"/>
              </w:rPr>
            </w:pPr>
          </w:p>
          <w:p w14:paraId="6D603054" w14:textId="77777777" w:rsidR="007C0D42" w:rsidRDefault="007C0D42" w:rsidP="007C0D42">
            <w:pPr>
              <w:rPr>
                <w:rFonts w:cs="Arial"/>
              </w:rPr>
            </w:pPr>
            <w:r>
              <w:rPr>
                <w:rFonts w:cs="Arial"/>
              </w:rPr>
              <w:lastRenderedPageBreak/>
              <w:t>The high level objectives in our ESIF strategy that are relevant to this procurement include:</w:t>
            </w:r>
          </w:p>
          <w:p w14:paraId="6D603055" w14:textId="77777777" w:rsidR="007C0D42" w:rsidRDefault="007C0D42" w:rsidP="007C0D42">
            <w:pPr>
              <w:rPr>
                <w:rFonts w:cs="Arial"/>
              </w:rPr>
            </w:pPr>
          </w:p>
          <w:p w14:paraId="6D603056" w14:textId="77777777" w:rsidR="007C0D42" w:rsidRPr="00854425" w:rsidRDefault="007C0D42" w:rsidP="007C0D42">
            <w:pPr>
              <w:pStyle w:val="ListParagraph"/>
              <w:numPr>
                <w:ilvl w:val="0"/>
                <w:numId w:val="30"/>
              </w:numPr>
              <w:rPr>
                <w:rFonts w:cs="Arial"/>
              </w:rPr>
            </w:pPr>
            <w:r w:rsidRPr="00854425">
              <w:rPr>
                <w:rFonts w:cs="Arial"/>
              </w:rPr>
              <w:t>Reduce youth unemployment by 50% by 2018</w:t>
            </w:r>
          </w:p>
          <w:p w14:paraId="6D603057" w14:textId="77777777" w:rsidR="007C0D42" w:rsidRPr="00854425" w:rsidRDefault="007C0D42" w:rsidP="007C0D42">
            <w:pPr>
              <w:pStyle w:val="ListParagraph"/>
              <w:numPr>
                <w:ilvl w:val="0"/>
                <w:numId w:val="30"/>
              </w:numPr>
              <w:rPr>
                <w:rFonts w:cs="Arial"/>
              </w:rPr>
            </w:pPr>
            <w:r w:rsidRPr="00854425">
              <w:rPr>
                <w:rFonts w:cs="Arial"/>
              </w:rPr>
              <w:t>Reduce 16-19 NEET by 50% by 2018</w:t>
            </w:r>
          </w:p>
          <w:p w14:paraId="6D603058" w14:textId="77777777" w:rsidR="007C0D42" w:rsidRPr="00854425" w:rsidRDefault="007C0D42" w:rsidP="007C0D42">
            <w:pPr>
              <w:pStyle w:val="ListParagraph"/>
              <w:numPr>
                <w:ilvl w:val="0"/>
                <w:numId w:val="30"/>
              </w:numPr>
              <w:rPr>
                <w:rFonts w:cs="Arial"/>
              </w:rPr>
            </w:pPr>
            <w:r w:rsidRPr="00854425">
              <w:rPr>
                <w:rFonts w:cs="Arial"/>
              </w:rPr>
              <w:t>Improve employability skills amongst those seeking to enter the labour market</w:t>
            </w:r>
          </w:p>
          <w:p w14:paraId="6D603059" w14:textId="77777777" w:rsidR="007C0D42" w:rsidRPr="00854425" w:rsidRDefault="007C0D42" w:rsidP="007C0D42">
            <w:pPr>
              <w:pStyle w:val="ListParagraph"/>
              <w:numPr>
                <w:ilvl w:val="0"/>
                <w:numId w:val="30"/>
              </w:numPr>
              <w:rPr>
                <w:rFonts w:cs="Arial"/>
              </w:rPr>
            </w:pPr>
            <w:r w:rsidRPr="00854425">
              <w:rPr>
                <w:rFonts w:cs="Arial"/>
              </w:rPr>
              <w:t>Improve the match between the aspirations of young people and the opportunities in the labour market</w:t>
            </w:r>
          </w:p>
          <w:p w14:paraId="6D60305A" w14:textId="77777777" w:rsidR="007C0D42" w:rsidRDefault="007C0D42" w:rsidP="007C0D42">
            <w:pPr>
              <w:rPr>
                <w:rFonts w:cs="Arial"/>
              </w:rPr>
            </w:pPr>
          </w:p>
          <w:p w14:paraId="6D60305B" w14:textId="77777777" w:rsidR="007C0D42" w:rsidRPr="002730D8" w:rsidRDefault="007C0D42" w:rsidP="007C0D42">
            <w:pPr>
              <w:rPr>
                <w:rFonts w:cs="Arial"/>
              </w:rPr>
            </w:pPr>
            <w:r w:rsidRPr="002730D8">
              <w:rPr>
                <w:rFonts w:cs="Arial"/>
              </w:rPr>
              <w:t>Current unemployment, NEET statistics can be summarised as:</w:t>
            </w:r>
          </w:p>
          <w:p w14:paraId="6D60305C" w14:textId="77777777" w:rsidR="007C0D42" w:rsidRPr="002730D8" w:rsidRDefault="007C0D42" w:rsidP="007C0D42">
            <w:pPr>
              <w:rPr>
                <w:rFonts w:cs="Arial"/>
              </w:rPr>
            </w:pPr>
          </w:p>
          <w:p w14:paraId="6D60305D" w14:textId="77777777" w:rsidR="007C0D42" w:rsidRPr="002730D8" w:rsidRDefault="007C0D42" w:rsidP="007C0D42">
            <w:pPr>
              <w:rPr>
                <w:rFonts w:cs="Arial"/>
              </w:rPr>
            </w:pPr>
            <w:r w:rsidRPr="002730D8">
              <w:rPr>
                <w:rFonts w:cs="Arial"/>
              </w:rPr>
              <w:t>Leicester City, NEET running at 6.3% in December 2014 – 771 young people (from years 12 to 14).  A number of groups feature significantly in the NEET cohort including – 75% of teenage mothers, 14% of LLDD, 47.6% of those supervised by the youth offending team, 28.9% of looked after children.  In addition, a high proportion of white males from disadvantaged backgrounds across the City with no or low attainment levels are in the NEET cohort.</w:t>
            </w:r>
          </w:p>
          <w:p w14:paraId="6D60305E" w14:textId="77777777" w:rsidR="007C0D42" w:rsidRPr="002730D8" w:rsidRDefault="007C0D42" w:rsidP="007C0D42">
            <w:pPr>
              <w:rPr>
                <w:rFonts w:cs="Arial"/>
              </w:rPr>
            </w:pPr>
          </w:p>
          <w:p w14:paraId="6D60305F" w14:textId="77777777" w:rsidR="007C0D42" w:rsidRPr="002730D8" w:rsidRDefault="007C0D42" w:rsidP="007C0D42">
            <w:pPr>
              <w:rPr>
                <w:rFonts w:cs="Arial"/>
              </w:rPr>
            </w:pPr>
            <w:r w:rsidRPr="002730D8">
              <w:rPr>
                <w:rFonts w:cs="Arial"/>
              </w:rPr>
              <w:t>Leicestershire County, NEET running at 3.1% in December 2014 – 653 young people.  Again a number of groups feature significantly in the cohort including teenage parents, LLDD, young offenders, care leavers, looked after children.</w:t>
            </w:r>
          </w:p>
          <w:p w14:paraId="6D603060" w14:textId="77777777" w:rsidR="007C0D42" w:rsidRPr="002730D8" w:rsidRDefault="007C0D42" w:rsidP="007C0D42">
            <w:pPr>
              <w:rPr>
                <w:rFonts w:cs="Arial"/>
              </w:rPr>
            </w:pPr>
          </w:p>
          <w:p w14:paraId="6D603061" w14:textId="77777777" w:rsidR="007C0D42" w:rsidRPr="002730D8" w:rsidRDefault="007C0D42" w:rsidP="007C0D42">
            <w:pPr>
              <w:rPr>
                <w:rFonts w:cs="Arial"/>
              </w:rPr>
            </w:pPr>
            <w:r w:rsidRPr="002730D8">
              <w:rPr>
                <w:rFonts w:cs="Arial"/>
              </w:rPr>
              <w:t>Leicester City – 18-24 JSA claimants – 1,325 (2.8%) – 305 have been unemployed for over 6 months</w:t>
            </w:r>
          </w:p>
          <w:p w14:paraId="6D603062" w14:textId="77777777" w:rsidR="007C0D42" w:rsidRPr="002730D8" w:rsidRDefault="007C0D42" w:rsidP="007C0D42">
            <w:pPr>
              <w:rPr>
                <w:rFonts w:cs="Arial"/>
              </w:rPr>
            </w:pPr>
          </w:p>
          <w:p w14:paraId="6D603063" w14:textId="77777777" w:rsidR="007C0D42" w:rsidRPr="002730D8" w:rsidRDefault="007C0D42" w:rsidP="007C0D42">
            <w:pPr>
              <w:rPr>
                <w:rFonts w:cs="Arial"/>
              </w:rPr>
            </w:pPr>
            <w:r w:rsidRPr="002730D8">
              <w:rPr>
                <w:rFonts w:cs="Arial"/>
              </w:rPr>
              <w:t>Leicestershire County – 18-24 JSA claimants – 875 (1.4%) – 180 have been unemployed for over 6 months.</w:t>
            </w:r>
          </w:p>
          <w:p w14:paraId="6D603064" w14:textId="77777777" w:rsidR="007C0D42" w:rsidRPr="002730D8" w:rsidRDefault="007C0D42" w:rsidP="007C0D42">
            <w:pPr>
              <w:rPr>
                <w:rFonts w:cs="Arial"/>
              </w:rPr>
            </w:pPr>
            <w:r w:rsidRPr="002730D8">
              <w:rPr>
                <w:rFonts w:cs="Arial"/>
              </w:rPr>
              <w:t xml:space="preserve"> </w:t>
            </w:r>
          </w:p>
          <w:p w14:paraId="6D603065" w14:textId="77777777" w:rsidR="007C0D42" w:rsidRPr="002730D8" w:rsidRDefault="007C0D42" w:rsidP="007C0D42">
            <w:pPr>
              <w:rPr>
                <w:rFonts w:cs="Arial"/>
              </w:rPr>
            </w:pPr>
            <w:r w:rsidRPr="002730D8">
              <w:rPr>
                <w:rFonts w:cs="Arial"/>
              </w:rPr>
              <w:t>There is also hidden unemployed and NEET who do not feature in any of the above statistics – but partners working in the community have reported that this is an issue in our area.  The Talent Match programme has also evidenced hidden NEET in our LLEP area.</w:t>
            </w:r>
          </w:p>
          <w:p w14:paraId="6D603066" w14:textId="77777777" w:rsidR="007C0D42" w:rsidRPr="002730D8" w:rsidRDefault="007C0D42" w:rsidP="007C0D42">
            <w:pPr>
              <w:rPr>
                <w:rFonts w:cs="Arial"/>
              </w:rPr>
            </w:pPr>
          </w:p>
          <w:p w14:paraId="6D603067" w14:textId="77777777" w:rsidR="007C0D42" w:rsidRDefault="007C0D42" w:rsidP="007C0D42">
            <w:pPr>
              <w:rPr>
                <w:rFonts w:cs="Arial"/>
              </w:rPr>
            </w:pPr>
            <w:r w:rsidRPr="002730D8">
              <w:rPr>
                <w:rFonts w:cs="Arial"/>
              </w:rPr>
              <w:t>Additionally there is a wider cohort of young people currently on ESA and incapacity benefits which could also be supported through this intervention.</w:t>
            </w:r>
          </w:p>
          <w:p w14:paraId="6D603068" w14:textId="77777777" w:rsidR="007C0D42" w:rsidRDefault="007C0D42" w:rsidP="007C0D42">
            <w:pPr>
              <w:rPr>
                <w:rFonts w:cs="Arial"/>
              </w:rPr>
            </w:pPr>
          </w:p>
          <w:p w14:paraId="6D603069" w14:textId="77777777" w:rsidR="007C0D42" w:rsidRDefault="007C0D42" w:rsidP="007C0D42">
            <w:pPr>
              <w:rPr>
                <w:rFonts w:cs="Arial"/>
              </w:rPr>
            </w:pPr>
            <w:r>
              <w:rPr>
                <w:rFonts w:cs="Arial"/>
              </w:rPr>
              <w:t>T</w:t>
            </w:r>
            <w:r w:rsidRPr="00D565ED">
              <w:rPr>
                <w:rFonts w:cs="Arial"/>
              </w:rPr>
              <w:t>hrough T</w:t>
            </w:r>
            <w:r>
              <w:rPr>
                <w:rFonts w:cs="Arial"/>
              </w:rPr>
              <w:t xml:space="preserve">hematic </w:t>
            </w:r>
            <w:r w:rsidRPr="00D565ED">
              <w:rPr>
                <w:rFonts w:cs="Arial"/>
              </w:rPr>
              <w:t>O</w:t>
            </w:r>
            <w:r>
              <w:rPr>
                <w:rFonts w:cs="Arial"/>
              </w:rPr>
              <w:t xml:space="preserve">bjective </w:t>
            </w:r>
            <w:r w:rsidRPr="00D565ED">
              <w:rPr>
                <w:rFonts w:cs="Arial"/>
              </w:rPr>
              <w:t>8</w:t>
            </w:r>
            <w:r>
              <w:rPr>
                <w:rFonts w:cs="Arial"/>
              </w:rPr>
              <w:t xml:space="preserve"> of our ESIF Strategy, the LEP’s key aim</w:t>
            </w:r>
            <w:r w:rsidRPr="00D565ED">
              <w:rPr>
                <w:rFonts w:cs="Arial"/>
              </w:rPr>
              <w:t xml:space="preserve"> is to support people to enter or return to the labour market and thereby reduce unemployment. In particular, ESF </w:t>
            </w:r>
            <w:r>
              <w:rPr>
                <w:rFonts w:cs="Arial"/>
              </w:rPr>
              <w:t xml:space="preserve">will </w:t>
            </w:r>
            <w:r w:rsidRPr="00D565ED">
              <w:rPr>
                <w:rFonts w:cs="Arial"/>
              </w:rPr>
              <w:t>provide a more tailored service to those that are long term unemployed and disadvantaged groups that are at greatest risk of becoming long term unemployed. The intention is to complement mainstream provision by providing a much more holistic and bespoke service to support those that need it most.</w:t>
            </w:r>
          </w:p>
          <w:p w14:paraId="6D60306A" w14:textId="77777777" w:rsidR="000D51DE" w:rsidRPr="002833D9" w:rsidRDefault="000D51DE" w:rsidP="007C0D42">
            <w:pPr>
              <w:rPr>
                <w:rFonts w:cs="Arial"/>
                <w:lang w:eastAsia="en-GB"/>
              </w:rPr>
            </w:pPr>
          </w:p>
        </w:tc>
      </w:tr>
      <w:tr w:rsidR="00967429" w14:paraId="6D60306D" w14:textId="77777777" w:rsidTr="003B7E78">
        <w:trPr>
          <w:trHeight w:val="567"/>
        </w:trPr>
        <w:tc>
          <w:tcPr>
            <w:tcW w:w="9088" w:type="dxa"/>
            <w:shd w:val="clear" w:color="auto" w:fill="D9D9D9" w:themeFill="background1" w:themeFillShade="D9"/>
            <w:vAlign w:val="center"/>
          </w:tcPr>
          <w:p w14:paraId="6D60306C"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6D603090" w14:textId="77777777" w:rsidTr="00202271">
        <w:tc>
          <w:tcPr>
            <w:tcW w:w="9088" w:type="dxa"/>
          </w:tcPr>
          <w:p w14:paraId="6D60306E" w14:textId="77777777" w:rsidR="002E25F4" w:rsidRDefault="002E25F4" w:rsidP="00A524B5">
            <w:pPr>
              <w:rPr>
                <w:rFonts w:cs="Arial"/>
                <w:i/>
              </w:rPr>
            </w:pPr>
          </w:p>
          <w:p w14:paraId="6D60306F" w14:textId="77777777" w:rsidR="0004585A" w:rsidRDefault="005C44C5" w:rsidP="000304B2">
            <w:pPr>
              <w:ind w:left="360" w:hanging="360"/>
              <w:rPr>
                <w:b/>
              </w:rPr>
            </w:pPr>
            <w:r>
              <w:rPr>
                <w:b/>
              </w:rPr>
              <w:lastRenderedPageBreak/>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6D603070" w14:textId="77777777" w:rsidR="005C44C5" w:rsidRDefault="005C44C5" w:rsidP="000304B2">
            <w:pPr>
              <w:ind w:left="360" w:hanging="360"/>
              <w:rPr>
                <w:b/>
              </w:rPr>
            </w:pPr>
          </w:p>
          <w:p w14:paraId="6D603071"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6D603072" w14:textId="77777777" w:rsidR="000304B2" w:rsidRPr="005A1D76" w:rsidRDefault="000304B2" w:rsidP="000304B2">
            <w:pPr>
              <w:ind w:left="360" w:hanging="360"/>
              <w:rPr>
                <w:b/>
              </w:rPr>
            </w:pPr>
          </w:p>
          <w:p w14:paraId="6D603073" w14:textId="77777777" w:rsidR="005C5B32" w:rsidRDefault="005C5B32" w:rsidP="005C5B32">
            <w:pPr>
              <w:ind w:left="360" w:hanging="360"/>
            </w:pPr>
            <w:r w:rsidRPr="0082646E">
              <w:rPr>
                <w:b/>
              </w:rPr>
              <w:t>Disability</w:t>
            </w:r>
            <w:r w:rsidRPr="0082646E">
              <w:t>: A person has a disability if they disclose a disability that limits their ability to work.</w:t>
            </w:r>
          </w:p>
          <w:p w14:paraId="6D603074" w14:textId="77777777" w:rsidR="000304B2" w:rsidRPr="005A1D76" w:rsidRDefault="000304B2" w:rsidP="000304B2">
            <w:pPr>
              <w:ind w:left="360" w:hanging="360"/>
              <w:rPr>
                <w:b/>
              </w:rPr>
            </w:pPr>
          </w:p>
          <w:p w14:paraId="6D603075" w14:textId="77777777" w:rsidR="000304B2" w:rsidRPr="005A1D76"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6D603076" w14:textId="77777777" w:rsidR="00AA0B4C" w:rsidRDefault="00AA0B4C" w:rsidP="00AA0B4C">
            <w:pPr>
              <w:autoSpaceDE w:val="0"/>
              <w:autoSpaceDN w:val="0"/>
              <w:adjustRightInd w:val="0"/>
              <w:ind w:left="360" w:hanging="360"/>
            </w:pPr>
          </w:p>
          <w:p w14:paraId="6D603077" w14:textId="77777777" w:rsidR="00035FB6" w:rsidRPr="00F67261" w:rsidRDefault="00AA0B4C" w:rsidP="00035FB6">
            <w:pPr>
              <w:autoSpaceDE w:val="0"/>
              <w:autoSpaceDN w:val="0"/>
              <w:adjustRightInd w:val="0"/>
              <w:ind w:left="360" w:hanging="360"/>
            </w:pPr>
            <w:r w:rsidRPr="003E0C7F">
              <w:rPr>
                <w:b/>
              </w:rPr>
              <w:t>Employed</w:t>
            </w:r>
            <w:r w:rsidRPr="003E0C7F">
              <w:t xml:space="preserve">: </w:t>
            </w:r>
            <w:r w:rsidR="00035FB6" w:rsidRPr="00F67261">
              <w:t>People are employed if they perform work for pay, profit or family gain. People are self-employed if they work in his/her own business for the purpose of earning a profit, even if they are not making a profit or are just setting up.</w:t>
            </w:r>
          </w:p>
          <w:p w14:paraId="6D603078" w14:textId="77777777" w:rsidR="008E2A7B" w:rsidRDefault="008E2A7B" w:rsidP="000304B2">
            <w:pPr>
              <w:autoSpaceDE w:val="0"/>
              <w:autoSpaceDN w:val="0"/>
              <w:adjustRightInd w:val="0"/>
              <w:ind w:left="360" w:hanging="360"/>
              <w:rPr>
                <w:b/>
              </w:rPr>
            </w:pPr>
          </w:p>
          <w:p w14:paraId="6D603079" w14:textId="77777777" w:rsidR="008E2A7B" w:rsidRPr="003E0C7F" w:rsidRDefault="008E2A7B" w:rsidP="000304B2">
            <w:pPr>
              <w:autoSpaceDE w:val="0"/>
              <w:autoSpaceDN w:val="0"/>
              <w:adjustRightInd w:val="0"/>
              <w:ind w:left="360" w:hanging="360"/>
              <w:rPr>
                <w:b/>
              </w:rPr>
            </w:pPr>
            <w:r>
              <w:rPr>
                <w:b/>
              </w:rPr>
              <w:t xml:space="preserve">IAG: </w:t>
            </w:r>
            <w:r>
              <w:t xml:space="preserve">Information, advice and guidance service offered to </w:t>
            </w:r>
            <w:r w:rsidR="003E0C7F">
              <w:t>participants</w:t>
            </w:r>
            <w:r>
              <w:t>.</w:t>
            </w:r>
            <w:r>
              <w:rPr>
                <w:b/>
              </w:rPr>
              <w:t xml:space="preserve"> </w:t>
            </w:r>
          </w:p>
          <w:p w14:paraId="6D60307A" w14:textId="77777777" w:rsidR="003A723F" w:rsidRDefault="003A723F" w:rsidP="005A1D76">
            <w:pPr>
              <w:autoSpaceDE w:val="0"/>
              <w:autoSpaceDN w:val="0"/>
              <w:adjustRightInd w:val="0"/>
            </w:pPr>
          </w:p>
          <w:p w14:paraId="6D60307B" w14:textId="77777777" w:rsidR="005C5B32" w:rsidRDefault="005C5B32" w:rsidP="003B7E78">
            <w:pPr>
              <w:autoSpaceDE w:val="0"/>
              <w:autoSpaceDN w:val="0"/>
              <w:adjustRightInd w:val="0"/>
              <w:ind w:left="360" w:hanging="360"/>
            </w:pPr>
            <w:r w:rsidRPr="003E0C7F">
              <w:rPr>
                <w:b/>
              </w:rPr>
              <w:t>Inactive:</w:t>
            </w:r>
            <w:r>
              <w:t xml:space="preserve"> </w:t>
            </w:r>
            <w:r w:rsidR="008E2A7B" w:rsidRPr="003E0C7F">
              <w:t>Inactive are persons currently not part of the labour force (in the sense that they are not employed or unemployed according to the definitions provided).</w:t>
            </w:r>
          </w:p>
          <w:p w14:paraId="6D60307C" w14:textId="77777777" w:rsidR="005C5B32" w:rsidRDefault="005C5B32" w:rsidP="005A1D76">
            <w:pPr>
              <w:autoSpaceDE w:val="0"/>
              <w:autoSpaceDN w:val="0"/>
              <w:adjustRightInd w:val="0"/>
            </w:pPr>
          </w:p>
          <w:p w14:paraId="6D60307D" w14:textId="77777777" w:rsidR="005C5B32" w:rsidRPr="00F67261" w:rsidRDefault="005C5B32" w:rsidP="005C5B32">
            <w:pPr>
              <w:autoSpaceDE w:val="0"/>
              <w:autoSpaceDN w:val="0"/>
              <w:adjustRightInd w:val="0"/>
              <w:ind w:left="360" w:hanging="360"/>
            </w:pPr>
            <w:r w:rsidRPr="00F67261">
              <w:rPr>
                <w:b/>
              </w:rPr>
              <w:t>Job Seeking:</w:t>
            </w:r>
            <w:r w:rsidRPr="00F67261">
              <w:t xml:space="preserve"> Where applicable, persons engaged in job seeking is understood to be persons usually without work and actively seeking work.</w:t>
            </w:r>
          </w:p>
          <w:p w14:paraId="6D60307E" w14:textId="77777777" w:rsidR="005C5B32" w:rsidRPr="005A1D76" w:rsidRDefault="005C5B32" w:rsidP="005A1D76">
            <w:pPr>
              <w:autoSpaceDE w:val="0"/>
              <w:autoSpaceDN w:val="0"/>
              <w:adjustRightInd w:val="0"/>
            </w:pPr>
          </w:p>
          <w:p w14:paraId="6D60307F"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6D603080" w14:textId="77777777" w:rsidR="000304B2" w:rsidRPr="005A1D76" w:rsidRDefault="000304B2" w:rsidP="000304B2">
            <w:pPr>
              <w:autoSpaceDE w:val="0"/>
              <w:autoSpaceDN w:val="0"/>
              <w:adjustRightInd w:val="0"/>
              <w:ind w:left="360" w:hanging="360"/>
            </w:pPr>
          </w:p>
          <w:p w14:paraId="6D603081"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6D603082" w14:textId="77777777" w:rsidR="000304B2" w:rsidRPr="005A1D76" w:rsidRDefault="000304B2" w:rsidP="00C107CE">
            <w:pPr>
              <w:autoSpaceDE w:val="0"/>
              <w:autoSpaceDN w:val="0"/>
              <w:adjustRightInd w:val="0"/>
              <w:ind w:left="360" w:hanging="360"/>
            </w:pPr>
          </w:p>
          <w:p w14:paraId="6D603083"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r w:rsidR="005C5B32">
              <w:t xml:space="preserve"> or when the qualification starts if this later</w:t>
            </w:r>
            <w:r w:rsidR="000304B2" w:rsidRPr="005A1D76">
              <w:t>.</w:t>
            </w:r>
            <w:r w:rsidR="005C5B32">
              <w:t xml:space="preserve">  </w:t>
            </w:r>
          </w:p>
          <w:p w14:paraId="6D603084" w14:textId="77777777" w:rsidR="000304B2" w:rsidRPr="005A1D76" w:rsidRDefault="000304B2" w:rsidP="000304B2">
            <w:pPr>
              <w:autoSpaceDE w:val="0"/>
              <w:autoSpaceDN w:val="0"/>
              <w:adjustRightInd w:val="0"/>
              <w:ind w:left="360" w:hanging="360"/>
            </w:pPr>
          </w:p>
          <w:p w14:paraId="6D603085" w14:textId="77777777" w:rsidR="000304B2" w:rsidRPr="005A1D76" w:rsidRDefault="000304B2" w:rsidP="000304B2">
            <w:pPr>
              <w:autoSpaceDE w:val="0"/>
              <w:autoSpaceDN w:val="0"/>
              <w:adjustRightInd w:val="0"/>
              <w:ind w:left="360" w:hanging="360"/>
            </w:pPr>
            <w:r w:rsidRPr="005A1D76">
              <w:rPr>
                <w:b/>
              </w:rPr>
              <w:t xml:space="preserve">Services:  </w:t>
            </w:r>
            <w:r w:rsidRPr="005A1D76">
              <w:t>The provision of education, training or support delivered to individuals.</w:t>
            </w:r>
          </w:p>
          <w:p w14:paraId="6D603086" w14:textId="77777777" w:rsidR="000304B2" w:rsidRPr="005A1D76" w:rsidRDefault="000304B2" w:rsidP="000304B2">
            <w:pPr>
              <w:autoSpaceDE w:val="0"/>
              <w:autoSpaceDN w:val="0"/>
              <w:adjustRightInd w:val="0"/>
              <w:ind w:left="360" w:hanging="360"/>
            </w:pPr>
          </w:p>
          <w:p w14:paraId="6D603087" w14:textId="77777777" w:rsidR="000304B2" w:rsidRPr="005A1D76" w:rsidRDefault="005C5B32" w:rsidP="000304B2">
            <w:pPr>
              <w:autoSpaceDE w:val="0"/>
              <w:autoSpaceDN w:val="0"/>
              <w:adjustRightInd w:val="0"/>
              <w:ind w:left="360" w:hanging="360"/>
              <w:rPr>
                <w:color w:val="FF0000"/>
              </w:rPr>
            </w:pPr>
            <w:r>
              <w:rPr>
                <w:b/>
              </w:rPr>
              <w:t>Status</w:t>
            </w:r>
            <w:r w:rsidR="000304B2" w:rsidRPr="005A1D76">
              <w:rPr>
                <w:b/>
              </w:rPr>
              <w:t>:</w:t>
            </w:r>
            <w:r w:rsidR="000304B2" w:rsidRPr="005A1D76">
              <w:t xml:space="preserve"> Employment status and age are determined on the date of starting on the</w:t>
            </w:r>
            <w:r w:rsidR="00E82E42">
              <w:t xml:space="preserve"> Services</w:t>
            </w:r>
            <w:r w:rsidR="000304B2" w:rsidRPr="005A1D76">
              <w:t>.</w:t>
            </w:r>
            <w:r w:rsidR="000304B2" w:rsidRPr="005A1D76">
              <w:rPr>
                <w:b/>
              </w:rPr>
              <w:t xml:space="preserve"> </w:t>
            </w:r>
          </w:p>
          <w:p w14:paraId="6D603088" w14:textId="77777777" w:rsidR="000304B2" w:rsidRPr="005A1D76" w:rsidRDefault="000304B2" w:rsidP="000304B2">
            <w:pPr>
              <w:autoSpaceDE w:val="0"/>
              <w:autoSpaceDN w:val="0"/>
              <w:adjustRightInd w:val="0"/>
              <w:ind w:left="360" w:hanging="360"/>
              <w:rPr>
                <w:color w:val="FF0000"/>
              </w:rPr>
            </w:pPr>
          </w:p>
          <w:p w14:paraId="6D603089" w14:textId="77777777" w:rsidR="000304B2" w:rsidRDefault="000304B2" w:rsidP="000304B2">
            <w:pPr>
              <w:autoSpaceDE w:val="0"/>
              <w:autoSpaceDN w:val="0"/>
              <w:adjustRightInd w:val="0"/>
              <w:ind w:left="360" w:hanging="360"/>
            </w:pPr>
            <w:r w:rsidRPr="005A1D76">
              <w:rPr>
                <w:b/>
              </w:rPr>
              <w:t>Survey</w:t>
            </w:r>
            <w:r w:rsidRPr="005A1D76">
              <w:t>: Where applicable, long term sustained outcomes over 6 months will be monitored separately.  Some ESF indicators will be collected by survey by the ESF Managing Authority directly from the participants.</w:t>
            </w:r>
          </w:p>
          <w:p w14:paraId="6D60308A" w14:textId="77777777" w:rsidR="005A1D76" w:rsidRPr="005A1D76" w:rsidRDefault="005A1D76" w:rsidP="000304B2">
            <w:pPr>
              <w:autoSpaceDE w:val="0"/>
              <w:autoSpaceDN w:val="0"/>
              <w:adjustRightInd w:val="0"/>
              <w:ind w:left="360" w:hanging="360"/>
              <w:rPr>
                <w:color w:val="FF0000"/>
              </w:rPr>
            </w:pPr>
          </w:p>
          <w:p w14:paraId="6D60308B" w14:textId="77777777" w:rsidR="000304B2" w:rsidRDefault="005A1D76" w:rsidP="003E0C7F">
            <w:pPr>
              <w:autoSpaceDE w:val="0"/>
              <w:autoSpaceDN w:val="0"/>
              <w:adjustRightInd w:val="0"/>
              <w:ind w:left="360" w:hanging="360"/>
            </w:pPr>
            <w:r w:rsidRPr="005A1D76">
              <w:rPr>
                <w:b/>
              </w:rPr>
              <w:lastRenderedPageBreak/>
              <w:t>Unemployed:</w:t>
            </w:r>
            <w:r w:rsidRPr="005A1D76">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6D60308F" w14:textId="77777777" w:rsidR="00200BC6" w:rsidRPr="00590073" w:rsidRDefault="00200BC6" w:rsidP="003B7E78">
            <w:pPr>
              <w:autoSpaceDE w:val="0"/>
              <w:autoSpaceDN w:val="0"/>
              <w:adjustRightInd w:val="0"/>
            </w:pPr>
          </w:p>
        </w:tc>
      </w:tr>
      <w:tr w:rsidR="00967429" w:rsidRPr="00544738" w14:paraId="6D603092" w14:textId="77777777" w:rsidTr="003B7E78">
        <w:trPr>
          <w:trHeight w:val="567"/>
        </w:trPr>
        <w:tc>
          <w:tcPr>
            <w:tcW w:w="9088" w:type="dxa"/>
            <w:shd w:val="clear" w:color="auto" w:fill="D9D9D9" w:themeFill="background1" w:themeFillShade="D9"/>
            <w:vAlign w:val="center"/>
          </w:tcPr>
          <w:p w14:paraId="6D603091"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6D603102" w14:textId="77777777" w:rsidTr="00202271">
        <w:tc>
          <w:tcPr>
            <w:tcW w:w="9088" w:type="dxa"/>
          </w:tcPr>
          <w:p w14:paraId="6D603093" w14:textId="77777777" w:rsidR="000D51DE" w:rsidRDefault="000D51DE" w:rsidP="00A524B5">
            <w:pPr>
              <w:rPr>
                <w:rFonts w:cs="Arial"/>
                <w:b/>
              </w:rPr>
            </w:pPr>
          </w:p>
          <w:p w14:paraId="6D603094"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6D603095" w14:textId="77777777" w:rsidR="00EA180F" w:rsidRPr="001A4B05" w:rsidRDefault="00EA180F" w:rsidP="00A524B5">
            <w:pPr>
              <w:rPr>
                <w:rFonts w:cs="Arial"/>
                <w:b/>
              </w:rPr>
            </w:pPr>
          </w:p>
          <w:p w14:paraId="6D603096" w14:textId="720EB6F4"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6D603097" w14:textId="77777777" w:rsidR="00ED156A" w:rsidRPr="00D535E6" w:rsidRDefault="00ED156A" w:rsidP="00A524B5">
            <w:pPr>
              <w:rPr>
                <w:rFonts w:cs="Arial"/>
              </w:rPr>
            </w:pPr>
          </w:p>
          <w:p w14:paraId="6D603098" w14:textId="77777777" w:rsidR="0031325C" w:rsidRPr="00D535E6" w:rsidRDefault="00ED156A" w:rsidP="00A524B5">
            <w:pPr>
              <w:rPr>
                <w:rFonts w:cs="Arial"/>
                <w:b/>
                <w:i/>
              </w:rPr>
            </w:pPr>
            <w:r w:rsidRPr="00D535E6">
              <w:rPr>
                <w:rFonts w:cs="Arial"/>
                <w:b/>
                <w:i/>
              </w:rPr>
              <w:t>Capacity and readiness to deliver</w:t>
            </w:r>
          </w:p>
          <w:p w14:paraId="6D603099" w14:textId="77777777" w:rsidR="00ED156A" w:rsidRPr="00D535E6" w:rsidRDefault="00ED156A" w:rsidP="00ED156A">
            <w:pPr>
              <w:autoSpaceDE w:val="0"/>
              <w:autoSpaceDN w:val="0"/>
              <w:adjustRightInd w:val="0"/>
              <w:rPr>
                <w:rFonts w:cs="Arial"/>
              </w:rPr>
            </w:pPr>
            <w:r w:rsidRPr="00D535E6">
              <w:rPr>
                <w:rFonts w:cs="Arial"/>
              </w:rPr>
              <w:t>Candidates must have:</w:t>
            </w:r>
          </w:p>
          <w:p w14:paraId="6D60309A" w14:textId="77777777" w:rsidR="00ED156A" w:rsidRPr="00D535E6" w:rsidRDefault="00ED156A" w:rsidP="00A503FD">
            <w:pPr>
              <w:pStyle w:val="ListParagraph"/>
              <w:numPr>
                <w:ilvl w:val="0"/>
                <w:numId w:val="8"/>
              </w:numPr>
              <w:autoSpaceDE w:val="0"/>
              <w:autoSpaceDN w:val="0"/>
              <w:adjustRightInd w:val="0"/>
              <w:ind w:left="313"/>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6D60309B" w14:textId="77777777" w:rsidR="00ED156A" w:rsidRPr="00D535E6" w:rsidRDefault="00ED156A" w:rsidP="00A503FD">
            <w:pPr>
              <w:pStyle w:val="ListParagraph"/>
              <w:numPr>
                <w:ilvl w:val="0"/>
                <w:numId w:val="8"/>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6D60309C" w14:textId="77777777" w:rsidR="002F71DB" w:rsidRPr="005A1D76" w:rsidRDefault="002F71DB" w:rsidP="00A503FD">
            <w:pPr>
              <w:pStyle w:val="ListParagraph"/>
              <w:numPr>
                <w:ilvl w:val="0"/>
                <w:numId w:val="8"/>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6D60309D" w14:textId="77777777" w:rsidR="00ED156A" w:rsidRPr="002F4192" w:rsidRDefault="00ED156A" w:rsidP="00515602">
            <w:pPr>
              <w:rPr>
                <w:rFonts w:cs="Arial"/>
                <w:lang w:eastAsia="en-GB"/>
              </w:rPr>
            </w:pPr>
          </w:p>
          <w:p w14:paraId="6D60309E" w14:textId="77777777" w:rsidR="00ED156A" w:rsidRPr="005A1D76" w:rsidRDefault="00ED156A" w:rsidP="00515602">
            <w:pPr>
              <w:rPr>
                <w:rFonts w:cs="Arial"/>
                <w:b/>
                <w:i/>
                <w:lang w:eastAsia="en-GB"/>
              </w:rPr>
            </w:pPr>
            <w:r w:rsidRPr="005A1D76">
              <w:rPr>
                <w:rFonts w:cs="Arial"/>
                <w:b/>
                <w:i/>
                <w:lang w:eastAsia="en-GB"/>
              </w:rPr>
              <w:t>Track record</w:t>
            </w:r>
          </w:p>
          <w:p w14:paraId="6D60309F"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6D6030A0" w14:textId="77777777" w:rsidR="00E43DDB" w:rsidRPr="005A1D76" w:rsidRDefault="00E43DDB" w:rsidP="00515602">
            <w:pPr>
              <w:rPr>
                <w:rFonts w:cs="Arial"/>
                <w:szCs w:val="22"/>
              </w:rPr>
            </w:pPr>
          </w:p>
          <w:p w14:paraId="6D6030A1" w14:textId="77777777" w:rsidR="00E43DDB" w:rsidRPr="00E43DDB" w:rsidRDefault="00E43DDB" w:rsidP="00E43DDB">
            <w:pPr>
              <w:rPr>
                <w:rFonts w:cs="Arial"/>
                <w:b/>
                <w:i/>
                <w:lang w:eastAsia="en-GB"/>
              </w:rPr>
            </w:pPr>
            <w:r w:rsidRPr="00E43DDB">
              <w:rPr>
                <w:rFonts w:cs="Arial"/>
                <w:b/>
                <w:i/>
                <w:lang w:eastAsia="en-GB"/>
              </w:rPr>
              <w:t>Information, Advice and Guidance</w:t>
            </w:r>
          </w:p>
          <w:p w14:paraId="6D6030A2"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6D6030A3"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p>
          <w:p w14:paraId="6D6030A4" w14:textId="77777777" w:rsidR="00E43DDB" w:rsidRPr="00E43DDB" w:rsidRDefault="00E43DDB" w:rsidP="00E43DDB">
            <w:pPr>
              <w:rPr>
                <w:rFonts w:cs="Arial"/>
                <w:lang w:eastAsia="en-GB"/>
              </w:rPr>
            </w:pPr>
            <w:proofErr w:type="gramStart"/>
            <w:r w:rsidRPr="00E43DDB">
              <w:rPr>
                <w:rFonts w:cs="Arial"/>
                <w:lang w:eastAsia="en-GB"/>
              </w:rPr>
              <w:t>working</w:t>
            </w:r>
            <w:proofErr w:type="gramEnd"/>
            <w:r w:rsidRPr="00E43DDB">
              <w:rPr>
                <w:rFonts w:cs="Arial"/>
                <w:lang w:eastAsia="en-GB"/>
              </w:rPr>
              <w:t xml:space="preserve"> towards the Matrix standard.</w:t>
            </w:r>
          </w:p>
          <w:p w14:paraId="6D6030A5" w14:textId="77777777" w:rsidR="00E43DDB" w:rsidRPr="00E43DDB" w:rsidRDefault="00E43DDB" w:rsidP="00E43DDB">
            <w:pPr>
              <w:rPr>
                <w:rFonts w:cs="Arial"/>
                <w:lang w:eastAsia="en-GB"/>
              </w:rPr>
            </w:pPr>
          </w:p>
          <w:p w14:paraId="6D6030A6" w14:textId="77777777" w:rsidR="00ED156A" w:rsidRPr="005A1D76" w:rsidRDefault="002E25F4" w:rsidP="00A524B5">
            <w:pPr>
              <w:rPr>
                <w:rFonts w:cs="Arial"/>
              </w:rPr>
            </w:pPr>
            <w:r w:rsidRPr="005A1D76">
              <w:rPr>
                <w:rFonts w:cs="Arial"/>
                <w:b/>
                <w:i/>
              </w:rPr>
              <w:t>Management and quality assurance</w:t>
            </w:r>
          </w:p>
          <w:p w14:paraId="6D6030A7" w14:textId="77777777"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 xml:space="preserve">The Services must </w:t>
            </w:r>
            <w:r w:rsidRPr="005A1D76">
              <w:rPr>
                <w:rFonts w:cs="Arial"/>
              </w:rPr>
              <w:lastRenderedPageBreak/>
              <w:t>be delivered to a high quality and successful tenderers will need to have in place quality assurance and improvement processes.</w:t>
            </w:r>
          </w:p>
          <w:p w14:paraId="6D6030A8" w14:textId="77777777" w:rsidR="00B06A9F" w:rsidRPr="005A1D76" w:rsidRDefault="00B06A9F" w:rsidP="00A524B5">
            <w:pPr>
              <w:rPr>
                <w:rFonts w:cs="Arial"/>
              </w:rPr>
            </w:pPr>
          </w:p>
          <w:p w14:paraId="6D6030A9" w14:textId="1F3E29F1" w:rsidR="00B06A9F" w:rsidRPr="005A1D76" w:rsidRDefault="00B06A9F" w:rsidP="00515602">
            <w:pPr>
              <w:rPr>
                <w:rFonts w:cs="Arial"/>
              </w:rPr>
            </w:pPr>
            <w:r w:rsidRPr="005A1D76">
              <w:rPr>
                <w:rFonts w:cs="Arial"/>
              </w:rPr>
              <w:t>The Service needs to be flexible and responsive to the changing economic and political landscape and take into consideration that the approach and associated processes may change during the life of this contract.  Therefore Candidates will be expected to be able to cha</w:t>
            </w:r>
            <w:r w:rsidR="00E231E9">
              <w:rPr>
                <w:rFonts w:cs="Arial"/>
              </w:rPr>
              <w:t>nge the delivery of the Service</w:t>
            </w:r>
            <w:r w:rsidRPr="005A1D76">
              <w:rPr>
                <w:rFonts w:cs="Arial"/>
              </w:rPr>
              <w:t xml:space="preserve"> accordingly.  </w:t>
            </w:r>
          </w:p>
          <w:p w14:paraId="6D6030AA" w14:textId="77777777" w:rsidR="001A4B05" w:rsidRPr="005A1D76" w:rsidRDefault="001A4B05" w:rsidP="00A524B5">
            <w:pPr>
              <w:rPr>
                <w:rFonts w:cs="Arial"/>
              </w:rPr>
            </w:pPr>
          </w:p>
          <w:p w14:paraId="6D6030AB" w14:textId="77777777" w:rsidR="002E25F4" w:rsidRPr="005A1D76" w:rsidRDefault="002E25F4" w:rsidP="00A524B5">
            <w:pPr>
              <w:rPr>
                <w:rFonts w:cs="Arial"/>
              </w:rPr>
            </w:pPr>
            <w:r w:rsidRPr="005A1D76">
              <w:rPr>
                <w:rFonts w:cs="Arial"/>
                <w:b/>
                <w:i/>
              </w:rPr>
              <w:t>Partnership working</w:t>
            </w:r>
          </w:p>
          <w:p w14:paraId="6D6030AC"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6D6030AD" w14:textId="77777777" w:rsidR="002E25F4" w:rsidRPr="005A1D76" w:rsidRDefault="002E25F4" w:rsidP="00A524B5">
            <w:pPr>
              <w:rPr>
                <w:rFonts w:cs="Arial"/>
              </w:rPr>
            </w:pPr>
          </w:p>
          <w:p w14:paraId="6D6030AE"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6D6030AF" w14:textId="77777777" w:rsidR="00ED156A" w:rsidRPr="006C64F5" w:rsidRDefault="00ED156A" w:rsidP="00A524B5">
            <w:pPr>
              <w:rPr>
                <w:rFonts w:cs="Arial"/>
                <w:highlight w:val="yellow"/>
              </w:rPr>
            </w:pPr>
          </w:p>
          <w:p w14:paraId="6D6030B0" w14:textId="77777777" w:rsidR="00603F09" w:rsidRDefault="00ED156A" w:rsidP="00C107CE">
            <w:pPr>
              <w:autoSpaceDE w:val="0"/>
              <w:autoSpaceDN w:val="0"/>
              <w:adjustRightInd w:val="0"/>
              <w:rPr>
                <w:rFonts w:cs="Arial"/>
              </w:rPr>
            </w:pPr>
            <w:r w:rsidRPr="00BC7F87">
              <w:rPr>
                <w:rFonts w:cs="Arial"/>
              </w:rPr>
              <w:t>Candidates will be required to establish linkages with and have an understanding of, local stakeholder needs and develop strong links with the key stakeholders.</w:t>
            </w:r>
          </w:p>
          <w:p w14:paraId="6D6030B1"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6D6030B2" w14:textId="77777777" w:rsidR="000E66D3" w:rsidRDefault="000E66D3" w:rsidP="00A524B5">
            <w:pPr>
              <w:rPr>
                <w:rFonts w:cs="Arial"/>
              </w:rPr>
            </w:pPr>
          </w:p>
          <w:p w14:paraId="6D6030B3" w14:textId="77777777" w:rsidR="002E25F4" w:rsidRPr="00BC7F87" w:rsidRDefault="002E25F4" w:rsidP="00A524B5">
            <w:pPr>
              <w:rPr>
                <w:rFonts w:cs="Arial"/>
              </w:rPr>
            </w:pPr>
            <w:r w:rsidRPr="00BC7F87">
              <w:rPr>
                <w:rFonts w:cs="Arial"/>
                <w:b/>
                <w:i/>
              </w:rPr>
              <w:t>Market intelligence and local knowledge</w:t>
            </w:r>
          </w:p>
          <w:p w14:paraId="6D6030B4" w14:textId="6AA63C13" w:rsidR="002E25F4" w:rsidRPr="00BC7F87" w:rsidRDefault="00E231E9" w:rsidP="00BC7F87">
            <w:pPr>
              <w:autoSpaceDE w:val="0"/>
              <w:autoSpaceDN w:val="0"/>
              <w:adjustRightInd w:val="0"/>
              <w:ind w:left="29"/>
              <w:rPr>
                <w:rFonts w:cs="Arial"/>
                <w:strike/>
                <w:szCs w:val="22"/>
                <w:highlight w:val="yellow"/>
              </w:rPr>
            </w:pPr>
            <w:r>
              <w:rPr>
                <w:rFonts w:cs="Arial"/>
              </w:rPr>
              <w:t>The delivery of the Service</w:t>
            </w:r>
            <w:r w:rsidR="002E25F4" w:rsidRPr="00BC7F87">
              <w:rPr>
                <w:rFonts w:cs="Arial"/>
              </w:rPr>
              <w:t xml:space="preserve">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6D6030B5" w14:textId="77777777" w:rsidR="00812EC6" w:rsidRPr="00BC7F87" w:rsidRDefault="00812EC6" w:rsidP="00A524B5">
            <w:pPr>
              <w:rPr>
                <w:rFonts w:cs="Arial"/>
              </w:rPr>
            </w:pPr>
          </w:p>
          <w:p w14:paraId="6D6030B6"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6D6030B7"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6D6030B8" w14:textId="77777777" w:rsidR="002E25F4" w:rsidRPr="00BC7F87" w:rsidRDefault="002E25F4" w:rsidP="00A524B5">
            <w:pPr>
              <w:rPr>
                <w:rFonts w:cs="Arial"/>
              </w:rPr>
            </w:pPr>
          </w:p>
          <w:p w14:paraId="6D6030B9" w14:textId="77777777" w:rsidR="002E25F4" w:rsidRPr="00BC7F87" w:rsidRDefault="002E25F4" w:rsidP="00A524B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 xml:space="preserve">of </w:t>
            </w:r>
            <w:r w:rsidR="006B0A4D" w:rsidRPr="00BC7F87">
              <w:rPr>
                <w:rFonts w:cs="Arial"/>
              </w:rPr>
              <w:t>projects in the LEP area in the future</w:t>
            </w:r>
            <w:r w:rsidRPr="00BC7F87">
              <w:rPr>
                <w:rFonts w:cs="Arial"/>
                <w:strike/>
              </w:rPr>
              <w:t xml:space="preserve"> </w:t>
            </w:r>
          </w:p>
          <w:p w14:paraId="6D6030BA" w14:textId="77777777" w:rsidR="00204794" w:rsidRDefault="00204794" w:rsidP="009E7A30">
            <w:pPr>
              <w:rPr>
                <w:rFonts w:cs="Arial"/>
              </w:rPr>
            </w:pPr>
          </w:p>
          <w:p w14:paraId="6D6030BB" w14:textId="77777777" w:rsidR="00B85F61" w:rsidRPr="00466FA7" w:rsidRDefault="00EA180F" w:rsidP="009E7A30">
            <w:pPr>
              <w:rPr>
                <w:rFonts w:cs="Arial"/>
                <w:b/>
                <w:i/>
              </w:rPr>
            </w:pPr>
            <w:r>
              <w:rPr>
                <w:rFonts w:cs="Arial"/>
                <w:b/>
              </w:rPr>
              <w:t>Specific Service Requirements</w:t>
            </w:r>
          </w:p>
          <w:p w14:paraId="6D6030BC" w14:textId="77777777" w:rsidR="00204794" w:rsidRDefault="00204794" w:rsidP="009E7A30">
            <w:pPr>
              <w:rPr>
                <w:rFonts w:cs="Arial"/>
                <w:b/>
              </w:rPr>
            </w:pPr>
          </w:p>
          <w:p w14:paraId="6D6030BD" w14:textId="406CF614" w:rsidR="003F1A71" w:rsidRPr="00143BCC" w:rsidRDefault="003F1A71" w:rsidP="003F1A71">
            <w:pPr>
              <w:rPr>
                <w:rFonts w:cs="Arial"/>
                <w:b/>
              </w:rPr>
            </w:pPr>
            <w:r w:rsidRPr="00143BCC">
              <w:rPr>
                <w:rFonts w:cs="Arial"/>
                <w:b/>
              </w:rPr>
              <w:lastRenderedPageBreak/>
              <w:t>CAREERS EDUCATION INFORMATION ADVICE AND GUIDANCE</w:t>
            </w:r>
            <w:r w:rsidR="0037436D">
              <w:rPr>
                <w:rFonts w:cs="Arial"/>
                <w:b/>
              </w:rPr>
              <w:t xml:space="preserve"> THEME</w:t>
            </w:r>
            <w:r w:rsidRPr="00143BCC">
              <w:rPr>
                <w:rFonts w:cs="Arial"/>
                <w:b/>
              </w:rPr>
              <w:t xml:space="preserve"> (IAG)</w:t>
            </w:r>
          </w:p>
          <w:p w14:paraId="6D6030BE" w14:textId="77777777" w:rsidR="003F1A71" w:rsidRDefault="003F1A71" w:rsidP="003F1A71">
            <w:pPr>
              <w:rPr>
                <w:rFonts w:cs="Arial"/>
                <w:b/>
              </w:rPr>
            </w:pPr>
          </w:p>
          <w:p w14:paraId="6D6030BF" w14:textId="36AC7ABF" w:rsidR="005879C6" w:rsidRDefault="005879C6" w:rsidP="005879C6">
            <w:pPr>
              <w:pStyle w:val="BodyText"/>
              <w:tabs>
                <w:tab w:val="left" w:pos="360"/>
              </w:tabs>
              <w:spacing w:after="0"/>
              <w:rPr>
                <w:rFonts w:ascii="Arial" w:hAnsi="Arial" w:cs="Arial"/>
              </w:rPr>
            </w:pPr>
            <w:r w:rsidRPr="000535BF">
              <w:rPr>
                <w:rFonts w:ascii="Arial" w:hAnsi="Arial" w:cs="Arial"/>
              </w:rPr>
              <w:t>Th</w:t>
            </w:r>
            <w:r w:rsidR="00E231E9">
              <w:rPr>
                <w:rFonts w:ascii="Arial" w:hAnsi="Arial" w:cs="Arial"/>
              </w:rPr>
              <w:t>e Service</w:t>
            </w:r>
            <w:r>
              <w:rPr>
                <w:rFonts w:ascii="Arial" w:hAnsi="Arial" w:cs="Arial"/>
              </w:rPr>
              <w:t xml:space="preserve"> must support young people aged 16 to 24 who are NEET, unemployed or inactive into employment, with at least 35% s</w:t>
            </w:r>
            <w:r w:rsidR="00E231E9">
              <w:rPr>
                <w:rFonts w:ascii="Arial" w:hAnsi="Arial" w:cs="Arial"/>
              </w:rPr>
              <w:t>ecuring employment. The Service</w:t>
            </w:r>
            <w:r>
              <w:rPr>
                <w:rFonts w:ascii="Arial" w:hAnsi="Arial" w:cs="Arial"/>
              </w:rPr>
              <w:t xml:space="preserve"> must target those who are long-term unemployed or at risk of becoming long-term unemployed. </w:t>
            </w:r>
          </w:p>
          <w:p w14:paraId="6D6030C0" w14:textId="77777777" w:rsidR="005879C6" w:rsidRDefault="005879C6" w:rsidP="005879C6">
            <w:pPr>
              <w:pStyle w:val="BodyText"/>
              <w:tabs>
                <w:tab w:val="left" w:pos="360"/>
              </w:tabs>
              <w:spacing w:after="0"/>
              <w:rPr>
                <w:rFonts w:ascii="Arial" w:hAnsi="Arial" w:cs="Arial"/>
              </w:rPr>
            </w:pPr>
          </w:p>
          <w:p w14:paraId="6D6030C1" w14:textId="6A3E45E1" w:rsidR="003F1A71" w:rsidRDefault="005879C6" w:rsidP="00202271">
            <w:pPr>
              <w:pStyle w:val="BodyText"/>
              <w:tabs>
                <w:tab w:val="left" w:pos="360"/>
              </w:tabs>
              <w:spacing w:after="0"/>
              <w:rPr>
                <w:rFonts w:cs="Arial"/>
              </w:rPr>
            </w:pPr>
            <w:r>
              <w:rPr>
                <w:rFonts w:ascii="Arial" w:hAnsi="Arial" w:cs="Arial"/>
              </w:rPr>
              <w:t>The S</w:t>
            </w:r>
            <w:r w:rsidR="00E231E9">
              <w:rPr>
                <w:rFonts w:ascii="Arial" w:hAnsi="Arial" w:cs="Arial"/>
              </w:rPr>
              <w:t>ervice</w:t>
            </w:r>
            <w:r>
              <w:rPr>
                <w:rFonts w:ascii="Arial" w:hAnsi="Arial" w:cs="Arial"/>
              </w:rPr>
              <w:t xml:space="preserve"> must support young people into sustained employment and into further learning or training.   </w:t>
            </w:r>
          </w:p>
          <w:p w14:paraId="6D6030C2" w14:textId="77777777" w:rsidR="005879C6" w:rsidRDefault="005879C6" w:rsidP="00202271">
            <w:pPr>
              <w:pStyle w:val="BodyText"/>
              <w:tabs>
                <w:tab w:val="left" w:pos="360"/>
              </w:tabs>
              <w:spacing w:after="0"/>
              <w:rPr>
                <w:rFonts w:cs="Arial"/>
              </w:rPr>
            </w:pPr>
          </w:p>
          <w:p w14:paraId="6D6030C3" w14:textId="666354B1" w:rsidR="005879C6" w:rsidRDefault="00202271" w:rsidP="00202271">
            <w:pPr>
              <w:pStyle w:val="BodyText"/>
              <w:tabs>
                <w:tab w:val="left" w:pos="360"/>
              </w:tabs>
              <w:spacing w:after="0"/>
              <w:rPr>
                <w:rFonts w:cs="Arial"/>
              </w:rPr>
            </w:pPr>
            <w:r>
              <w:rPr>
                <w:rFonts w:ascii="Arial" w:hAnsi="Arial" w:cs="Arial"/>
              </w:rPr>
              <w:t xml:space="preserve">The </w:t>
            </w:r>
            <w:r w:rsidR="00E231E9">
              <w:rPr>
                <w:rFonts w:ascii="Arial" w:hAnsi="Arial" w:cs="Arial"/>
              </w:rPr>
              <w:t>Service</w:t>
            </w:r>
            <w:r w:rsidR="005879C6">
              <w:rPr>
                <w:rFonts w:ascii="Arial" w:hAnsi="Arial" w:cs="Arial"/>
              </w:rPr>
              <w:t xml:space="preserve"> must </w:t>
            </w:r>
            <w:r w:rsidR="005879C6" w:rsidRPr="00E90169">
              <w:rPr>
                <w:rFonts w:ascii="Arial" w:hAnsi="Arial" w:cs="Arial"/>
              </w:rPr>
              <w:t xml:space="preserve">provide </w:t>
            </w:r>
            <w:r w:rsidR="005879C6">
              <w:rPr>
                <w:rFonts w:ascii="Arial" w:hAnsi="Arial" w:cs="Arial"/>
              </w:rPr>
              <w:t xml:space="preserve">a </w:t>
            </w:r>
            <w:r w:rsidR="005879C6" w:rsidRPr="00E90169">
              <w:rPr>
                <w:rFonts w:ascii="Arial" w:hAnsi="Arial" w:cs="Arial"/>
              </w:rPr>
              <w:t>high quality Information Advice and Guidance</w:t>
            </w:r>
            <w:r w:rsidR="005879C6">
              <w:rPr>
                <w:rFonts w:ascii="Arial" w:hAnsi="Arial" w:cs="Arial"/>
              </w:rPr>
              <w:t xml:space="preserve"> service</w:t>
            </w:r>
            <w:r w:rsidR="005879C6" w:rsidRPr="00E90169">
              <w:rPr>
                <w:rFonts w:ascii="Arial" w:hAnsi="Arial" w:cs="Arial"/>
              </w:rPr>
              <w:t>, allocating case workers to support young people into employment</w:t>
            </w:r>
            <w:r w:rsidR="005879C6">
              <w:rPr>
                <w:rFonts w:ascii="Arial" w:hAnsi="Arial" w:cs="Arial"/>
              </w:rPr>
              <w:t>.</w:t>
            </w:r>
          </w:p>
          <w:p w14:paraId="6D6030C4" w14:textId="77777777" w:rsidR="005879C6" w:rsidRPr="00202271" w:rsidRDefault="005879C6" w:rsidP="00202271">
            <w:pPr>
              <w:pStyle w:val="BodyText"/>
              <w:tabs>
                <w:tab w:val="left" w:pos="360"/>
              </w:tabs>
              <w:spacing w:after="0"/>
              <w:rPr>
                <w:rFonts w:cs="Arial"/>
                <w:highlight w:val="yellow"/>
              </w:rPr>
            </w:pPr>
          </w:p>
          <w:p w14:paraId="6D6030C5" w14:textId="3C3F6E50" w:rsidR="003F1A71" w:rsidRDefault="003F1A71" w:rsidP="003F1A71">
            <w:pPr>
              <w:rPr>
                <w:rFonts w:cs="Arial"/>
              </w:rPr>
            </w:pPr>
            <w:r>
              <w:rPr>
                <w:rFonts w:cs="Arial"/>
              </w:rPr>
              <w:t>The S</w:t>
            </w:r>
            <w:r w:rsidR="00E231E9">
              <w:rPr>
                <w:rFonts w:cs="Arial"/>
              </w:rPr>
              <w:t>ervice</w:t>
            </w:r>
            <w:r>
              <w:rPr>
                <w:rFonts w:cs="Arial"/>
              </w:rPr>
              <w:t xml:space="preserve"> must not duplicate the service delivered under the National Careers Service contract but must add value to those services. </w:t>
            </w:r>
            <w:r w:rsidR="00E231E9">
              <w:rPr>
                <w:rFonts w:cs="Arial"/>
              </w:rPr>
              <w:t xml:space="preserve"> The Service</w:t>
            </w:r>
            <w:r w:rsidR="005879C6">
              <w:rPr>
                <w:rFonts w:cs="Arial"/>
              </w:rPr>
              <w:t xml:space="preserve"> should link with current mainstream provision in the area.</w:t>
            </w:r>
            <w:r>
              <w:rPr>
                <w:rFonts w:cs="Arial"/>
              </w:rPr>
              <w:t xml:space="preserve"> </w:t>
            </w:r>
          </w:p>
          <w:p w14:paraId="6D6030C6" w14:textId="77777777" w:rsidR="003F1A71" w:rsidRDefault="003F1A71" w:rsidP="003F1A71">
            <w:pPr>
              <w:rPr>
                <w:rFonts w:cs="Arial"/>
              </w:rPr>
            </w:pPr>
          </w:p>
          <w:p w14:paraId="6D6030C7" w14:textId="33887A12" w:rsidR="003F1A71" w:rsidRDefault="00E231E9" w:rsidP="003F1A71">
            <w:pPr>
              <w:rPr>
                <w:rFonts w:cs="Arial"/>
              </w:rPr>
            </w:pPr>
            <w:r>
              <w:rPr>
                <w:rFonts w:cs="Arial"/>
              </w:rPr>
              <w:t>The Service</w:t>
            </w:r>
            <w:r w:rsidR="003F1A71">
              <w:rPr>
                <w:rFonts w:cs="Arial"/>
              </w:rPr>
              <w:t xml:space="preserve"> must provide continuing development and further dissemination of high quality information, advice and guidance regardin</w:t>
            </w:r>
            <w:r>
              <w:rPr>
                <w:rFonts w:cs="Arial"/>
              </w:rPr>
              <w:t>g career pathways.  The Service</w:t>
            </w:r>
            <w:r w:rsidR="003F1A71">
              <w:rPr>
                <w:rFonts w:cs="Arial"/>
              </w:rPr>
              <w:t xml:space="preserve"> must</w:t>
            </w:r>
            <w:r w:rsidR="003F1A71" w:rsidRPr="00AE21E1">
              <w:rPr>
                <w:rFonts w:cs="Arial"/>
              </w:rPr>
              <w:t xml:space="preserve"> </w:t>
            </w:r>
            <w:r w:rsidR="003F1A71">
              <w:rPr>
                <w:rFonts w:cs="Arial"/>
              </w:rPr>
              <w:t>provide high quality advice regarding career pathways in the LEP’s econom</w:t>
            </w:r>
            <w:r>
              <w:rPr>
                <w:rFonts w:cs="Arial"/>
              </w:rPr>
              <w:t>ic growth sectors.  The Service</w:t>
            </w:r>
            <w:r w:rsidR="003F1A71">
              <w:rPr>
                <w:rFonts w:cs="Arial"/>
              </w:rPr>
              <w:t xml:space="preserve"> must be flexible in order to respond to participants’ personal ambitions and the changing needs of </w:t>
            </w:r>
            <w:r>
              <w:rPr>
                <w:rFonts w:cs="Arial"/>
              </w:rPr>
              <w:t xml:space="preserve">the local economy. The Service </w:t>
            </w:r>
            <w:r w:rsidR="003F1A71">
              <w:rPr>
                <w:rFonts w:cs="Arial"/>
              </w:rPr>
              <w:t xml:space="preserve">must be made available to </w:t>
            </w:r>
            <w:r w:rsidR="003F1A71" w:rsidRPr="001672E8">
              <w:rPr>
                <w:rFonts w:cs="Arial"/>
              </w:rPr>
              <w:t>individuals, groups and areas which are disadvantaged</w:t>
            </w:r>
            <w:r w:rsidR="003F1A71">
              <w:rPr>
                <w:rFonts w:cs="Arial"/>
              </w:rPr>
              <w:t xml:space="preserve">. </w:t>
            </w:r>
          </w:p>
          <w:p w14:paraId="6D6030C8" w14:textId="77777777" w:rsidR="003F1A71" w:rsidRDefault="003F1A71" w:rsidP="003F1A71">
            <w:pPr>
              <w:rPr>
                <w:rFonts w:cs="Arial"/>
              </w:rPr>
            </w:pPr>
          </w:p>
          <w:p w14:paraId="6D6030C9" w14:textId="52D68033" w:rsidR="003F1A71" w:rsidRDefault="00E231E9" w:rsidP="003F1A71">
            <w:pPr>
              <w:autoSpaceDE w:val="0"/>
              <w:autoSpaceDN w:val="0"/>
              <w:adjustRightInd w:val="0"/>
              <w:rPr>
                <w:rFonts w:cs="Arial"/>
              </w:rPr>
            </w:pPr>
            <w:r>
              <w:rPr>
                <w:rFonts w:cs="Arial"/>
              </w:rPr>
              <w:t>The Service</w:t>
            </w:r>
            <w:r w:rsidR="003F1A71">
              <w:rPr>
                <w:rFonts w:cs="Arial"/>
              </w:rPr>
              <w:t xml:space="preserve"> must be innovative in providing enhanced IAG to individuals who wish to progress but, at present, lack the ability to understand any clear progression routes either within their current industry o</w:t>
            </w:r>
            <w:r>
              <w:rPr>
                <w:rFonts w:cs="Arial"/>
              </w:rPr>
              <w:t>r a different one.  The Service</w:t>
            </w:r>
            <w:r w:rsidR="003F1A71">
              <w:rPr>
                <w:rFonts w:cs="Arial"/>
              </w:rPr>
              <w:t xml:space="preserve"> must  also support activities which inspire participants into making better informed career choices at key transition points in their lives including by getting employers to work more closely with schools and colleges, preparing and inspiring the workforce of the future. </w:t>
            </w:r>
          </w:p>
          <w:p w14:paraId="6D6030CA" w14:textId="77777777" w:rsidR="003F1A71" w:rsidRPr="004E4ABA" w:rsidRDefault="003F1A71" w:rsidP="003F1A71">
            <w:pPr>
              <w:rPr>
                <w:rFonts w:cs="Arial"/>
              </w:rPr>
            </w:pPr>
            <w:r>
              <w:rPr>
                <w:rFonts w:cs="Arial"/>
              </w:rPr>
              <w:t xml:space="preserve"> </w:t>
            </w:r>
          </w:p>
          <w:p w14:paraId="6D6030CB" w14:textId="18FA10F7" w:rsidR="003F1A71" w:rsidRDefault="003F1A71" w:rsidP="003B7E78">
            <w:pPr>
              <w:autoSpaceDE w:val="0"/>
              <w:autoSpaceDN w:val="0"/>
              <w:adjustRightInd w:val="0"/>
              <w:rPr>
                <w:rFonts w:cs="Arial"/>
              </w:rPr>
            </w:pPr>
            <w:r w:rsidRPr="004E4ABA">
              <w:rPr>
                <w:rFonts w:cs="Arial"/>
              </w:rPr>
              <w:t xml:space="preserve">The </w:t>
            </w:r>
            <w:r w:rsidR="00E231E9">
              <w:rPr>
                <w:rFonts w:cs="Arial"/>
              </w:rPr>
              <w:t>Service</w:t>
            </w:r>
            <w:r>
              <w:rPr>
                <w:rFonts w:cs="Arial"/>
              </w:rPr>
              <w:t xml:space="preserve"> must </w:t>
            </w:r>
            <w:r w:rsidRPr="004E4ABA">
              <w:rPr>
                <w:rFonts w:cs="Arial"/>
              </w:rPr>
              <w:t>support enhanced careers provision and better links with employers, building upon the work already undertaken by the National Careers Service</w:t>
            </w:r>
            <w:r w:rsidR="00E231E9">
              <w:rPr>
                <w:rFonts w:cs="Arial"/>
              </w:rPr>
              <w:t>.  The Service</w:t>
            </w:r>
            <w:r>
              <w:rPr>
                <w:rFonts w:cs="Arial"/>
              </w:rPr>
              <w:t xml:space="preserve"> must provide an enhanced careers service to particular target groups.  </w:t>
            </w:r>
          </w:p>
          <w:p w14:paraId="6D6030CC" w14:textId="77777777" w:rsidR="003F1A71" w:rsidRDefault="003F1A71" w:rsidP="003F1A71">
            <w:pPr>
              <w:pStyle w:val="ListParagraph"/>
              <w:ind w:left="61"/>
              <w:rPr>
                <w:rFonts w:cs="Arial"/>
              </w:rPr>
            </w:pPr>
          </w:p>
          <w:p w14:paraId="6D6030CD" w14:textId="77777777" w:rsidR="003F1A71" w:rsidRPr="00202271" w:rsidRDefault="003F1A71" w:rsidP="003B7E78">
            <w:pPr>
              <w:autoSpaceDE w:val="0"/>
              <w:autoSpaceDN w:val="0"/>
              <w:adjustRightInd w:val="0"/>
              <w:rPr>
                <w:rFonts w:cs="Arial"/>
              </w:rPr>
            </w:pPr>
            <w:r w:rsidRPr="00202271">
              <w:rPr>
                <w:rFonts w:cs="Arial"/>
              </w:rPr>
              <w:t xml:space="preserve">The successful Candidate must conduct research to inform service improvements and provide peer information, advice, signposting and referral to the NCS service. </w:t>
            </w:r>
          </w:p>
          <w:p w14:paraId="6D6030CE" w14:textId="77777777" w:rsidR="003F1A71" w:rsidRPr="004E4ABA" w:rsidRDefault="003F1A71" w:rsidP="003F1A71">
            <w:pPr>
              <w:rPr>
                <w:rFonts w:cs="Arial"/>
                <w:b/>
              </w:rPr>
            </w:pPr>
          </w:p>
          <w:p w14:paraId="6D6030CF" w14:textId="09F2F138" w:rsidR="003F1A71" w:rsidRDefault="003F1A71" w:rsidP="003F1A71">
            <w:pPr>
              <w:rPr>
                <w:rFonts w:cs="Arial"/>
              </w:rPr>
            </w:pPr>
            <w:r w:rsidRPr="004E4ABA">
              <w:rPr>
                <w:rFonts w:cs="Arial"/>
              </w:rPr>
              <w:t xml:space="preserve">The </w:t>
            </w:r>
            <w:r>
              <w:rPr>
                <w:rFonts w:cs="Arial"/>
              </w:rPr>
              <w:t xml:space="preserve">Service </w:t>
            </w:r>
            <w:r w:rsidRPr="004E4ABA">
              <w:rPr>
                <w:rFonts w:cs="Arial"/>
              </w:rPr>
              <w:t xml:space="preserve">provision </w:t>
            </w:r>
            <w:r>
              <w:rPr>
                <w:rFonts w:cs="Arial"/>
              </w:rPr>
              <w:t>must</w:t>
            </w:r>
            <w:r w:rsidRPr="004E4ABA">
              <w:rPr>
                <w:rFonts w:cs="Arial"/>
              </w:rPr>
              <w:t xml:space="preserve"> invest in building capacity in the community to increase access to and engagement with the careers advice.  </w:t>
            </w:r>
            <w:r w:rsidR="00E231E9">
              <w:rPr>
                <w:rFonts w:cs="Arial"/>
              </w:rPr>
              <w:t>The Service</w:t>
            </w:r>
            <w:r>
              <w:rPr>
                <w:rFonts w:cs="Arial"/>
              </w:rPr>
              <w:t xml:space="preserve"> will provide enhanced careers provision for priority groups which seeks to progress individuals into </w:t>
            </w:r>
            <w:r w:rsidRPr="004E4ABA">
              <w:rPr>
                <w:rFonts w:cs="Arial"/>
              </w:rPr>
              <w:t>non accredited training to address identified need, voluntary work, one to one coaching in voluntary or paid work</w:t>
            </w:r>
          </w:p>
          <w:p w14:paraId="6D6030D0" w14:textId="77777777" w:rsidR="003F1A71" w:rsidRPr="00E90169" w:rsidRDefault="003F1A71" w:rsidP="003F1A71">
            <w:pPr>
              <w:pStyle w:val="NoSpacing"/>
              <w:rPr>
                <w:rFonts w:ascii="Arial" w:hAnsi="Arial" w:cs="Arial"/>
              </w:rPr>
            </w:pPr>
          </w:p>
          <w:p w14:paraId="6D6030D1" w14:textId="307CC7E3" w:rsidR="003F1A71" w:rsidRPr="00E90169" w:rsidRDefault="00B871CB" w:rsidP="00202271">
            <w:pPr>
              <w:pStyle w:val="BodyText"/>
              <w:tabs>
                <w:tab w:val="left" w:pos="360"/>
              </w:tabs>
              <w:spacing w:after="0"/>
              <w:rPr>
                <w:rFonts w:ascii="Arial" w:hAnsi="Arial" w:cs="Arial"/>
                <w:b/>
              </w:rPr>
            </w:pPr>
            <w:r>
              <w:rPr>
                <w:rFonts w:ascii="Arial" w:hAnsi="Arial" w:cs="Arial"/>
              </w:rPr>
              <w:lastRenderedPageBreak/>
              <w:t xml:space="preserve">The Service will receive referrals from </w:t>
            </w:r>
            <w:r w:rsidR="003F1A71" w:rsidRPr="00E90169">
              <w:rPr>
                <w:rFonts w:ascii="Arial" w:hAnsi="Arial" w:cs="Arial"/>
              </w:rPr>
              <w:t xml:space="preserve">DWP, Connexions/Prospects, National Careers Service and </w:t>
            </w:r>
            <w:r>
              <w:rPr>
                <w:rFonts w:ascii="Arial" w:hAnsi="Arial" w:cs="Arial"/>
              </w:rPr>
              <w:t xml:space="preserve">the </w:t>
            </w:r>
            <w:r w:rsidR="003F1A71" w:rsidRPr="00E90169">
              <w:rPr>
                <w:rFonts w:ascii="Arial" w:hAnsi="Arial" w:cs="Arial"/>
              </w:rPr>
              <w:t xml:space="preserve">VCS sector. Young people </w:t>
            </w:r>
            <w:r w:rsidR="003F1A71">
              <w:rPr>
                <w:rFonts w:ascii="Arial" w:hAnsi="Arial" w:cs="Arial"/>
              </w:rPr>
              <w:t>will also</w:t>
            </w:r>
            <w:r w:rsidR="003F1A71" w:rsidRPr="00E90169">
              <w:rPr>
                <w:rFonts w:ascii="Arial" w:hAnsi="Arial" w:cs="Arial"/>
              </w:rPr>
              <w:t xml:space="preserve"> access the service directly. </w:t>
            </w:r>
          </w:p>
          <w:p w14:paraId="6D6030D2" w14:textId="77777777" w:rsidR="003F1A71" w:rsidRPr="00E90169" w:rsidRDefault="003F1A71" w:rsidP="003F1A71">
            <w:pPr>
              <w:pStyle w:val="NoSpacing"/>
              <w:rPr>
                <w:rFonts w:ascii="Arial" w:hAnsi="Arial" w:cs="Arial"/>
              </w:rPr>
            </w:pPr>
          </w:p>
          <w:p w14:paraId="6D6030D3" w14:textId="1379CBE1" w:rsidR="003F1A71" w:rsidRDefault="003F1A71" w:rsidP="00202271">
            <w:pPr>
              <w:pStyle w:val="BodyText"/>
              <w:tabs>
                <w:tab w:val="left" w:pos="360"/>
              </w:tabs>
              <w:spacing w:after="0"/>
              <w:rPr>
                <w:rFonts w:ascii="Arial" w:hAnsi="Arial" w:cs="Arial"/>
              </w:rPr>
            </w:pPr>
            <w:r>
              <w:rPr>
                <w:rFonts w:ascii="Arial" w:hAnsi="Arial" w:cs="Arial"/>
                <w:caps/>
              </w:rPr>
              <w:t>T</w:t>
            </w:r>
            <w:r>
              <w:rPr>
                <w:rFonts w:ascii="Arial" w:hAnsi="Arial" w:cs="Arial"/>
              </w:rPr>
              <w:t xml:space="preserve">he </w:t>
            </w:r>
            <w:r w:rsidR="00E231E9">
              <w:rPr>
                <w:rFonts w:ascii="Arial" w:hAnsi="Arial" w:cs="Arial"/>
              </w:rPr>
              <w:t>Service</w:t>
            </w:r>
            <w:r w:rsidR="00202271">
              <w:rPr>
                <w:rFonts w:ascii="Arial" w:hAnsi="Arial" w:cs="Arial"/>
              </w:rPr>
              <w:t xml:space="preserve"> must</w:t>
            </w:r>
            <w:r>
              <w:rPr>
                <w:rFonts w:ascii="Arial" w:hAnsi="Arial" w:cs="Arial"/>
              </w:rPr>
              <w:t>:</w:t>
            </w:r>
          </w:p>
          <w:p w14:paraId="02E551E9" w14:textId="77777777" w:rsidR="003B7E78" w:rsidRPr="00E90169" w:rsidRDefault="003B7E78" w:rsidP="00202271">
            <w:pPr>
              <w:pStyle w:val="BodyText"/>
              <w:tabs>
                <w:tab w:val="left" w:pos="360"/>
              </w:tabs>
              <w:spacing w:after="0"/>
              <w:rPr>
                <w:rFonts w:ascii="Arial" w:hAnsi="Arial" w:cs="Arial"/>
                <w:b/>
                <w:caps/>
              </w:rPr>
            </w:pPr>
          </w:p>
          <w:p w14:paraId="6D6030D4" w14:textId="77777777" w:rsidR="005802D4" w:rsidRPr="003B7E78" w:rsidRDefault="003F1A71" w:rsidP="003F1A71">
            <w:pPr>
              <w:pStyle w:val="BodyText"/>
              <w:numPr>
                <w:ilvl w:val="0"/>
                <w:numId w:val="34"/>
              </w:numPr>
              <w:tabs>
                <w:tab w:val="left" w:pos="360"/>
              </w:tabs>
              <w:spacing w:after="0"/>
              <w:rPr>
                <w:rFonts w:ascii="Arial" w:hAnsi="Arial" w:cs="Arial"/>
                <w:b/>
              </w:rPr>
            </w:pPr>
            <w:r>
              <w:rPr>
                <w:rFonts w:ascii="Arial" w:hAnsi="Arial" w:cs="Arial"/>
              </w:rPr>
              <w:t xml:space="preserve">Carry out a </w:t>
            </w:r>
            <w:r w:rsidRPr="00E90169">
              <w:rPr>
                <w:rFonts w:ascii="Arial" w:hAnsi="Arial" w:cs="Arial"/>
              </w:rPr>
              <w:t>detailed assessment</w:t>
            </w:r>
            <w:r>
              <w:rPr>
                <w:rFonts w:ascii="Arial" w:hAnsi="Arial" w:cs="Arial"/>
              </w:rPr>
              <w:t xml:space="preserve"> of the young people</w:t>
            </w:r>
            <w:r w:rsidRPr="00E90169">
              <w:rPr>
                <w:rFonts w:ascii="Arial" w:hAnsi="Arial" w:cs="Arial"/>
              </w:rPr>
              <w:t>, providing a ‘triage’ type service</w:t>
            </w:r>
            <w:r w:rsidR="005802D4">
              <w:rPr>
                <w:rFonts w:ascii="Arial" w:hAnsi="Arial" w:cs="Arial"/>
              </w:rPr>
              <w:t xml:space="preserve"> as follows:</w:t>
            </w:r>
          </w:p>
          <w:p w14:paraId="3284165C" w14:textId="77777777" w:rsidR="003B7E78" w:rsidRPr="00202271" w:rsidRDefault="003B7E78" w:rsidP="003B7E78">
            <w:pPr>
              <w:pStyle w:val="BodyText"/>
              <w:tabs>
                <w:tab w:val="left" w:pos="360"/>
              </w:tabs>
              <w:spacing w:after="0"/>
              <w:ind w:left="720"/>
              <w:rPr>
                <w:rFonts w:ascii="Arial" w:hAnsi="Arial" w:cs="Arial"/>
                <w:b/>
              </w:rPr>
            </w:pPr>
          </w:p>
          <w:p w14:paraId="6D6030D5" w14:textId="77777777" w:rsidR="005802D4" w:rsidRPr="00202271" w:rsidRDefault="005802D4" w:rsidP="00202271">
            <w:pPr>
              <w:pStyle w:val="BodyText"/>
              <w:numPr>
                <w:ilvl w:val="0"/>
                <w:numId w:val="36"/>
              </w:numPr>
              <w:tabs>
                <w:tab w:val="left" w:pos="360"/>
              </w:tabs>
              <w:spacing w:after="0"/>
              <w:ind w:left="1080"/>
              <w:rPr>
                <w:rFonts w:ascii="Arial" w:hAnsi="Arial" w:cs="Arial"/>
                <w:b/>
              </w:rPr>
            </w:pPr>
            <w:r>
              <w:rPr>
                <w:rFonts w:ascii="Arial" w:hAnsi="Arial" w:cs="Arial"/>
              </w:rPr>
              <w:t xml:space="preserve">Signpost those </w:t>
            </w:r>
            <w:r w:rsidR="00B871CB">
              <w:rPr>
                <w:rFonts w:ascii="Arial" w:hAnsi="Arial" w:cs="Arial"/>
              </w:rPr>
              <w:t xml:space="preserve">young </w:t>
            </w:r>
            <w:r w:rsidR="003F1A71" w:rsidRPr="00E90169">
              <w:rPr>
                <w:rFonts w:ascii="Arial" w:hAnsi="Arial" w:cs="Arial"/>
              </w:rPr>
              <w:t>people w</w:t>
            </w:r>
            <w:r w:rsidR="00B871CB">
              <w:rPr>
                <w:rFonts w:ascii="Arial" w:hAnsi="Arial" w:cs="Arial"/>
              </w:rPr>
              <w:t xml:space="preserve">ho are </w:t>
            </w:r>
            <w:r w:rsidR="003F1A71" w:rsidRPr="00E90169">
              <w:rPr>
                <w:rFonts w:ascii="Arial" w:hAnsi="Arial" w:cs="Arial"/>
              </w:rPr>
              <w:t>employment ready to mainstream provision</w:t>
            </w:r>
          </w:p>
          <w:p w14:paraId="6D6030D6" w14:textId="77777777" w:rsidR="005802D4" w:rsidRPr="00202271" w:rsidRDefault="005802D4" w:rsidP="00202271">
            <w:pPr>
              <w:pStyle w:val="BodyText"/>
              <w:numPr>
                <w:ilvl w:val="0"/>
                <w:numId w:val="36"/>
              </w:numPr>
              <w:tabs>
                <w:tab w:val="left" w:pos="360"/>
              </w:tabs>
              <w:spacing w:after="0"/>
              <w:ind w:left="1080"/>
              <w:rPr>
                <w:rFonts w:ascii="Arial" w:hAnsi="Arial" w:cs="Arial"/>
                <w:b/>
              </w:rPr>
            </w:pPr>
            <w:r>
              <w:rPr>
                <w:rFonts w:ascii="Arial" w:hAnsi="Arial" w:cs="Arial"/>
              </w:rPr>
              <w:t xml:space="preserve">Provide intermediate </w:t>
            </w:r>
            <w:r w:rsidR="003F1A71" w:rsidRPr="00E90169">
              <w:rPr>
                <w:rFonts w:ascii="Arial" w:hAnsi="Arial" w:cs="Arial"/>
              </w:rPr>
              <w:t xml:space="preserve">support </w:t>
            </w:r>
            <w:r>
              <w:rPr>
                <w:rFonts w:ascii="Arial" w:hAnsi="Arial" w:cs="Arial"/>
              </w:rPr>
              <w:t xml:space="preserve">for those not too far from the labour market </w:t>
            </w:r>
          </w:p>
          <w:p w14:paraId="6D6030D7" w14:textId="77777777" w:rsidR="003F1A71" w:rsidRPr="00E90169" w:rsidRDefault="005802D4" w:rsidP="00202271">
            <w:pPr>
              <w:pStyle w:val="BodyText"/>
              <w:numPr>
                <w:ilvl w:val="0"/>
                <w:numId w:val="36"/>
              </w:numPr>
              <w:tabs>
                <w:tab w:val="left" w:pos="360"/>
              </w:tabs>
              <w:spacing w:after="0"/>
              <w:ind w:left="1080"/>
              <w:rPr>
                <w:rFonts w:ascii="Arial" w:hAnsi="Arial" w:cs="Arial"/>
                <w:b/>
              </w:rPr>
            </w:pPr>
            <w:r>
              <w:rPr>
                <w:rFonts w:ascii="Arial" w:hAnsi="Arial" w:cs="Arial"/>
              </w:rPr>
              <w:t>Refer those who need more intensive su</w:t>
            </w:r>
            <w:r w:rsidR="003F1A71" w:rsidRPr="00E90169">
              <w:rPr>
                <w:rFonts w:ascii="Arial" w:hAnsi="Arial" w:cs="Arial"/>
              </w:rPr>
              <w:t xml:space="preserve">pport to the specialist provision (e.g. NEET and Unemployment Support for </w:t>
            </w:r>
            <w:r w:rsidR="003F1A71">
              <w:rPr>
                <w:rFonts w:ascii="Arial" w:hAnsi="Arial" w:cs="Arial"/>
              </w:rPr>
              <w:t xml:space="preserve">under </w:t>
            </w:r>
            <w:r w:rsidR="003F1A71" w:rsidRPr="00E90169">
              <w:rPr>
                <w:rFonts w:ascii="Arial" w:hAnsi="Arial" w:cs="Arial"/>
              </w:rPr>
              <w:t>25s).</w:t>
            </w:r>
          </w:p>
          <w:p w14:paraId="6D6030D8" w14:textId="77777777" w:rsidR="003F1A71" w:rsidRPr="00E90169" w:rsidRDefault="003F1A71" w:rsidP="00202271">
            <w:pPr>
              <w:pStyle w:val="BodyText"/>
              <w:tabs>
                <w:tab w:val="left" w:pos="360"/>
              </w:tabs>
              <w:spacing w:after="0"/>
              <w:ind w:left="720"/>
              <w:rPr>
                <w:rFonts w:ascii="Arial" w:hAnsi="Arial" w:cs="Arial"/>
                <w:b/>
              </w:rPr>
            </w:pPr>
          </w:p>
          <w:p w14:paraId="6D6030D9" w14:textId="77777777" w:rsidR="003F1A71" w:rsidRPr="001A4333" w:rsidRDefault="003F1A71" w:rsidP="003F1A71">
            <w:pPr>
              <w:pStyle w:val="BodyText"/>
              <w:numPr>
                <w:ilvl w:val="0"/>
                <w:numId w:val="34"/>
              </w:numPr>
              <w:tabs>
                <w:tab w:val="left" w:pos="360"/>
              </w:tabs>
              <w:spacing w:after="0"/>
              <w:rPr>
                <w:rFonts w:ascii="Arial" w:hAnsi="Arial" w:cs="Arial"/>
                <w:b/>
              </w:rPr>
            </w:pPr>
            <w:r>
              <w:rPr>
                <w:rFonts w:ascii="Arial" w:hAnsi="Arial" w:cs="Arial"/>
              </w:rPr>
              <w:t>Assign a case worker to the y</w:t>
            </w:r>
            <w:r w:rsidRPr="00E90169">
              <w:rPr>
                <w:rFonts w:ascii="Arial" w:hAnsi="Arial" w:cs="Arial"/>
              </w:rPr>
              <w:t>oung people requiring either intermediate or intense support</w:t>
            </w:r>
            <w:r>
              <w:rPr>
                <w:rFonts w:ascii="Arial" w:hAnsi="Arial" w:cs="Arial"/>
              </w:rPr>
              <w:t>.</w:t>
            </w:r>
            <w:r w:rsidRPr="00E90169">
              <w:rPr>
                <w:rFonts w:ascii="Arial" w:hAnsi="Arial" w:cs="Arial"/>
              </w:rPr>
              <w:t xml:space="preserve">  </w:t>
            </w:r>
          </w:p>
          <w:p w14:paraId="6D6030DA" w14:textId="77777777" w:rsidR="003F1A71" w:rsidRDefault="003F1A71" w:rsidP="003F1A71">
            <w:pPr>
              <w:pStyle w:val="ListParagraph"/>
              <w:rPr>
                <w:rFonts w:cs="Arial"/>
                <w:b/>
              </w:rPr>
            </w:pPr>
          </w:p>
          <w:p w14:paraId="6D6030DB" w14:textId="77777777" w:rsidR="003F1A71" w:rsidRDefault="003F1A71" w:rsidP="003F1A71">
            <w:pPr>
              <w:pStyle w:val="BodyText"/>
              <w:numPr>
                <w:ilvl w:val="0"/>
                <w:numId w:val="34"/>
              </w:numPr>
              <w:tabs>
                <w:tab w:val="left" w:pos="29"/>
              </w:tabs>
              <w:spacing w:after="0"/>
              <w:rPr>
                <w:rFonts w:ascii="Arial" w:hAnsi="Arial" w:cs="Arial"/>
              </w:rPr>
            </w:pPr>
            <w:r>
              <w:rPr>
                <w:rFonts w:ascii="Arial" w:hAnsi="Arial" w:cs="Arial"/>
              </w:rPr>
              <w:t>Work</w:t>
            </w:r>
            <w:r w:rsidRPr="00941C4D">
              <w:rPr>
                <w:rFonts w:ascii="Arial" w:hAnsi="Arial" w:cs="Arial"/>
              </w:rPr>
              <w:t xml:space="preserve"> with the young person to develop a personalised action plan tailored to their needs</w:t>
            </w:r>
            <w:r>
              <w:rPr>
                <w:rFonts w:ascii="Arial" w:hAnsi="Arial" w:cs="Arial"/>
              </w:rPr>
              <w:t xml:space="preserve"> and review progress on a regular basis.</w:t>
            </w:r>
            <w:r w:rsidRPr="00941C4D">
              <w:rPr>
                <w:rFonts w:ascii="Arial" w:hAnsi="Arial" w:cs="Arial"/>
              </w:rPr>
              <w:br/>
            </w:r>
          </w:p>
          <w:p w14:paraId="6D6030DC" w14:textId="77777777" w:rsidR="003F1A71" w:rsidRPr="00E90169" w:rsidRDefault="003F1A71" w:rsidP="003F1A71">
            <w:pPr>
              <w:pStyle w:val="BodyText"/>
              <w:tabs>
                <w:tab w:val="left" w:pos="29"/>
              </w:tabs>
              <w:spacing w:after="0"/>
              <w:ind w:left="29"/>
              <w:rPr>
                <w:rFonts w:ascii="Arial" w:hAnsi="Arial" w:cs="Arial"/>
                <w:b/>
              </w:rPr>
            </w:pPr>
            <w:r>
              <w:rPr>
                <w:rFonts w:ascii="Arial" w:hAnsi="Arial" w:cs="Arial"/>
              </w:rPr>
              <w:t>A ca</w:t>
            </w:r>
            <w:r w:rsidRPr="00E90169">
              <w:rPr>
                <w:rFonts w:ascii="Arial" w:hAnsi="Arial" w:cs="Arial"/>
              </w:rPr>
              <w:t xml:space="preserve">se worker will work with the young person throughout their journey into employment or learning/training activities or additional support. Post-employment support </w:t>
            </w:r>
            <w:r>
              <w:rPr>
                <w:rFonts w:ascii="Arial" w:hAnsi="Arial" w:cs="Arial"/>
              </w:rPr>
              <w:t xml:space="preserve">must </w:t>
            </w:r>
            <w:r w:rsidR="00FB14B5">
              <w:rPr>
                <w:rFonts w:ascii="Arial" w:hAnsi="Arial" w:cs="Arial"/>
              </w:rPr>
              <w:t xml:space="preserve">be provided.   </w:t>
            </w:r>
          </w:p>
          <w:p w14:paraId="6D6030DD" w14:textId="77777777" w:rsidR="003F1A71" w:rsidRPr="00E90169" w:rsidRDefault="003F1A71" w:rsidP="003F1A71">
            <w:pPr>
              <w:pStyle w:val="ListParagraph"/>
              <w:rPr>
                <w:rFonts w:cs="Arial"/>
                <w:b/>
              </w:rPr>
            </w:pPr>
          </w:p>
          <w:p w14:paraId="6D6030DE" w14:textId="21F7436A" w:rsidR="003F1A71" w:rsidRDefault="003F1A71" w:rsidP="003F1A71">
            <w:pPr>
              <w:pStyle w:val="BodyText"/>
              <w:tabs>
                <w:tab w:val="left" w:pos="360"/>
              </w:tabs>
              <w:spacing w:after="0"/>
              <w:rPr>
                <w:rFonts w:ascii="Arial" w:hAnsi="Arial" w:cs="Arial"/>
              </w:rPr>
            </w:pPr>
            <w:r>
              <w:rPr>
                <w:rFonts w:ascii="Arial" w:hAnsi="Arial" w:cs="Arial"/>
              </w:rPr>
              <w:t xml:space="preserve">The </w:t>
            </w:r>
            <w:r w:rsidR="00E231E9">
              <w:rPr>
                <w:rFonts w:ascii="Arial" w:hAnsi="Arial" w:cs="Arial"/>
              </w:rPr>
              <w:t>Service</w:t>
            </w:r>
            <w:r w:rsidR="005879C6">
              <w:rPr>
                <w:rFonts w:ascii="Arial" w:hAnsi="Arial" w:cs="Arial"/>
              </w:rPr>
              <w:t xml:space="preserve"> must deliver a range  activities</w:t>
            </w:r>
            <w:r>
              <w:rPr>
                <w:rFonts w:ascii="Arial" w:hAnsi="Arial" w:cs="Arial"/>
              </w:rPr>
              <w:t xml:space="preserve"> including:</w:t>
            </w:r>
          </w:p>
          <w:p w14:paraId="6D6030DF" w14:textId="77777777" w:rsidR="003F1A71" w:rsidRPr="00941C4D" w:rsidRDefault="003F1A71" w:rsidP="003F1A71">
            <w:pPr>
              <w:pStyle w:val="BodyText"/>
              <w:tabs>
                <w:tab w:val="left" w:pos="360"/>
              </w:tabs>
              <w:spacing w:after="0"/>
              <w:rPr>
                <w:rFonts w:ascii="Arial" w:hAnsi="Arial" w:cs="Arial"/>
                <w:b/>
              </w:rPr>
            </w:pPr>
          </w:p>
          <w:p w14:paraId="6D6030E0" w14:textId="77777777" w:rsidR="003F1A71" w:rsidRPr="00E90169" w:rsidRDefault="003F1A71" w:rsidP="003F1A71">
            <w:pPr>
              <w:pStyle w:val="BodyText"/>
              <w:numPr>
                <w:ilvl w:val="1"/>
                <w:numId w:val="34"/>
              </w:numPr>
              <w:tabs>
                <w:tab w:val="left" w:pos="709"/>
              </w:tabs>
              <w:spacing w:after="0"/>
              <w:ind w:left="709" w:hanging="283"/>
              <w:rPr>
                <w:rFonts w:ascii="Arial" w:hAnsi="Arial" w:cs="Arial"/>
                <w:b/>
              </w:rPr>
            </w:pPr>
            <w:r w:rsidRPr="00E90169">
              <w:rPr>
                <w:rFonts w:ascii="Arial" w:hAnsi="Arial" w:cs="Arial"/>
              </w:rPr>
              <w:t>Face to face information, advice and guidance</w:t>
            </w:r>
          </w:p>
          <w:p w14:paraId="6D6030E1" w14:textId="77777777" w:rsidR="003F1A71" w:rsidRPr="00E90169" w:rsidRDefault="003F1A71" w:rsidP="003F1A71">
            <w:pPr>
              <w:pStyle w:val="BodyText"/>
              <w:numPr>
                <w:ilvl w:val="1"/>
                <w:numId w:val="34"/>
              </w:numPr>
              <w:tabs>
                <w:tab w:val="left" w:pos="709"/>
              </w:tabs>
              <w:spacing w:after="0"/>
              <w:ind w:left="709" w:hanging="283"/>
              <w:rPr>
                <w:rFonts w:ascii="Arial" w:hAnsi="Arial" w:cs="Arial"/>
                <w:b/>
              </w:rPr>
            </w:pPr>
            <w:r w:rsidRPr="00E90169">
              <w:rPr>
                <w:rFonts w:ascii="Arial" w:hAnsi="Arial" w:cs="Arial"/>
              </w:rPr>
              <w:t>Confidence building</w:t>
            </w:r>
          </w:p>
          <w:p w14:paraId="6D6030E2" w14:textId="77777777" w:rsidR="003F1A71" w:rsidRPr="00E90169" w:rsidRDefault="003F1A71" w:rsidP="003F1A71">
            <w:pPr>
              <w:pStyle w:val="BodyText"/>
              <w:numPr>
                <w:ilvl w:val="1"/>
                <w:numId w:val="34"/>
              </w:numPr>
              <w:tabs>
                <w:tab w:val="left" w:pos="709"/>
              </w:tabs>
              <w:spacing w:after="0"/>
              <w:ind w:left="709" w:hanging="283"/>
              <w:rPr>
                <w:rFonts w:ascii="Arial" w:hAnsi="Arial" w:cs="Arial"/>
                <w:b/>
              </w:rPr>
            </w:pPr>
            <w:r w:rsidRPr="00E90169">
              <w:rPr>
                <w:rFonts w:ascii="Arial" w:hAnsi="Arial" w:cs="Arial"/>
              </w:rPr>
              <w:t>Aspiration raising activities</w:t>
            </w:r>
          </w:p>
          <w:p w14:paraId="6D6030E3" w14:textId="77777777" w:rsidR="003F1A71" w:rsidRPr="00E90169" w:rsidRDefault="003F1A71" w:rsidP="003F1A71">
            <w:pPr>
              <w:pStyle w:val="BodyText"/>
              <w:numPr>
                <w:ilvl w:val="1"/>
                <w:numId w:val="34"/>
              </w:numPr>
              <w:tabs>
                <w:tab w:val="left" w:pos="709"/>
              </w:tabs>
              <w:spacing w:after="0"/>
              <w:ind w:left="709" w:hanging="283"/>
              <w:rPr>
                <w:rFonts w:ascii="Arial" w:hAnsi="Arial" w:cs="Arial"/>
                <w:b/>
              </w:rPr>
            </w:pPr>
            <w:r w:rsidRPr="00E90169">
              <w:rPr>
                <w:rFonts w:ascii="Arial" w:hAnsi="Arial" w:cs="Arial"/>
              </w:rPr>
              <w:t>In depth support for CV writing and completing application forms</w:t>
            </w:r>
          </w:p>
          <w:p w14:paraId="6D6030E4" w14:textId="77777777" w:rsidR="003F1A71" w:rsidRPr="00E90169" w:rsidRDefault="003F1A71" w:rsidP="003F1A71">
            <w:pPr>
              <w:pStyle w:val="BodyText"/>
              <w:numPr>
                <w:ilvl w:val="1"/>
                <w:numId w:val="34"/>
              </w:numPr>
              <w:tabs>
                <w:tab w:val="left" w:pos="709"/>
              </w:tabs>
              <w:spacing w:after="0"/>
              <w:ind w:left="709" w:hanging="283"/>
              <w:rPr>
                <w:rFonts w:ascii="Arial" w:hAnsi="Arial" w:cs="Arial"/>
                <w:b/>
              </w:rPr>
            </w:pPr>
            <w:r w:rsidRPr="00E90169">
              <w:rPr>
                <w:rFonts w:ascii="Arial" w:hAnsi="Arial" w:cs="Arial"/>
              </w:rPr>
              <w:t>Referral to relevant training provision</w:t>
            </w:r>
          </w:p>
          <w:p w14:paraId="6D6030E5" w14:textId="77777777" w:rsidR="003F1A71" w:rsidRPr="00E90169" w:rsidRDefault="003F1A71" w:rsidP="003F1A71">
            <w:pPr>
              <w:pStyle w:val="BodyText"/>
              <w:numPr>
                <w:ilvl w:val="1"/>
                <w:numId w:val="34"/>
              </w:numPr>
              <w:tabs>
                <w:tab w:val="left" w:pos="709"/>
              </w:tabs>
              <w:spacing w:after="0"/>
              <w:ind w:left="709" w:hanging="283"/>
              <w:rPr>
                <w:rFonts w:ascii="Arial" w:hAnsi="Arial" w:cs="Arial"/>
                <w:b/>
              </w:rPr>
            </w:pPr>
            <w:r w:rsidRPr="00E90169">
              <w:rPr>
                <w:rFonts w:ascii="Arial" w:hAnsi="Arial" w:cs="Arial"/>
              </w:rPr>
              <w:t>In depth interview preparation, including mock interviews</w:t>
            </w:r>
          </w:p>
          <w:p w14:paraId="6D6030E6" w14:textId="77777777" w:rsidR="003F1A71" w:rsidRPr="00E90169" w:rsidRDefault="003F1A71" w:rsidP="003F1A71">
            <w:pPr>
              <w:pStyle w:val="BodyText"/>
              <w:numPr>
                <w:ilvl w:val="1"/>
                <w:numId w:val="34"/>
              </w:numPr>
              <w:tabs>
                <w:tab w:val="left" w:pos="709"/>
              </w:tabs>
              <w:spacing w:after="0"/>
              <w:ind w:left="709" w:hanging="283"/>
              <w:rPr>
                <w:rFonts w:ascii="Arial" w:hAnsi="Arial" w:cs="Arial"/>
                <w:b/>
              </w:rPr>
            </w:pPr>
            <w:r w:rsidRPr="00E90169">
              <w:rPr>
                <w:rFonts w:ascii="Arial" w:hAnsi="Arial" w:cs="Arial"/>
              </w:rPr>
              <w:t>Employability skills development</w:t>
            </w:r>
          </w:p>
          <w:p w14:paraId="6D6030E7" w14:textId="77777777" w:rsidR="003F1A71" w:rsidRPr="00E90169" w:rsidRDefault="003F1A71" w:rsidP="003F1A71">
            <w:pPr>
              <w:pStyle w:val="BodyText"/>
              <w:numPr>
                <w:ilvl w:val="1"/>
                <w:numId w:val="34"/>
              </w:numPr>
              <w:tabs>
                <w:tab w:val="left" w:pos="709"/>
              </w:tabs>
              <w:spacing w:after="0"/>
              <w:ind w:left="709" w:hanging="283"/>
              <w:rPr>
                <w:rFonts w:ascii="Arial" w:hAnsi="Arial" w:cs="Arial"/>
                <w:b/>
              </w:rPr>
            </w:pPr>
            <w:r w:rsidRPr="00E90169">
              <w:rPr>
                <w:rFonts w:ascii="Arial" w:hAnsi="Arial" w:cs="Arial"/>
              </w:rPr>
              <w:t xml:space="preserve">Identifying opportunities for apprenticeships, traineeships and work placements </w:t>
            </w:r>
          </w:p>
          <w:p w14:paraId="6D6030E8" w14:textId="77777777" w:rsidR="003F1A71" w:rsidRPr="00E90169" w:rsidRDefault="003F1A71" w:rsidP="003F1A71">
            <w:pPr>
              <w:pStyle w:val="BodyText"/>
              <w:numPr>
                <w:ilvl w:val="1"/>
                <w:numId w:val="34"/>
              </w:numPr>
              <w:tabs>
                <w:tab w:val="left" w:pos="709"/>
              </w:tabs>
              <w:spacing w:after="0"/>
              <w:ind w:left="709" w:hanging="283"/>
              <w:rPr>
                <w:rFonts w:ascii="Arial" w:hAnsi="Arial" w:cs="Arial"/>
                <w:b/>
              </w:rPr>
            </w:pPr>
            <w:r w:rsidRPr="00E90169">
              <w:rPr>
                <w:rFonts w:ascii="Arial" w:hAnsi="Arial" w:cs="Arial"/>
              </w:rPr>
              <w:t>Job tasters/work trials</w:t>
            </w:r>
          </w:p>
          <w:p w14:paraId="6D6030E9" w14:textId="77777777" w:rsidR="003F1A71" w:rsidRPr="00E90169" w:rsidRDefault="003F1A71" w:rsidP="003F1A71">
            <w:pPr>
              <w:pStyle w:val="BodyText"/>
              <w:numPr>
                <w:ilvl w:val="1"/>
                <w:numId w:val="34"/>
              </w:numPr>
              <w:tabs>
                <w:tab w:val="left" w:pos="709"/>
              </w:tabs>
              <w:spacing w:after="0"/>
              <w:ind w:left="709" w:hanging="283"/>
              <w:rPr>
                <w:rFonts w:ascii="Arial" w:hAnsi="Arial" w:cs="Arial"/>
                <w:b/>
              </w:rPr>
            </w:pPr>
            <w:r w:rsidRPr="00E90169">
              <w:rPr>
                <w:rFonts w:ascii="Arial" w:hAnsi="Arial" w:cs="Arial"/>
              </w:rPr>
              <w:t>Job search techniques – including working with agencies, speculative job searching techniques</w:t>
            </w:r>
          </w:p>
          <w:p w14:paraId="6D6030EA" w14:textId="77777777" w:rsidR="003F1A71" w:rsidRPr="00E90169" w:rsidRDefault="003F1A71" w:rsidP="003F1A71">
            <w:pPr>
              <w:pStyle w:val="BodyText"/>
              <w:numPr>
                <w:ilvl w:val="1"/>
                <w:numId w:val="34"/>
              </w:numPr>
              <w:tabs>
                <w:tab w:val="left" w:pos="709"/>
              </w:tabs>
              <w:spacing w:after="0"/>
              <w:ind w:left="709" w:hanging="283"/>
              <w:rPr>
                <w:rFonts w:ascii="Arial" w:hAnsi="Arial" w:cs="Arial"/>
                <w:b/>
              </w:rPr>
            </w:pPr>
            <w:r w:rsidRPr="00E90169">
              <w:rPr>
                <w:rFonts w:ascii="Arial" w:hAnsi="Arial" w:cs="Arial"/>
              </w:rPr>
              <w:t xml:space="preserve">Brokerage with job opportunities generated by the ‘Employment Hub’ </w:t>
            </w:r>
          </w:p>
          <w:p w14:paraId="6D6030EB" w14:textId="77777777" w:rsidR="003F1A71" w:rsidRPr="00E90169" w:rsidRDefault="003F1A71" w:rsidP="003F1A71">
            <w:pPr>
              <w:pStyle w:val="BodyText"/>
              <w:numPr>
                <w:ilvl w:val="1"/>
                <w:numId w:val="34"/>
              </w:numPr>
              <w:tabs>
                <w:tab w:val="left" w:pos="709"/>
              </w:tabs>
              <w:spacing w:after="0"/>
              <w:ind w:left="709" w:hanging="283"/>
              <w:rPr>
                <w:rFonts w:ascii="Arial" w:hAnsi="Arial" w:cs="Arial"/>
                <w:b/>
              </w:rPr>
            </w:pPr>
            <w:r w:rsidRPr="00E90169">
              <w:rPr>
                <w:rFonts w:ascii="Arial" w:hAnsi="Arial" w:cs="Arial"/>
              </w:rPr>
              <w:t>Referral to sector based programmes to encourage young people to enter LLEP priority sectors</w:t>
            </w:r>
          </w:p>
          <w:p w14:paraId="6D6030EC" w14:textId="77777777" w:rsidR="003F1A71" w:rsidRPr="00E90169" w:rsidRDefault="003F1A71" w:rsidP="003F1A71">
            <w:pPr>
              <w:pStyle w:val="BodyText"/>
              <w:numPr>
                <w:ilvl w:val="1"/>
                <w:numId w:val="34"/>
              </w:numPr>
              <w:tabs>
                <w:tab w:val="left" w:pos="709"/>
              </w:tabs>
              <w:spacing w:after="0"/>
              <w:ind w:left="709" w:hanging="283"/>
              <w:rPr>
                <w:rFonts w:ascii="Arial" w:hAnsi="Arial" w:cs="Arial"/>
                <w:b/>
              </w:rPr>
            </w:pPr>
            <w:r w:rsidRPr="00E90169">
              <w:rPr>
                <w:rFonts w:ascii="Arial" w:hAnsi="Arial" w:cs="Arial"/>
              </w:rPr>
              <w:t xml:space="preserve">Transport support – developing confidence with using public transport </w:t>
            </w:r>
          </w:p>
          <w:p w14:paraId="6D6030ED" w14:textId="77777777" w:rsidR="003F1A71" w:rsidRPr="00E90169" w:rsidRDefault="003F1A71" w:rsidP="003F1A71">
            <w:pPr>
              <w:pStyle w:val="BodyText"/>
              <w:numPr>
                <w:ilvl w:val="1"/>
                <w:numId w:val="34"/>
              </w:numPr>
              <w:tabs>
                <w:tab w:val="left" w:pos="709"/>
              </w:tabs>
              <w:spacing w:after="0"/>
              <w:ind w:left="709" w:hanging="283"/>
              <w:rPr>
                <w:rFonts w:ascii="Arial" w:hAnsi="Arial" w:cs="Arial"/>
                <w:b/>
              </w:rPr>
            </w:pPr>
            <w:r w:rsidRPr="00E90169">
              <w:rPr>
                <w:rFonts w:ascii="Arial" w:hAnsi="Arial" w:cs="Arial"/>
              </w:rPr>
              <w:t>Financial support with transport costs</w:t>
            </w:r>
          </w:p>
          <w:p w14:paraId="6D6030EE" w14:textId="77777777" w:rsidR="003F1A71" w:rsidRPr="00E90169" w:rsidRDefault="003F1A71" w:rsidP="003F1A71">
            <w:pPr>
              <w:pStyle w:val="BodyText"/>
              <w:tabs>
                <w:tab w:val="left" w:pos="360"/>
              </w:tabs>
              <w:ind w:left="1080"/>
              <w:rPr>
                <w:rFonts w:ascii="Arial" w:hAnsi="Arial" w:cs="Arial"/>
                <w:b/>
              </w:rPr>
            </w:pPr>
            <w:r w:rsidRPr="00E90169">
              <w:rPr>
                <w:rFonts w:ascii="Arial" w:hAnsi="Arial" w:cs="Arial"/>
              </w:rPr>
              <w:t xml:space="preserve"> </w:t>
            </w:r>
          </w:p>
          <w:p w14:paraId="6D6030EF" w14:textId="10B0C16E" w:rsidR="003F1A71" w:rsidRPr="00E90169" w:rsidRDefault="005879C6" w:rsidP="003F1A71">
            <w:pPr>
              <w:pStyle w:val="BodyText"/>
              <w:tabs>
                <w:tab w:val="left" w:pos="0"/>
              </w:tabs>
              <w:spacing w:after="0"/>
              <w:ind w:left="29" w:hanging="29"/>
              <w:rPr>
                <w:rFonts w:ascii="Arial" w:hAnsi="Arial" w:cs="Arial"/>
                <w:b/>
              </w:rPr>
            </w:pPr>
            <w:r>
              <w:rPr>
                <w:rFonts w:ascii="Arial" w:hAnsi="Arial" w:cs="Arial"/>
              </w:rPr>
              <w:t>T</w:t>
            </w:r>
            <w:r w:rsidR="003F1A71">
              <w:rPr>
                <w:rFonts w:ascii="Arial" w:hAnsi="Arial" w:cs="Arial"/>
              </w:rPr>
              <w:t xml:space="preserve">he </w:t>
            </w:r>
            <w:r w:rsidR="003F1A71" w:rsidRPr="00E90169">
              <w:rPr>
                <w:rFonts w:ascii="Arial" w:hAnsi="Arial" w:cs="Arial"/>
              </w:rPr>
              <w:t xml:space="preserve">progress of </w:t>
            </w:r>
            <w:r w:rsidR="003F1A71">
              <w:rPr>
                <w:rFonts w:ascii="Arial" w:hAnsi="Arial" w:cs="Arial"/>
              </w:rPr>
              <w:t xml:space="preserve">the </w:t>
            </w:r>
            <w:r w:rsidR="003F1A71" w:rsidRPr="00E90169">
              <w:rPr>
                <w:rFonts w:ascii="Arial" w:hAnsi="Arial" w:cs="Arial"/>
              </w:rPr>
              <w:t>young people</w:t>
            </w:r>
            <w:r w:rsidR="00E231E9">
              <w:rPr>
                <w:rFonts w:ascii="Arial" w:hAnsi="Arial" w:cs="Arial"/>
              </w:rPr>
              <w:t xml:space="preserve"> supported by the Service</w:t>
            </w:r>
            <w:r>
              <w:rPr>
                <w:rFonts w:ascii="Arial" w:hAnsi="Arial" w:cs="Arial"/>
              </w:rPr>
              <w:t xml:space="preserve"> must be tracked</w:t>
            </w:r>
            <w:r w:rsidR="003F1A71">
              <w:rPr>
                <w:rFonts w:ascii="Arial" w:hAnsi="Arial" w:cs="Arial"/>
              </w:rPr>
              <w:t xml:space="preserve"> and the </w:t>
            </w:r>
            <w:r w:rsidR="003F1A71" w:rsidRPr="00E90169">
              <w:rPr>
                <w:rFonts w:ascii="Arial" w:hAnsi="Arial" w:cs="Arial"/>
              </w:rPr>
              <w:t xml:space="preserve">referrals and </w:t>
            </w:r>
            <w:r w:rsidR="003F1A71">
              <w:rPr>
                <w:rFonts w:ascii="Arial" w:hAnsi="Arial" w:cs="Arial"/>
              </w:rPr>
              <w:t xml:space="preserve">develop and </w:t>
            </w:r>
            <w:r w:rsidR="003F1A71" w:rsidRPr="00E90169">
              <w:rPr>
                <w:rFonts w:ascii="Arial" w:hAnsi="Arial" w:cs="Arial"/>
              </w:rPr>
              <w:t xml:space="preserve">manage </w:t>
            </w:r>
            <w:r w:rsidR="003F1A71">
              <w:rPr>
                <w:rFonts w:ascii="Arial" w:hAnsi="Arial" w:cs="Arial"/>
              </w:rPr>
              <w:t xml:space="preserve">any </w:t>
            </w:r>
            <w:r w:rsidR="003F1A71" w:rsidRPr="00E90169">
              <w:rPr>
                <w:rFonts w:ascii="Arial" w:hAnsi="Arial" w:cs="Arial"/>
              </w:rPr>
              <w:t>data sharing arrangements</w:t>
            </w:r>
            <w:r w:rsidR="00FB14B5">
              <w:rPr>
                <w:rFonts w:ascii="Arial" w:hAnsi="Arial" w:cs="Arial"/>
              </w:rPr>
              <w:t>.</w:t>
            </w:r>
          </w:p>
          <w:p w14:paraId="6D6030F0" w14:textId="77777777" w:rsidR="003F1A71" w:rsidRPr="00E90169" w:rsidRDefault="003F1A71" w:rsidP="003F1A71">
            <w:pPr>
              <w:pStyle w:val="ListParagraph"/>
              <w:rPr>
                <w:rFonts w:cs="Arial"/>
                <w:b/>
              </w:rPr>
            </w:pPr>
          </w:p>
          <w:p w14:paraId="6D6030F1" w14:textId="23304E85" w:rsidR="003F1A71" w:rsidRDefault="003F1A71" w:rsidP="003F1A71">
            <w:pPr>
              <w:rPr>
                <w:rFonts w:cs="Arial"/>
              </w:rPr>
            </w:pPr>
            <w:r>
              <w:rPr>
                <w:rFonts w:cs="Arial"/>
              </w:rPr>
              <w:lastRenderedPageBreak/>
              <w:t>The</w:t>
            </w:r>
            <w:r w:rsidR="00E231E9">
              <w:rPr>
                <w:rFonts w:cs="Arial"/>
              </w:rPr>
              <w:t xml:space="preserve"> Service</w:t>
            </w:r>
            <w:r w:rsidR="005879C6">
              <w:rPr>
                <w:rFonts w:cs="Arial"/>
              </w:rPr>
              <w:t xml:space="preserve"> must</w:t>
            </w:r>
            <w:r>
              <w:rPr>
                <w:rFonts w:cs="Arial"/>
              </w:rPr>
              <w:t>:</w:t>
            </w:r>
          </w:p>
          <w:p w14:paraId="6D6030F2" w14:textId="77777777" w:rsidR="003F1A71" w:rsidRPr="00E90169" w:rsidRDefault="003F1A71" w:rsidP="003F1A71">
            <w:pPr>
              <w:rPr>
                <w:rFonts w:cs="Arial"/>
              </w:rPr>
            </w:pPr>
          </w:p>
          <w:p w14:paraId="6D6030F3" w14:textId="77777777" w:rsidR="003F1A71" w:rsidRPr="001A4333" w:rsidRDefault="003F1A71" w:rsidP="003F1A71">
            <w:pPr>
              <w:pStyle w:val="ListParagraph"/>
              <w:numPr>
                <w:ilvl w:val="0"/>
                <w:numId w:val="35"/>
              </w:numPr>
              <w:rPr>
                <w:rFonts w:cs="Arial"/>
              </w:rPr>
            </w:pPr>
            <w:r>
              <w:rPr>
                <w:rFonts w:cs="Arial"/>
              </w:rPr>
              <w:t>M</w:t>
            </w:r>
            <w:r w:rsidRPr="001A4333">
              <w:rPr>
                <w:rFonts w:cs="Arial"/>
              </w:rPr>
              <w:t>aintain bi-weekly contact with the young person to ensure that the intense support is meeting their needs and interven</w:t>
            </w:r>
            <w:r>
              <w:rPr>
                <w:rFonts w:cs="Arial"/>
              </w:rPr>
              <w:t>e</w:t>
            </w:r>
            <w:r w:rsidRPr="001A4333">
              <w:rPr>
                <w:rFonts w:cs="Arial"/>
              </w:rPr>
              <w:t xml:space="preserve"> early if there are problems</w:t>
            </w:r>
            <w:r>
              <w:rPr>
                <w:rFonts w:cs="Arial"/>
              </w:rPr>
              <w:t>.</w:t>
            </w:r>
          </w:p>
          <w:p w14:paraId="6D6030F4" w14:textId="77777777" w:rsidR="003F1A71" w:rsidRDefault="003F1A71" w:rsidP="003F1A71">
            <w:pPr>
              <w:pStyle w:val="ListParagraph"/>
              <w:numPr>
                <w:ilvl w:val="0"/>
                <w:numId w:val="34"/>
              </w:numPr>
              <w:rPr>
                <w:rFonts w:cs="Arial"/>
              </w:rPr>
            </w:pPr>
            <w:r>
              <w:rPr>
                <w:rFonts w:cs="Arial"/>
              </w:rPr>
              <w:t>P</w:t>
            </w:r>
            <w:r w:rsidRPr="00E90169">
              <w:rPr>
                <w:rFonts w:cs="Arial"/>
              </w:rPr>
              <w:t>rovi</w:t>
            </w:r>
            <w:r>
              <w:rPr>
                <w:rFonts w:cs="Arial"/>
              </w:rPr>
              <w:t xml:space="preserve">de </w:t>
            </w:r>
            <w:r w:rsidRPr="00E90169">
              <w:rPr>
                <w:rFonts w:cs="Arial"/>
              </w:rPr>
              <w:t>up to date labour market intelligence, presented in a user-friendly way for young people – including innovative approaches</w:t>
            </w:r>
            <w:r>
              <w:rPr>
                <w:rFonts w:cs="Arial"/>
              </w:rPr>
              <w:t>.</w:t>
            </w:r>
            <w:r w:rsidRPr="00E90169">
              <w:rPr>
                <w:rFonts w:cs="Arial"/>
              </w:rPr>
              <w:t xml:space="preserve">  </w:t>
            </w:r>
          </w:p>
          <w:p w14:paraId="6D6030F5" w14:textId="77777777" w:rsidR="003F1A71" w:rsidRPr="00E90169" w:rsidRDefault="003F1A71" w:rsidP="003F1A71">
            <w:pPr>
              <w:pStyle w:val="BodyText"/>
              <w:numPr>
                <w:ilvl w:val="0"/>
                <w:numId w:val="34"/>
              </w:numPr>
              <w:tabs>
                <w:tab w:val="left" w:pos="360"/>
              </w:tabs>
              <w:spacing w:after="0"/>
              <w:rPr>
                <w:rFonts w:ascii="Arial" w:hAnsi="Arial" w:cs="Arial"/>
                <w:b/>
              </w:rPr>
            </w:pPr>
            <w:r>
              <w:rPr>
                <w:rFonts w:ascii="Arial" w:hAnsi="Arial" w:cs="Arial"/>
              </w:rPr>
              <w:t>Ensure a</w:t>
            </w:r>
            <w:r w:rsidRPr="00E90169">
              <w:rPr>
                <w:rFonts w:ascii="Arial" w:hAnsi="Arial" w:cs="Arial"/>
              </w:rPr>
              <w:t>ll case workers keep up to date with local provision and how different projects are performing (to ensure good understanding of referral routes and options)</w:t>
            </w:r>
            <w:r>
              <w:rPr>
                <w:rFonts w:ascii="Arial" w:hAnsi="Arial" w:cs="Arial"/>
              </w:rPr>
              <w:t>.</w:t>
            </w:r>
          </w:p>
          <w:p w14:paraId="6D6030F6" w14:textId="77777777" w:rsidR="00145BD1" w:rsidRPr="00202271" w:rsidRDefault="003F1A71" w:rsidP="003F1A71">
            <w:pPr>
              <w:pStyle w:val="BodyText"/>
              <w:numPr>
                <w:ilvl w:val="0"/>
                <w:numId w:val="34"/>
              </w:numPr>
              <w:tabs>
                <w:tab w:val="left" w:pos="360"/>
              </w:tabs>
              <w:spacing w:after="0"/>
              <w:rPr>
                <w:rFonts w:ascii="Arial" w:hAnsi="Arial" w:cs="Arial"/>
                <w:b/>
              </w:rPr>
            </w:pPr>
            <w:r>
              <w:rPr>
                <w:rFonts w:ascii="Arial" w:hAnsi="Arial" w:cs="Arial"/>
              </w:rPr>
              <w:t>C</w:t>
            </w:r>
            <w:r w:rsidRPr="00E90169">
              <w:rPr>
                <w:rFonts w:ascii="Arial" w:hAnsi="Arial" w:cs="Arial"/>
              </w:rPr>
              <w:t>reat</w:t>
            </w:r>
            <w:r>
              <w:rPr>
                <w:rFonts w:ascii="Arial" w:hAnsi="Arial" w:cs="Arial"/>
              </w:rPr>
              <w:t>e</w:t>
            </w:r>
            <w:r w:rsidRPr="00E90169">
              <w:rPr>
                <w:rFonts w:ascii="Arial" w:hAnsi="Arial" w:cs="Arial"/>
              </w:rPr>
              <w:t>, maintain and shar</w:t>
            </w:r>
            <w:r>
              <w:rPr>
                <w:rFonts w:ascii="Arial" w:hAnsi="Arial" w:cs="Arial"/>
              </w:rPr>
              <w:t>e</w:t>
            </w:r>
            <w:r w:rsidRPr="00E90169">
              <w:rPr>
                <w:rFonts w:ascii="Arial" w:hAnsi="Arial" w:cs="Arial"/>
              </w:rPr>
              <w:t xml:space="preserve"> a database of local provision</w:t>
            </w:r>
          </w:p>
          <w:p w14:paraId="6D6030F7" w14:textId="77777777" w:rsidR="003F1A71" w:rsidRPr="00E90169" w:rsidRDefault="00145BD1" w:rsidP="003F1A71">
            <w:pPr>
              <w:pStyle w:val="BodyText"/>
              <w:numPr>
                <w:ilvl w:val="0"/>
                <w:numId w:val="34"/>
              </w:numPr>
              <w:tabs>
                <w:tab w:val="left" w:pos="360"/>
              </w:tabs>
              <w:spacing w:after="0"/>
              <w:rPr>
                <w:rFonts w:ascii="Arial" w:hAnsi="Arial" w:cs="Arial"/>
                <w:b/>
              </w:rPr>
            </w:pPr>
            <w:r>
              <w:rPr>
                <w:rFonts w:ascii="Arial" w:hAnsi="Arial" w:cs="Arial"/>
              </w:rPr>
              <w:t>Hold careers events throughout project in different locations attracting</w:t>
            </w:r>
            <w:r w:rsidR="008D458C">
              <w:rPr>
                <w:rFonts w:ascii="Arial" w:hAnsi="Arial" w:cs="Arial"/>
              </w:rPr>
              <w:t xml:space="preserve"> local</w:t>
            </w:r>
            <w:r>
              <w:rPr>
                <w:rFonts w:ascii="Arial" w:hAnsi="Arial" w:cs="Arial"/>
              </w:rPr>
              <w:t xml:space="preserve"> individuals </w:t>
            </w:r>
            <w:r w:rsidR="008D458C">
              <w:rPr>
                <w:rFonts w:ascii="Arial" w:hAnsi="Arial" w:cs="Arial"/>
              </w:rPr>
              <w:t>and employers</w:t>
            </w:r>
            <w:r w:rsidR="003F1A71">
              <w:rPr>
                <w:rFonts w:ascii="Arial" w:hAnsi="Arial" w:cs="Arial"/>
              </w:rPr>
              <w:t>.</w:t>
            </w:r>
          </w:p>
          <w:p w14:paraId="6D6030F8" w14:textId="77777777" w:rsidR="003F1A71" w:rsidRDefault="003F1A71" w:rsidP="003F1A71">
            <w:pPr>
              <w:rPr>
                <w:rFonts w:cs="Arial"/>
              </w:rPr>
            </w:pPr>
          </w:p>
          <w:p w14:paraId="6D6030F9" w14:textId="65043597" w:rsidR="005879C6" w:rsidRDefault="00FA4FBB" w:rsidP="00FA4FBB">
            <w:pPr>
              <w:ind w:right="-82"/>
              <w:rPr>
                <w:rFonts w:cs="Arial"/>
                <w:szCs w:val="22"/>
                <w:lang w:eastAsia="en-GB"/>
              </w:rPr>
            </w:pPr>
            <w:r>
              <w:rPr>
                <w:color w:val="000000"/>
              </w:rPr>
              <w:t xml:space="preserve">The Service must </w:t>
            </w:r>
            <w:r w:rsidR="00A51B79">
              <w:rPr>
                <w:color w:val="000000"/>
              </w:rPr>
              <w:t xml:space="preserve">develop </w:t>
            </w:r>
            <w:r w:rsidR="00C10BE8">
              <w:rPr>
                <w:color w:val="000000"/>
              </w:rPr>
              <w:t xml:space="preserve">a </w:t>
            </w:r>
            <w:r w:rsidR="00D81274">
              <w:rPr>
                <w:color w:val="000000"/>
              </w:rPr>
              <w:t xml:space="preserve">Capacity </w:t>
            </w:r>
            <w:r w:rsidR="00C10BE8">
              <w:rPr>
                <w:color w:val="000000"/>
              </w:rPr>
              <w:t>Delivery Plan</w:t>
            </w:r>
            <w:r w:rsidR="00D81274">
              <w:rPr>
                <w:color w:val="000000"/>
              </w:rPr>
              <w:t xml:space="preserve"> to improve and increase the provision of CEIAG in the LEP area</w:t>
            </w:r>
            <w:r w:rsidR="00C10BE8">
              <w:rPr>
                <w:color w:val="000000"/>
              </w:rPr>
              <w:t xml:space="preserve">.  </w:t>
            </w:r>
            <w:r w:rsidR="00145BD1">
              <w:rPr>
                <w:color w:val="000000"/>
              </w:rPr>
              <w:t xml:space="preserve">The </w:t>
            </w:r>
            <w:r w:rsidR="00145BD1">
              <w:rPr>
                <w:rFonts w:cs="Arial"/>
                <w:szCs w:val="22"/>
                <w:lang w:eastAsia="en-GB"/>
              </w:rPr>
              <w:t xml:space="preserve">contents of the plans will be agreed with LEP and SFA before any delivery takes place,  </w:t>
            </w:r>
          </w:p>
          <w:p w14:paraId="6D6030FA" w14:textId="77777777" w:rsidR="005879C6" w:rsidRDefault="005879C6" w:rsidP="00FA4FBB">
            <w:pPr>
              <w:ind w:right="-82"/>
              <w:rPr>
                <w:rFonts w:cs="Arial"/>
                <w:szCs w:val="22"/>
                <w:lang w:eastAsia="en-GB"/>
              </w:rPr>
            </w:pPr>
          </w:p>
          <w:p w14:paraId="6D6030FB" w14:textId="46E8F47E" w:rsidR="00F40CAE" w:rsidRDefault="00E231E9" w:rsidP="00FA4FBB">
            <w:pPr>
              <w:ind w:right="-82"/>
              <w:rPr>
                <w:rFonts w:cs="Arial"/>
                <w:szCs w:val="22"/>
                <w:lang w:eastAsia="en-GB"/>
              </w:rPr>
            </w:pPr>
            <w:r>
              <w:rPr>
                <w:color w:val="000000"/>
              </w:rPr>
              <w:t>The Service</w:t>
            </w:r>
            <w:r w:rsidR="00C10BE8">
              <w:rPr>
                <w:color w:val="000000"/>
              </w:rPr>
              <w:t xml:space="preserve"> must work </w:t>
            </w:r>
            <w:r w:rsidR="00F40CAE">
              <w:rPr>
                <w:color w:val="000000"/>
              </w:rPr>
              <w:t xml:space="preserve">with </w:t>
            </w:r>
            <w:r w:rsidR="00FA4FBB">
              <w:rPr>
                <w:rFonts w:cs="Arial"/>
                <w:szCs w:val="22"/>
                <w:lang w:eastAsia="en-GB"/>
              </w:rPr>
              <w:t xml:space="preserve">employers, schools/colleges and community groups to provide a locally-tailored menu of activity </w:t>
            </w:r>
            <w:r w:rsidR="00E75CE7">
              <w:rPr>
                <w:rFonts w:cs="Arial"/>
                <w:szCs w:val="22"/>
                <w:lang w:eastAsia="en-GB"/>
              </w:rPr>
              <w:t xml:space="preserve">to </w:t>
            </w:r>
            <w:r w:rsidR="00A51B79">
              <w:rPr>
                <w:rFonts w:cs="Arial"/>
                <w:szCs w:val="22"/>
                <w:lang w:eastAsia="en-GB"/>
              </w:rPr>
              <w:t>overcome any gaps in provision and increase the delivery of high quality CEIAG.   T</w:t>
            </w:r>
            <w:r w:rsidR="00F40CAE">
              <w:rPr>
                <w:rFonts w:cs="Arial"/>
                <w:szCs w:val="22"/>
                <w:lang w:eastAsia="en-GB"/>
              </w:rPr>
              <w:t>he activities will include</w:t>
            </w:r>
            <w:r w:rsidR="00145BD1">
              <w:rPr>
                <w:rFonts w:cs="Arial"/>
                <w:szCs w:val="22"/>
                <w:lang w:eastAsia="en-GB"/>
              </w:rPr>
              <w:t xml:space="preserve">: </w:t>
            </w:r>
          </w:p>
          <w:p w14:paraId="105AA28A" w14:textId="77777777" w:rsidR="003B7E78" w:rsidRDefault="003B7E78" w:rsidP="00FA4FBB">
            <w:pPr>
              <w:ind w:right="-82"/>
              <w:rPr>
                <w:rFonts w:cs="Arial"/>
                <w:szCs w:val="22"/>
                <w:lang w:eastAsia="en-GB"/>
              </w:rPr>
            </w:pPr>
          </w:p>
          <w:p w14:paraId="6D6030FC" w14:textId="77777777" w:rsidR="00F40CAE" w:rsidRPr="00E90169" w:rsidRDefault="00F40CAE" w:rsidP="00F40CAE">
            <w:pPr>
              <w:pStyle w:val="BodyText"/>
              <w:numPr>
                <w:ilvl w:val="0"/>
                <w:numId w:val="34"/>
              </w:numPr>
              <w:tabs>
                <w:tab w:val="left" w:pos="360"/>
              </w:tabs>
              <w:spacing w:after="0"/>
              <w:rPr>
                <w:rFonts w:ascii="Arial" w:hAnsi="Arial" w:cs="Arial"/>
                <w:b/>
              </w:rPr>
            </w:pPr>
            <w:r>
              <w:rPr>
                <w:rFonts w:ascii="Arial" w:hAnsi="Arial" w:cs="Arial"/>
              </w:rPr>
              <w:t>D</w:t>
            </w:r>
            <w:r w:rsidRPr="00E90169">
              <w:rPr>
                <w:rFonts w:ascii="Arial" w:hAnsi="Arial" w:cs="Arial"/>
              </w:rPr>
              <w:t>eliver</w:t>
            </w:r>
            <w:r>
              <w:rPr>
                <w:rFonts w:ascii="Arial" w:hAnsi="Arial" w:cs="Arial"/>
              </w:rPr>
              <w:t xml:space="preserve">ing </w:t>
            </w:r>
            <w:r w:rsidRPr="00E90169">
              <w:rPr>
                <w:rFonts w:ascii="Arial" w:hAnsi="Arial" w:cs="Arial"/>
              </w:rPr>
              <w:t xml:space="preserve">inspirational activities for young people, including promoting the Skills Show and </w:t>
            </w:r>
            <w:r w:rsidR="00060316">
              <w:rPr>
                <w:rFonts w:ascii="Arial" w:hAnsi="Arial" w:cs="Arial"/>
              </w:rPr>
              <w:t xml:space="preserve">holding </w:t>
            </w:r>
            <w:r w:rsidRPr="00E90169">
              <w:rPr>
                <w:rFonts w:ascii="Arial" w:hAnsi="Arial" w:cs="Arial"/>
              </w:rPr>
              <w:t>local careers events</w:t>
            </w:r>
            <w:r>
              <w:rPr>
                <w:rFonts w:ascii="Arial" w:hAnsi="Arial" w:cs="Arial"/>
              </w:rPr>
              <w:t>.</w:t>
            </w:r>
          </w:p>
          <w:p w14:paraId="6D6030FD" w14:textId="77777777" w:rsidR="00F40CAE" w:rsidRPr="00E90169" w:rsidRDefault="00F40CAE" w:rsidP="00F40CAE">
            <w:pPr>
              <w:pStyle w:val="ListParagraph"/>
              <w:numPr>
                <w:ilvl w:val="0"/>
                <w:numId w:val="34"/>
              </w:numPr>
              <w:rPr>
                <w:rFonts w:cs="Arial"/>
              </w:rPr>
            </w:pPr>
            <w:r>
              <w:rPr>
                <w:rFonts w:cs="Arial"/>
              </w:rPr>
              <w:t>D</w:t>
            </w:r>
            <w:r w:rsidRPr="00E90169">
              <w:rPr>
                <w:rFonts w:cs="Arial"/>
              </w:rPr>
              <w:t>evelop</w:t>
            </w:r>
            <w:r>
              <w:rPr>
                <w:rFonts w:cs="Arial"/>
              </w:rPr>
              <w:t xml:space="preserve">ing </w:t>
            </w:r>
            <w:r w:rsidRPr="00E90169">
              <w:rPr>
                <w:rFonts w:cs="Arial"/>
              </w:rPr>
              <w:t>links with local services and employers such as the Apprenticeship Hub, local colleges and training providers</w:t>
            </w:r>
            <w:r>
              <w:rPr>
                <w:rFonts w:cs="Arial"/>
              </w:rPr>
              <w:t>.</w:t>
            </w:r>
          </w:p>
          <w:p w14:paraId="6D6030FE" w14:textId="77777777" w:rsidR="00F40CAE" w:rsidRPr="00E90169" w:rsidRDefault="00F40CAE" w:rsidP="00F40CAE">
            <w:pPr>
              <w:pStyle w:val="BodyText"/>
              <w:numPr>
                <w:ilvl w:val="0"/>
                <w:numId w:val="34"/>
              </w:numPr>
              <w:tabs>
                <w:tab w:val="left" w:pos="360"/>
              </w:tabs>
              <w:spacing w:after="0"/>
              <w:rPr>
                <w:rFonts w:ascii="Arial" w:hAnsi="Arial" w:cs="Arial"/>
                <w:b/>
              </w:rPr>
            </w:pPr>
            <w:r>
              <w:rPr>
                <w:rFonts w:ascii="Arial" w:hAnsi="Arial" w:cs="Arial"/>
              </w:rPr>
              <w:t xml:space="preserve">Engaging with the </w:t>
            </w:r>
            <w:r w:rsidRPr="00E90169">
              <w:rPr>
                <w:rFonts w:ascii="Arial" w:hAnsi="Arial" w:cs="Arial"/>
              </w:rPr>
              <w:t>community and develop</w:t>
            </w:r>
            <w:r>
              <w:rPr>
                <w:rFonts w:ascii="Arial" w:hAnsi="Arial" w:cs="Arial"/>
              </w:rPr>
              <w:t xml:space="preserve">ing </w:t>
            </w:r>
            <w:r w:rsidRPr="00E90169">
              <w:rPr>
                <w:rFonts w:ascii="Arial" w:hAnsi="Arial" w:cs="Arial"/>
              </w:rPr>
              <w:t>links to support those that are not currently participating</w:t>
            </w:r>
            <w:r>
              <w:rPr>
                <w:rFonts w:ascii="Arial" w:hAnsi="Arial" w:cs="Arial"/>
              </w:rPr>
              <w:t>.</w:t>
            </w:r>
          </w:p>
          <w:p w14:paraId="6D6030FF" w14:textId="77777777" w:rsidR="00F40CAE" w:rsidRPr="00202271" w:rsidRDefault="00F40CAE" w:rsidP="00F40CAE">
            <w:pPr>
              <w:pStyle w:val="BodyText"/>
              <w:numPr>
                <w:ilvl w:val="0"/>
                <w:numId w:val="34"/>
              </w:numPr>
              <w:tabs>
                <w:tab w:val="left" w:pos="360"/>
              </w:tabs>
              <w:spacing w:after="0"/>
              <w:rPr>
                <w:rFonts w:ascii="Arial" w:hAnsi="Arial" w:cs="Arial"/>
                <w:b/>
              </w:rPr>
            </w:pPr>
            <w:r>
              <w:rPr>
                <w:rFonts w:ascii="Arial" w:hAnsi="Arial" w:cs="Arial"/>
              </w:rPr>
              <w:t>De</w:t>
            </w:r>
            <w:r w:rsidR="005060C6">
              <w:rPr>
                <w:rFonts w:ascii="Arial" w:hAnsi="Arial" w:cs="Arial"/>
              </w:rPr>
              <w:t xml:space="preserve">veloping materials to </w:t>
            </w:r>
            <w:r w:rsidRPr="00E90169">
              <w:rPr>
                <w:rFonts w:ascii="Arial" w:hAnsi="Arial" w:cs="Arial"/>
              </w:rPr>
              <w:t>improve the perception of sectors that are experiencing recruitment difficulties and skills shortages</w:t>
            </w:r>
            <w:r>
              <w:rPr>
                <w:rFonts w:ascii="Arial" w:hAnsi="Arial" w:cs="Arial"/>
              </w:rPr>
              <w:t>.</w:t>
            </w:r>
          </w:p>
          <w:p w14:paraId="6D603101" w14:textId="77777777" w:rsidR="00344FA1" w:rsidRPr="007C2B80" w:rsidRDefault="00344FA1" w:rsidP="00C107CE">
            <w:pPr>
              <w:pStyle w:val="ListParagraph"/>
              <w:autoSpaceDE w:val="0"/>
              <w:autoSpaceDN w:val="0"/>
              <w:adjustRightInd w:val="0"/>
              <w:ind w:left="313"/>
              <w:rPr>
                <w:rFonts w:cs="Arial"/>
              </w:rPr>
            </w:pPr>
          </w:p>
        </w:tc>
      </w:tr>
      <w:tr w:rsidR="00967429" w:rsidRPr="00544738" w14:paraId="6D603104" w14:textId="77777777" w:rsidTr="003B7E78">
        <w:trPr>
          <w:trHeight w:val="567"/>
        </w:trPr>
        <w:tc>
          <w:tcPr>
            <w:tcW w:w="9088" w:type="dxa"/>
            <w:shd w:val="clear" w:color="auto" w:fill="D9D9D9" w:themeFill="background1" w:themeFillShade="D9"/>
            <w:vAlign w:val="center"/>
          </w:tcPr>
          <w:p w14:paraId="6D603103" w14:textId="77777777" w:rsidR="00967429" w:rsidRPr="00544738" w:rsidRDefault="003A52A2" w:rsidP="00FD3B0A">
            <w:pPr>
              <w:pStyle w:val="SpecificationHeading"/>
            </w:pPr>
            <w:r>
              <w:lastRenderedPageBreak/>
              <w:t>Eligibility</w:t>
            </w:r>
          </w:p>
        </w:tc>
      </w:tr>
      <w:tr w:rsidR="00967429" w:rsidRPr="00EF4406" w14:paraId="6D603142" w14:textId="77777777" w:rsidTr="00202271">
        <w:tc>
          <w:tcPr>
            <w:tcW w:w="9088" w:type="dxa"/>
          </w:tcPr>
          <w:p w14:paraId="6D603105" w14:textId="77777777" w:rsidR="001E23AA" w:rsidRDefault="001E23AA" w:rsidP="002F70E9">
            <w:pPr>
              <w:rPr>
                <w:rFonts w:cs="Arial"/>
                <w:b/>
                <w:u w:val="single"/>
              </w:rPr>
            </w:pPr>
          </w:p>
          <w:p w14:paraId="6D603106" w14:textId="77777777" w:rsidR="00A005EF" w:rsidRPr="00344FA1" w:rsidRDefault="00A005EF" w:rsidP="00A005EF">
            <w:r>
              <w:rPr>
                <w:b/>
              </w:rPr>
              <w:t>General</w:t>
            </w:r>
          </w:p>
          <w:p w14:paraId="6D603107"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5"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6D603108" w14:textId="77777777" w:rsidR="00A005EF" w:rsidRDefault="00A005EF" w:rsidP="00C107CE">
            <w:pPr>
              <w:rPr>
                <w:rFonts w:cs="Arial"/>
              </w:rPr>
            </w:pPr>
          </w:p>
          <w:p w14:paraId="6D603109" w14:textId="77777777" w:rsidR="00394F36" w:rsidRDefault="00394F36" w:rsidP="00394F36">
            <w:pPr>
              <w:rPr>
                <w:rFonts w:cs="Arial"/>
              </w:rPr>
            </w:pPr>
            <w:r w:rsidRPr="00F67261">
              <w:rPr>
                <w:rFonts w:cs="Arial"/>
              </w:rPr>
              <w:t>Please note LEP Specific requirements are subject to the National Eligibility Rules detailed above.</w:t>
            </w:r>
          </w:p>
          <w:p w14:paraId="6D60310A" w14:textId="77777777" w:rsidR="00204794" w:rsidRDefault="00204794" w:rsidP="00394F36">
            <w:pPr>
              <w:rPr>
                <w:rFonts w:cs="Arial"/>
              </w:rPr>
            </w:pPr>
          </w:p>
          <w:p w14:paraId="6D60310B" w14:textId="77777777" w:rsidR="00162B5B" w:rsidRDefault="00C336D2" w:rsidP="00162B5B">
            <w:pPr>
              <w:rPr>
                <w:b/>
              </w:rPr>
            </w:pPr>
            <w:r>
              <w:rPr>
                <w:b/>
              </w:rPr>
              <w:t xml:space="preserve">IP 1.1 </w:t>
            </w:r>
            <w:r w:rsidR="00162B5B" w:rsidRPr="00A85312">
              <w:rPr>
                <w:b/>
              </w:rPr>
              <w:t>Access to employment for jobseekers and inactive people</w:t>
            </w:r>
            <w:r w:rsidR="00CC112A">
              <w:rPr>
                <w:b/>
              </w:rPr>
              <w:t xml:space="preserve"> </w:t>
            </w:r>
          </w:p>
          <w:p w14:paraId="001A4DD2" w14:textId="77777777" w:rsidR="003B7E78" w:rsidRPr="00A85312" w:rsidRDefault="003B7E78" w:rsidP="00162B5B">
            <w:pPr>
              <w:rPr>
                <w:b/>
              </w:rPr>
            </w:pPr>
          </w:p>
          <w:p w14:paraId="6D60310C" w14:textId="77777777" w:rsidR="00162B5B" w:rsidRPr="003E0C7F" w:rsidRDefault="00162B5B" w:rsidP="00A503FD">
            <w:pPr>
              <w:pStyle w:val="ListParagraph"/>
              <w:numPr>
                <w:ilvl w:val="0"/>
                <w:numId w:val="13"/>
              </w:numPr>
              <w:rPr>
                <w:rFonts w:cs="Arial"/>
              </w:rPr>
            </w:pPr>
            <w:r w:rsidRPr="003E0C7F">
              <w:rPr>
                <w:rFonts w:cs="Arial"/>
              </w:rPr>
              <w:t>Unemployed</w:t>
            </w:r>
            <w:r w:rsidR="00CC112A">
              <w:rPr>
                <w:rFonts w:cs="Arial"/>
              </w:rPr>
              <w:t>, any length of unemployment</w:t>
            </w:r>
          </w:p>
          <w:p w14:paraId="6D60310D" w14:textId="77777777" w:rsidR="00162B5B" w:rsidRDefault="00162B5B" w:rsidP="00A503FD">
            <w:pPr>
              <w:pStyle w:val="ListParagraph"/>
              <w:numPr>
                <w:ilvl w:val="0"/>
                <w:numId w:val="13"/>
              </w:numPr>
              <w:rPr>
                <w:rFonts w:cs="Arial"/>
              </w:rPr>
            </w:pPr>
            <w:r w:rsidRPr="003E0C7F">
              <w:rPr>
                <w:rFonts w:cs="Arial"/>
              </w:rPr>
              <w:t>Inactive</w:t>
            </w:r>
          </w:p>
          <w:p w14:paraId="6D60310E" w14:textId="77777777" w:rsidR="00162B5B" w:rsidRPr="003E0C7F" w:rsidRDefault="00AF2C70" w:rsidP="00A503FD">
            <w:pPr>
              <w:pStyle w:val="ListParagraph"/>
              <w:numPr>
                <w:ilvl w:val="0"/>
                <w:numId w:val="13"/>
              </w:numPr>
              <w:rPr>
                <w:rFonts w:cs="Arial"/>
              </w:rPr>
            </w:pPr>
            <w:r>
              <w:rPr>
                <w:rFonts w:cs="Arial"/>
              </w:rPr>
              <w:t xml:space="preserve">16+ </w:t>
            </w:r>
          </w:p>
          <w:p w14:paraId="6D60310F" w14:textId="77777777" w:rsidR="00CC112A" w:rsidRDefault="00CC112A" w:rsidP="00162B5B">
            <w:pPr>
              <w:rPr>
                <w:rFonts w:cs="Arial"/>
              </w:rPr>
            </w:pPr>
          </w:p>
          <w:p w14:paraId="6D603110" w14:textId="565BD8DE" w:rsidR="00394F36" w:rsidRPr="00162B5B" w:rsidRDefault="00E231E9" w:rsidP="00162B5B">
            <w:pPr>
              <w:rPr>
                <w:rFonts w:ascii="Calibri" w:hAnsi="Calibri"/>
                <w:iCs/>
                <w:sz w:val="22"/>
                <w:szCs w:val="22"/>
              </w:rPr>
            </w:pPr>
            <w:r>
              <w:rPr>
                <w:rFonts w:cs="Arial"/>
                <w:iCs/>
              </w:rPr>
              <w:lastRenderedPageBreak/>
              <w:t>In delivering the Service</w:t>
            </w:r>
            <w:r w:rsidR="00394F36">
              <w:rPr>
                <w:rFonts w:cs="Arial"/>
                <w:iCs/>
              </w:rPr>
              <w:t>, the successful Candidate must take into account and support the targets for the following groups where this is co</w:t>
            </w:r>
            <w:r>
              <w:rPr>
                <w:rFonts w:cs="Arial"/>
                <w:iCs/>
              </w:rPr>
              <w:t>nsistent with the other Service</w:t>
            </w:r>
            <w:r w:rsidR="00394F36">
              <w:rPr>
                <w:rFonts w:cs="Arial"/>
                <w:iCs/>
              </w:rPr>
              <w:t xml:space="preserve"> requirements for addressing the needs of groups identified as p</w:t>
            </w:r>
            <w:r>
              <w:rPr>
                <w:rFonts w:cs="Arial"/>
                <w:iCs/>
              </w:rPr>
              <w:t>riority and meeting the Service</w:t>
            </w:r>
            <w:r w:rsidR="00394F36">
              <w:rPr>
                <w:rFonts w:cs="Arial"/>
                <w:iCs/>
              </w:rPr>
              <w:t xml:space="preserve"> deliverables. </w:t>
            </w:r>
          </w:p>
          <w:p w14:paraId="6D603111" w14:textId="77777777" w:rsidR="003E0C7F" w:rsidRDefault="003E0C7F" w:rsidP="00394F36">
            <w:pPr>
              <w:ind w:left="720"/>
              <w:rPr>
                <w:iCs/>
              </w:rPr>
            </w:pPr>
          </w:p>
          <w:p w14:paraId="6D603112" w14:textId="77777777" w:rsidR="00162B5B" w:rsidRPr="00A85312" w:rsidRDefault="00C336D2" w:rsidP="00162B5B">
            <w:pPr>
              <w:rPr>
                <w:b/>
              </w:rPr>
            </w:pPr>
            <w:r>
              <w:rPr>
                <w:b/>
              </w:rPr>
              <w:t xml:space="preserve">IP1.1 </w:t>
            </w:r>
            <w:r w:rsidR="00162B5B" w:rsidRPr="00A85312">
              <w:rPr>
                <w:b/>
              </w:rPr>
              <w:t>Access to employment for jobseekers and inactive people</w:t>
            </w:r>
            <w:r w:rsidR="009B1CF3">
              <w:rPr>
                <w:b/>
              </w:rPr>
              <w:t xml:space="preserve"> </w:t>
            </w:r>
            <w:r w:rsidR="00162B5B" w:rsidRPr="00A85312">
              <w:rPr>
                <w:b/>
              </w:rPr>
              <w:t>:</w:t>
            </w:r>
          </w:p>
          <w:tbl>
            <w:tblPr>
              <w:tblW w:w="8676" w:type="dxa"/>
              <w:tblLook w:val="04A0" w:firstRow="1" w:lastRow="0" w:firstColumn="1" w:lastColumn="0" w:noHBand="0" w:noVBand="1"/>
            </w:tblPr>
            <w:tblGrid>
              <w:gridCol w:w="4423"/>
              <w:gridCol w:w="1560"/>
              <w:gridCol w:w="1417"/>
              <w:gridCol w:w="1276"/>
            </w:tblGrid>
            <w:tr w:rsidR="00162B5B" w:rsidRPr="00162B5B" w14:paraId="6D603117" w14:textId="77777777" w:rsidTr="00202271">
              <w:trPr>
                <w:trHeight w:val="504"/>
              </w:trPr>
              <w:tc>
                <w:tcPr>
                  <w:tcW w:w="4423" w:type="dxa"/>
                  <w:tcBorders>
                    <w:top w:val="nil"/>
                    <w:left w:val="nil"/>
                    <w:bottom w:val="nil"/>
                    <w:right w:val="nil"/>
                  </w:tcBorders>
                  <w:shd w:val="clear" w:color="auto" w:fill="auto"/>
                  <w:noWrap/>
                  <w:vAlign w:val="bottom"/>
                  <w:hideMark/>
                </w:tcPr>
                <w:p w14:paraId="6D603113" w14:textId="77777777" w:rsidR="00162B5B" w:rsidRPr="00162B5B" w:rsidRDefault="00162B5B" w:rsidP="00162B5B">
                  <w:pPr>
                    <w:rPr>
                      <w:rFonts w:ascii="Times New Roman" w:hAnsi="Times New Roman"/>
                      <w:sz w:val="20"/>
                      <w:szCs w:val="20"/>
                      <w:lang w:eastAsia="en-GB"/>
                    </w:rPr>
                  </w:pPr>
                </w:p>
              </w:tc>
              <w:tc>
                <w:tcPr>
                  <w:tcW w:w="1560" w:type="dxa"/>
                  <w:tcBorders>
                    <w:top w:val="nil"/>
                    <w:left w:val="nil"/>
                    <w:bottom w:val="nil"/>
                    <w:right w:val="nil"/>
                  </w:tcBorders>
                  <w:shd w:val="clear" w:color="auto" w:fill="auto"/>
                  <w:vAlign w:val="bottom"/>
                </w:tcPr>
                <w:p w14:paraId="6D603114" w14:textId="77777777" w:rsidR="00162B5B" w:rsidRPr="00162B5B" w:rsidRDefault="00162B5B" w:rsidP="00162B5B">
                  <w:pPr>
                    <w:jc w:val="center"/>
                    <w:rPr>
                      <w:rFonts w:ascii="Calibri" w:hAnsi="Calibri"/>
                      <w:b/>
                      <w:bCs/>
                      <w:color w:val="000000"/>
                      <w:sz w:val="22"/>
                      <w:szCs w:val="22"/>
                      <w:lang w:eastAsia="en-GB"/>
                    </w:rPr>
                  </w:pPr>
                </w:p>
              </w:tc>
              <w:tc>
                <w:tcPr>
                  <w:tcW w:w="1417" w:type="dxa"/>
                  <w:tcBorders>
                    <w:top w:val="nil"/>
                    <w:left w:val="nil"/>
                    <w:bottom w:val="nil"/>
                    <w:right w:val="nil"/>
                  </w:tcBorders>
                  <w:shd w:val="clear" w:color="auto" w:fill="auto"/>
                  <w:vAlign w:val="bottom"/>
                </w:tcPr>
                <w:p w14:paraId="6D603115" w14:textId="77777777" w:rsidR="00162B5B" w:rsidRPr="00162B5B" w:rsidRDefault="00162B5B" w:rsidP="00162B5B">
                  <w:pPr>
                    <w:jc w:val="center"/>
                    <w:rPr>
                      <w:rFonts w:ascii="Calibri" w:hAnsi="Calibri"/>
                      <w:b/>
                      <w:bCs/>
                      <w:color w:val="000000"/>
                      <w:sz w:val="22"/>
                      <w:szCs w:val="22"/>
                      <w:lang w:eastAsia="en-GB"/>
                    </w:rPr>
                  </w:pPr>
                </w:p>
              </w:tc>
              <w:tc>
                <w:tcPr>
                  <w:tcW w:w="1276" w:type="dxa"/>
                  <w:tcBorders>
                    <w:top w:val="nil"/>
                    <w:left w:val="nil"/>
                    <w:bottom w:val="nil"/>
                    <w:right w:val="nil"/>
                  </w:tcBorders>
                  <w:shd w:val="clear" w:color="auto" w:fill="auto"/>
                  <w:vAlign w:val="bottom"/>
                </w:tcPr>
                <w:p w14:paraId="6D603116" w14:textId="77777777" w:rsidR="00162B5B" w:rsidRPr="00162B5B" w:rsidRDefault="00162B5B" w:rsidP="00162B5B">
                  <w:pPr>
                    <w:jc w:val="center"/>
                    <w:rPr>
                      <w:rFonts w:ascii="Calibri" w:hAnsi="Calibri"/>
                      <w:b/>
                      <w:bCs/>
                      <w:color w:val="000000"/>
                      <w:sz w:val="22"/>
                      <w:szCs w:val="22"/>
                      <w:lang w:eastAsia="en-GB"/>
                    </w:rPr>
                  </w:pPr>
                </w:p>
              </w:tc>
            </w:tr>
            <w:tr w:rsidR="00162B5B" w:rsidRPr="00162B5B" w14:paraId="6D60311C" w14:textId="77777777" w:rsidTr="00202271">
              <w:trPr>
                <w:trHeight w:val="576"/>
              </w:trPr>
              <w:tc>
                <w:tcPr>
                  <w:tcW w:w="4423" w:type="dxa"/>
                  <w:tcBorders>
                    <w:top w:val="nil"/>
                    <w:left w:val="nil"/>
                    <w:bottom w:val="nil"/>
                    <w:right w:val="nil"/>
                  </w:tcBorders>
                  <w:shd w:val="clear" w:color="auto" w:fill="auto"/>
                  <w:vAlign w:val="bottom"/>
                  <w:hideMark/>
                </w:tcPr>
                <w:p w14:paraId="6D603118" w14:textId="77777777" w:rsidR="00162B5B" w:rsidRPr="00360E2D" w:rsidRDefault="00162B5B" w:rsidP="00162B5B">
                  <w:pPr>
                    <w:rPr>
                      <w:rFonts w:cs="Arial"/>
                      <w:iCs/>
                    </w:rPr>
                  </w:pPr>
                  <w:r w:rsidRPr="00360E2D">
                    <w:rPr>
                      <w:rFonts w:cs="Arial"/>
                      <w:iCs/>
                    </w:rPr>
                    <w:t>Total participants who are unemployed (including long term unemployed)</w:t>
                  </w:r>
                </w:p>
              </w:tc>
              <w:tc>
                <w:tcPr>
                  <w:tcW w:w="1560" w:type="dxa"/>
                  <w:tcBorders>
                    <w:top w:val="nil"/>
                    <w:left w:val="nil"/>
                    <w:bottom w:val="nil"/>
                    <w:right w:val="nil"/>
                  </w:tcBorders>
                  <w:shd w:val="clear" w:color="auto" w:fill="auto"/>
                  <w:noWrap/>
                  <w:vAlign w:val="bottom"/>
                </w:tcPr>
                <w:p w14:paraId="6D603119" w14:textId="77777777" w:rsidR="00162B5B" w:rsidRPr="00360E2D" w:rsidRDefault="00162B5B" w:rsidP="00162B5B">
                  <w:pPr>
                    <w:jc w:val="center"/>
                    <w:rPr>
                      <w:rFonts w:cs="Arial"/>
                      <w:iCs/>
                    </w:rPr>
                  </w:pPr>
                </w:p>
              </w:tc>
              <w:tc>
                <w:tcPr>
                  <w:tcW w:w="1417" w:type="dxa"/>
                  <w:tcBorders>
                    <w:top w:val="nil"/>
                    <w:left w:val="nil"/>
                    <w:bottom w:val="nil"/>
                    <w:right w:val="nil"/>
                  </w:tcBorders>
                  <w:shd w:val="clear" w:color="auto" w:fill="auto"/>
                  <w:noWrap/>
                  <w:vAlign w:val="bottom"/>
                </w:tcPr>
                <w:p w14:paraId="6D60311A" w14:textId="77777777" w:rsidR="00162B5B" w:rsidRPr="00360E2D" w:rsidRDefault="00162B5B" w:rsidP="00162B5B">
                  <w:pPr>
                    <w:jc w:val="center"/>
                    <w:rPr>
                      <w:rFonts w:cs="Arial"/>
                      <w:iCs/>
                    </w:rPr>
                  </w:pPr>
                </w:p>
              </w:tc>
              <w:tc>
                <w:tcPr>
                  <w:tcW w:w="1276" w:type="dxa"/>
                  <w:tcBorders>
                    <w:top w:val="nil"/>
                    <w:left w:val="nil"/>
                    <w:bottom w:val="nil"/>
                    <w:right w:val="nil"/>
                  </w:tcBorders>
                  <w:shd w:val="clear" w:color="auto" w:fill="auto"/>
                  <w:noWrap/>
                  <w:vAlign w:val="bottom"/>
                  <w:hideMark/>
                </w:tcPr>
                <w:p w14:paraId="6D60311B" w14:textId="77777777" w:rsidR="00162B5B" w:rsidRPr="00360E2D" w:rsidRDefault="00162B5B" w:rsidP="00162B5B">
                  <w:pPr>
                    <w:jc w:val="center"/>
                    <w:rPr>
                      <w:rFonts w:cs="Arial"/>
                      <w:iCs/>
                    </w:rPr>
                  </w:pPr>
                  <w:r w:rsidRPr="00360E2D">
                    <w:rPr>
                      <w:rFonts w:cs="Arial"/>
                      <w:iCs/>
                    </w:rPr>
                    <w:t>70%</w:t>
                  </w:r>
                </w:p>
              </w:tc>
            </w:tr>
            <w:tr w:rsidR="00162B5B" w:rsidRPr="00162B5B" w14:paraId="6D603121" w14:textId="77777777" w:rsidTr="00202271">
              <w:trPr>
                <w:trHeight w:val="288"/>
              </w:trPr>
              <w:tc>
                <w:tcPr>
                  <w:tcW w:w="4423" w:type="dxa"/>
                  <w:tcBorders>
                    <w:top w:val="nil"/>
                    <w:left w:val="nil"/>
                    <w:bottom w:val="nil"/>
                    <w:right w:val="nil"/>
                  </w:tcBorders>
                  <w:shd w:val="clear" w:color="auto" w:fill="auto"/>
                  <w:vAlign w:val="bottom"/>
                  <w:hideMark/>
                </w:tcPr>
                <w:p w14:paraId="6D60311D" w14:textId="77777777" w:rsidR="00162B5B" w:rsidRPr="00360E2D" w:rsidRDefault="00162B5B" w:rsidP="00162B5B">
                  <w:pPr>
                    <w:rPr>
                      <w:rFonts w:cs="Arial"/>
                      <w:iCs/>
                    </w:rPr>
                  </w:pPr>
                  <w:r w:rsidRPr="00360E2D">
                    <w:rPr>
                      <w:rFonts w:cs="Arial"/>
                      <w:iCs/>
                    </w:rPr>
                    <w:t>Total participants who are inactive</w:t>
                  </w:r>
                </w:p>
              </w:tc>
              <w:tc>
                <w:tcPr>
                  <w:tcW w:w="1560" w:type="dxa"/>
                  <w:tcBorders>
                    <w:top w:val="nil"/>
                    <w:left w:val="nil"/>
                    <w:bottom w:val="nil"/>
                    <w:right w:val="nil"/>
                  </w:tcBorders>
                  <w:shd w:val="clear" w:color="auto" w:fill="auto"/>
                  <w:noWrap/>
                  <w:vAlign w:val="bottom"/>
                </w:tcPr>
                <w:p w14:paraId="6D60311E" w14:textId="77777777" w:rsidR="00162B5B" w:rsidRPr="00360E2D" w:rsidRDefault="00162B5B" w:rsidP="00162B5B">
                  <w:pPr>
                    <w:jc w:val="center"/>
                    <w:rPr>
                      <w:rFonts w:cs="Arial"/>
                      <w:iCs/>
                    </w:rPr>
                  </w:pPr>
                </w:p>
              </w:tc>
              <w:tc>
                <w:tcPr>
                  <w:tcW w:w="1417" w:type="dxa"/>
                  <w:tcBorders>
                    <w:top w:val="nil"/>
                    <w:left w:val="nil"/>
                    <w:bottom w:val="nil"/>
                    <w:right w:val="nil"/>
                  </w:tcBorders>
                  <w:shd w:val="clear" w:color="auto" w:fill="auto"/>
                  <w:noWrap/>
                  <w:vAlign w:val="bottom"/>
                </w:tcPr>
                <w:p w14:paraId="6D60311F" w14:textId="77777777" w:rsidR="00162B5B" w:rsidRPr="00360E2D" w:rsidRDefault="00162B5B" w:rsidP="00162B5B">
                  <w:pPr>
                    <w:jc w:val="center"/>
                    <w:rPr>
                      <w:rFonts w:cs="Arial"/>
                      <w:iCs/>
                    </w:rPr>
                  </w:pPr>
                </w:p>
              </w:tc>
              <w:tc>
                <w:tcPr>
                  <w:tcW w:w="1276" w:type="dxa"/>
                  <w:tcBorders>
                    <w:top w:val="nil"/>
                    <w:left w:val="nil"/>
                    <w:bottom w:val="nil"/>
                    <w:right w:val="nil"/>
                  </w:tcBorders>
                  <w:shd w:val="clear" w:color="auto" w:fill="auto"/>
                  <w:noWrap/>
                  <w:vAlign w:val="bottom"/>
                  <w:hideMark/>
                </w:tcPr>
                <w:p w14:paraId="6D603120" w14:textId="77777777" w:rsidR="00162B5B" w:rsidRPr="00360E2D" w:rsidRDefault="00162B5B" w:rsidP="00162B5B">
                  <w:pPr>
                    <w:jc w:val="center"/>
                    <w:rPr>
                      <w:rFonts w:cs="Arial"/>
                      <w:iCs/>
                    </w:rPr>
                  </w:pPr>
                  <w:r w:rsidRPr="00360E2D">
                    <w:rPr>
                      <w:rFonts w:cs="Arial"/>
                      <w:iCs/>
                    </w:rPr>
                    <w:t>25%</w:t>
                  </w:r>
                </w:p>
              </w:tc>
            </w:tr>
            <w:tr w:rsidR="00162B5B" w:rsidRPr="00162B5B" w14:paraId="6D603126" w14:textId="77777777" w:rsidTr="00202271">
              <w:trPr>
                <w:trHeight w:val="288"/>
              </w:trPr>
              <w:tc>
                <w:tcPr>
                  <w:tcW w:w="4423" w:type="dxa"/>
                  <w:tcBorders>
                    <w:top w:val="nil"/>
                    <w:left w:val="nil"/>
                    <w:bottom w:val="nil"/>
                    <w:right w:val="nil"/>
                  </w:tcBorders>
                  <w:shd w:val="clear" w:color="auto" w:fill="auto"/>
                  <w:vAlign w:val="bottom"/>
                  <w:hideMark/>
                </w:tcPr>
                <w:p w14:paraId="6D603122" w14:textId="77777777" w:rsidR="00162B5B" w:rsidRPr="00360E2D" w:rsidRDefault="00162B5B" w:rsidP="00162B5B">
                  <w:pPr>
                    <w:rPr>
                      <w:rFonts w:cs="Arial"/>
                      <w:iCs/>
                    </w:rPr>
                  </w:pPr>
                  <w:r w:rsidRPr="00360E2D">
                    <w:rPr>
                      <w:rFonts w:cs="Arial"/>
                      <w:iCs/>
                    </w:rPr>
                    <w:t>Participants who are over 5</w:t>
                  </w:r>
                </w:p>
              </w:tc>
              <w:tc>
                <w:tcPr>
                  <w:tcW w:w="1560" w:type="dxa"/>
                  <w:tcBorders>
                    <w:top w:val="nil"/>
                    <w:left w:val="nil"/>
                    <w:bottom w:val="nil"/>
                    <w:right w:val="nil"/>
                  </w:tcBorders>
                  <w:shd w:val="clear" w:color="auto" w:fill="auto"/>
                  <w:noWrap/>
                  <w:vAlign w:val="bottom"/>
                </w:tcPr>
                <w:p w14:paraId="6D603123" w14:textId="77777777" w:rsidR="00162B5B" w:rsidRPr="00360E2D" w:rsidRDefault="00162B5B" w:rsidP="00162B5B">
                  <w:pPr>
                    <w:jc w:val="center"/>
                    <w:rPr>
                      <w:rFonts w:cs="Arial"/>
                      <w:iCs/>
                    </w:rPr>
                  </w:pPr>
                </w:p>
              </w:tc>
              <w:tc>
                <w:tcPr>
                  <w:tcW w:w="1417" w:type="dxa"/>
                  <w:tcBorders>
                    <w:top w:val="nil"/>
                    <w:left w:val="nil"/>
                    <w:bottom w:val="nil"/>
                    <w:right w:val="nil"/>
                  </w:tcBorders>
                  <w:shd w:val="clear" w:color="auto" w:fill="auto"/>
                  <w:noWrap/>
                  <w:vAlign w:val="bottom"/>
                </w:tcPr>
                <w:p w14:paraId="6D603124" w14:textId="77777777" w:rsidR="00162B5B" w:rsidRPr="00360E2D" w:rsidRDefault="00162B5B" w:rsidP="00162B5B">
                  <w:pPr>
                    <w:jc w:val="center"/>
                    <w:rPr>
                      <w:rFonts w:cs="Arial"/>
                      <w:iCs/>
                    </w:rPr>
                  </w:pPr>
                </w:p>
              </w:tc>
              <w:tc>
                <w:tcPr>
                  <w:tcW w:w="1276" w:type="dxa"/>
                  <w:tcBorders>
                    <w:top w:val="nil"/>
                    <w:left w:val="nil"/>
                    <w:bottom w:val="nil"/>
                    <w:right w:val="nil"/>
                  </w:tcBorders>
                  <w:shd w:val="clear" w:color="auto" w:fill="auto"/>
                  <w:noWrap/>
                  <w:vAlign w:val="bottom"/>
                  <w:hideMark/>
                </w:tcPr>
                <w:p w14:paraId="6D603125" w14:textId="77777777" w:rsidR="00162B5B" w:rsidRPr="00360E2D" w:rsidRDefault="00162B5B" w:rsidP="00162B5B">
                  <w:pPr>
                    <w:jc w:val="center"/>
                    <w:rPr>
                      <w:rFonts w:cs="Arial"/>
                      <w:iCs/>
                    </w:rPr>
                  </w:pPr>
                  <w:r w:rsidRPr="00360E2D">
                    <w:rPr>
                      <w:rFonts w:cs="Arial"/>
                      <w:iCs/>
                    </w:rPr>
                    <w:t>20%</w:t>
                  </w:r>
                </w:p>
              </w:tc>
            </w:tr>
            <w:tr w:rsidR="00162B5B" w:rsidRPr="00162B5B" w14:paraId="6D60312B" w14:textId="77777777" w:rsidTr="00202271">
              <w:trPr>
                <w:trHeight w:val="288"/>
              </w:trPr>
              <w:tc>
                <w:tcPr>
                  <w:tcW w:w="4423" w:type="dxa"/>
                  <w:tcBorders>
                    <w:top w:val="nil"/>
                    <w:left w:val="nil"/>
                    <w:bottom w:val="nil"/>
                    <w:right w:val="nil"/>
                  </w:tcBorders>
                  <w:shd w:val="clear" w:color="auto" w:fill="auto"/>
                  <w:vAlign w:val="bottom"/>
                  <w:hideMark/>
                </w:tcPr>
                <w:p w14:paraId="6D603127" w14:textId="77777777" w:rsidR="00162B5B" w:rsidRPr="00360E2D" w:rsidRDefault="00162B5B" w:rsidP="00162B5B">
                  <w:pPr>
                    <w:rPr>
                      <w:rFonts w:cs="Arial"/>
                      <w:iCs/>
                    </w:rPr>
                  </w:pPr>
                  <w:r w:rsidRPr="00360E2D">
                    <w:rPr>
                      <w:rFonts w:cs="Arial"/>
                      <w:iCs/>
                    </w:rPr>
                    <w:t>Participants from ethnic minorities</w:t>
                  </w:r>
                </w:p>
              </w:tc>
              <w:tc>
                <w:tcPr>
                  <w:tcW w:w="1560" w:type="dxa"/>
                  <w:tcBorders>
                    <w:top w:val="nil"/>
                    <w:left w:val="nil"/>
                    <w:bottom w:val="nil"/>
                    <w:right w:val="nil"/>
                  </w:tcBorders>
                  <w:shd w:val="clear" w:color="auto" w:fill="auto"/>
                  <w:noWrap/>
                  <w:vAlign w:val="bottom"/>
                </w:tcPr>
                <w:p w14:paraId="6D603128" w14:textId="77777777" w:rsidR="00162B5B" w:rsidRPr="00360E2D" w:rsidRDefault="00162B5B" w:rsidP="00162B5B">
                  <w:pPr>
                    <w:jc w:val="center"/>
                    <w:rPr>
                      <w:rFonts w:cs="Arial"/>
                      <w:iCs/>
                    </w:rPr>
                  </w:pPr>
                </w:p>
              </w:tc>
              <w:tc>
                <w:tcPr>
                  <w:tcW w:w="1417" w:type="dxa"/>
                  <w:tcBorders>
                    <w:top w:val="nil"/>
                    <w:left w:val="nil"/>
                    <w:bottom w:val="nil"/>
                    <w:right w:val="nil"/>
                  </w:tcBorders>
                  <w:shd w:val="clear" w:color="auto" w:fill="auto"/>
                  <w:noWrap/>
                  <w:vAlign w:val="bottom"/>
                </w:tcPr>
                <w:p w14:paraId="6D603129" w14:textId="77777777" w:rsidR="00162B5B" w:rsidRPr="00360E2D" w:rsidRDefault="00162B5B" w:rsidP="00162B5B">
                  <w:pPr>
                    <w:jc w:val="center"/>
                    <w:rPr>
                      <w:rFonts w:cs="Arial"/>
                      <w:iCs/>
                    </w:rPr>
                  </w:pPr>
                </w:p>
              </w:tc>
              <w:tc>
                <w:tcPr>
                  <w:tcW w:w="1276" w:type="dxa"/>
                  <w:tcBorders>
                    <w:top w:val="nil"/>
                    <w:left w:val="nil"/>
                    <w:bottom w:val="nil"/>
                    <w:right w:val="nil"/>
                  </w:tcBorders>
                  <w:shd w:val="clear" w:color="auto" w:fill="auto"/>
                  <w:noWrap/>
                  <w:vAlign w:val="bottom"/>
                  <w:hideMark/>
                </w:tcPr>
                <w:p w14:paraId="6D60312A" w14:textId="77777777" w:rsidR="00162B5B" w:rsidRPr="00360E2D" w:rsidRDefault="00162B5B" w:rsidP="00162B5B">
                  <w:pPr>
                    <w:jc w:val="center"/>
                    <w:rPr>
                      <w:rFonts w:cs="Arial"/>
                      <w:iCs/>
                    </w:rPr>
                  </w:pPr>
                  <w:r w:rsidRPr="00360E2D">
                    <w:rPr>
                      <w:rFonts w:cs="Arial"/>
                      <w:iCs/>
                    </w:rPr>
                    <w:t>22%</w:t>
                  </w:r>
                </w:p>
              </w:tc>
            </w:tr>
            <w:tr w:rsidR="00162B5B" w:rsidRPr="00162B5B" w14:paraId="6D603130" w14:textId="77777777" w:rsidTr="00202271">
              <w:trPr>
                <w:trHeight w:val="288"/>
              </w:trPr>
              <w:tc>
                <w:tcPr>
                  <w:tcW w:w="4423" w:type="dxa"/>
                  <w:tcBorders>
                    <w:top w:val="nil"/>
                    <w:left w:val="nil"/>
                    <w:bottom w:val="nil"/>
                    <w:right w:val="nil"/>
                  </w:tcBorders>
                  <w:shd w:val="clear" w:color="auto" w:fill="auto"/>
                  <w:vAlign w:val="bottom"/>
                  <w:hideMark/>
                </w:tcPr>
                <w:p w14:paraId="6D60312C" w14:textId="77777777" w:rsidR="00162B5B" w:rsidRPr="00360E2D" w:rsidRDefault="00162B5B" w:rsidP="00162B5B">
                  <w:pPr>
                    <w:rPr>
                      <w:rFonts w:cs="Arial"/>
                      <w:iCs/>
                    </w:rPr>
                  </w:pPr>
                  <w:r w:rsidRPr="00360E2D">
                    <w:rPr>
                      <w:rFonts w:cs="Arial"/>
                      <w:iCs/>
                    </w:rPr>
                    <w:t>Female participants</w:t>
                  </w:r>
                </w:p>
              </w:tc>
              <w:tc>
                <w:tcPr>
                  <w:tcW w:w="1560" w:type="dxa"/>
                  <w:tcBorders>
                    <w:top w:val="nil"/>
                    <w:left w:val="nil"/>
                    <w:bottom w:val="nil"/>
                    <w:right w:val="nil"/>
                  </w:tcBorders>
                  <w:shd w:val="clear" w:color="auto" w:fill="auto"/>
                  <w:noWrap/>
                  <w:vAlign w:val="bottom"/>
                </w:tcPr>
                <w:p w14:paraId="6D60312D" w14:textId="77777777" w:rsidR="00162B5B" w:rsidRPr="00360E2D" w:rsidRDefault="00162B5B" w:rsidP="00162B5B">
                  <w:pPr>
                    <w:jc w:val="center"/>
                    <w:rPr>
                      <w:rFonts w:cs="Arial"/>
                      <w:iCs/>
                    </w:rPr>
                  </w:pPr>
                </w:p>
              </w:tc>
              <w:tc>
                <w:tcPr>
                  <w:tcW w:w="1417" w:type="dxa"/>
                  <w:tcBorders>
                    <w:top w:val="nil"/>
                    <w:left w:val="nil"/>
                    <w:bottom w:val="nil"/>
                    <w:right w:val="nil"/>
                  </w:tcBorders>
                  <w:shd w:val="clear" w:color="auto" w:fill="auto"/>
                  <w:noWrap/>
                  <w:vAlign w:val="bottom"/>
                </w:tcPr>
                <w:p w14:paraId="6D60312E" w14:textId="77777777" w:rsidR="00162B5B" w:rsidRPr="00360E2D" w:rsidRDefault="00162B5B" w:rsidP="00162B5B">
                  <w:pPr>
                    <w:jc w:val="center"/>
                    <w:rPr>
                      <w:rFonts w:cs="Arial"/>
                      <w:iCs/>
                    </w:rPr>
                  </w:pPr>
                </w:p>
              </w:tc>
              <w:tc>
                <w:tcPr>
                  <w:tcW w:w="1276" w:type="dxa"/>
                  <w:tcBorders>
                    <w:top w:val="nil"/>
                    <w:left w:val="nil"/>
                    <w:bottom w:val="nil"/>
                    <w:right w:val="nil"/>
                  </w:tcBorders>
                  <w:shd w:val="clear" w:color="auto" w:fill="auto"/>
                  <w:noWrap/>
                  <w:vAlign w:val="bottom"/>
                  <w:hideMark/>
                </w:tcPr>
                <w:p w14:paraId="6D60312F" w14:textId="77777777" w:rsidR="00162B5B" w:rsidRPr="00360E2D" w:rsidRDefault="00162B5B" w:rsidP="00162B5B">
                  <w:pPr>
                    <w:jc w:val="center"/>
                    <w:rPr>
                      <w:rFonts w:cs="Arial"/>
                      <w:iCs/>
                    </w:rPr>
                  </w:pPr>
                  <w:r w:rsidRPr="00360E2D">
                    <w:rPr>
                      <w:rFonts w:cs="Arial"/>
                      <w:iCs/>
                    </w:rPr>
                    <w:t>45%</w:t>
                  </w:r>
                </w:p>
              </w:tc>
            </w:tr>
            <w:tr w:rsidR="00162B5B" w:rsidRPr="00162B5B" w14:paraId="6D603135" w14:textId="77777777" w:rsidTr="00202271">
              <w:trPr>
                <w:trHeight w:val="288"/>
              </w:trPr>
              <w:tc>
                <w:tcPr>
                  <w:tcW w:w="4423" w:type="dxa"/>
                  <w:tcBorders>
                    <w:top w:val="nil"/>
                    <w:left w:val="nil"/>
                    <w:bottom w:val="nil"/>
                    <w:right w:val="nil"/>
                  </w:tcBorders>
                  <w:shd w:val="clear" w:color="auto" w:fill="auto"/>
                  <w:vAlign w:val="bottom"/>
                  <w:hideMark/>
                </w:tcPr>
                <w:p w14:paraId="6D603131" w14:textId="77777777" w:rsidR="00162B5B" w:rsidRPr="00360E2D" w:rsidRDefault="00162B5B" w:rsidP="00162B5B">
                  <w:pPr>
                    <w:rPr>
                      <w:rFonts w:cs="Arial"/>
                      <w:iCs/>
                    </w:rPr>
                  </w:pPr>
                  <w:r w:rsidRPr="00360E2D">
                    <w:rPr>
                      <w:rFonts w:cs="Arial"/>
                      <w:iCs/>
                    </w:rPr>
                    <w:t>Participants without basic skills</w:t>
                  </w:r>
                </w:p>
              </w:tc>
              <w:tc>
                <w:tcPr>
                  <w:tcW w:w="1560" w:type="dxa"/>
                  <w:tcBorders>
                    <w:top w:val="nil"/>
                    <w:left w:val="nil"/>
                    <w:bottom w:val="nil"/>
                    <w:right w:val="nil"/>
                  </w:tcBorders>
                  <w:shd w:val="clear" w:color="auto" w:fill="auto"/>
                  <w:noWrap/>
                  <w:vAlign w:val="bottom"/>
                </w:tcPr>
                <w:p w14:paraId="6D603132" w14:textId="77777777" w:rsidR="00162B5B" w:rsidRPr="00360E2D" w:rsidRDefault="00162B5B" w:rsidP="00162B5B">
                  <w:pPr>
                    <w:jc w:val="center"/>
                    <w:rPr>
                      <w:rFonts w:cs="Arial"/>
                      <w:iCs/>
                    </w:rPr>
                  </w:pPr>
                </w:p>
              </w:tc>
              <w:tc>
                <w:tcPr>
                  <w:tcW w:w="1417" w:type="dxa"/>
                  <w:tcBorders>
                    <w:top w:val="nil"/>
                    <w:left w:val="nil"/>
                    <w:bottom w:val="nil"/>
                    <w:right w:val="nil"/>
                  </w:tcBorders>
                  <w:shd w:val="clear" w:color="auto" w:fill="auto"/>
                  <w:noWrap/>
                  <w:vAlign w:val="bottom"/>
                </w:tcPr>
                <w:p w14:paraId="6D603133" w14:textId="77777777" w:rsidR="00162B5B" w:rsidRPr="00360E2D" w:rsidRDefault="00162B5B" w:rsidP="00162B5B">
                  <w:pPr>
                    <w:jc w:val="center"/>
                    <w:rPr>
                      <w:rFonts w:cs="Arial"/>
                      <w:iCs/>
                    </w:rPr>
                  </w:pPr>
                </w:p>
              </w:tc>
              <w:tc>
                <w:tcPr>
                  <w:tcW w:w="1276" w:type="dxa"/>
                  <w:tcBorders>
                    <w:top w:val="nil"/>
                    <w:left w:val="nil"/>
                    <w:bottom w:val="nil"/>
                    <w:right w:val="nil"/>
                  </w:tcBorders>
                  <w:shd w:val="clear" w:color="auto" w:fill="auto"/>
                  <w:noWrap/>
                  <w:vAlign w:val="bottom"/>
                  <w:hideMark/>
                </w:tcPr>
                <w:p w14:paraId="6D603134" w14:textId="77777777" w:rsidR="00162B5B" w:rsidRPr="00360E2D" w:rsidRDefault="00162B5B" w:rsidP="00162B5B">
                  <w:pPr>
                    <w:jc w:val="center"/>
                    <w:rPr>
                      <w:rFonts w:cs="Arial"/>
                      <w:iCs/>
                    </w:rPr>
                  </w:pPr>
                  <w:r w:rsidRPr="00360E2D">
                    <w:rPr>
                      <w:rFonts w:cs="Arial"/>
                      <w:iCs/>
                    </w:rPr>
                    <w:t>21%</w:t>
                  </w:r>
                </w:p>
              </w:tc>
            </w:tr>
            <w:tr w:rsidR="00162B5B" w:rsidRPr="00162B5B" w14:paraId="6D60313A" w14:textId="77777777" w:rsidTr="00202271">
              <w:trPr>
                <w:trHeight w:val="288"/>
              </w:trPr>
              <w:tc>
                <w:tcPr>
                  <w:tcW w:w="4423" w:type="dxa"/>
                  <w:tcBorders>
                    <w:top w:val="nil"/>
                    <w:left w:val="nil"/>
                    <w:bottom w:val="nil"/>
                    <w:right w:val="nil"/>
                  </w:tcBorders>
                  <w:shd w:val="clear" w:color="auto" w:fill="auto"/>
                  <w:vAlign w:val="bottom"/>
                  <w:hideMark/>
                </w:tcPr>
                <w:p w14:paraId="6D603136" w14:textId="77777777" w:rsidR="00162B5B" w:rsidRPr="00360E2D" w:rsidRDefault="00162B5B" w:rsidP="00162B5B">
                  <w:pPr>
                    <w:rPr>
                      <w:rFonts w:cs="Arial"/>
                      <w:iCs/>
                    </w:rPr>
                  </w:pPr>
                  <w:r w:rsidRPr="00360E2D">
                    <w:rPr>
                      <w:rFonts w:cs="Arial"/>
                      <w:iCs/>
                    </w:rPr>
                    <w:t>Participants with a disability or health problems</w:t>
                  </w:r>
                </w:p>
              </w:tc>
              <w:tc>
                <w:tcPr>
                  <w:tcW w:w="1560" w:type="dxa"/>
                  <w:tcBorders>
                    <w:top w:val="nil"/>
                    <w:left w:val="nil"/>
                    <w:bottom w:val="nil"/>
                    <w:right w:val="nil"/>
                  </w:tcBorders>
                  <w:shd w:val="clear" w:color="auto" w:fill="auto"/>
                  <w:noWrap/>
                  <w:vAlign w:val="bottom"/>
                </w:tcPr>
                <w:p w14:paraId="6D603137" w14:textId="77777777" w:rsidR="00162B5B" w:rsidRPr="00360E2D" w:rsidRDefault="00162B5B" w:rsidP="00162B5B">
                  <w:pPr>
                    <w:jc w:val="center"/>
                    <w:rPr>
                      <w:rFonts w:cs="Arial"/>
                      <w:iCs/>
                    </w:rPr>
                  </w:pPr>
                </w:p>
              </w:tc>
              <w:tc>
                <w:tcPr>
                  <w:tcW w:w="1417" w:type="dxa"/>
                  <w:tcBorders>
                    <w:top w:val="nil"/>
                    <w:left w:val="nil"/>
                    <w:bottom w:val="nil"/>
                    <w:right w:val="nil"/>
                  </w:tcBorders>
                  <w:shd w:val="clear" w:color="auto" w:fill="auto"/>
                  <w:noWrap/>
                  <w:vAlign w:val="bottom"/>
                </w:tcPr>
                <w:p w14:paraId="6D603138" w14:textId="77777777" w:rsidR="00162B5B" w:rsidRPr="00360E2D" w:rsidRDefault="00162B5B" w:rsidP="00162B5B">
                  <w:pPr>
                    <w:jc w:val="center"/>
                    <w:rPr>
                      <w:rFonts w:cs="Arial"/>
                      <w:iCs/>
                    </w:rPr>
                  </w:pPr>
                </w:p>
              </w:tc>
              <w:tc>
                <w:tcPr>
                  <w:tcW w:w="1276" w:type="dxa"/>
                  <w:tcBorders>
                    <w:top w:val="nil"/>
                    <w:left w:val="nil"/>
                    <w:bottom w:val="nil"/>
                    <w:right w:val="nil"/>
                  </w:tcBorders>
                  <w:shd w:val="clear" w:color="auto" w:fill="auto"/>
                  <w:noWrap/>
                  <w:vAlign w:val="bottom"/>
                  <w:hideMark/>
                </w:tcPr>
                <w:p w14:paraId="6D603139" w14:textId="77777777" w:rsidR="00162B5B" w:rsidRPr="00360E2D" w:rsidRDefault="00162B5B" w:rsidP="00162B5B">
                  <w:pPr>
                    <w:jc w:val="center"/>
                    <w:rPr>
                      <w:rFonts w:cs="Arial"/>
                      <w:iCs/>
                    </w:rPr>
                  </w:pPr>
                  <w:r w:rsidRPr="00360E2D">
                    <w:rPr>
                      <w:rFonts w:cs="Arial"/>
                      <w:iCs/>
                    </w:rPr>
                    <w:t>25%</w:t>
                  </w:r>
                </w:p>
              </w:tc>
            </w:tr>
            <w:tr w:rsidR="00162B5B" w:rsidRPr="00162B5B" w14:paraId="6D60313F" w14:textId="77777777" w:rsidTr="00202271">
              <w:trPr>
                <w:trHeight w:val="288"/>
              </w:trPr>
              <w:tc>
                <w:tcPr>
                  <w:tcW w:w="4423" w:type="dxa"/>
                  <w:tcBorders>
                    <w:top w:val="nil"/>
                    <w:left w:val="nil"/>
                    <w:bottom w:val="nil"/>
                    <w:right w:val="nil"/>
                  </w:tcBorders>
                  <w:shd w:val="clear" w:color="auto" w:fill="auto"/>
                  <w:vAlign w:val="bottom"/>
                  <w:hideMark/>
                </w:tcPr>
                <w:p w14:paraId="6D60313B" w14:textId="77777777" w:rsidR="00162B5B" w:rsidRPr="00360E2D" w:rsidRDefault="00162B5B" w:rsidP="00162B5B">
                  <w:pPr>
                    <w:rPr>
                      <w:rFonts w:cs="Arial"/>
                      <w:iCs/>
                    </w:rPr>
                  </w:pPr>
                  <w:r w:rsidRPr="00360E2D">
                    <w:rPr>
                      <w:rFonts w:cs="Arial"/>
                      <w:iCs/>
                    </w:rPr>
                    <w:t>Participants who are lone parents</w:t>
                  </w:r>
                </w:p>
              </w:tc>
              <w:tc>
                <w:tcPr>
                  <w:tcW w:w="1560" w:type="dxa"/>
                  <w:tcBorders>
                    <w:top w:val="nil"/>
                    <w:left w:val="nil"/>
                    <w:bottom w:val="nil"/>
                    <w:right w:val="nil"/>
                  </w:tcBorders>
                  <w:shd w:val="clear" w:color="auto" w:fill="auto"/>
                  <w:noWrap/>
                  <w:vAlign w:val="bottom"/>
                </w:tcPr>
                <w:p w14:paraId="6D60313C" w14:textId="77777777" w:rsidR="00162B5B" w:rsidRPr="00360E2D" w:rsidRDefault="00162B5B" w:rsidP="00162B5B">
                  <w:pPr>
                    <w:jc w:val="center"/>
                    <w:rPr>
                      <w:rFonts w:cs="Arial"/>
                      <w:iCs/>
                    </w:rPr>
                  </w:pPr>
                </w:p>
              </w:tc>
              <w:tc>
                <w:tcPr>
                  <w:tcW w:w="1417" w:type="dxa"/>
                  <w:tcBorders>
                    <w:top w:val="nil"/>
                    <w:left w:val="nil"/>
                    <w:bottom w:val="nil"/>
                    <w:right w:val="nil"/>
                  </w:tcBorders>
                  <w:shd w:val="clear" w:color="auto" w:fill="auto"/>
                  <w:noWrap/>
                  <w:vAlign w:val="bottom"/>
                </w:tcPr>
                <w:p w14:paraId="6D60313D" w14:textId="77777777" w:rsidR="00162B5B" w:rsidRPr="00360E2D" w:rsidRDefault="00162B5B" w:rsidP="00162B5B">
                  <w:pPr>
                    <w:jc w:val="center"/>
                    <w:rPr>
                      <w:rFonts w:cs="Arial"/>
                      <w:iCs/>
                    </w:rPr>
                  </w:pPr>
                </w:p>
              </w:tc>
              <w:tc>
                <w:tcPr>
                  <w:tcW w:w="1276" w:type="dxa"/>
                  <w:tcBorders>
                    <w:top w:val="nil"/>
                    <w:left w:val="nil"/>
                    <w:bottom w:val="nil"/>
                    <w:right w:val="nil"/>
                  </w:tcBorders>
                  <w:shd w:val="clear" w:color="auto" w:fill="auto"/>
                  <w:noWrap/>
                  <w:vAlign w:val="bottom"/>
                  <w:hideMark/>
                </w:tcPr>
                <w:p w14:paraId="6D60313E" w14:textId="77777777" w:rsidR="00162B5B" w:rsidRPr="00360E2D" w:rsidRDefault="00162B5B" w:rsidP="00162B5B">
                  <w:pPr>
                    <w:jc w:val="center"/>
                    <w:rPr>
                      <w:rFonts w:cs="Arial"/>
                      <w:iCs/>
                    </w:rPr>
                  </w:pPr>
                  <w:r w:rsidRPr="00360E2D">
                    <w:rPr>
                      <w:rFonts w:cs="Arial"/>
                      <w:iCs/>
                    </w:rPr>
                    <w:t>13%</w:t>
                  </w:r>
                </w:p>
              </w:tc>
            </w:tr>
          </w:tbl>
          <w:p w14:paraId="6D603140" w14:textId="77777777" w:rsidR="00CC112A" w:rsidRDefault="00CC112A" w:rsidP="00A005EF">
            <w:pPr>
              <w:rPr>
                <w:rFonts w:cs="Arial"/>
              </w:rPr>
            </w:pPr>
          </w:p>
          <w:p w14:paraId="6D603141" w14:textId="77777777" w:rsidR="00FD3B0A" w:rsidRPr="00162B5B" w:rsidRDefault="00FD3B0A" w:rsidP="00162B5B">
            <w:pPr>
              <w:rPr>
                <w:rFonts w:cs="Arial"/>
                <w:color w:val="000000"/>
              </w:rPr>
            </w:pPr>
          </w:p>
        </w:tc>
      </w:tr>
      <w:tr w:rsidR="00967429" w:rsidRPr="00EF4406" w14:paraId="6D603144" w14:textId="77777777" w:rsidTr="003B7E78">
        <w:trPr>
          <w:trHeight w:val="567"/>
        </w:trPr>
        <w:tc>
          <w:tcPr>
            <w:tcW w:w="9088" w:type="dxa"/>
            <w:shd w:val="clear" w:color="auto" w:fill="D9D9D9" w:themeFill="background1" w:themeFillShade="D9"/>
            <w:vAlign w:val="center"/>
          </w:tcPr>
          <w:p w14:paraId="6D603143"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6D60314B" w14:textId="77777777" w:rsidTr="00202271">
        <w:trPr>
          <w:trHeight w:val="983"/>
        </w:trPr>
        <w:tc>
          <w:tcPr>
            <w:tcW w:w="9088" w:type="dxa"/>
          </w:tcPr>
          <w:p w14:paraId="6D603145" w14:textId="77777777" w:rsidR="00A005EF" w:rsidRDefault="00A005EF" w:rsidP="00A005EF"/>
          <w:p w14:paraId="6D603146" w14:textId="77777777" w:rsidR="007E7731" w:rsidRDefault="007E7731" w:rsidP="00A005EF">
            <w:pPr>
              <w:rPr>
                <w:b/>
              </w:rPr>
            </w:pPr>
            <w:r>
              <w:rPr>
                <w:b/>
              </w:rPr>
              <w:t>LEP Specific</w:t>
            </w:r>
          </w:p>
          <w:p w14:paraId="6D603147" w14:textId="77777777" w:rsidR="007E7731" w:rsidRPr="00C107CE" w:rsidRDefault="007E7731" w:rsidP="00A005EF">
            <w:pPr>
              <w:rPr>
                <w:b/>
              </w:rPr>
            </w:pPr>
          </w:p>
          <w:p w14:paraId="6D603148" w14:textId="1C9BB31D" w:rsidR="00787807" w:rsidRDefault="00A005EF" w:rsidP="00A005EF">
            <w:pPr>
              <w:autoSpaceDE w:val="0"/>
              <w:autoSpaceDN w:val="0"/>
              <w:adjustRightInd w:val="0"/>
              <w:rPr>
                <w:rFonts w:cs="Arial"/>
              </w:rPr>
            </w:pPr>
            <w:r w:rsidRPr="00BC7F87">
              <w:rPr>
                <w:rFonts w:cs="Arial"/>
              </w:rPr>
              <w:t xml:space="preserve">The Service will be delivered </w:t>
            </w:r>
            <w:r w:rsidR="00105A7C" w:rsidRPr="00BC7F87">
              <w:rPr>
                <w:rFonts w:cs="Arial"/>
              </w:rPr>
              <w:t>within</w:t>
            </w:r>
            <w:r w:rsidR="00105A7C">
              <w:rPr>
                <w:rFonts w:cs="Arial"/>
              </w:rPr>
              <w:t xml:space="preserve"> the</w:t>
            </w:r>
            <w:r w:rsidRPr="00F06A90">
              <w:rPr>
                <w:rFonts w:cs="Arial"/>
              </w:rPr>
              <w:t xml:space="preserve"> </w:t>
            </w:r>
            <w:r w:rsidR="000476C3">
              <w:rPr>
                <w:rFonts w:cs="Arial"/>
              </w:rPr>
              <w:t xml:space="preserve">Leicester and Leicestershire </w:t>
            </w:r>
            <w:r w:rsidR="00105A7C">
              <w:rPr>
                <w:rFonts w:cs="Arial"/>
              </w:rPr>
              <w:t>Local Enterprise Partnership area</w:t>
            </w:r>
            <w:r w:rsidR="007C2B80">
              <w:rPr>
                <w:rFonts w:cs="Arial"/>
              </w:rPr>
              <w:t>.</w:t>
            </w:r>
          </w:p>
          <w:p w14:paraId="6D60314A" w14:textId="77777777" w:rsidR="007C2B80" w:rsidRPr="00FF6CCA" w:rsidRDefault="007C2B80" w:rsidP="00105A7C">
            <w:pPr>
              <w:autoSpaceDE w:val="0"/>
              <w:autoSpaceDN w:val="0"/>
              <w:adjustRightInd w:val="0"/>
            </w:pPr>
          </w:p>
        </w:tc>
      </w:tr>
      <w:tr w:rsidR="00967429" w:rsidRPr="00505117" w14:paraId="6D60314D" w14:textId="77777777" w:rsidTr="003B7E78">
        <w:trPr>
          <w:trHeight w:val="567"/>
        </w:trPr>
        <w:tc>
          <w:tcPr>
            <w:tcW w:w="9088" w:type="dxa"/>
            <w:shd w:val="clear" w:color="auto" w:fill="D9D9D9" w:themeFill="background1" w:themeFillShade="D9"/>
            <w:vAlign w:val="center"/>
          </w:tcPr>
          <w:p w14:paraId="6D60314C" w14:textId="77777777" w:rsidR="00967429" w:rsidRPr="00A005EF" w:rsidRDefault="00A005EF" w:rsidP="00DA3E5E">
            <w:pPr>
              <w:spacing w:before="120" w:after="120"/>
              <w:rPr>
                <w:b/>
                <w:bCs/>
              </w:rPr>
            </w:pPr>
            <w:r w:rsidRPr="00A005EF">
              <w:rPr>
                <w:b/>
              </w:rPr>
              <w:t>FUNDING AND DELIVERABLES</w:t>
            </w:r>
          </w:p>
        </w:tc>
      </w:tr>
      <w:tr w:rsidR="00967429" w:rsidRPr="00EF4406" w14:paraId="6D603197" w14:textId="77777777" w:rsidTr="00202271">
        <w:trPr>
          <w:trHeight w:val="1408"/>
        </w:trPr>
        <w:tc>
          <w:tcPr>
            <w:tcW w:w="9088" w:type="dxa"/>
          </w:tcPr>
          <w:p w14:paraId="6D60314E" w14:textId="77777777" w:rsidR="007E7731" w:rsidRDefault="007E7731" w:rsidP="00A005EF">
            <w:pPr>
              <w:rPr>
                <w:rFonts w:cs="Arial"/>
              </w:rPr>
            </w:pPr>
          </w:p>
          <w:p w14:paraId="6D60314F" w14:textId="77777777" w:rsidR="007E7731" w:rsidRPr="00C107CE" w:rsidRDefault="007E7731" w:rsidP="00A005EF">
            <w:pPr>
              <w:rPr>
                <w:rFonts w:cs="Arial"/>
                <w:b/>
              </w:rPr>
            </w:pPr>
            <w:r>
              <w:rPr>
                <w:rFonts w:cs="Arial"/>
                <w:b/>
              </w:rPr>
              <w:t>LEP Specific</w:t>
            </w:r>
          </w:p>
          <w:p w14:paraId="6D603150" w14:textId="77777777" w:rsidR="007E7731" w:rsidRDefault="007E7731" w:rsidP="00A005EF">
            <w:pPr>
              <w:rPr>
                <w:rFonts w:cs="Arial"/>
              </w:rPr>
            </w:pPr>
          </w:p>
          <w:p w14:paraId="6D603151" w14:textId="77777777" w:rsidR="00A005EF" w:rsidRPr="00BC7F87" w:rsidRDefault="00475879" w:rsidP="00A005EF">
            <w:pPr>
              <w:rPr>
                <w:rFonts w:cs="Arial"/>
              </w:rPr>
            </w:pPr>
            <w:r w:rsidRPr="00BC7F87">
              <w:rPr>
                <w:rFonts w:cs="Arial"/>
              </w:rPr>
              <w:t>Currently</w:t>
            </w:r>
            <w:r w:rsidR="00A005EF" w:rsidRPr="00BC7F87">
              <w:rPr>
                <w:rFonts w:cs="Arial"/>
              </w:rPr>
              <w:t xml:space="preserve"> £</w:t>
            </w:r>
            <w:r w:rsidR="00202271">
              <w:rPr>
                <w:rFonts w:cs="Arial"/>
              </w:rPr>
              <w:t>2,060</w:t>
            </w:r>
            <w:r w:rsidR="000476C3">
              <w:rPr>
                <w:rFonts w:cs="Arial"/>
              </w:rPr>
              <w:t>,500</w:t>
            </w:r>
            <w:r w:rsidR="00A005EF" w:rsidRPr="00BC7F87">
              <w:rPr>
                <w:rFonts w:cs="Arial"/>
              </w:rPr>
              <w:t xml:space="preserve"> </w:t>
            </w:r>
            <w:r w:rsidR="009552C2" w:rsidRPr="00BC7F87">
              <w:rPr>
                <w:rFonts w:cs="Arial"/>
              </w:rPr>
              <w:t>will be available</w:t>
            </w:r>
            <w:r w:rsidR="00C107CE" w:rsidRPr="00BC7F87">
              <w:rPr>
                <w:rFonts w:cs="Arial"/>
              </w:rPr>
              <w:t xml:space="preserve"> for the period from </w:t>
            </w:r>
            <w:r w:rsidR="00202271">
              <w:rPr>
                <w:rFonts w:cs="Arial"/>
              </w:rPr>
              <w:t>September</w:t>
            </w:r>
            <w:r w:rsidR="006A28A1">
              <w:rPr>
                <w:rFonts w:cs="Arial"/>
              </w:rPr>
              <w:t xml:space="preserve"> 2016</w:t>
            </w:r>
            <w:r w:rsidR="00C107CE" w:rsidRPr="00BC7F87">
              <w:rPr>
                <w:rFonts w:cs="Arial"/>
              </w:rPr>
              <w:t xml:space="preserve"> to </w:t>
            </w:r>
            <w:r w:rsidR="006A28A1">
              <w:rPr>
                <w:rFonts w:cs="Arial"/>
              </w:rPr>
              <w:t>March 2018</w:t>
            </w:r>
            <w:r w:rsidR="00202271">
              <w:rPr>
                <w:rFonts w:cs="Arial"/>
              </w:rPr>
              <w:t>.  Thi</w:t>
            </w:r>
            <w:r w:rsidR="00C107CE" w:rsidRPr="00BC7F87">
              <w:rPr>
                <w:rFonts w:cs="Arial"/>
              </w:rPr>
              <w:t xml:space="preserve">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6D603152" w14:textId="77777777" w:rsidR="00A005EF" w:rsidRDefault="00A005EF" w:rsidP="00A005EF">
            <w:pPr>
              <w:rPr>
                <w:b/>
              </w:rPr>
            </w:pPr>
          </w:p>
          <w:p w14:paraId="6D603153" w14:textId="60656239"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w:t>
            </w:r>
            <w:r w:rsidR="00E231E9">
              <w:rPr>
                <w:rFonts w:cs="Arial"/>
              </w:rPr>
              <w:t>non-regulated line</w:t>
            </w:r>
            <w:r>
              <w:rPr>
                <w:rFonts w:cs="Arial"/>
              </w:rPr>
              <w:t xml:space="preserve">, the provider must plan to deliver the appropriate education &amp; training for each participant to enable them to progress. </w:t>
            </w:r>
          </w:p>
          <w:p w14:paraId="6D603154" w14:textId="77777777" w:rsidR="00394F36" w:rsidRPr="00BC7F87" w:rsidRDefault="00394F36" w:rsidP="00A005EF">
            <w:pPr>
              <w:rPr>
                <w:b/>
              </w:rPr>
            </w:pPr>
          </w:p>
          <w:p w14:paraId="6D603155" w14:textId="77777777" w:rsidR="00A005EF"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p>
          <w:p w14:paraId="6D603156" w14:textId="77777777" w:rsidR="00202271" w:rsidRDefault="00202271" w:rsidP="00A005EF">
            <w:pPr>
              <w:autoSpaceDE w:val="0"/>
              <w:autoSpaceDN w:val="0"/>
              <w:adjustRightInd w:val="0"/>
              <w:rPr>
                <w:rFonts w:cs="Arial"/>
              </w:rPr>
            </w:pPr>
          </w:p>
          <w:tbl>
            <w:tblPr>
              <w:tblW w:w="4861" w:type="pct"/>
              <w:tblLook w:val="04A0" w:firstRow="1" w:lastRow="0" w:firstColumn="1" w:lastColumn="0" w:noHBand="0" w:noVBand="1"/>
            </w:tblPr>
            <w:tblGrid>
              <w:gridCol w:w="4134"/>
              <w:gridCol w:w="1134"/>
              <w:gridCol w:w="1856"/>
              <w:gridCol w:w="1492"/>
            </w:tblGrid>
            <w:tr w:rsidR="00202271" w:rsidRPr="00202271" w14:paraId="6D60315B" w14:textId="77777777" w:rsidTr="00202271">
              <w:trPr>
                <w:trHeight w:val="732"/>
              </w:trPr>
              <w:tc>
                <w:tcPr>
                  <w:tcW w:w="239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6D603157" w14:textId="77777777" w:rsidR="00202271" w:rsidRPr="00202271" w:rsidRDefault="00202271" w:rsidP="00202271">
                  <w:pPr>
                    <w:rPr>
                      <w:rFonts w:cs="Arial"/>
                      <w:b/>
                      <w:bCs/>
                      <w:color w:val="000000"/>
                      <w:sz w:val="20"/>
                      <w:szCs w:val="20"/>
                      <w:lang w:eastAsia="en-GB"/>
                    </w:rPr>
                  </w:pPr>
                  <w:r w:rsidRPr="00202271">
                    <w:rPr>
                      <w:rFonts w:cs="Arial"/>
                      <w:b/>
                      <w:bCs/>
                      <w:color w:val="000000"/>
                      <w:sz w:val="20"/>
                      <w:szCs w:val="20"/>
                      <w:lang w:eastAsia="en-GB"/>
                    </w:rPr>
                    <w:t>Description</w:t>
                  </w:r>
                </w:p>
              </w:tc>
              <w:tc>
                <w:tcPr>
                  <w:tcW w:w="65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6D603158" w14:textId="77777777" w:rsidR="00202271" w:rsidRPr="00202271" w:rsidRDefault="00202271" w:rsidP="00202271">
                  <w:pPr>
                    <w:jc w:val="center"/>
                    <w:rPr>
                      <w:rFonts w:cs="Arial"/>
                      <w:b/>
                      <w:bCs/>
                      <w:color w:val="000000"/>
                      <w:sz w:val="20"/>
                      <w:szCs w:val="20"/>
                      <w:lang w:eastAsia="en-GB"/>
                    </w:rPr>
                  </w:pPr>
                  <w:r w:rsidRPr="00202271">
                    <w:rPr>
                      <w:rFonts w:cs="Arial"/>
                      <w:b/>
                      <w:bCs/>
                      <w:color w:val="000000"/>
                      <w:sz w:val="20"/>
                      <w:szCs w:val="20"/>
                      <w:lang w:eastAsia="en-GB"/>
                    </w:rPr>
                    <w:t>Volumes</w:t>
                  </w:r>
                </w:p>
              </w:tc>
              <w:tc>
                <w:tcPr>
                  <w:tcW w:w="107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6D603159" w14:textId="77777777" w:rsidR="00202271" w:rsidRPr="00202271" w:rsidRDefault="00202271" w:rsidP="00202271">
                  <w:pPr>
                    <w:jc w:val="center"/>
                    <w:rPr>
                      <w:rFonts w:cs="Arial"/>
                      <w:b/>
                      <w:bCs/>
                      <w:color w:val="000000"/>
                      <w:sz w:val="20"/>
                      <w:szCs w:val="20"/>
                      <w:lang w:eastAsia="en-GB"/>
                    </w:rPr>
                  </w:pPr>
                  <w:r w:rsidRPr="00202271">
                    <w:rPr>
                      <w:rFonts w:cs="Arial"/>
                      <w:b/>
                      <w:bCs/>
                      <w:color w:val="000000"/>
                      <w:sz w:val="20"/>
                      <w:szCs w:val="20"/>
                      <w:lang w:eastAsia="en-GB"/>
                    </w:rPr>
                    <w:t>Unit Cost Total Value Average per Intervention</w:t>
                  </w:r>
                </w:p>
              </w:tc>
              <w:tc>
                <w:tcPr>
                  <w:tcW w:w="86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6D60315A" w14:textId="77777777" w:rsidR="00202271" w:rsidRPr="00202271" w:rsidRDefault="00202271" w:rsidP="00202271">
                  <w:pPr>
                    <w:jc w:val="center"/>
                    <w:rPr>
                      <w:rFonts w:cs="Arial"/>
                      <w:b/>
                      <w:bCs/>
                      <w:color w:val="000000"/>
                      <w:sz w:val="20"/>
                      <w:szCs w:val="20"/>
                      <w:lang w:eastAsia="en-GB"/>
                    </w:rPr>
                  </w:pPr>
                  <w:r w:rsidRPr="00202271">
                    <w:rPr>
                      <w:rFonts w:cs="Arial"/>
                      <w:b/>
                      <w:bCs/>
                      <w:color w:val="000000"/>
                      <w:sz w:val="20"/>
                      <w:szCs w:val="20"/>
                      <w:lang w:eastAsia="en-GB"/>
                    </w:rPr>
                    <w:t>£</w:t>
                  </w:r>
                </w:p>
              </w:tc>
            </w:tr>
            <w:tr w:rsidR="00202271" w:rsidRPr="00202271" w14:paraId="6D603160" w14:textId="77777777" w:rsidTr="00202271">
              <w:trPr>
                <w:trHeight w:val="300"/>
              </w:trPr>
              <w:tc>
                <w:tcPr>
                  <w:tcW w:w="2399"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6D60315C" w14:textId="77777777" w:rsidR="00202271" w:rsidRPr="00202271" w:rsidRDefault="00202271" w:rsidP="00202271">
                  <w:pPr>
                    <w:rPr>
                      <w:rFonts w:cs="Arial"/>
                      <w:color w:val="000000"/>
                      <w:sz w:val="20"/>
                      <w:szCs w:val="20"/>
                      <w:lang w:eastAsia="en-GB"/>
                    </w:rPr>
                  </w:pPr>
                  <w:r w:rsidRPr="00202271">
                    <w:rPr>
                      <w:rFonts w:cs="Arial"/>
                      <w:color w:val="000000"/>
                      <w:sz w:val="20"/>
                      <w:szCs w:val="20"/>
                      <w:lang w:eastAsia="en-GB"/>
                    </w:rPr>
                    <w:t xml:space="preserve">ST01 Learner Assessment and Plan </w:t>
                  </w:r>
                </w:p>
              </w:tc>
              <w:tc>
                <w:tcPr>
                  <w:tcW w:w="658"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6D60315D" w14:textId="77777777" w:rsidR="00202271" w:rsidRPr="00202271" w:rsidRDefault="00202271" w:rsidP="00202271">
                  <w:pPr>
                    <w:jc w:val="center"/>
                    <w:rPr>
                      <w:rFonts w:cs="Arial"/>
                      <w:color w:val="000000"/>
                      <w:sz w:val="20"/>
                      <w:szCs w:val="20"/>
                      <w:lang w:eastAsia="en-GB"/>
                    </w:rPr>
                  </w:pPr>
                  <w:r w:rsidRPr="00202271">
                    <w:rPr>
                      <w:rFonts w:cs="Arial"/>
                      <w:color w:val="000000"/>
                      <w:sz w:val="20"/>
                      <w:szCs w:val="20"/>
                      <w:lang w:eastAsia="en-GB"/>
                    </w:rPr>
                    <w:t>1502</w:t>
                  </w:r>
                </w:p>
              </w:tc>
              <w:tc>
                <w:tcPr>
                  <w:tcW w:w="1077"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D60315E" w14:textId="77777777" w:rsidR="00202271" w:rsidRPr="00202271" w:rsidRDefault="00202271" w:rsidP="00202271">
                  <w:pPr>
                    <w:jc w:val="center"/>
                    <w:rPr>
                      <w:rFonts w:cs="Arial"/>
                      <w:color w:val="000000"/>
                      <w:sz w:val="20"/>
                      <w:szCs w:val="20"/>
                      <w:lang w:eastAsia="en-GB"/>
                    </w:rPr>
                  </w:pPr>
                  <w:r w:rsidRPr="00202271">
                    <w:rPr>
                      <w:rFonts w:cs="Arial"/>
                      <w:color w:val="000000"/>
                      <w:sz w:val="20"/>
                      <w:szCs w:val="20"/>
                      <w:lang w:eastAsia="en-GB"/>
                    </w:rPr>
                    <w:t>£300</w:t>
                  </w:r>
                </w:p>
              </w:tc>
              <w:tc>
                <w:tcPr>
                  <w:tcW w:w="866"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D60315F" w14:textId="77777777" w:rsidR="00202271" w:rsidRPr="00202271" w:rsidRDefault="00202271" w:rsidP="00202271">
                  <w:pPr>
                    <w:jc w:val="center"/>
                    <w:rPr>
                      <w:rFonts w:cs="Arial"/>
                      <w:color w:val="000000"/>
                      <w:sz w:val="20"/>
                      <w:szCs w:val="20"/>
                      <w:lang w:eastAsia="en-GB"/>
                    </w:rPr>
                  </w:pPr>
                  <w:r w:rsidRPr="00202271">
                    <w:rPr>
                      <w:rFonts w:cs="Arial"/>
                      <w:color w:val="000000"/>
                      <w:sz w:val="20"/>
                      <w:szCs w:val="20"/>
                      <w:lang w:eastAsia="en-GB"/>
                    </w:rPr>
                    <w:t>£450,600</w:t>
                  </w:r>
                </w:p>
              </w:tc>
            </w:tr>
            <w:tr w:rsidR="00202271" w:rsidRPr="00202271" w14:paraId="6D603165" w14:textId="77777777" w:rsidTr="00202271">
              <w:trPr>
                <w:trHeight w:val="288"/>
              </w:trPr>
              <w:tc>
                <w:tcPr>
                  <w:tcW w:w="2399"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6D603161" w14:textId="77777777" w:rsidR="00202271" w:rsidRPr="00202271" w:rsidRDefault="00202271" w:rsidP="00202271">
                  <w:pPr>
                    <w:rPr>
                      <w:rFonts w:cs="Arial"/>
                      <w:color w:val="000000"/>
                      <w:sz w:val="20"/>
                      <w:szCs w:val="20"/>
                      <w:lang w:eastAsia="en-GB"/>
                    </w:rPr>
                  </w:pPr>
                  <w:r w:rsidRPr="00202271">
                    <w:rPr>
                      <w:rFonts w:cs="Arial"/>
                      <w:color w:val="000000"/>
                      <w:sz w:val="20"/>
                      <w:szCs w:val="20"/>
                      <w:lang w:eastAsia="en-GB"/>
                    </w:rPr>
                    <w:lastRenderedPageBreak/>
                    <w:t>NR01 Non Regulated Activity</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603162" w14:textId="77777777" w:rsidR="00202271" w:rsidRPr="00202271" w:rsidRDefault="00202271" w:rsidP="00202271">
                  <w:pPr>
                    <w:jc w:val="center"/>
                    <w:rPr>
                      <w:rFonts w:cs="Arial"/>
                      <w:sz w:val="20"/>
                      <w:szCs w:val="20"/>
                      <w:lang w:eastAsia="en-GB"/>
                    </w:rPr>
                  </w:pPr>
                </w:p>
              </w:tc>
              <w:tc>
                <w:tcPr>
                  <w:tcW w:w="10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03163" w14:textId="77777777" w:rsidR="00202271" w:rsidRPr="00202271" w:rsidRDefault="00202271" w:rsidP="00202271">
                  <w:pPr>
                    <w:jc w:val="center"/>
                    <w:rPr>
                      <w:rFonts w:cs="Arial"/>
                      <w:color w:val="000000"/>
                      <w:sz w:val="20"/>
                      <w:szCs w:val="20"/>
                      <w:lang w:eastAsia="en-GB"/>
                    </w:rPr>
                  </w:pPr>
                </w:p>
              </w:tc>
              <w:tc>
                <w:tcPr>
                  <w:tcW w:w="8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03164" w14:textId="77777777" w:rsidR="00202271" w:rsidRPr="00202271" w:rsidRDefault="00202271" w:rsidP="00202271">
                  <w:pPr>
                    <w:jc w:val="center"/>
                    <w:rPr>
                      <w:rFonts w:cs="Arial"/>
                      <w:color w:val="000000"/>
                      <w:sz w:val="20"/>
                      <w:szCs w:val="20"/>
                      <w:lang w:eastAsia="en-GB"/>
                    </w:rPr>
                  </w:pPr>
                  <w:r w:rsidRPr="00202271">
                    <w:rPr>
                      <w:rFonts w:cs="Arial"/>
                      <w:color w:val="000000"/>
                      <w:sz w:val="20"/>
                      <w:szCs w:val="20"/>
                      <w:lang w:eastAsia="en-GB"/>
                    </w:rPr>
                    <w:t>£751,000</w:t>
                  </w:r>
                </w:p>
              </w:tc>
            </w:tr>
            <w:tr w:rsidR="00202271" w:rsidRPr="00202271" w14:paraId="6D60316A" w14:textId="77777777" w:rsidTr="00202271">
              <w:trPr>
                <w:trHeight w:val="288"/>
              </w:trPr>
              <w:tc>
                <w:tcPr>
                  <w:tcW w:w="2399"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6D603166" w14:textId="77777777" w:rsidR="00202271" w:rsidRPr="00202271" w:rsidRDefault="00202271" w:rsidP="00202271">
                  <w:pPr>
                    <w:rPr>
                      <w:rFonts w:cs="Arial"/>
                      <w:color w:val="000000"/>
                      <w:sz w:val="20"/>
                      <w:szCs w:val="20"/>
                      <w:lang w:eastAsia="en-GB"/>
                    </w:rPr>
                  </w:pPr>
                  <w:r w:rsidRPr="00202271">
                    <w:rPr>
                      <w:rFonts w:cs="Arial"/>
                      <w:color w:val="000000"/>
                      <w:sz w:val="20"/>
                      <w:szCs w:val="20"/>
                      <w:lang w:eastAsia="en-GB"/>
                    </w:rPr>
                    <w:t>PG01 Progression Paid Employment (EMP)</w:t>
                  </w:r>
                </w:p>
              </w:tc>
              <w:tc>
                <w:tcPr>
                  <w:tcW w:w="658"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6D603167" w14:textId="77777777" w:rsidR="00202271" w:rsidRPr="00202271" w:rsidRDefault="00202271" w:rsidP="00202271">
                  <w:pPr>
                    <w:jc w:val="center"/>
                    <w:rPr>
                      <w:rFonts w:cs="Arial"/>
                      <w:sz w:val="20"/>
                      <w:szCs w:val="20"/>
                      <w:lang w:eastAsia="en-GB"/>
                    </w:rPr>
                  </w:pPr>
                  <w:r w:rsidRPr="00202271">
                    <w:rPr>
                      <w:rFonts w:cs="Arial"/>
                      <w:sz w:val="20"/>
                      <w:szCs w:val="20"/>
                      <w:lang w:eastAsia="en-GB"/>
                    </w:rPr>
                    <w:t>311</w:t>
                  </w:r>
                </w:p>
              </w:tc>
              <w:tc>
                <w:tcPr>
                  <w:tcW w:w="107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D603168" w14:textId="77777777" w:rsidR="00202271" w:rsidRPr="00202271" w:rsidRDefault="00202271" w:rsidP="00202271">
                  <w:pPr>
                    <w:jc w:val="center"/>
                    <w:rPr>
                      <w:rFonts w:cs="Arial"/>
                      <w:color w:val="000000"/>
                      <w:sz w:val="20"/>
                      <w:szCs w:val="20"/>
                      <w:lang w:eastAsia="en-GB"/>
                    </w:rPr>
                  </w:pPr>
                  <w:r w:rsidRPr="00202271">
                    <w:rPr>
                      <w:rFonts w:cs="Arial"/>
                      <w:color w:val="000000"/>
                      <w:sz w:val="20"/>
                      <w:szCs w:val="20"/>
                      <w:lang w:eastAsia="en-GB"/>
                    </w:rPr>
                    <w:t>£800</w:t>
                  </w:r>
                </w:p>
              </w:tc>
              <w:tc>
                <w:tcPr>
                  <w:tcW w:w="866"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D603169" w14:textId="77777777" w:rsidR="00202271" w:rsidRPr="00202271" w:rsidRDefault="00202271" w:rsidP="00202271">
                  <w:pPr>
                    <w:jc w:val="center"/>
                    <w:rPr>
                      <w:rFonts w:cs="Arial"/>
                      <w:color w:val="000000"/>
                      <w:sz w:val="20"/>
                      <w:szCs w:val="20"/>
                      <w:lang w:eastAsia="en-GB"/>
                    </w:rPr>
                  </w:pPr>
                  <w:r w:rsidRPr="00202271">
                    <w:rPr>
                      <w:rFonts w:cs="Arial"/>
                      <w:color w:val="000000"/>
                      <w:sz w:val="20"/>
                      <w:szCs w:val="20"/>
                      <w:lang w:eastAsia="en-GB"/>
                    </w:rPr>
                    <w:t>£248,800</w:t>
                  </w:r>
                </w:p>
              </w:tc>
            </w:tr>
            <w:tr w:rsidR="00202271" w:rsidRPr="00202271" w14:paraId="6D60316F" w14:textId="77777777" w:rsidTr="00202271">
              <w:trPr>
                <w:trHeight w:val="288"/>
              </w:trPr>
              <w:tc>
                <w:tcPr>
                  <w:tcW w:w="2399"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6D60316B" w14:textId="77777777" w:rsidR="00202271" w:rsidRPr="00202271" w:rsidRDefault="00202271" w:rsidP="00202271">
                  <w:pPr>
                    <w:rPr>
                      <w:rFonts w:cs="Arial"/>
                      <w:color w:val="000000"/>
                      <w:sz w:val="20"/>
                      <w:szCs w:val="20"/>
                      <w:lang w:eastAsia="en-GB"/>
                    </w:rPr>
                  </w:pPr>
                  <w:r w:rsidRPr="00202271">
                    <w:rPr>
                      <w:rFonts w:cs="Arial"/>
                      <w:color w:val="000000"/>
                      <w:sz w:val="20"/>
                      <w:szCs w:val="20"/>
                      <w:lang w:eastAsia="en-GB"/>
                    </w:rPr>
                    <w:t>PG04 Progression Apprenticeship (EDU)</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60316C" w14:textId="77777777" w:rsidR="00202271" w:rsidRPr="00202271" w:rsidRDefault="00202271" w:rsidP="00202271">
                  <w:pPr>
                    <w:jc w:val="center"/>
                    <w:rPr>
                      <w:rFonts w:cs="Arial"/>
                      <w:color w:val="000000"/>
                      <w:sz w:val="20"/>
                      <w:szCs w:val="20"/>
                      <w:lang w:eastAsia="en-GB"/>
                    </w:rPr>
                  </w:pPr>
                  <w:r w:rsidRPr="00202271">
                    <w:rPr>
                      <w:rFonts w:cs="Arial"/>
                      <w:color w:val="000000"/>
                      <w:sz w:val="20"/>
                      <w:szCs w:val="20"/>
                      <w:lang w:eastAsia="en-GB"/>
                    </w:rPr>
                    <w:t>334</w:t>
                  </w:r>
                </w:p>
              </w:tc>
              <w:tc>
                <w:tcPr>
                  <w:tcW w:w="10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0316D" w14:textId="77777777" w:rsidR="00202271" w:rsidRPr="00202271" w:rsidRDefault="00202271" w:rsidP="00202271">
                  <w:pPr>
                    <w:jc w:val="center"/>
                    <w:rPr>
                      <w:rFonts w:cs="Arial"/>
                      <w:color w:val="000000"/>
                      <w:sz w:val="20"/>
                      <w:szCs w:val="20"/>
                      <w:lang w:eastAsia="en-GB"/>
                    </w:rPr>
                  </w:pPr>
                  <w:r w:rsidRPr="00202271">
                    <w:rPr>
                      <w:rFonts w:cs="Arial"/>
                      <w:color w:val="000000"/>
                      <w:sz w:val="20"/>
                      <w:szCs w:val="20"/>
                      <w:lang w:eastAsia="en-GB"/>
                    </w:rPr>
                    <w:t>£800</w:t>
                  </w:r>
                </w:p>
              </w:tc>
              <w:tc>
                <w:tcPr>
                  <w:tcW w:w="8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0316E" w14:textId="77777777" w:rsidR="00202271" w:rsidRPr="00202271" w:rsidRDefault="00202271" w:rsidP="00202271">
                  <w:pPr>
                    <w:jc w:val="center"/>
                    <w:rPr>
                      <w:rFonts w:cs="Arial"/>
                      <w:color w:val="000000"/>
                      <w:sz w:val="20"/>
                      <w:szCs w:val="20"/>
                      <w:lang w:eastAsia="en-GB"/>
                    </w:rPr>
                  </w:pPr>
                  <w:r w:rsidRPr="00202271">
                    <w:rPr>
                      <w:rFonts w:cs="Arial"/>
                      <w:color w:val="000000"/>
                      <w:sz w:val="20"/>
                      <w:szCs w:val="20"/>
                      <w:lang w:eastAsia="en-GB"/>
                    </w:rPr>
                    <w:t>£267,200</w:t>
                  </w:r>
                </w:p>
              </w:tc>
            </w:tr>
            <w:tr w:rsidR="00202271" w:rsidRPr="00202271" w14:paraId="6D603174" w14:textId="77777777" w:rsidTr="00202271">
              <w:trPr>
                <w:trHeight w:val="288"/>
              </w:trPr>
              <w:tc>
                <w:tcPr>
                  <w:tcW w:w="2399"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6D603170" w14:textId="77777777" w:rsidR="00202271" w:rsidRPr="00202271" w:rsidRDefault="00202271" w:rsidP="00202271">
                  <w:pPr>
                    <w:rPr>
                      <w:rFonts w:cs="Arial"/>
                      <w:color w:val="000000"/>
                      <w:sz w:val="20"/>
                      <w:szCs w:val="20"/>
                      <w:lang w:eastAsia="en-GB"/>
                    </w:rPr>
                  </w:pPr>
                  <w:r w:rsidRPr="00202271">
                    <w:rPr>
                      <w:rFonts w:cs="Arial"/>
                      <w:color w:val="000000"/>
                      <w:sz w:val="20"/>
                      <w:szCs w:val="20"/>
                      <w:lang w:eastAsia="en-GB"/>
                    </w:rPr>
                    <w:t>PG03 Progression Education (EDU)</w:t>
                  </w:r>
                </w:p>
              </w:tc>
              <w:tc>
                <w:tcPr>
                  <w:tcW w:w="658"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6D603171" w14:textId="77777777" w:rsidR="00202271" w:rsidRPr="00202271" w:rsidRDefault="00202271" w:rsidP="00202271">
                  <w:pPr>
                    <w:jc w:val="center"/>
                    <w:rPr>
                      <w:rFonts w:cs="Arial"/>
                      <w:sz w:val="20"/>
                      <w:szCs w:val="20"/>
                      <w:lang w:eastAsia="en-GB"/>
                    </w:rPr>
                  </w:pPr>
                  <w:r w:rsidRPr="00202271">
                    <w:rPr>
                      <w:rFonts w:cs="Arial"/>
                      <w:sz w:val="20"/>
                      <w:szCs w:val="20"/>
                      <w:lang w:eastAsia="en-GB"/>
                    </w:rPr>
                    <w:t>402</w:t>
                  </w:r>
                </w:p>
              </w:tc>
              <w:tc>
                <w:tcPr>
                  <w:tcW w:w="107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D603172" w14:textId="77777777" w:rsidR="00202271" w:rsidRPr="00202271" w:rsidRDefault="00202271" w:rsidP="00202271">
                  <w:pPr>
                    <w:jc w:val="center"/>
                    <w:rPr>
                      <w:rFonts w:cs="Arial"/>
                      <w:color w:val="000000"/>
                      <w:sz w:val="20"/>
                      <w:szCs w:val="20"/>
                      <w:lang w:eastAsia="en-GB"/>
                    </w:rPr>
                  </w:pPr>
                  <w:r w:rsidRPr="00202271">
                    <w:rPr>
                      <w:rFonts w:cs="Arial"/>
                      <w:color w:val="000000"/>
                      <w:sz w:val="20"/>
                      <w:szCs w:val="20"/>
                      <w:lang w:eastAsia="en-GB"/>
                    </w:rPr>
                    <w:t>£450</w:t>
                  </w:r>
                </w:p>
              </w:tc>
              <w:tc>
                <w:tcPr>
                  <w:tcW w:w="866"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D603173" w14:textId="77777777" w:rsidR="00202271" w:rsidRPr="00202271" w:rsidRDefault="00202271" w:rsidP="00202271">
                  <w:pPr>
                    <w:jc w:val="center"/>
                    <w:rPr>
                      <w:rFonts w:cs="Arial"/>
                      <w:color w:val="000000"/>
                      <w:sz w:val="20"/>
                      <w:szCs w:val="20"/>
                      <w:lang w:eastAsia="en-GB"/>
                    </w:rPr>
                  </w:pPr>
                  <w:r w:rsidRPr="00202271">
                    <w:rPr>
                      <w:rFonts w:cs="Arial"/>
                      <w:color w:val="000000"/>
                      <w:sz w:val="20"/>
                      <w:szCs w:val="20"/>
                      <w:lang w:eastAsia="en-GB"/>
                    </w:rPr>
                    <w:t>£180,900</w:t>
                  </w:r>
                </w:p>
              </w:tc>
            </w:tr>
            <w:tr w:rsidR="00202271" w:rsidRPr="00202271" w14:paraId="6D603179" w14:textId="77777777" w:rsidTr="00202271">
              <w:trPr>
                <w:trHeight w:val="367"/>
              </w:trPr>
              <w:tc>
                <w:tcPr>
                  <w:tcW w:w="2399"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6D603175" w14:textId="77777777" w:rsidR="00202271" w:rsidRPr="00202271" w:rsidRDefault="00202271" w:rsidP="00202271">
                  <w:pPr>
                    <w:rPr>
                      <w:rFonts w:cs="Arial"/>
                      <w:color w:val="000000"/>
                      <w:sz w:val="20"/>
                      <w:szCs w:val="20"/>
                      <w:lang w:eastAsia="en-GB"/>
                    </w:rPr>
                  </w:pPr>
                  <w:r w:rsidRPr="00202271">
                    <w:rPr>
                      <w:rFonts w:cs="Arial"/>
                      <w:color w:val="000000"/>
                      <w:sz w:val="20"/>
                      <w:szCs w:val="20"/>
                      <w:lang w:eastAsia="en-GB"/>
                    </w:rPr>
                    <w:t>SD01 Delivery Plan Developed and agreed</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603176" w14:textId="77777777" w:rsidR="00202271" w:rsidRPr="00202271" w:rsidRDefault="00202271" w:rsidP="00202271">
                  <w:pPr>
                    <w:jc w:val="center"/>
                    <w:rPr>
                      <w:rFonts w:cs="Arial"/>
                      <w:sz w:val="20"/>
                      <w:szCs w:val="20"/>
                      <w:lang w:eastAsia="en-GB"/>
                    </w:rPr>
                  </w:pPr>
                  <w:r w:rsidRPr="00202271">
                    <w:rPr>
                      <w:rFonts w:cs="Arial"/>
                      <w:sz w:val="20"/>
                      <w:szCs w:val="20"/>
                      <w:lang w:eastAsia="en-GB"/>
                    </w:rPr>
                    <w:t>1</w:t>
                  </w:r>
                </w:p>
              </w:tc>
              <w:tc>
                <w:tcPr>
                  <w:tcW w:w="10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03177" w14:textId="77777777" w:rsidR="00202271" w:rsidRPr="00202271" w:rsidRDefault="00202271" w:rsidP="00202271">
                  <w:pPr>
                    <w:jc w:val="center"/>
                    <w:rPr>
                      <w:rFonts w:cs="Arial"/>
                      <w:color w:val="000000"/>
                      <w:sz w:val="20"/>
                      <w:szCs w:val="20"/>
                      <w:lang w:eastAsia="en-GB"/>
                    </w:rPr>
                  </w:pPr>
                  <w:r w:rsidRPr="00202271">
                    <w:rPr>
                      <w:rFonts w:cs="Arial"/>
                      <w:color w:val="000000"/>
                      <w:sz w:val="20"/>
                      <w:szCs w:val="20"/>
                      <w:lang w:eastAsia="en-GB"/>
                    </w:rPr>
                    <w:t>£30,000</w:t>
                  </w:r>
                </w:p>
              </w:tc>
              <w:tc>
                <w:tcPr>
                  <w:tcW w:w="8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03178" w14:textId="77777777" w:rsidR="00202271" w:rsidRPr="00202271" w:rsidRDefault="00202271" w:rsidP="00202271">
                  <w:pPr>
                    <w:jc w:val="center"/>
                    <w:rPr>
                      <w:rFonts w:cs="Arial"/>
                      <w:color w:val="000000"/>
                      <w:sz w:val="20"/>
                      <w:szCs w:val="20"/>
                      <w:lang w:eastAsia="en-GB"/>
                    </w:rPr>
                  </w:pPr>
                  <w:r w:rsidRPr="00202271">
                    <w:rPr>
                      <w:rFonts w:cs="Arial"/>
                      <w:color w:val="000000"/>
                      <w:sz w:val="20"/>
                      <w:szCs w:val="20"/>
                      <w:lang w:eastAsia="en-GB"/>
                    </w:rPr>
                    <w:t>£30,000</w:t>
                  </w:r>
                </w:p>
              </w:tc>
            </w:tr>
            <w:tr w:rsidR="00202271" w:rsidRPr="00202271" w14:paraId="6D60317E" w14:textId="77777777" w:rsidTr="00202271">
              <w:trPr>
                <w:trHeight w:val="415"/>
              </w:trPr>
              <w:tc>
                <w:tcPr>
                  <w:tcW w:w="2399"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6D60317A" w14:textId="77777777" w:rsidR="00202271" w:rsidRPr="00202271" w:rsidRDefault="00202271" w:rsidP="00202271">
                  <w:pPr>
                    <w:rPr>
                      <w:rFonts w:cs="Arial"/>
                      <w:sz w:val="20"/>
                      <w:szCs w:val="20"/>
                      <w:lang w:eastAsia="en-GB"/>
                    </w:rPr>
                  </w:pPr>
                  <w:r w:rsidRPr="00202271">
                    <w:rPr>
                      <w:rFonts w:cs="Arial"/>
                      <w:sz w:val="20"/>
                      <w:szCs w:val="20"/>
                      <w:lang w:eastAsia="en-GB"/>
                    </w:rPr>
                    <w:t xml:space="preserve">SD02  Delivery Plan Delivered </w:t>
                  </w:r>
                </w:p>
              </w:tc>
              <w:tc>
                <w:tcPr>
                  <w:tcW w:w="658"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6D60317B" w14:textId="77777777" w:rsidR="00202271" w:rsidRPr="00202271" w:rsidRDefault="00202271" w:rsidP="00202271">
                  <w:pPr>
                    <w:jc w:val="center"/>
                    <w:rPr>
                      <w:rFonts w:cs="Arial"/>
                      <w:sz w:val="20"/>
                      <w:szCs w:val="20"/>
                      <w:lang w:eastAsia="en-GB"/>
                    </w:rPr>
                  </w:pPr>
                  <w:r w:rsidRPr="00202271">
                    <w:rPr>
                      <w:rFonts w:cs="Arial"/>
                      <w:sz w:val="20"/>
                      <w:szCs w:val="20"/>
                      <w:lang w:eastAsia="en-GB"/>
                    </w:rPr>
                    <w:t>1</w:t>
                  </w:r>
                </w:p>
              </w:tc>
              <w:tc>
                <w:tcPr>
                  <w:tcW w:w="107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D60317C" w14:textId="77777777" w:rsidR="00202271" w:rsidRPr="00202271" w:rsidRDefault="00202271" w:rsidP="00202271">
                  <w:pPr>
                    <w:jc w:val="center"/>
                    <w:rPr>
                      <w:rFonts w:cs="Arial"/>
                      <w:color w:val="000000"/>
                      <w:sz w:val="20"/>
                      <w:szCs w:val="20"/>
                      <w:lang w:eastAsia="en-GB"/>
                    </w:rPr>
                  </w:pPr>
                  <w:r w:rsidRPr="00202271">
                    <w:rPr>
                      <w:rFonts w:cs="Arial"/>
                      <w:color w:val="000000"/>
                      <w:sz w:val="20"/>
                      <w:szCs w:val="20"/>
                      <w:lang w:eastAsia="en-GB"/>
                    </w:rPr>
                    <w:t>£50,000</w:t>
                  </w:r>
                </w:p>
              </w:tc>
              <w:tc>
                <w:tcPr>
                  <w:tcW w:w="866"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D60317D" w14:textId="77777777" w:rsidR="00202271" w:rsidRPr="00202271" w:rsidRDefault="00202271" w:rsidP="00202271">
                  <w:pPr>
                    <w:jc w:val="center"/>
                    <w:rPr>
                      <w:rFonts w:cs="Arial"/>
                      <w:color w:val="000000"/>
                      <w:sz w:val="20"/>
                      <w:szCs w:val="20"/>
                      <w:lang w:eastAsia="en-GB"/>
                    </w:rPr>
                  </w:pPr>
                  <w:r w:rsidRPr="00202271">
                    <w:rPr>
                      <w:rFonts w:cs="Arial"/>
                      <w:color w:val="000000"/>
                      <w:sz w:val="20"/>
                      <w:szCs w:val="20"/>
                      <w:lang w:eastAsia="en-GB"/>
                    </w:rPr>
                    <w:t>£50,000</w:t>
                  </w:r>
                </w:p>
              </w:tc>
            </w:tr>
            <w:tr w:rsidR="00202271" w:rsidRPr="00202271" w14:paraId="6D603183" w14:textId="77777777" w:rsidTr="00202271">
              <w:trPr>
                <w:trHeight w:val="552"/>
              </w:trPr>
              <w:tc>
                <w:tcPr>
                  <w:tcW w:w="2399"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6D60317F" w14:textId="77777777" w:rsidR="00202271" w:rsidRPr="00202271" w:rsidRDefault="00202271" w:rsidP="00202271">
                  <w:pPr>
                    <w:rPr>
                      <w:rFonts w:cs="Arial"/>
                      <w:color w:val="000000"/>
                      <w:sz w:val="20"/>
                      <w:szCs w:val="20"/>
                      <w:lang w:eastAsia="en-GB"/>
                    </w:rPr>
                  </w:pPr>
                  <w:r w:rsidRPr="00202271">
                    <w:rPr>
                      <w:rFonts w:cs="Arial"/>
                      <w:color w:val="000000"/>
                      <w:sz w:val="20"/>
                      <w:szCs w:val="20"/>
                      <w:lang w:eastAsia="en-GB"/>
                    </w:rPr>
                    <w:t xml:space="preserve">SD03 Quarterly Labour Market Intelligence Reports produced    </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603180" w14:textId="77777777" w:rsidR="00202271" w:rsidRPr="00202271" w:rsidRDefault="00202271" w:rsidP="00202271">
                  <w:pPr>
                    <w:jc w:val="center"/>
                    <w:rPr>
                      <w:rFonts w:cs="Arial"/>
                      <w:sz w:val="20"/>
                      <w:szCs w:val="20"/>
                      <w:lang w:eastAsia="en-GB"/>
                    </w:rPr>
                  </w:pPr>
                  <w:r w:rsidRPr="00202271">
                    <w:rPr>
                      <w:rFonts w:cs="Arial"/>
                      <w:sz w:val="20"/>
                      <w:szCs w:val="20"/>
                      <w:lang w:eastAsia="en-GB"/>
                    </w:rPr>
                    <w:t>8</w:t>
                  </w:r>
                </w:p>
              </w:tc>
              <w:tc>
                <w:tcPr>
                  <w:tcW w:w="10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03181" w14:textId="77777777" w:rsidR="00202271" w:rsidRPr="00202271" w:rsidRDefault="00202271" w:rsidP="00202271">
                  <w:pPr>
                    <w:jc w:val="center"/>
                    <w:rPr>
                      <w:rFonts w:cs="Arial"/>
                      <w:color w:val="000000"/>
                      <w:sz w:val="20"/>
                      <w:szCs w:val="20"/>
                      <w:lang w:eastAsia="en-GB"/>
                    </w:rPr>
                  </w:pPr>
                  <w:r w:rsidRPr="00202271">
                    <w:rPr>
                      <w:rFonts w:cs="Arial"/>
                      <w:color w:val="000000"/>
                      <w:sz w:val="20"/>
                      <w:szCs w:val="20"/>
                      <w:lang w:eastAsia="en-GB"/>
                    </w:rPr>
                    <w:t>£2,500</w:t>
                  </w:r>
                </w:p>
              </w:tc>
              <w:tc>
                <w:tcPr>
                  <w:tcW w:w="8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03182" w14:textId="77777777" w:rsidR="00202271" w:rsidRPr="00202271" w:rsidRDefault="00202271" w:rsidP="00202271">
                  <w:pPr>
                    <w:jc w:val="center"/>
                    <w:rPr>
                      <w:rFonts w:cs="Arial"/>
                      <w:color w:val="000000"/>
                      <w:sz w:val="20"/>
                      <w:szCs w:val="20"/>
                      <w:lang w:eastAsia="en-GB"/>
                    </w:rPr>
                  </w:pPr>
                  <w:r w:rsidRPr="00202271">
                    <w:rPr>
                      <w:rFonts w:cs="Arial"/>
                      <w:color w:val="000000"/>
                      <w:sz w:val="20"/>
                      <w:szCs w:val="20"/>
                      <w:lang w:eastAsia="en-GB"/>
                    </w:rPr>
                    <w:t>£20,000</w:t>
                  </w:r>
                </w:p>
              </w:tc>
            </w:tr>
            <w:tr w:rsidR="00202271" w:rsidRPr="00202271" w14:paraId="6D603188" w14:textId="77777777" w:rsidTr="00202271">
              <w:trPr>
                <w:trHeight w:val="288"/>
              </w:trPr>
              <w:tc>
                <w:tcPr>
                  <w:tcW w:w="2399"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6D603184" w14:textId="77777777" w:rsidR="00202271" w:rsidRPr="00202271" w:rsidRDefault="00202271" w:rsidP="00202271">
                  <w:pPr>
                    <w:rPr>
                      <w:rFonts w:cs="Arial"/>
                      <w:color w:val="000000"/>
                      <w:sz w:val="20"/>
                      <w:szCs w:val="20"/>
                      <w:lang w:eastAsia="en-GB"/>
                    </w:rPr>
                  </w:pPr>
                  <w:r w:rsidRPr="00202271">
                    <w:rPr>
                      <w:rFonts w:cs="Arial"/>
                      <w:color w:val="000000"/>
                      <w:sz w:val="20"/>
                      <w:szCs w:val="20"/>
                      <w:lang w:eastAsia="en-GB"/>
                    </w:rPr>
                    <w:t xml:space="preserve">SD04 Database of Local Provision created </w:t>
                  </w:r>
                </w:p>
              </w:tc>
              <w:tc>
                <w:tcPr>
                  <w:tcW w:w="658"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6D603185" w14:textId="77777777" w:rsidR="00202271" w:rsidRPr="00202271" w:rsidRDefault="00202271" w:rsidP="00202271">
                  <w:pPr>
                    <w:jc w:val="center"/>
                    <w:rPr>
                      <w:rFonts w:cs="Arial"/>
                      <w:sz w:val="20"/>
                      <w:szCs w:val="20"/>
                      <w:lang w:eastAsia="en-GB"/>
                    </w:rPr>
                  </w:pPr>
                  <w:r w:rsidRPr="00202271">
                    <w:rPr>
                      <w:rFonts w:cs="Arial"/>
                      <w:sz w:val="20"/>
                      <w:szCs w:val="20"/>
                      <w:lang w:eastAsia="en-GB"/>
                    </w:rPr>
                    <w:t>1</w:t>
                  </w:r>
                </w:p>
              </w:tc>
              <w:tc>
                <w:tcPr>
                  <w:tcW w:w="107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D603186" w14:textId="77777777" w:rsidR="00202271" w:rsidRPr="00202271" w:rsidRDefault="00202271" w:rsidP="00202271">
                  <w:pPr>
                    <w:jc w:val="center"/>
                    <w:rPr>
                      <w:rFonts w:cs="Arial"/>
                      <w:color w:val="000000"/>
                      <w:sz w:val="20"/>
                      <w:szCs w:val="20"/>
                      <w:lang w:eastAsia="en-GB"/>
                    </w:rPr>
                  </w:pPr>
                  <w:r w:rsidRPr="00202271">
                    <w:rPr>
                      <w:rFonts w:cs="Arial"/>
                      <w:color w:val="000000"/>
                      <w:sz w:val="20"/>
                      <w:szCs w:val="20"/>
                      <w:lang w:eastAsia="en-GB"/>
                    </w:rPr>
                    <w:t>£22,000</w:t>
                  </w:r>
                </w:p>
              </w:tc>
              <w:tc>
                <w:tcPr>
                  <w:tcW w:w="866"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D603187" w14:textId="77777777" w:rsidR="00202271" w:rsidRPr="00202271" w:rsidRDefault="00202271" w:rsidP="00202271">
                  <w:pPr>
                    <w:jc w:val="center"/>
                    <w:rPr>
                      <w:rFonts w:cs="Arial"/>
                      <w:color w:val="000000"/>
                      <w:sz w:val="20"/>
                      <w:szCs w:val="20"/>
                      <w:lang w:eastAsia="en-GB"/>
                    </w:rPr>
                  </w:pPr>
                  <w:r w:rsidRPr="00202271">
                    <w:rPr>
                      <w:rFonts w:cs="Arial"/>
                      <w:color w:val="000000"/>
                      <w:sz w:val="20"/>
                      <w:szCs w:val="20"/>
                      <w:lang w:eastAsia="en-GB"/>
                    </w:rPr>
                    <w:t>£22,000</w:t>
                  </w:r>
                </w:p>
              </w:tc>
            </w:tr>
            <w:tr w:rsidR="00202271" w:rsidRPr="00202271" w14:paraId="6D60318D" w14:textId="77777777" w:rsidTr="00202271">
              <w:trPr>
                <w:trHeight w:val="386"/>
              </w:trPr>
              <w:tc>
                <w:tcPr>
                  <w:tcW w:w="2399"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6D603189" w14:textId="77777777" w:rsidR="00202271" w:rsidRPr="00202271" w:rsidRDefault="00202271" w:rsidP="00202271">
                  <w:pPr>
                    <w:rPr>
                      <w:rFonts w:cs="Arial"/>
                      <w:color w:val="000000"/>
                      <w:sz w:val="20"/>
                      <w:szCs w:val="20"/>
                      <w:lang w:eastAsia="en-GB"/>
                    </w:rPr>
                  </w:pPr>
                  <w:r w:rsidRPr="00202271">
                    <w:rPr>
                      <w:rFonts w:cs="Arial"/>
                      <w:color w:val="000000"/>
                      <w:sz w:val="20"/>
                      <w:szCs w:val="20"/>
                      <w:lang w:eastAsia="en-GB"/>
                    </w:rPr>
                    <w:t xml:space="preserve">SD05 Careers Events held </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60318A" w14:textId="77777777" w:rsidR="00202271" w:rsidRPr="00202271" w:rsidRDefault="00202271" w:rsidP="00202271">
                  <w:pPr>
                    <w:jc w:val="center"/>
                    <w:rPr>
                      <w:rFonts w:cs="Arial"/>
                      <w:sz w:val="20"/>
                      <w:szCs w:val="20"/>
                      <w:lang w:eastAsia="en-GB"/>
                    </w:rPr>
                  </w:pPr>
                  <w:r w:rsidRPr="00202271">
                    <w:rPr>
                      <w:rFonts w:cs="Arial"/>
                      <w:sz w:val="20"/>
                      <w:szCs w:val="20"/>
                      <w:lang w:eastAsia="en-GB"/>
                    </w:rPr>
                    <w:t>8</w:t>
                  </w:r>
                </w:p>
              </w:tc>
              <w:tc>
                <w:tcPr>
                  <w:tcW w:w="10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0318B" w14:textId="77777777" w:rsidR="00202271" w:rsidRPr="00202271" w:rsidRDefault="00202271" w:rsidP="00202271">
                  <w:pPr>
                    <w:jc w:val="center"/>
                    <w:rPr>
                      <w:rFonts w:cs="Arial"/>
                      <w:color w:val="000000"/>
                      <w:sz w:val="20"/>
                      <w:szCs w:val="20"/>
                      <w:lang w:eastAsia="en-GB"/>
                    </w:rPr>
                  </w:pPr>
                  <w:r w:rsidRPr="00202271">
                    <w:rPr>
                      <w:rFonts w:cs="Arial"/>
                      <w:color w:val="000000"/>
                      <w:sz w:val="20"/>
                      <w:szCs w:val="20"/>
                      <w:lang w:eastAsia="en-GB"/>
                    </w:rPr>
                    <w:t>£5,000</w:t>
                  </w:r>
                </w:p>
              </w:tc>
              <w:tc>
                <w:tcPr>
                  <w:tcW w:w="8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0318C" w14:textId="77777777" w:rsidR="00202271" w:rsidRPr="00202271" w:rsidRDefault="00202271" w:rsidP="00202271">
                  <w:pPr>
                    <w:jc w:val="center"/>
                    <w:rPr>
                      <w:rFonts w:cs="Arial"/>
                      <w:color w:val="000000"/>
                      <w:sz w:val="20"/>
                      <w:szCs w:val="20"/>
                      <w:lang w:eastAsia="en-GB"/>
                    </w:rPr>
                  </w:pPr>
                  <w:r w:rsidRPr="00202271">
                    <w:rPr>
                      <w:rFonts w:cs="Arial"/>
                      <w:color w:val="000000"/>
                      <w:sz w:val="20"/>
                      <w:szCs w:val="20"/>
                      <w:lang w:eastAsia="en-GB"/>
                    </w:rPr>
                    <w:t>£40,000</w:t>
                  </w:r>
                </w:p>
              </w:tc>
            </w:tr>
            <w:tr w:rsidR="00202271" w:rsidRPr="00202271" w14:paraId="6D603192" w14:textId="77777777" w:rsidTr="00202271">
              <w:trPr>
                <w:trHeight w:val="288"/>
              </w:trPr>
              <w:tc>
                <w:tcPr>
                  <w:tcW w:w="2399"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6D60318E" w14:textId="77777777" w:rsidR="00202271" w:rsidRPr="00202271" w:rsidRDefault="00202271" w:rsidP="00202271">
                  <w:pPr>
                    <w:rPr>
                      <w:rFonts w:cs="Arial"/>
                      <w:color w:val="000000"/>
                      <w:sz w:val="20"/>
                      <w:szCs w:val="20"/>
                      <w:lang w:eastAsia="en-GB"/>
                    </w:rPr>
                  </w:pPr>
                  <w:r w:rsidRPr="00202271">
                    <w:rPr>
                      <w:rFonts w:cs="Arial"/>
                      <w:color w:val="000000"/>
                      <w:sz w:val="20"/>
                      <w:szCs w:val="20"/>
                      <w:lang w:eastAsia="en-GB"/>
                    </w:rPr>
                    <w:t>Total</w:t>
                  </w:r>
                </w:p>
              </w:tc>
              <w:tc>
                <w:tcPr>
                  <w:tcW w:w="658"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6D60318F" w14:textId="77777777" w:rsidR="00202271" w:rsidRPr="00202271" w:rsidRDefault="00202271" w:rsidP="00202271">
                  <w:pPr>
                    <w:jc w:val="center"/>
                    <w:rPr>
                      <w:rFonts w:cs="Arial"/>
                      <w:sz w:val="20"/>
                      <w:szCs w:val="20"/>
                      <w:lang w:eastAsia="en-GB"/>
                    </w:rPr>
                  </w:pPr>
                  <w:r w:rsidRPr="00202271">
                    <w:rPr>
                      <w:rFonts w:cs="Arial"/>
                      <w:sz w:val="20"/>
                      <w:szCs w:val="20"/>
                      <w:lang w:eastAsia="en-GB"/>
                    </w:rPr>
                    <w:t> </w:t>
                  </w:r>
                </w:p>
              </w:tc>
              <w:tc>
                <w:tcPr>
                  <w:tcW w:w="107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D603190" w14:textId="77777777" w:rsidR="00202271" w:rsidRPr="00202271" w:rsidRDefault="00202271" w:rsidP="00202271">
                  <w:pPr>
                    <w:jc w:val="center"/>
                    <w:rPr>
                      <w:rFonts w:cs="Arial"/>
                      <w:color w:val="000000"/>
                      <w:sz w:val="20"/>
                      <w:szCs w:val="20"/>
                      <w:lang w:eastAsia="en-GB"/>
                    </w:rPr>
                  </w:pPr>
                  <w:r w:rsidRPr="00202271">
                    <w:rPr>
                      <w:rFonts w:cs="Arial"/>
                      <w:color w:val="000000"/>
                      <w:sz w:val="20"/>
                      <w:szCs w:val="20"/>
                      <w:lang w:eastAsia="en-GB"/>
                    </w:rPr>
                    <w:t> </w:t>
                  </w:r>
                </w:p>
              </w:tc>
              <w:tc>
                <w:tcPr>
                  <w:tcW w:w="866"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D603191" w14:textId="77777777" w:rsidR="00202271" w:rsidRPr="00202271" w:rsidRDefault="00202271" w:rsidP="00202271">
                  <w:pPr>
                    <w:jc w:val="center"/>
                    <w:rPr>
                      <w:rFonts w:cs="Arial"/>
                      <w:color w:val="000000"/>
                      <w:sz w:val="20"/>
                      <w:szCs w:val="20"/>
                      <w:lang w:eastAsia="en-GB"/>
                    </w:rPr>
                  </w:pPr>
                  <w:r w:rsidRPr="00202271">
                    <w:rPr>
                      <w:rFonts w:cs="Arial"/>
                      <w:color w:val="000000"/>
                      <w:sz w:val="20"/>
                      <w:szCs w:val="20"/>
                      <w:lang w:eastAsia="en-GB"/>
                    </w:rPr>
                    <w:t>£2,060,500</w:t>
                  </w:r>
                </w:p>
              </w:tc>
            </w:tr>
          </w:tbl>
          <w:p w14:paraId="6D603193" w14:textId="77777777" w:rsidR="00202271" w:rsidRDefault="00202271" w:rsidP="00A005EF">
            <w:pPr>
              <w:autoSpaceDE w:val="0"/>
              <w:autoSpaceDN w:val="0"/>
              <w:adjustRightInd w:val="0"/>
              <w:rPr>
                <w:rFonts w:cs="Arial"/>
              </w:rPr>
            </w:pPr>
          </w:p>
          <w:p w14:paraId="6D603194" w14:textId="77777777" w:rsidR="00AF2C70" w:rsidRDefault="00AF2C70" w:rsidP="00A005EF">
            <w:pPr>
              <w:autoSpaceDE w:val="0"/>
              <w:autoSpaceDN w:val="0"/>
              <w:adjustRightInd w:val="0"/>
              <w:rPr>
                <w:rFonts w:cs="Arial"/>
              </w:rPr>
            </w:pPr>
          </w:p>
          <w:p w14:paraId="6D603195" w14:textId="77777777" w:rsidR="00344FA1" w:rsidRDefault="00344FA1" w:rsidP="00627E01">
            <w:pPr>
              <w:rPr>
                <w:rFonts w:cs="Arial"/>
                <w:b/>
              </w:rPr>
            </w:pPr>
          </w:p>
          <w:p w14:paraId="6D603196" w14:textId="77777777" w:rsidR="00627E01" w:rsidRPr="00DB2FA1" w:rsidRDefault="00627E01" w:rsidP="00627E01">
            <w:pPr>
              <w:rPr>
                <w:rFonts w:cs="Arial"/>
                <w:b/>
              </w:rPr>
            </w:pPr>
          </w:p>
        </w:tc>
      </w:tr>
    </w:tbl>
    <w:p w14:paraId="6D603198" w14:textId="77777777" w:rsidR="00A005EF" w:rsidRDefault="00A005EF"/>
    <w:p w14:paraId="4B3BE246" w14:textId="77777777" w:rsidR="00FB0E64" w:rsidRDefault="00FB0E64"/>
    <w:p w14:paraId="536467FA" w14:textId="77777777" w:rsidR="00FB0E64" w:rsidRDefault="00FB0E64"/>
    <w:p w14:paraId="4DF5C5C6" w14:textId="77777777" w:rsidR="00FB0E64" w:rsidRDefault="00FB0E64"/>
    <w:p w14:paraId="68B1229B" w14:textId="77777777" w:rsidR="00FB0E64" w:rsidRDefault="00FB0E64"/>
    <w:p w14:paraId="6E8980CD" w14:textId="77777777" w:rsidR="00FB0E64" w:rsidRDefault="00FB0E64"/>
    <w:p w14:paraId="2C1F3947" w14:textId="77777777" w:rsidR="00FB0E64" w:rsidRDefault="00FB0E64"/>
    <w:p w14:paraId="44E5158F" w14:textId="77777777" w:rsidR="00FB0E64" w:rsidRDefault="00FB0E64"/>
    <w:p w14:paraId="2378F4B4" w14:textId="77777777" w:rsidR="00FB0E64" w:rsidRDefault="00FB0E64"/>
    <w:p w14:paraId="72506A7D" w14:textId="77777777" w:rsidR="00FB0E64" w:rsidRDefault="00FB0E64"/>
    <w:p w14:paraId="12123A18" w14:textId="77777777" w:rsidR="00FB0E64" w:rsidRDefault="00FB0E64"/>
    <w:p w14:paraId="604B67C9" w14:textId="77777777" w:rsidR="00FB0E64" w:rsidRDefault="00FB0E64"/>
    <w:p w14:paraId="47D96548" w14:textId="77777777" w:rsidR="00FB0E64" w:rsidRDefault="00FB0E64"/>
    <w:p w14:paraId="7A0F5E22" w14:textId="77777777" w:rsidR="00FB0E64" w:rsidRDefault="00FB0E64"/>
    <w:p w14:paraId="3A9B3C88" w14:textId="77777777" w:rsidR="00FB0E64" w:rsidRDefault="00FB0E64"/>
    <w:p w14:paraId="706E02BF" w14:textId="77777777" w:rsidR="00FB0E64" w:rsidRDefault="00FB0E64"/>
    <w:p w14:paraId="476C5551" w14:textId="77777777" w:rsidR="00FB0E64" w:rsidRDefault="00FB0E64"/>
    <w:p w14:paraId="2211EF0D" w14:textId="77777777" w:rsidR="00FB0E64" w:rsidRDefault="00FB0E64"/>
    <w:p w14:paraId="250C8B68" w14:textId="77777777" w:rsidR="00FB0E64" w:rsidRDefault="00FB0E64"/>
    <w:p w14:paraId="6D4CEBC5" w14:textId="77777777" w:rsidR="00FB0E64" w:rsidRDefault="00FB0E64"/>
    <w:p w14:paraId="3AFDE059" w14:textId="77777777" w:rsidR="00FB0E64" w:rsidRDefault="00FB0E64"/>
    <w:p w14:paraId="389492DF" w14:textId="77777777" w:rsidR="00FB0E64" w:rsidRDefault="00FB0E64"/>
    <w:p w14:paraId="36D33500" w14:textId="77777777" w:rsidR="00FB0E64" w:rsidRDefault="00FB0E64"/>
    <w:p w14:paraId="5FA51F7C" w14:textId="77777777" w:rsidR="00FB0E64" w:rsidRDefault="00FB0E64"/>
    <w:p w14:paraId="5CB5B3C2" w14:textId="77777777" w:rsidR="00FB0E64" w:rsidRDefault="00FB0E64"/>
    <w:p w14:paraId="41BDFFE7" w14:textId="77777777" w:rsidR="00FB0E64" w:rsidRDefault="00FB0E64"/>
    <w:p w14:paraId="310F265F" w14:textId="77777777" w:rsidR="00FB0E64" w:rsidRDefault="00FB0E64"/>
    <w:p w14:paraId="2D3FE21B" w14:textId="77777777" w:rsidR="00FB0E64" w:rsidRDefault="00FB0E64"/>
    <w:p w14:paraId="06D1E640" w14:textId="77777777" w:rsidR="00FB0E64" w:rsidRDefault="00FB0E64"/>
    <w:p w14:paraId="3D7AE0D2" w14:textId="77777777" w:rsidR="00FB0E64" w:rsidRDefault="00FB0E64"/>
    <w:p w14:paraId="2E0F9B47" w14:textId="77777777" w:rsidR="00FB0E64" w:rsidRDefault="00FB0E64"/>
    <w:p w14:paraId="27C4B51B" w14:textId="77777777" w:rsidR="00FB0E64" w:rsidRDefault="00FB0E64">
      <w:bookmarkStart w:id="0" w:name="_GoBack"/>
      <w:bookmarkEnd w:id="0"/>
    </w:p>
    <w:sectPr w:rsidR="00FB0E64" w:rsidSect="0014799D">
      <w:headerReference w:type="default" r:id="rId16"/>
      <w:footerReference w:type="default" r:id="rId17"/>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02335" w14:textId="77777777" w:rsidR="00F33C17" w:rsidRDefault="00F33C17">
      <w:r>
        <w:separator/>
      </w:r>
    </w:p>
  </w:endnote>
  <w:endnote w:type="continuationSeparator" w:id="0">
    <w:p w14:paraId="7C7E707D" w14:textId="77777777" w:rsidR="00F33C17" w:rsidRDefault="00F3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6D6031A6" w14:textId="77777777" w:rsidR="001D2899" w:rsidRDefault="001D2899">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1D2899" w14:paraId="6D6031A9" w14:textId="77777777" w:rsidTr="009808AC">
          <w:tc>
            <w:tcPr>
              <w:tcW w:w="4908" w:type="dxa"/>
            </w:tcPr>
            <w:p w14:paraId="6D6031A7" w14:textId="77777777" w:rsidR="001D2899" w:rsidRDefault="001D2899" w:rsidP="009808AC">
              <w:pPr>
                <w:pStyle w:val="Footer"/>
              </w:pPr>
            </w:p>
          </w:tc>
          <w:tc>
            <w:tcPr>
              <w:tcW w:w="3869" w:type="dxa"/>
            </w:tcPr>
            <w:p w14:paraId="6D6031A8" w14:textId="77777777" w:rsidR="001D2899" w:rsidRDefault="001D2899"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E87C00">
                <w:rPr>
                  <w:b/>
                  <w:bCs/>
                  <w:noProof/>
                </w:rPr>
                <w:t>13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87C00">
                <w:rPr>
                  <w:b/>
                  <w:bCs/>
                  <w:noProof/>
                </w:rPr>
                <w:t>13</w:t>
              </w:r>
              <w:r>
                <w:rPr>
                  <w:b/>
                  <w:bCs/>
                </w:rPr>
                <w:fldChar w:fldCharType="end"/>
              </w:r>
            </w:p>
          </w:tc>
        </w:tr>
      </w:tbl>
      <w:p w14:paraId="6D6031AA" w14:textId="77777777" w:rsidR="001D2899" w:rsidRDefault="00F33C17">
        <w:pPr>
          <w:pStyle w:val="Footer"/>
          <w:jc w:val="right"/>
        </w:pPr>
      </w:p>
    </w:sdtContent>
  </w:sdt>
  <w:p w14:paraId="6D6031AB" w14:textId="77777777" w:rsidR="001D2899" w:rsidRDefault="001D28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DDB35" w14:textId="77777777" w:rsidR="00F33C17" w:rsidRDefault="00F33C17">
      <w:r>
        <w:separator/>
      </w:r>
    </w:p>
  </w:footnote>
  <w:footnote w:type="continuationSeparator" w:id="0">
    <w:p w14:paraId="6C1DA244" w14:textId="77777777" w:rsidR="00F33C17" w:rsidRDefault="00F33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6D6031A5" w14:textId="77777777" w:rsidR="001D2899" w:rsidRDefault="00F33C17">
        <w:pPr>
          <w:pStyle w:val="Header"/>
        </w:pPr>
        <w:r>
          <w:rPr>
            <w:noProof/>
            <w:lang w:val="en-US"/>
          </w:rPr>
          <w:pict w14:anchorId="6D6031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74505C1"/>
    <w:multiLevelType w:val="hybridMultilevel"/>
    <w:tmpl w:val="E44A8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 w15:restartNumberingAfterBreak="0">
    <w:nsid w:val="0AB31679"/>
    <w:multiLevelType w:val="hybridMultilevel"/>
    <w:tmpl w:val="C0227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7" w15:restartNumberingAfterBreak="0">
    <w:nsid w:val="132E7326"/>
    <w:multiLevelType w:val="hybridMultilevel"/>
    <w:tmpl w:val="851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83127"/>
    <w:multiLevelType w:val="hybridMultilevel"/>
    <w:tmpl w:val="E54657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041C08"/>
    <w:multiLevelType w:val="hybridMultilevel"/>
    <w:tmpl w:val="62BC4F2A"/>
    <w:lvl w:ilvl="0" w:tplc="0CC08888">
      <w:numFmt w:val="bullet"/>
      <w:pStyle w:val="bulletpoint1"/>
      <w:lvlText w:val="•"/>
      <w:lvlJc w:val="left"/>
      <w:pPr>
        <w:ind w:left="700" w:hanging="360"/>
      </w:pPr>
      <w:rPr>
        <w:rFonts w:ascii="HelveticaNeue" w:eastAsia="Times New Roman" w:hAnsi="HelveticaNeue" w:cs="HelveticaNeue" w:hint="default"/>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8825C5"/>
    <w:multiLevelType w:val="hybridMultilevel"/>
    <w:tmpl w:val="5DD295A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E614DA"/>
    <w:multiLevelType w:val="hybridMultilevel"/>
    <w:tmpl w:val="5CA83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980FA8"/>
    <w:multiLevelType w:val="hybridMultilevel"/>
    <w:tmpl w:val="B4A47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554A06"/>
    <w:multiLevelType w:val="hybridMultilevel"/>
    <w:tmpl w:val="1228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593329"/>
    <w:multiLevelType w:val="hybridMultilevel"/>
    <w:tmpl w:val="CCC4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962C9D"/>
    <w:multiLevelType w:val="hybridMultilevel"/>
    <w:tmpl w:val="64C2E6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732790"/>
    <w:multiLevelType w:val="hybridMultilevel"/>
    <w:tmpl w:val="DC48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EA3A8A"/>
    <w:multiLevelType w:val="hybridMultilevel"/>
    <w:tmpl w:val="66625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3445EE"/>
    <w:multiLevelType w:val="hybridMultilevel"/>
    <w:tmpl w:val="5D0C0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4" w15:restartNumberingAfterBreak="0">
    <w:nsid w:val="58E45F86"/>
    <w:multiLevelType w:val="hybridMultilevel"/>
    <w:tmpl w:val="E2B0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6" w15:restartNumberingAfterBreak="0">
    <w:nsid w:val="68C65448"/>
    <w:multiLevelType w:val="hybridMultilevel"/>
    <w:tmpl w:val="4A9E0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25"/>
  </w:num>
  <w:num w:numId="4">
    <w:abstractNumId w:val="25"/>
  </w:num>
  <w:num w:numId="5">
    <w:abstractNumId w:val="4"/>
  </w:num>
  <w:num w:numId="6">
    <w:abstractNumId w:val="0"/>
  </w:num>
  <w:num w:numId="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9"/>
  </w:num>
  <w:num w:numId="10">
    <w:abstractNumId w:val="23"/>
  </w:num>
  <w:num w:numId="11">
    <w:abstractNumId w:val="20"/>
  </w:num>
  <w:num w:numId="12">
    <w:abstractNumId w:val="29"/>
  </w:num>
  <w:num w:numId="13">
    <w:abstractNumId w:val="24"/>
  </w:num>
  <w:num w:numId="14">
    <w:abstractNumId w:val="18"/>
  </w:num>
  <w:num w:numId="15">
    <w:abstractNumId w:val="13"/>
  </w:num>
  <w:num w:numId="16">
    <w:abstractNumId w:val="10"/>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9"/>
  </w:num>
  <w:num w:numId="27">
    <w:abstractNumId w:val="11"/>
  </w:num>
  <w:num w:numId="28">
    <w:abstractNumId w:val="17"/>
  </w:num>
  <w:num w:numId="29">
    <w:abstractNumId w:val="7"/>
  </w:num>
  <w:num w:numId="30">
    <w:abstractNumId w:val="21"/>
  </w:num>
  <w:num w:numId="31">
    <w:abstractNumId w:val="2"/>
  </w:num>
  <w:num w:numId="32">
    <w:abstractNumId w:val="5"/>
  </w:num>
  <w:num w:numId="33">
    <w:abstractNumId w:val="16"/>
  </w:num>
  <w:num w:numId="34">
    <w:abstractNumId w:val="8"/>
  </w:num>
  <w:num w:numId="35">
    <w:abstractNumId w:val="26"/>
  </w:num>
  <w:num w:numId="36">
    <w:abstractNumId w:val="12"/>
  </w:num>
  <w:num w:numId="37">
    <w:abstractNumId w:val="1"/>
  </w:num>
  <w:num w:numId="38">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772D"/>
    <w:rsid w:val="00014A96"/>
    <w:rsid w:val="000241A5"/>
    <w:rsid w:val="00025309"/>
    <w:rsid w:val="00025EF8"/>
    <w:rsid w:val="000262AC"/>
    <w:rsid w:val="00027A87"/>
    <w:rsid w:val="000304B2"/>
    <w:rsid w:val="00030CDC"/>
    <w:rsid w:val="00031747"/>
    <w:rsid w:val="00033BE9"/>
    <w:rsid w:val="00034C95"/>
    <w:rsid w:val="00035FB6"/>
    <w:rsid w:val="000419AD"/>
    <w:rsid w:val="000426C3"/>
    <w:rsid w:val="00044B29"/>
    <w:rsid w:val="00045543"/>
    <w:rsid w:val="000457C3"/>
    <w:rsid w:val="0004585A"/>
    <w:rsid w:val="00045DF4"/>
    <w:rsid w:val="000476C3"/>
    <w:rsid w:val="0005224F"/>
    <w:rsid w:val="00055B31"/>
    <w:rsid w:val="00060316"/>
    <w:rsid w:val="00061405"/>
    <w:rsid w:val="000616F5"/>
    <w:rsid w:val="00061C01"/>
    <w:rsid w:val="00065977"/>
    <w:rsid w:val="0006613A"/>
    <w:rsid w:val="00066B72"/>
    <w:rsid w:val="0006724D"/>
    <w:rsid w:val="0007093F"/>
    <w:rsid w:val="000730F1"/>
    <w:rsid w:val="000848BA"/>
    <w:rsid w:val="00087B1E"/>
    <w:rsid w:val="00090908"/>
    <w:rsid w:val="000935EF"/>
    <w:rsid w:val="00094335"/>
    <w:rsid w:val="000976D1"/>
    <w:rsid w:val="000A0728"/>
    <w:rsid w:val="000A5C48"/>
    <w:rsid w:val="000A6802"/>
    <w:rsid w:val="000B07A1"/>
    <w:rsid w:val="000B2ED9"/>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BF3"/>
    <w:rsid w:val="00101C79"/>
    <w:rsid w:val="00105A7C"/>
    <w:rsid w:val="00110113"/>
    <w:rsid w:val="00111F99"/>
    <w:rsid w:val="0012138E"/>
    <w:rsid w:val="00121D8C"/>
    <w:rsid w:val="00123C60"/>
    <w:rsid w:val="0012604F"/>
    <w:rsid w:val="00131443"/>
    <w:rsid w:val="0013204A"/>
    <w:rsid w:val="00133A11"/>
    <w:rsid w:val="00136327"/>
    <w:rsid w:val="00137737"/>
    <w:rsid w:val="00143A7D"/>
    <w:rsid w:val="00145BD1"/>
    <w:rsid w:val="0014799D"/>
    <w:rsid w:val="0015011A"/>
    <w:rsid w:val="001535BC"/>
    <w:rsid w:val="001545B4"/>
    <w:rsid w:val="00155553"/>
    <w:rsid w:val="00162B5B"/>
    <w:rsid w:val="0017038F"/>
    <w:rsid w:val="00171CCB"/>
    <w:rsid w:val="0017418C"/>
    <w:rsid w:val="00174E73"/>
    <w:rsid w:val="00186C06"/>
    <w:rsid w:val="00191EFE"/>
    <w:rsid w:val="0019279D"/>
    <w:rsid w:val="001931FA"/>
    <w:rsid w:val="00194CEF"/>
    <w:rsid w:val="00195C99"/>
    <w:rsid w:val="001A0525"/>
    <w:rsid w:val="001A1174"/>
    <w:rsid w:val="001A34A6"/>
    <w:rsid w:val="001A4B05"/>
    <w:rsid w:val="001A4B42"/>
    <w:rsid w:val="001A5133"/>
    <w:rsid w:val="001B0B95"/>
    <w:rsid w:val="001B180A"/>
    <w:rsid w:val="001B287B"/>
    <w:rsid w:val="001C0F4B"/>
    <w:rsid w:val="001C5ABA"/>
    <w:rsid w:val="001C6BE0"/>
    <w:rsid w:val="001D1AC8"/>
    <w:rsid w:val="001D2899"/>
    <w:rsid w:val="001E04A4"/>
    <w:rsid w:val="001E1416"/>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271"/>
    <w:rsid w:val="0020278B"/>
    <w:rsid w:val="00202EA7"/>
    <w:rsid w:val="00204192"/>
    <w:rsid w:val="00204794"/>
    <w:rsid w:val="0020486E"/>
    <w:rsid w:val="00207E67"/>
    <w:rsid w:val="00210134"/>
    <w:rsid w:val="0021080C"/>
    <w:rsid w:val="00212817"/>
    <w:rsid w:val="002226E2"/>
    <w:rsid w:val="00225C07"/>
    <w:rsid w:val="00225C7E"/>
    <w:rsid w:val="00226225"/>
    <w:rsid w:val="00230104"/>
    <w:rsid w:val="002325E4"/>
    <w:rsid w:val="00234B05"/>
    <w:rsid w:val="002369B8"/>
    <w:rsid w:val="00236EB2"/>
    <w:rsid w:val="00244732"/>
    <w:rsid w:val="00246ACC"/>
    <w:rsid w:val="0024756B"/>
    <w:rsid w:val="0025417A"/>
    <w:rsid w:val="00254DC6"/>
    <w:rsid w:val="00261A57"/>
    <w:rsid w:val="00261BD3"/>
    <w:rsid w:val="00267691"/>
    <w:rsid w:val="00267C1E"/>
    <w:rsid w:val="00272D93"/>
    <w:rsid w:val="00273291"/>
    <w:rsid w:val="00274F72"/>
    <w:rsid w:val="00275DF2"/>
    <w:rsid w:val="00281694"/>
    <w:rsid w:val="0028229D"/>
    <w:rsid w:val="002833D9"/>
    <w:rsid w:val="00294130"/>
    <w:rsid w:val="00294FCA"/>
    <w:rsid w:val="002A10EA"/>
    <w:rsid w:val="002A4103"/>
    <w:rsid w:val="002A5006"/>
    <w:rsid w:val="002A5E6B"/>
    <w:rsid w:val="002B2730"/>
    <w:rsid w:val="002B2B9C"/>
    <w:rsid w:val="002B7967"/>
    <w:rsid w:val="002C3DD0"/>
    <w:rsid w:val="002C62CF"/>
    <w:rsid w:val="002C72A2"/>
    <w:rsid w:val="002D5A8E"/>
    <w:rsid w:val="002D7D91"/>
    <w:rsid w:val="002E25F4"/>
    <w:rsid w:val="002E3B40"/>
    <w:rsid w:val="002E53B9"/>
    <w:rsid w:val="002F2910"/>
    <w:rsid w:val="002F4192"/>
    <w:rsid w:val="002F42BD"/>
    <w:rsid w:val="002F59FE"/>
    <w:rsid w:val="002F67EA"/>
    <w:rsid w:val="002F70E9"/>
    <w:rsid w:val="002F71DB"/>
    <w:rsid w:val="00301CA8"/>
    <w:rsid w:val="00302802"/>
    <w:rsid w:val="003035E8"/>
    <w:rsid w:val="00303609"/>
    <w:rsid w:val="00303EFB"/>
    <w:rsid w:val="003045E2"/>
    <w:rsid w:val="003051A9"/>
    <w:rsid w:val="00307FC5"/>
    <w:rsid w:val="0031325C"/>
    <w:rsid w:val="003146D9"/>
    <w:rsid w:val="00317B67"/>
    <w:rsid w:val="00320393"/>
    <w:rsid w:val="003242A9"/>
    <w:rsid w:val="00325BC2"/>
    <w:rsid w:val="00325EB2"/>
    <w:rsid w:val="00327484"/>
    <w:rsid w:val="00331FD0"/>
    <w:rsid w:val="00332E13"/>
    <w:rsid w:val="003341FC"/>
    <w:rsid w:val="003372BE"/>
    <w:rsid w:val="0034251F"/>
    <w:rsid w:val="003436BF"/>
    <w:rsid w:val="003437A8"/>
    <w:rsid w:val="003441FF"/>
    <w:rsid w:val="00344FA1"/>
    <w:rsid w:val="003531F2"/>
    <w:rsid w:val="0035514D"/>
    <w:rsid w:val="00360E2D"/>
    <w:rsid w:val="00363111"/>
    <w:rsid w:val="0036417A"/>
    <w:rsid w:val="00365815"/>
    <w:rsid w:val="00370ADD"/>
    <w:rsid w:val="003711BA"/>
    <w:rsid w:val="00372BC6"/>
    <w:rsid w:val="0037436D"/>
    <w:rsid w:val="00375F41"/>
    <w:rsid w:val="00376B4D"/>
    <w:rsid w:val="003815F3"/>
    <w:rsid w:val="003817E6"/>
    <w:rsid w:val="00384AE2"/>
    <w:rsid w:val="003900BE"/>
    <w:rsid w:val="00391879"/>
    <w:rsid w:val="00392C87"/>
    <w:rsid w:val="00394F36"/>
    <w:rsid w:val="003A017D"/>
    <w:rsid w:val="003A3761"/>
    <w:rsid w:val="003A457D"/>
    <w:rsid w:val="003A4747"/>
    <w:rsid w:val="003A4850"/>
    <w:rsid w:val="003A52A2"/>
    <w:rsid w:val="003A703E"/>
    <w:rsid w:val="003A723F"/>
    <w:rsid w:val="003B0CB7"/>
    <w:rsid w:val="003B6ACC"/>
    <w:rsid w:val="003B6D47"/>
    <w:rsid w:val="003B7E78"/>
    <w:rsid w:val="003C070A"/>
    <w:rsid w:val="003C218D"/>
    <w:rsid w:val="003C3FC1"/>
    <w:rsid w:val="003D0098"/>
    <w:rsid w:val="003D58B2"/>
    <w:rsid w:val="003D5D97"/>
    <w:rsid w:val="003E0C7F"/>
    <w:rsid w:val="003E3DEA"/>
    <w:rsid w:val="003E657D"/>
    <w:rsid w:val="003F1A71"/>
    <w:rsid w:val="003F57F0"/>
    <w:rsid w:val="00404490"/>
    <w:rsid w:val="004050CC"/>
    <w:rsid w:val="00407ED0"/>
    <w:rsid w:val="00412EFF"/>
    <w:rsid w:val="0041542B"/>
    <w:rsid w:val="00415AB1"/>
    <w:rsid w:val="00416BE3"/>
    <w:rsid w:val="004241A1"/>
    <w:rsid w:val="00431500"/>
    <w:rsid w:val="00436551"/>
    <w:rsid w:val="004404D5"/>
    <w:rsid w:val="0044066C"/>
    <w:rsid w:val="0044287C"/>
    <w:rsid w:val="00442DA3"/>
    <w:rsid w:val="00444DB8"/>
    <w:rsid w:val="00447E3D"/>
    <w:rsid w:val="00454193"/>
    <w:rsid w:val="00454504"/>
    <w:rsid w:val="00457BC3"/>
    <w:rsid w:val="00464432"/>
    <w:rsid w:val="00464787"/>
    <w:rsid w:val="00466FA7"/>
    <w:rsid w:val="00471029"/>
    <w:rsid w:val="00475879"/>
    <w:rsid w:val="00476E85"/>
    <w:rsid w:val="004815E5"/>
    <w:rsid w:val="004825CA"/>
    <w:rsid w:val="004A2467"/>
    <w:rsid w:val="004A5EE0"/>
    <w:rsid w:val="004B6441"/>
    <w:rsid w:val="004B698A"/>
    <w:rsid w:val="004B701F"/>
    <w:rsid w:val="004B7AFB"/>
    <w:rsid w:val="004B7B72"/>
    <w:rsid w:val="004C5399"/>
    <w:rsid w:val="004C6E5B"/>
    <w:rsid w:val="004C726D"/>
    <w:rsid w:val="004C7C23"/>
    <w:rsid w:val="004D1EA6"/>
    <w:rsid w:val="004D45FA"/>
    <w:rsid w:val="004D7820"/>
    <w:rsid w:val="004E5C17"/>
    <w:rsid w:val="005005F6"/>
    <w:rsid w:val="0050287E"/>
    <w:rsid w:val="00503222"/>
    <w:rsid w:val="00503817"/>
    <w:rsid w:val="005060C6"/>
    <w:rsid w:val="0050687A"/>
    <w:rsid w:val="0051414C"/>
    <w:rsid w:val="00515602"/>
    <w:rsid w:val="00517252"/>
    <w:rsid w:val="0052301F"/>
    <w:rsid w:val="0052417A"/>
    <w:rsid w:val="00524B4A"/>
    <w:rsid w:val="00525050"/>
    <w:rsid w:val="00526F80"/>
    <w:rsid w:val="00527247"/>
    <w:rsid w:val="00531017"/>
    <w:rsid w:val="00532143"/>
    <w:rsid w:val="005325A3"/>
    <w:rsid w:val="00533590"/>
    <w:rsid w:val="00546D27"/>
    <w:rsid w:val="00551246"/>
    <w:rsid w:val="00552885"/>
    <w:rsid w:val="005530E1"/>
    <w:rsid w:val="005532B7"/>
    <w:rsid w:val="0055442A"/>
    <w:rsid w:val="005574E2"/>
    <w:rsid w:val="00567FE1"/>
    <w:rsid w:val="00570163"/>
    <w:rsid w:val="005719DD"/>
    <w:rsid w:val="0057560E"/>
    <w:rsid w:val="00575A04"/>
    <w:rsid w:val="005802D4"/>
    <w:rsid w:val="00580A30"/>
    <w:rsid w:val="00581451"/>
    <w:rsid w:val="00581C17"/>
    <w:rsid w:val="00582B96"/>
    <w:rsid w:val="005833BD"/>
    <w:rsid w:val="005844BD"/>
    <w:rsid w:val="00584D89"/>
    <w:rsid w:val="00584F79"/>
    <w:rsid w:val="00587150"/>
    <w:rsid w:val="005879C6"/>
    <w:rsid w:val="00590073"/>
    <w:rsid w:val="005913DB"/>
    <w:rsid w:val="00591780"/>
    <w:rsid w:val="00596FF4"/>
    <w:rsid w:val="005A19C2"/>
    <w:rsid w:val="005A1D76"/>
    <w:rsid w:val="005A233C"/>
    <w:rsid w:val="005B0619"/>
    <w:rsid w:val="005B25BE"/>
    <w:rsid w:val="005B3498"/>
    <w:rsid w:val="005B4B9E"/>
    <w:rsid w:val="005C04A2"/>
    <w:rsid w:val="005C350D"/>
    <w:rsid w:val="005C44C5"/>
    <w:rsid w:val="005C5996"/>
    <w:rsid w:val="005C5B32"/>
    <w:rsid w:val="005C74C2"/>
    <w:rsid w:val="005D2D1A"/>
    <w:rsid w:val="005D2FF1"/>
    <w:rsid w:val="005D3214"/>
    <w:rsid w:val="005D3E38"/>
    <w:rsid w:val="005D77FE"/>
    <w:rsid w:val="005D7DE1"/>
    <w:rsid w:val="005E0E16"/>
    <w:rsid w:val="005E1FA1"/>
    <w:rsid w:val="005E317E"/>
    <w:rsid w:val="005E37D8"/>
    <w:rsid w:val="005E3A1D"/>
    <w:rsid w:val="005F0054"/>
    <w:rsid w:val="005F081E"/>
    <w:rsid w:val="005F1102"/>
    <w:rsid w:val="00601F38"/>
    <w:rsid w:val="00603F09"/>
    <w:rsid w:val="00607A17"/>
    <w:rsid w:val="006106F1"/>
    <w:rsid w:val="00622E87"/>
    <w:rsid w:val="006254BD"/>
    <w:rsid w:val="00627E01"/>
    <w:rsid w:val="006321E9"/>
    <w:rsid w:val="00651A1C"/>
    <w:rsid w:val="00655180"/>
    <w:rsid w:val="00655E68"/>
    <w:rsid w:val="00663C28"/>
    <w:rsid w:val="006640FB"/>
    <w:rsid w:val="00667E93"/>
    <w:rsid w:val="006701D5"/>
    <w:rsid w:val="00670BF4"/>
    <w:rsid w:val="0067125E"/>
    <w:rsid w:val="00673325"/>
    <w:rsid w:val="006769F9"/>
    <w:rsid w:val="00680408"/>
    <w:rsid w:val="00683123"/>
    <w:rsid w:val="00683FE3"/>
    <w:rsid w:val="0068445E"/>
    <w:rsid w:val="00685FB5"/>
    <w:rsid w:val="00692CED"/>
    <w:rsid w:val="00697265"/>
    <w:rsid w:val="006A28A1"/>
    <w:rsid w:val="006A4FD3"/>
    <w:rsid w:val="006B0404"/>
    <w:rsid w:val="006B0A4D"/>
    <w:rsid w:val="006B2902"/>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1C1C"/>
    <w:rsid w:val="006F33C3"/>
    <w:rsid w:val="006F520C"/>
    <w:rsid w:val="007002C7"/>
    <w:rsid w:val="0070487E"/>
    <w:rsid w:val="0070702A"/>
    <w:rsid w:val="007118CF"/>
    <w:rsid w:val="00711E1C"/>
    <w:rsid w:val="007121E9"/>
    <w:rsid w:val="007167C9"/>
    <w:rsid w:val="00716BA3"/>
    <w:rsid w:val="0072012D"/>
    <w:rsid w:val="00721D14"/>
    <w:rsid w:val="007221B7"/>
    <w:rsid w:val="00733C44"/>
    <w:rsid w:val="00734B1E"/>
    <w:rsid w:val="007362B9"/>
    <w:rsid w:val="00736E23"/>
    <w:rsid w:val="00740BBC"/>
    <w:rsid w:val="00741E70"/>
    <w:rsid w:val="00742085"/>
    <w:rsid w:val="007544F0"/>
    <w:rsid w:val="00755E41"/>
    <w:rsid w:val="00757723"/>
    <w:rsid w:val="00757D21"/>
    <w:rsid w:val="0076010B"/>
    <w:rsid w:val="007654E6"/>
    <w:rsid w:val="00765616"/>
    <w:rsid w:val="00766D5A"/>
    <w:rsid w:val="00772BBA"/>
    <w:rsid w:val="00773DA2"/>
    <w:rsid w:val="007779B8"/>
    <w:rsid w:val="00780C7F"/>
    <w:rsid w:val="00784172"/>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0D42"/>
    <w:rsid w:val="007C1168"/>
    <w:rsid w:val="007C1C00"/>
    <w:rsid w:val="007C294F"/>
    <w:rsid w:val="007C2B80"/>
    <w:rsid w:val="007D184B"/>
    <w:rsid w:val="007D25C3"/>
    <w:rsid w:val="007E15DA"/>
    <w:rsid w:val="007E2C13"/>
    <w:rsid w:val="007E2F31"/>
    <w:rsid w:val="007E51DD"/>
    <w:rsid w:val="007E5629"/>
    <w:rsid w:val="007E5687"/>
    <w:rsid w:val="007E7731"/>
    <w:rsid w:val="007F51F2"/>
    <w:rsid w:val="007F575A"/>
    <w:rsid w:val="007F61A6"/>
    <w:rsid w:val="008040A8"/>
    <w:rsid w:val="00806C56"/>
    <w:rsid w:val="00812EC6"/>
    <w:rsid w:val="008139C0"/>
    <w:rsid w:val="0081783D"/>
    <w:rsid w:val="008441FE"/>
    <w:rsid w:val="00845EC7"/>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7436"/>
    <w:rsid w:val="008A7BFE"/>
    <w:rsid w:val="008B0638"/>
    <w:rsid w:val="008B301A"/>
    <w:rsid w:val="008B3265"/>
    <w:rsid w:val="008B7C05"/>
    <w:rsid w:val="008C04D4"/>
    <w:rsid w:val="008C148F"/>
    <w:rsid w:val="008C6517"/>
    <w:rsid w:val="008C74BF"/>
    <w:rsid w:val="008D41F4"/>
    <w:rsid w:val="008D458C"/>
    <w:rsid w:val="008D685F"/>
    <w:rsid w:val="008E0CA3"/>
    <w:rsid w:val="008E1A0A"/>
    <w:rsid w:val="008E2A7B"/>
    <w:rsid w:val="008E2EBC"/>
    <w:rsid w:val="008E6320"/>
    <w:rsid w:val="008F013F"/>
    <w:rsid w:val="008F34BD"/>
    <w:rsid w:val="00900D0A"/>
    <w:rsid w:val="009029D4"/>
    <w:rsid w:val="009040B5"/>
    <w:rsid w:val="0090511E"/>
    <w:rsid w:val="00906ED1"/>
    <w:rsid w:val="009100F8"/>
    <w:rsid w:val="00911515"/>
    <w:rsid w:val="009116BD"/>
    <w:rsid w:val="00911A56"/>
    <w:rsid w:val="00912377"/>
    <w:rsid w:val="00914BB9"/>
    <w:rsid w:val="00914DF9"/>
    <w:rsid w:val="00920D7A"/>
    <w:rsid w:val="00936137"/>
    <w:rsid w:val="00943CFA"/>
    <w:rsid w:val="00945E4C"/>
    <w:rsid w:val="00946A67"/>
    <w:rsid w:val="009549AE"/>
    <w:rsid w:val="009552C2"/>
    <w:rsid w:val="009612F7"/>
    <w:rsid w:val="0096491B"/>
    <w:rsid w:val="00965A85"/>
    <w:rsid w:val="00966299"/>
    <w:rsid w:val="00967429"/>
    <w:rsid w:val="00975D7E"/>
    <w:rsid w:val="009808AC"/>
    <w:rsid w:val="009840A5"/>
    <w:rsid w:val="009907A3"/>
    <w:rsid w:val="009924E0"/>
    <w:rsid w:val="009945CA"/>
    <w:rsid w:val="009A48CE"/>
    <w:rsid w:val="009A79E6"/>
    <w:rsid w:val="009B020D"/>
    <w:rsid w:val="009B1204"/>
    <w:rsid w:val="009B1CF3"/>
    <w:rsid w:val="009B485E"/>
    <w:rsid w:val="009B6412"/>
    <w:rsid w:val="009B666D"/>
    <w:rsid w:val="009C1A29"/>
    <w:rsid w:val="009C4474"/>
    <w:rsid w:val="009D12A3"/>
    <w:rsid w:val="009D12C5"/>
    <w:rsid w:val="009D13EE"/>
    <w:rsid w:val="009D327E"/>
    <w:rsid w:val="009D3D53"/>
    <w:rsid w:val="009D404E"/>
    <w:rsid w:val="009D55C8"/>
    <w:rsid w:val="009E0CB1"/>
    <w:rsid w:val="009E20A3"/>
    <w:rsid w:val="009E7A30"/>
    <w:rsid w:val="009F1166"/>
    <w:rsid w:val="009F51A8"/>
    <w:rsid w:val="00A005EF"/>
    <w:rsid w:val="00A06583"/>
    <w:rsid w:val="00A077AE"/>
    <w:rsid w:val="00A11AEC"/>
    <w:rsid w:val="00A1546F"/>
    <w:rsid w:val="00A1567A"/>
    <w:rsid w:val="00A205A2"/>
    <w:rsid w:val="00A2101B"/>
    <w:rsid w:val="00A2263A"/>
    <w:rsid w:val="00A228E4"/>
    <w:rsid w:val="00A254AE"/>
    <w:rsid w:val="00A3031B"/>
    <w:rsid w:val="00A31AB9"/>
    <w:rsid w:val="00A402FE"/>
    <w:rsid w:val="00A4045A"/>
    <w:rsid w:val="00A406BC"/>
    <w:rsid w:val="00A418F2"/>
    <w:rsid w:val="00A477D1"/>
    <w:rsid w:val="00A503FD"/>
    <w:rsid w:val="00A51B79"/>
    <w:rsid w:val="00A524B5"/>
    <w:rsid w:val="00A60220"/>
    <w:rsid w:val="00A605B5"/>
    <w:rsid w:val="00A62B87"/>
    <w:rsid w:val="00A63E89"/>
    <w:rsid w:val="00A6430E"/>
    <w:rsid w:val="00A653BB"/>
    <w:rsid w:val="00A668E8"/>
    <w:rsid w:val="00A76A58"/>
    <w:rsid w:val="00A813F8"/>
    <w:rsid w:val="00A818CD"/>
    <w:rsid w:val="00A85142"/>
    <w:rsid w:val="00A85312"/>
    <w:rsid w:val="00A857B7"/>
    <w:rsid w:val="00A87E0F"/>
    <w:rsid w:val="00A91617"/>
    <w:rsid w:val="00A926B4"/>
    <w:rsid w:val="00A933DA"/>
    <w:rsid w:val="00A93F46"/>
    <w:rsid w:val="00A940C1"/>
    <w:rsid w:val="00A94CF2"/>
    <w:rsid w:val="00AA0653"/>
    <w:rsid w:val="00AA0B4C"/>
    <w:rsid w:val="00AA35C7"/>
    <w:rsid w:val="00AA3E5C"/>
    <w:rsid w:val="00AA5676"/>
    <w:rsid w:val="00AA5B48"/>
    <w:rsid w:val="00AB276E"/>
    <w:rsid w:val="00AB37C6"/>
    <w:rsid w:val="00AB4EEA"/>
    <w:rsid w:val="00AB5F90"/>
    <w:rsid w:val="00AC1A53"/>
    <w:rsid w:val="00AC384B"/>
    <w:rsid w:val="00AC3AC1"/>
    <w:rsid w:val="00AD0B65"/>
    <w:rsid w:val="00AD69CB"/>
    <w:rsid w:val="00AD6D2B"/>
    <w:rsid w:val="00AE01E8"/>
    <w:rsid w:val="00AE2E02"/>
    <w:rsid w:val="00AE58E5"/>
    <w:rsid w:val="00AF0CF1"/>
    <w:rsid w:val="00AF2C70"/>
    <w:rsid w:val="00AF3545"/>
    <w:rsid w:val="00AF6AC9"/>
    <w:rsid w:val="00B02931"/>
    <w:rsid w:val="00B048EE"/>
    <w:rsid w:val="00B05C27"/>
    <w:rsid w:val="00B06A9F"/>
    <w:rsid w:val="00B13229"/>
    <w:rsid w:val="00B14AFA"/>
    <w:rsid w:val="00B15BFA"/>
    <w:rsid w:val="00B15E45"/>
    <w:rsid w:val="00B20E5C"/>
    <w:rsid w:val="00B21ED4"/>
    <w:rsid w:val="00B24D65"/>
    <w:rsid w:val="00B3130F"/>
    <w:rsid w:val="00B3399A"/>
    <w:rsid w:val="00B348CF"/>
    <w:rsid w:val="00B37256"/>
    <w:rsid w:val="00B505CF"/>
    <w:rsid w:val="00B52D80"/>
    <w:rsid w:val="00B5379B"/>
    <w:rsid w:val="00B5677B"/>
    <w:rsid w:val="00B56C5A"/>
    <w:rsid w:val="00B64855"/>
    <w:rsid w:val="00B650A9"/>
    <w:rsid w:val="00B6696F"/>
    <w:rsid w:val="00B66CC6"/>
    <w:rsid w:val="00B70FB2"/>
    <w:rsid w:val="00B85F61"/>
    <w:rsid w:val="00B871CB"/>
    <w:rsid w:val="00B87752"/>
    <w:rsid w:val="00B93DDE"/>
    <w:rsid w:val="00BA120C"/>
    <w:rsid w:val="00BA1865"/>
    <w:rsid w:val="00BA2334"/>
    <w:rsid w:val="00BB06DA"/>
    <w:rsid w:val="00BC07D7"/>
    <w:rsid w:val="00BC357A"/>
    <w:rsid w:val="00BC3D6D"/>
    <w:rsid w:val="00BC4384"/>
    <w:rsid w:val="00BC7F87"/>
    <w:rsid w:val="00BD16C9"/>
    <w:rsid w:val="00BD40A0"/>
    <w:rsid w:val="00BD660A"/>
    <w:rsid w:val="00BD7FA4"/>
    <w:rsid w:val="00BE4001"/>
    <w:rsid w:val="00BE49F7"/>
    <w:rsid w:val="00BF0EC3"/>
    <w:rsid w:val="00BF5593"/>
    <w:rsid w:val="00C00A3A"/>
    <w:rsid w:val="00C0243B"/>
    <w:rsid w:val="00C042F2"/>
    <w:rsid w:val="00C1049A"/>
    <w:rsid w:val="00C107CE"/>
    <w:rsid w:val="00C10BE8"/>
    <w:rsid w:val="00C1183A"/>
    <w:rsid w:val="00C13DE3"/>
    <w:rsid w:val="00C14DC6"/>
    <w:rsid w:val="00C20DCE"/>
    <w:rsid w:val="00C279B8"/>
    <w:rsid w:val="00C3030B"/>
    <w:rsid w:val="00C336D2"/>
    <w:rsid w:val="00C34EC6"/>
    <w:rsid w:val="00C3711A"/>
    <w:rsid w:val="00C4536B"/>
    <w:rsid w:val="00C47F4E"/>
    <w:rsid w:val="00C510A4"/>
    <w:rsid w:val="00C5289B"/>
    <w:rsid w:val="00C6044B"/>
    <w:rsid w:val="00C60796"/>
    <w:rsid w:val="00C6219F"/>
    <w:rsid w:val="00C641E9"/>
    <w:rsid w:val="00C644F5"/>
    <w:rsid w:val="00C67261"/>
    <w:rsid w:val="00C7641A"/>
    <w:rsid w:val="00C80FAC"/>
    <w:rsid w:val="00C8302D"/>
    <w:rsid w:val="00C84DE2"/>
    <w:rsid w:val="00C86B99"/>
    <w:rsid w:val="00C87D58"/>
    <w:rsid w:val="00C87D6D"/>
    <w:rsid w:val="00C90744"/>
    <w:rsid w:val="00C92574"/>
    <w:rsid w:val="00C9718A"/>
    <w:rsid w:val="00CA0E8C"/>
    <w:rsid w:val="00CA13F9"/>
    <w:rsid w:val="00CA6149"/>
    <w:rsid w:val="00CA6D69"/>
    <w:rsid w:val="00CB241F"/>
    <w:rsid w:val="00CB61CE"/>
    <w:rsid w:val="00CB6BB7"/>
    <w:rsid w:val="00CC112A"/>
    <w:rsid w:val="00CC1802"/>
    <w:rsid w:val="00CD7E69"/>
    <w:rsid w:val="00CE146F"/>
    <w:rsid w:val="00CE298D"/>
    <w:rsid w:val="00CE6114"/>
    <w:rsid w:val="00CF0BD1"/>
    <w:rsid w:val="00CF2F2D"/>
    <w:rsid w:val="00CF62DE"/>
    <w:rsid w:val="00D01A21"/>
    <w:rsid w:val="00D01B68"/>
    <w:rsid w:val="00D20ECF"/>
    <w:rsid w:val="00D30ED0"/>
    <w:rsid w:val="00D40CC3"/>
    <w:rsid w:val="00D4509F"/>
    <w:rsid w:val="00D47BED"/>
    <w:rsid w:val="00D501D9"/>
    <w:rsid w:val="00D52ABC"/>
    <w:rsid w:val="00D535E6"/>
    <w:rsid w:val="00D6167E"/>
    <w:rsid w:val="00D67580"/>
    <w:rsid w:val="00D70054"/>
    <w:rsid w:val="00D73447"/>
    <w:rsid w:val="00D75418"/>
    <w:rsid w:val="00D76FA8"/>
    <w:rsid w:val="00D81274"/>
    <w:rsid w:val="00D90744"/>
    <w:rsid w:val="00D92E9F"/>
    <w:rsid w:val="00D934F2"/>
    <w:rsid w:val="00DA37E3"/>
    <w:rsid w:val="00DA39DA"/>
    <w:rsid w:val="00DA3E5E"/>
    <w:rsid w:val="00DA4EEE"/>
    <w:rsid w:val="00DA7651"/>
    <w:rsid w:val="00DB2FA1"/>
    <w:rsid w:val="00DB3C97"/>
    <w:rsid w:val="00DB5C0F"/>
    <w:rsid w:val="00DC4D27"/>
    <w:rsid w:val="00DC5127"/>
    <w:rsid w:val="00DC7B87"/>
    <w:rsid w:val="00DD44CA"/>
    <w:rsid w:val="00DD47E2"/>
    <w:rsid w:val="00DD6338"/>
    <w:rsid w:val="00DE0CAB"/>
    <w:rsid w:val="00DE18A3"/>
    <w:rsid w:val="00DE1B57"/>
    <w:rsid w:val="00DE4672"/>
    <w:rsid w:val="00DF4569"/>
    <w:rsid w:val="00DF61FC"/>
    <w:rsid w:val="00E00769"/>
    <w:rsid w:val="00E0597D"/>
    <w:rsid w:val="00E0685C"/>
    <w:rsid w:val="00E076C0"/>
    <w:rsid w:val="00E102EF"/>
    <w:rsid w:val="00E11599"/>
    <w:rsid w:val="00E21F98"/>
    <w:rsid w:val="00E231E9"/>
    <w:rsid w:val="00E24CC5"/>
    <w:rsid w:val="00E275C2"/>
    <w:rsid w:val="00E37B6C"/>
    <w:rsid w:val="00E413C6"/>
    <w:rsid w:val="00E41BB7"/>
    <w:rsid w:val="00E43DDB"/>
    <w:rsid w:val="00E44261"/>
    <w:rsid w:val="00E45544"/>
    <w:rsid w:val="00E55D00"/>
    <w:rsid w:val="00E56D8F"/>
    <w:rsid w:val="00E57D32"/>
    <w:rsid w:val="00E627AE"/>
    <w:rsid w:val="00E71DC0"/>
    <w:rsid w:val="00E72746"/>
    <w:rsid w:val="00E74099"/>
    <w:rsid w:val="00E751A1"/>
    <w:rsid w:val="00E75CE7"/>
    <w:rsid w:val="00E82E42"/>
    <w:rsid w:val="00E838E3"/>
    <w:rsid w:val="00E84720"/>
    <w:rsid w:val="00E8658B"/>
    <w:rsid w:val="00E87C00"/>
    <w:rsid w:val="00E93E97"/>
    <w:rsid w:val="00EA180F"/>
    <w:rsid w:val="00EA22BB"/>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4D0D"/>
    <w:rsid w:val="00ED5F5C"/>
    <w:rsid w:val="00ED67E0"/>
    <w:rsid w:val="00EE3F01"/>
    <w:rsid w:val="00EE6303"/>
    <w:rsid w:val="00EF2392"/>
    <w:rsid w:val="00F0539E"/>
    <w:rsid w:val="00F06729"/>
    <w:rsid w:val="00F06766"/>
    <w:rsid w:val="00F06A90"/>
    <w:rsid w:val="00F10244"/>
    <w:rsid w:val="00F118A0"/>
    <w:rsid w:val="00F11CC0"/>
    <w:rsid w:val="00F17CE2"/>
    <w:rsid w:val="00F20CFE"/>
    <w:rsid w:val="00F20E79"/>
    <w:rsid w:val="00F2255D"/>
    <w:rsid w:val="00F22D1A"/>
    <w:rsid w:val="00F24C41"/>
    <w:rsid w:val="00F33C17"/>
    <w:rsid w:val="00F35014"/>
    <w:rsid w:val="00F351EC"/>
    <w:rsid w:val="00F35776"/>
    <w:rsid w:val="00F3689D"/>
    <w:rsid w:val="00F37CFF"/>
    <w:rsid w:val="00F40CAE"/>
    <w:rsid w:val="00F41B74"/>
    <w:rsid w:val="00F43132"/>
    <w:rsid w:val="00F43733"/>
    <w:rsid w:val="00F45857"/>
    <w:rsid w:val="00F523D2"/>
    <w:rsid w:val="00F5468A"/>
    <w:rsid w:val="00F5623E"/>
    <w:rsid w:val="00F5711C"/>
    <w:rsid w:val="00F65D61"/>
    <w:rsid w:val="00F66474"/>
    <w:rsid w:val="00F722BB"/>
    <w:rsid w:val="00F72938"/>
    <w:rsid w:val="00F871C8"/>
    <w:rsid w:val="00F87D3E"/>
    <w:rsid w:val="00F9192C"/>
    <w:rsid w:val="00F925C5"/>
    <w:rsid w:val="00FA346F"/>
    <w:rsid w:val="00FA4FBB"/>
    <w:rsid w:val="00FA5F66"/>
    <w:rsid w:val="00FB0E64"/>
    <w:rsid w:val="00FB14B5"/>
    <w:rsid w:val="00FC0576"/>
    <w:rsid w:val="00FC3A08"/>
    <w:rsid w:val="00FC7AB5"/>
    <w:rsid w:val="00FD0099"/>
    <w:rsid w:val="00FD05D4"/>
    <w:rsid w:val="00FD3B0A"/>
    <w:rsid w:val="00FD4ABD"/>
    <w:rsid w:val="00FD6B67"/>
    <w:rsid w:val="00FE0024"/>
    <w:rsid w:val="00FE0474"/>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D602FE4"/>
  <w15:docId w15:val="{D44B3BAF-8DAB-47D5-882D-914FF590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FB0E64"/>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styleId="NoSpacing">
    <w:name w:val="No Spacing"/>
    <w:uiPriority w:val="1"/>
    <w:qFormat/>
    <w:rsid w:val="002F59FE"/>
    <w:rPr>
      <w:sz w:val="24"/>
      <w:szCs w:val="24"/>
      <w:lang w:eastAsia="en-US"/>
    </w:rPr>
  </w:style>
  <w:style w:type="paragraph" w:customStyle="1" w:styleId="bulletpoint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FB0E64"/>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784273731">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1457990393">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 w:id="209114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2.xml><?xml version="1.0" encoding="utf-8"?>
<ds:datastoreItem xmlns:ds="http://schemas.openxmlformats.org/officeDocument/2006/customXml" ds:itemID="{3AE28138-EAF0-40D6-8792-68EA7AC5E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4.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5.xml><?xml version="1.0" encoding="utf-8"?>
<ds:datastoreItem xmlns:ds="http://schemas.openxmlformats.org/officeDocument/2006/customXml" ds:itemID="{33FAC8C7-CDAC-4977-B305-F7D93706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3740</Words>
  <Characters>21319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25009</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Doc</dc:creator>
  <cp:keywords/>
  <dc:description/>
  <cp:lastModifiedBy>Brian Williams</cp:lastModifiedBy>
  <cp:revision>3</cp:revision>
  <cp:lastPrinted>2015-12-16T12:57:00Z</cp:lastPrinted>
  <dcterms:created xsi:type="dcterms:W3CDTF">2016-06-23T12:31:00Z</dcterms:created>
  <dcterms:modified xsi:type="dcterms:W3CDTF">2016-06-23T12:32:00Z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