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D7" w:rsidRDefault="008669D7">
      <w:pPr>
        <w:pStyle w:val="TOC1"/>
      </w:pPr>
      <w:r>
        <w:t>D</w:t>
      </w:r>
      <w:bookmarkStart w:id="0" w:name="_Ref154201631"/>
      <w:bookmarkEnd w:id="0"/>
      <w:r>
        <w:t>ATE</w:t>
      </w:r>
      <w:r>
        <w:tab/>
      </w:r>
      <w:r>
        <w:tab/>
        <w:t xml:space="preserve">                                                                    </w:t>
      </w:r>
      <w:r w:rsidR="00555A7A">
        <w:t xml:space="preserve">                             20</w:t>
      </w:r>
    </w:p>
    <w:p w:rsidR="008669D7" w:rsidRDefault="008669D7"/>
    <w:p w:rsidR="008669D7" w:rsidRDefault="008669D7">
      <w:pPr>
        <w:rPr>
          <w:sz w:val="32"/>
        </w:rPr>
      </w:pPr>
    </w:p>
    <w:p w:rsidR="002C0989" w:rsidRDefault="002C0989">
      <w:pPr>
        <w:rPr>
          <w:sz w:val="32"/>
        </w:rPr>
      </w:pPr>
    </w:p>
    <w:p w:rsidR="008669D7" w:rsidRPr="002C0989" w:rsidRDefault="002C0989">
      <w:pPr>
        <w:jc w:val="center"/>
        <w:rPr>
          <w:b/>
          <w:sz w:val="32"/>
        </w:rPr>
      </w:pPr>
      <w:r w:rsidRPr="002C0989">
        <w:rPr>
          <w:b/>
          <w:sz w:val="32"/>
        </w:rPr>
        <w:t>WINCHESTER CITY COUNCIL</w:t>
      </w:r>
    </w:p>
    <w:p w:rsidR="002C0989" w:rsidRPr="002C0989" w:rsidRDefault="002C0989">
      <w:pPr>
        <w:jc w:val="center"/>
        <w:rPr>
          <w:b/>
          <w:sz w:val="32"/>
        </w:rPr>
      </w:pPr>
      <w:r w:rsidRPr="002C0989">
        <w:rPr>
          <w:b/>
          <w:sz w:val="32"/>
        </w:rPr>
        <w:t>-and-</w:t>
      </w:r>
    </w:p>
    <w:p w:rsidR="008669D7" w:rsidRPr="002C0989" w:rsidRDefault="008669D7">
      <w:pPr>
        <w:jc w:val="center"/>
        <w:rPr>
          <w:b/>
          <w:sz w:val="32"/>
        </w:rPr>
      </w:pPr>
      <w:r w:rsidRPr="002C0989">
        <w:rPr>
          <w:b/>
          <w:sz w:val="32"/>
        </w:rPr>
        <w:t>[</w:t>
      </w:r>
      <w:r w:rsidR="002C0989" w:rsidRPr="002C0989">
        <w:rPr>
          <w:b/>
          <w:sz w:val="32"/>
        </w:rPr>
        <w:t>CONSULTANT</w:t>
      </w:r>
      <w:r w:rsidRPr="002C0989">
        <w:rPr>
          <w:b/>
          <w:sz w:val="32"/>
        </w:rPr>
        <w:t>]</w:t>
      </w:r>
    </w:p>
    <w:p w:rsidR="002C0989" w:rsidRPr="002C0989" w:rsidRDefault="002C0989">
      <w:pPr>
        <w:jc w:val="center"/>
        <w:rPr>
          <w:b/>
          <w:sz w:val="32"/>
        </w:rPr>
      </w:pPr>
      <w:r w:rsidRPr="002C0989">
        <w:rPr>
          <w:b/>
          <w:sz w:val="32"/>
        </w:rPr>
        <w:t>-and-</w:t>
      </w:r>
    </w:p>
    <w:p w:rsidR="008669D7" w:rsidRPr="002C0989" w:rsidRDefault="008669D7">
      <w:pPr>
        <w:jc w:val="center"/>
        <w:rPr>
          <w:b/>
          <w:sz w:val="32"/>
        </w:rPr>
      </w:pPr>
      <w:r w:rsidRPr="002C0989">
        <w:rPr>
          <w:b/>
          <w:sz w:val="32"/>
        </w:rPr>
        <w:t>[</w:t>
      </w:r>
      <w:r w:rsidR="000A188C">
        <w:rPr>
          <w:b/>
          <w:sz w:val="32"/>
        </w:rPr>
        <w:t>INCOMING PARTY</w:t>
      </w:r>
      <w:r w:rsidRPr="002C0989">
        <w:rPr>
          <w:b/>
          <w:sz w:val="32"/>
        </w:rPr>
        <w:t>]</w:t>
      </w:r>
    </w:p>
    <w:p w:rsidR="008669D7" w:rsidRPr="002C0989" w:rsidRDefault="008669D7">
      <w:pPr>
        <w:rPr>
          <w:b/>
        </w:rPr>
      </w:pPr>
    </w:p>
    <w:p w:rsidR="008669D7" w:rsidRDefault="008669D7"/>
    <w:p w:rsidR="008669D7" w:rsidRDefault="008669D7"/>
    <w:p w:rsidR="008669D7" w:rsidRDefault="008669D7"/>
    <w:p w:rsidR="008669D7" w:rsidRDefault="008669D7"/>
    <w:p w:rsidR="008669D7" w:rsidRDefault="008669D7">
      <w:pPr>
        <w:pStyle w:val="Heading1"/>
        <w:spacing w:after="0" w:line="240" w:lineRule="auto"/>
      </w:pPr>
    </w:p>
    <w:p w:rsidR="008669D7" w:rsidRDefault="008669D7">
      <w:pPr>
        <w:pStyle w:val="Heading1"/>
        <w:spacing w:after="0" w:line="240" w:lineRule="auto"/>
        <w:rPr>
          <w:sz w:val="40"/>
        </w:rPr>
      </w:pPr>
      <w:r>
        <w:rPr>
          <w:sz w:val="40"/>
        </w:rPr>
        <w:t xml:space="preserve">Deed of Novation </w:t>
      </w:r>
    </w:p>
    <w:p w:rsidR="008669D7" w:rsidRDefault="008669D7">
      <w:pPr>
        <w:spacing w:after="0" w:line="240" w:lineRule="auto"/>
        <w:jc w:val="center"/>
        <w:rPr>
          <w:b/>
          <w:bCs/>
        </w:rPr>
      </w:pPr>
    </w:p>
    <w:p w:rsidR="008669D7" w:rsidRDefault="008669D7">
      <w:pPr>
        <w:spacing w:after="0" w:line="240" w:lineRule="auto"/>
        <w:jc w:val="center"/>
        <w:rPr>
          <w:b/>
          <w:bCs/>
        </w:rPr>
      </w:pPr>
    </w:p>
    <w:p w:rsidR="008669D7" w:rsidRDefault="008669D7"/>
    <w:p w:rsidR="008669D7" w:rsidRDefault="008669D7"/>
    <w:p w:rsidR="00555A7A" w:rsidRDefault="00555A7A"/>
    <w:p w:rsidR="00555A7A" w:rsidRDefault="00555A7A"/>
    <w:p w:rsidR="00555A7A" w:rsidRDefault="00555A7A"/>
    <w:p w:rsidR="008669D7" w:rsidRDefault="008669D7"/>
    <w:p w:rsidR="008669D7" w:rsidRDefault="008669D7">
      <w:pPr>
        <w:spacing w:after="0"/>
        <w:jc w:val="center"/>
      </w:pPr>
      <w:r>
        <w:t>Anthony Collins Solicitors LLP</w:t>
      </w:r>
    </w:p>
    <w:p w:rsidR="008669D7" w:rsidRDefault="00BB76A2">
      <w:pPr>
        <w:spacing w:after="0"/>
        <w:jc w:val="center"/>
      </w:pPr>
      <w:hyperlink r:id="rId8" w:history="1">
        <w:r w:rsidR="00555A7A" w:rsidRPr="00F0606E">
          <w:rPr>
            <w:rStyle w:val="Hyperlink"/>
          </w:rPr>
          <w:t>www.anthonycollins.com</w:t>
        </w:r>
      </w:hyperlink>
    </w:p>
    <w:p w:rsidR="008669D7" w:rsidRDefault="008669D7">
      <w:pPr>
        <w:spacing w:after="0"/>
        <w:jc w:val="center"/>
      </w:pPr>
      <w:r>
        <w:t>Ref:</w:t>
      </w:r>
      <w:r w:rsidR="002C0989">
        <w:t xml:space="preserve"> 45410.0001</w:t>
      </w:r>
    </w:p>
    <w:p w:rsidR="008669D7" w:rsidRDefault="008669D7">
      <w:r>
        <w:t xml:space="preserve"> </w:t>
      </w:r>
    </w:p>
    <w:p w:rsidR="008669D7" w:rsidRDefault="008669D7">
      <w:pPr>
        <w:sectPr w:rsidR="008669D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pgNumType w:start="1"/>
          <w:cols w:space="708"/>
          <w:titlePg/>
          <w:docGrid w:linePitch="360"/>
        </w:sectPr>
      </w:pPr>
    </w:p>
    <w:p w:rsidR="008669D7" w:rsidRDefault="008669D7">
      <w:pPr>
        <w:jc w:val="left"/>
      </w:pPr>
      <w:r>
        <w:rPr>
          <w:b/>
          <w:bCs/>
          <w:sz w:val="26"/>
        </w:rPr>
        <w:lastRenderedPageBreak/>
        <w:t>DEED OF NOVATION</w:t>
      </w:r>
      <w:r>
        <w:t xml:space="preserve"> (“</w:t>
      </w:r>
      <w:r>
        <w:rPr>
          <w:b/>
          <w:bCs/>
        </w:rPr>
        <w:t>this Deed</w:t>
      </w:r>
      <w:r>
        <w:t xml:space="preserve">”) dated                                                       </w:t>
      </w:r>
      <w:r>
        <w:rPr>
          <w:b/>
          <w:bCs/>
        </w:rPr>
        <w:t>20</w:t>
      </w:r>
    </w:p>
    <w:p w:rsidR="008669D7" w:rsidRDefault="008669D7"/>
    <w:p w:rsidR="008669D7" w:rsidRDefault="008669D7">
      <w:pPr>
        <w:pStyle w:val="Heading2"/>
        <w:rPr>
          <w:sz w:val="26"/>
        </w:rPr>
      </w:pPr>
      <w:r>
        <w:rPr>
          <w:sz w:val="26"/>
        </w:rPr>
        <w:t>PARTIES</w:t>
      </w:r>
    </w:p>
    <w:p w:rsidR="008669D7" w:rsidRDefault="008669D7"/>
    <w:p w:rsidR="008669D7" w:rsidRDefault="008669D7">
      <w:pPr>
        <w:ind w:left="720" w:hanging="720"/>
      </w:pPr>
      <w:r>
        <w:t>(1)</w:t>
      </w:r>
      <w:r>
        <w:tab/>
      </w:r>
      <w:r w:rsidR="002C0989" w:rsidRPr="002C0989">
        <w:rPr>
          <w:b/>
        </w:rPr>
        <w:t>WINCHESTER CITY COUNCIL</w:t>
      </w:r>
      <w:r w:rsidR="002C0989">
        <w:t xml:space="preserve"> </w:t>
      </w:r>
      <w:r>
        <w:t xml:space="preserve">whose </w:t>
      </w:r>
      <w:r w:rsidR="002C0989">
        <w:t>principal place of business</w:t>
      </w:r>
      <w:r>
        <w:t xml:space="preserve"> is at </w:t>
      </w:r>
      <w:r w:rsidR="002C0989" w:rsidRPr="00123D11">
        <w:t>City Offices, Colebrook Street, Winchester, Hants, SO23 9LJ</w:t>
      </w:r>
      <w:r>
        <w:t xml:space="preserve"> (“the Employer”)</w:t>
      </w:r>
      <w:r w:rsidR="00331D87">
        <w:t>;</w:t>
      </w:r>
    </w:p>
    <w:p w:rsidR="008669D7" w:rsidRDefault="008669D7">
      <w:pPr>
        <w:ind w:left="720" w:hanging="720"/>
      </w:pPr>
      <w:r>
        <w:t>(2)</w:t>
      </w:r>
      <w:r>
        <w:tab/>
      </w:r>
      <w:r>
        <w:rPr>
          <w:b/>
          <w:bCs/>
        </w:rPr>
        <w:t>[THE CONSULTANT]</w:t>
      </w:r>
      <w:r>
        <w:t xml:space="preserve"> (Company Number [          ]) whose registered office is at [                    ] (“the Consultant”)</w:t>
      </w:r>
      <w:r w:rsidR="00331D87">
        <w:t>; and</w:t>
      </w:r>
    </w:p>
    <w:p w:rsidR="008669D7" w:rsidRDefault="008669D7">
      <w:pPr>
        <w:ind w:left="720" w:hanging="720"/>
      </w:pPr>
      <w:r>
        <w:t>(3)</w:t>
      </w:r>
      <w:r>
        <w:tab/>
      </w:r>
      <w:r>
        <w:rPr>
          <w:b/>
          <w:bCs/>
        </w:rPr>
        <w:t>[</w:t>
      </w:r>
      <w:r w:rsidR="000A188C">
        <w:rPr>
          <w:b/>
          <w:bCs/>
        </w:rPr>
        <w:t>INCOMING PARTY</w:t>
      </w:r>
      <w:r>
        <w:rPr>
          <w:b/>
          <w:bCs/>
        </w:rPr>
        <w:t>]</w:t>
      </w:r>
      <w:r>
        <w:t xml:space="preserve"> (Company Number [          ]) whose registered office is at [                    ] (“the </w:t>
      </w:r>
      <w:r w:rsidR="000A188C">
        <w:t>Incoming Party</w:t>
      </w:r>
      <w:r>
        <w:t>”)</w:t>
      </w:r>
      <w:r w:rsidR="00331D87">
        <w:t>.</w:t>
      </w:r>
    </w:p>
    <w:p w:rsidR="007C7F23" w:rsidRDefault="007C7F23" w:rsidP="007C7F23">
      <w:pPr>
        <w:rPr>
          <w:b/>
          <w:sz w:val="26"/>
          <w:szCs w:val="26"/>
        </w:rPr>
      </w:pPr>
    </w:p>
    <w:p w:rsidR="007C7F23" w:rsidRDefault="007C7F23" w:rsidP="007C7F23">
      <w:r w:rsidRPr="002F72EF">
        <w:rPr>
          <w:b/>
          <w:sz w:val="26"/>
          <w:szCs w:val="26"/>
        </w:rPr>
        <w:t>SUPPLEMENTAL</w:t>
      </w:r>
      <w:r>
        <w:rPr>
          <w:b/>
          <w:sz w:val="26"/>
          <w:szCs w:val="26"/>
        </w:rPr>
        <w:t xml:space="preserve"> TO</w:t>
      </w:r>
      <w:r>
        <w:t xml:space="preserve"> an Appointment dated [     ] and made between the Employer and the Consultant.</w:t>
      </w:r>
    </w:p>
    <w:p w:rsidR="007C7F23" w:rsidRDefault="007C7F23" w:rsidP="007C7F23"/>
    <w:p w:rsidR="008669D7" w:rsidRDefault="008669D7">
      <w:pPr>
        <w:pStyle w:val="Heading2"/>
        <w:rPr>
          <w:sz w:val="26"/>
        </w:rPr>
      </w:pPr>
      <w:r>
        <w:rPr>
          <w:sz w:val="26"/>
        </w:rPr>
        <w:t xml:space="preserve">INTRODUCTION </w:t>
      </w:r>
    </w:p>
    <w:p w:rsidR="008669D7" w:rsidRDefault="007C7F23">
      <w:pPr>
        <w:numPr>
          <w:ilvl w:val="0"/>
          <w:numId w:val="15"/>
        </w:numPr>
        <w:tabs>
          <w:tab w:val="left" w:pos="0"/>
          <w:tab w:val="left" w:pos="4962"/>
          <w:tab w:val="left" w:pos="7344"/>
        </w:tabs>
        <w:rPr>
          <w:rFonts w:cs="Arial"/>
          <w:spacing w:val="2"/>
        </w:rPr>
      </w:pPr>
      <w:r>
        <w:rPr>
          <w:rFonts w:cs="Arial"/>
          <w:spacing w:val="2"/>
        </w:rPr>
        <w:t>Under the Appointment t</w:t>
      </w:r>
      <w:r w:rsidR="008669D7">
        <w:rPr>
          <w:rFonts w:cs="Arial"/>
          <w:spacing w:val="2"/>
        </w:rPr>
        <w:t xml:space="preserve">he Employer has appointed the Consultant to provide </w:t>
      </w:r>
      <w:r>
        <w:rPr>
          <w:rFonts w:cs="Arial"/>
          <w:spacing w:val="2"/>
        </w:rPr>
        <w:t>architectural</w:t>
      </w:r>
      <w:r w:rsidR="008669D7">
        <w:rPr>
          <w:rFonts w:cs="Arial"/>
          <w:spacing w:val="2"/>
        </w:rPr>
        <w:t xml:space="preserve"> </w:t>
      </w:r>
      <w:r w:rsidR="002C0989">
        <w:rPr>
          <w:rFonts w:cs="Arial"/>
          <w:spacing w:val="2"/>
        </w:rPr>
        <w:t xml:space="preserve">and other </w:t>
      </w:r>
      <w:r w:rsidR="008669D7">
        <w:rPr>
          <w:rFonts w:cs="Arial"/>
          <w:spacing w:val="2"/>
        </w:rPr>
        <w:t>services (“the Services”).</w:t>
      </w:r>
    </w:p>
    <w:p w:rsidR="008669D7" w:rsidRDefault="000A188C">
      <w:pPr>
        <w:numPr>
          <w:ilvl w:val="0"/>
          <w:numId w:val="15"/>
        </w:numPr>
        <w:tabs>
          <w:tab w:val="left" w:pos="0"/>
          <w:tab w:val="left" w:pos="4962"/>
          <w:tab w:val="left" w:pos="7344"/>
        </w:tabs>
        <w:rPr>
          <w:rFonts w:cs="Arial"/>
          <w:spacing w:val="2"/>
        </w:rPr>
      </w:pPr>
      <w:r>
        <w:rPr>
          <w:rFonts w:cs="Arial"/>
          <w:spacing w:val="2"/>
        </w:rPr>
        <w:t>[</w:t>
      </w:r>
      <w:r w:rsidR="00331D87">
        <w:rPr>
          <w:rFonts w:cs="Arial"/>
          <w:spacing w:val="2"/>
        </w:rPr>
        <w:t>Insert interest of the Incoming Party.</w:t>
      </w:r>
      <w:bookmarkStart w:id="1" w:name="_GoBack"/>
      <w:bookmarkEnd w:id="1"/>
      <w:r>
        <w:rPr>
          <w:rFonts w:cs="Arial"/>
          <w:spacing w:val="2"/>
        </w:rPr>
        <w:t>]</w:t>
      </w:r>
    </w:p>
    <w:p w:rsidR="008669D7" w:rsidRDefault="008669D7">
      <w:pPr>
        <w:numPr>
          <w:ilvl w:val="0"/>
          <w:numId w:val="15"/>
        </w:numPr>
        <w:tabs>
          <w:tab w:val="left" w:pos="0"/>
          <w:tab w:val="left" w:pos="4962"/>
          <w:tab w:val="left" w:pos="7344"/>
        </w:tabs>
        <w:rPr>
          <w:rFonts w:cs="Arial"/>
          <w:spacing w:val="2"/>
        </w:rPr>
      </w:pPr>
      <w:r>
        <w:rPr>
          <w:rFonts w:cs="Arial"/>
          <w:spacing w:val="2"/>
        </w:rPr>
        <w:t xml:space="preserve">The Employer, Consultant and </w:t>
      </w:r>
      <w:r w:rsidR="000A188C">
        <w:rPr>
          <w:rFonts w:cs="Arial"/>
          <w:spacing w:val="2"/>
        </w:rPr>
        <w:t>the Incoming Party</w:t>
      </w:r>
      <w:r>
        <w:rPr>
          <w:rFonts w:cs="Arial"/>
          <w:spacing w:val="2"/>
        </w:rPr>
        <w:t xml:space="preserve"> have agreed that:</w:t>
      </w:r>
    </w:p>
    <w:p w:rsidR="008669D7" w:rsidRDefault="008669D7">
      <w:pPr>
        <w:numPr>
          <w:ilvl w:val="0"/>
          <w:numId w:val="16"/>
        </w:numPr>
        <w:tabs>
          <w:tab w:val="left" w:pos="0"/>
          <w:tab w:val="left" w:pos="4962"/>
          <w:tab w:val="left" w:pos="7344"/>
        </w:tabs>
        <w:rPr>
          <w:rFonts w:cs="Arial"/>
          <w:spacing w:val="2"/>
        </w:rPr>
      </w:pPr>
      <w:r>
        <w:rPr>
          <w:rFonts w:cs="Arial"/>
          <w:spacing w:val="2"/>
        </w:rPr>
        <w:t xml:space="preserve">the </w:t>
      </w:r>
      <w:r w:rsidR="000A188C">
        <w:rPr>
          <w:rFonts w:cs="Arial"/>
          <w:spacing w:val="2"/>
        </w:rPr>
        <w:t>Incoming Party</w:t>
      </w:r>
      <w:r>
        <w:rPr>
          <w:rFonts w:cs="Arial"/>
          <w:spacing w:val="2"/>
        </w:rPr>
        <w:t xml:space="preserve"> shall assume the obligations of the Employer;</w:t>
      </w:r>
    </w:p>
    <w:p w:rsidR="008669D7" w:rsidRDefault="008669D7">
      <w:pPr>
        <w:numPr>
          <w:ilvl w:val="0"/>
          <w:numId w:val="16"/>
        </w:numPr>
        <w:tabs>
          <w:tab w:val="left" w:pos="0"/>
          <w:tab w:val="left" w:pos="4962"/>
          <w:tab w:val="left" w:pos="7344"/>
        </w:tabs>
        <w:rPr>
          <w:rFonts w:cs="Arial"/>
          <w:spacing w:val="2"/>
        </w:rPr>
      </w:pPr>
      <w:r>
        <w:rPr>
          <w:rFonts w:cs="Arial"/>
          <w:spacing w:val="2"/>
        </w:rPr>
        <w:t xml:space="preserve">the Consultant shall perform its obligations under the Appointment in favour of the </w:t>
      </w:r>
      <w:r w:rsidR="000A188C">
        <w:rPr>
          <w:rFonts w:cs="Arial"/>
          <w:spacing w:val="2"/>
        </w:rPr>
        <w:t>Incoming Party</w:t>
      </w:r>
      <w:r>
        <w:rPr>
          <w:rFonts w:cs="Arial"/>
          <w:spacing w:val="2"/>
        </w:rPr>
        <w:t>; and</w:t>
      </w:r>
    </w:p>
    <w:p w:rsidR="008669D7" w:rsidRDefault="008669D7">
      <w:pPr>
        <w:numPr>
          <w:ilvl w:val="0"/>
          <w:numId w:val="16"/>
        </w:numPr>
        <w:tabs>
          <w:tab w:val="left" w:pos="0"/>
          <w:tab w:val="left" w:pos="4962"/>
          <w:tab w:val="left" w:pos="7344"/>
        </w:tabs>
        <w:spacing w:after="240"/>
        <w:ind w:left="986" w:hanging="357"/>
        <w:rPr>
          <w:rFonts w:cs="Arial"/>
          <w:spacing w:val="2"/>
        </w:rPr>
      </w:pPr>
      <w:r>
        <w:rPr>
          <w:rFonts w:cs="Arial"/>
          <w:spacing w:val="2"/>
        </w:rPr>
        <w:t>the Employer and the Consultant shall each release the other from any obligations owed by the other to them under the Appointment</w:t>
      </w:r>
      <w:r w:rsidR="007C7F23">
        <w:rPr>
          <w:rFonts w:cs="Arial"/>
          <w:spacing w:val="2"/>
        </w:rPr>
        <w:t xml:space="preserve"> except as provided in this Deed</w:t>
      </w:r>
      <w:r>
        <w:rPr>
          <w:rFonts w:cs="Arial"/>
          <w:spacing w:val="2"/>
        </w:rPr>
        <w:t>.</w:t>
      </w:r>
    </w:p>
    <w:p w:rsidR="00331D87" w:rsidRDefault="00331D87" w:rsidP="00331D87">
      <w:pPr>
        <w:tabs>
          <w:tab w:val="left" w:pos="0"/>
          <w:tab w:val="left" w:pos="4962"/>
          <w:tab w:val="left" w:pos="7344"/>
        </w:tabs>
        <w:spacing w:after="240"/>
        <w:ind w:left="986"/>
        <w:rPr>
          <w:rFonts w:cs="Arial"/>
          <w:spacing w:val="2"/>
        </w:rPr>
      </w:pPr>
    </w:p>
    <w:p w:rsidR="008669D7" w:rsidRDefault="008669D7">
      <w:pPr>
        <w:pStyle w:val="Heading2"/>
        <w:rPr>
          <w:sz w:val="26"/>
        </w:rPr>
      </w:pPr>
      <w:r>
        <w:rPr>
          <w:sz w:val="26"/>
        </w:rPr>
        <w:lastRenderedPageBreak/>
        <w:t>IT IS AGREED THAT:</w:t>
      </w:r>
    </w:p>
    <w:p w:rsidR="008669D7" w:rsidRDefault="008669D7" w:rsidP="00A27579">
      <w:pPr>
        <w:pStyle w:val="Legal1"/>
      </w:pPr>
      <w:bookmarkStart w:id="2" w:name="_Toc155163905"/>
      <w:r>
        <w:t>DEFINITIONS</w:t>
      </w:r>
      <w:bookmarkEnd w:id="2"/>
    </w:p>
    <w:p w:rsidR="008669D7" w:rsidRDefault="00A27579">
      <w:pPr>
        <w:pStyle w:val="Legal2"/>
      </w:pPr>
      <w:r>
        <w:t>I</w:t>
      </w:r>
      <w:bookmarkStart w:id="3" w:name="_Ref154219798"/>
      <w:r w:rsidR="008669D7">
        <w:t>n this Deed the following words have the following meanings:</w:t>
      </w:r>
      <w:bookmarkEnd w:id="3"/>
    </w:p>
    <w:tbl>
      <w:tblPr>
        <w:tblW w:w="0" w:type="auto"/>
        <w:tblInd w:w="1548" w:type="dxa"/>
        <w:tblLook w:val="0000" w:firstRow="0" w:lastRow="0" w:firstColumn="0" w:lastColumn="0" w:noHBand="0" w:noVBand="0"/>
      </w:tblPr>
      <w:tblGrid>
        <w:gridCol w:w="3073"/>
        <w:gridCol w:w="3901"/>
      </w:tblGrid>
      <w:tr w:rsidR="008669D7">
        <w:tc>
          <w:tcPr>
            <w:tcW w:w="3073" w:type="dxa"/>
          </w:tcPr>
          <w:p w:rsidR="008669D7" w:rsidRDefault="008669D7">
            <w:pPr>
              <w:pStyle w:val="Legal2"/>
              <w:numPr>
                <w:ilvl w:val="0"/>
                <w:numId w:val="0"/>
              </w:numPr>
            </w:pPr>
            <w:r>
              <w:rPr>
                <w:b/>
                <w:bCs/>
              </w:rPr>
              <w:t>“Appointment</w:t>
            </w:r>
            <w:r>
              <w:t>”</w:t>
            </w:r>
          </w:p>
        </w:tc>
        <w:tc>
          <w:tcPr>
            <w:tcW w:w="3901" w:type="dxa"/>
          </w:tcPr>
          <w:p w:rsidR="008669D7" w:rsidRDefault="008669D7">
            <w:pPr>
              <w:pStyle w:val="Legal2"/>
              <w:numPr>
                <w:ilvl w:val="0"/>
                <w:numId w:val="0"/>
              </w:numPr>
            </w:pPr>
            <w:r>
              <w:t>means the appointment referred to in Paragraph (A) of the Introduction;</w:t>
            </w:r>
          </w:p>
        </w:tc>
      </w:tr>
      <w:tr w:rsidR="008669D7">
        <w:tc>
          <w:tcPr>
            <w:tcW w:w="3073" w:type="dxa"/>
          </w:tcPr>
          <w:p w:rsidR="008669D7" w:rsidRDefault="008669D7">
            <w:pPr>
              <w:pStyle w:val="Legal2"/>
              <w:numPr>
                <w:ilvl w:val="0"/>
                <w:numId w:val="0"/>
              </w:numPr>
            </w:pPr>
            <w:r>
              <w:t>“</w:t>
            </w:r>
            <w:r>
              <w:rPr>
                <w:b/>
                <w:bCs/>
              </w:rPr>
              <w:t>Parties</w:t>
            </w:r>
            <w:r>
              <w:t>”</w:t>
            </w:r>
          </w:p>
        </w:tc>
        <w:tc>
          <w:tcPr>
            <w:tcW w:w="3901" w:type="dxa"/>
          </w:tcPr>
          <w:p w:rsidR="008669D7" w:rsidRDefault="008669D7">
            <w:pPr>
              <w:pStyle w:val="Legal2"/>
              <w:numPr>
                <w:ilvl w:val="0"/>
                <w:numId w:val="0"/>
              </w:numPr>
            </w:pPr>
            <w:r>
              <w:t>means the parties to this Deed; and</w:t>
            </w:r>
          </w:p>
        </w:tc>
      </w:tr>
      <w:tr w:rsidR="008669D7">
        <w:tc>
          <w:tcPr>
            <w:tcW w:w="3073" w:type="dxa"/>
          </w:tcPr>
          <w:p w:rsidR="008669D7" w:rsidRDefault="008669D7">
            <w:pPr>
              <w:pStyle w:val="Legal2"/>
              <w:numPr>
                <w:ilvl w:val="0"/>
                <w:numId w:val="0"/>
              </w:numPr>
              <w:rPr>
                <w:b/>
                <w:bCs/>
              </w:rPr>
            </w:pPr>
            <w:r>
              <w:rPr>
                <w:b/>
                <w:bCs/>
              </w:rPr>
              <w:t>“the Services”</w:t>
            </w:r>
          </w:p>
        </w:tc>
        <w:tc>
          <w:tcPr>
            <w:tcW w:w="3901" w:type="dxa"/>
          </w:tcPr>
          <w:p w:rsidR="008669D7" w:rsidRDefault="008669D7">
            <w:pPr>
              <w:pStyle w:val="Legal2"/>
              <w:numPr>
                <w:ilvl w:val="0"/>
                <w:numId w:val="0"/>
              </w:numPr>
            </w:pPr>
            <w:r>
              <w:t>means the services the Consultant is to provide under the Appointment.</w:t>
            </w:r>
          </w:p>
        </w:tc>
      </w:tr>
    </w:tbl>
    <w:p w:rsidR="008669D7" w:rsidRDefault="008669D7">
      <w:pPr>
        <w:tabs>
          <w:tab w:val="left" w:pos="1440"/>
        </w:tabs>
        <w:ind w:left="2340" w:hanging="1620"/>
      </w:pPr>
      <w:r>
        <w:tab/>
        <w:t xml:space="preserve"> </w:t>
      </w:r>
    </w:p>
    <w:p w:rsidR="008669D7" w:rsidRDefault="008669D7" w:rsidP="00A27579">
      <w:pPr>
        <w:pStyle w:val="Legal2"/>
        <w:spacing w:after="0"/>
      </w:pPr>
      <w:r>
        <w:tab/>
        <w:t>In this Deed:</w:t>
      </w:r>
    </w:p>
    <w:p w:rsidR="008669D7" w:rsidRDefault="008669D7">
      <w:pPr>
        <w:pStyle w:val="Legal3"/>
        <w:numPr>
          <w:ilvl w:val="2"/>
          <w:numId w:val="7"/>
        </w:numPr>
        <w:spacing w:after="0"/>
      </w:pPr>
      <w:r>
        <w:t>references to Clauses are (unless stated otherwise) references to clauses of this Deed and to Paragraphs are to paragraphs of the Introduction to it;</w:t>
      </w:r>
    </w:p>
    <w:p w:rsidR="008669D7" w:rsidRDefault="008669D7">
      <w:pPr>
        <w:pStyle w:val="Legal3"/>
        <w:numPr>
          <w:ilvl w:val="2"/>
          <w:numId w:val="7"/>
        </w:numPr>
        <w:spacing w:after="0"/>
      </w:pPr>
      <w:r>
        <w:t>the headings and references to them are not to affect its interpretation; and</w:t>
      </w:r>
    </w:p>
    <w:p w:rsidR="008669D7" w:rsidRDefault="008669D7">
      <w:pPr>
        <w:pStyle w:val="Legal3"/>
        <w:numPr>
          <w:ilvl w:val="2"/>
          <w:numId w:val="7"/>
        </w:numPr>
        <w:spacing w:after="0"/>
        <w:rPr>
          <w:rFonts w:cs="Arial"/>
        </w:rPr>
      </w:pPr>
      <w:r>
        <w:t>references to any document are (unless specified) references to such document as amended or supplemented from time to time.</w:t>
      </w:r>
    </w:p>
    <w:p w:rsidR="008669D7" w:rsidRDefault="008669D7">
      <w:pPr>
        <w:pStyle w:val="Legal2"/>
        <w:numPr>
          <w:ilvl w:val="0"/>
          <w:numId w:val="0"/>
        </w:numPr>
        <w:spacing w:after="0"/>
        <w:ind w:left="1440"/>
      </w:pPr>
    </w:p>
    <w:p w:rsidR="008669D7" w:rsidRDefault="008669D7" w:rsidP="00A27579">
      <w:pPr>
        <w:pStyle w:val="Legal1"/>
      </w:pPr>
      <w:bookmarkStart w:id="4" w:name="_Toc155163906"/>
      <w:r>
        <w:t>NOVATION</w:t>
      </w:r>
      <w:bookmarkEnd w:id="4"/>
    </w:p>
    <w:p w:rsidR="002E0168" w:rsidRDefault="00A27579" w:rsidP="002E0168">
      <w:pPr>
        <w:pStyle w:val="Legal2"/>
        <w:spacing w:after="0"/>
      </w:pPr>
      <w:r>
        <w:t>S</w:t>
      </w:r>
      <w:r w:rsidR="008669D7">
        <w:t>ubject to receiving an executed collateral warranty from the Consultant in favour of the Employer in accordance with the Appointment, the Employer releases and discharges the Consultant from all obligations and liabilities owed to the Employer under the A</w:t>
      </w:r>
      <w:r w:rsidR="002E0168">
        <w:t>ppointment.</w:t>
      </w:r>
    </w:p>
    <w:p w:rsidR="00A27579" w:rsidRDefault="00A27579" w:rsidP="00A27579">
      <w:pPr>
        <w:pStyle w:val="Legal3"/>
        <w:numPr>
          <w:ilvl w:val="0"/>
          <w:numId w:val="0"/>
        </w:numPr>
        <w:spacing w:after="0"/>
        <w:ind w:left="1134"/>
      </w:pPr>
    </w:p>
    <w:p w:rsidR="008669D7" w:rsidRDefault="00A27579">
      <w:pPr>
        <w:pStyle w:val="Legal2"/>
      </w:pPr>
      <w:r>
        <w:t>T</w:t>
      </w:r>
      <w:r w:rsidR="008669D7">
        <w:t xml:space="preserve">he Consultant undertakes </w:t>
      </w:r>
      <w:r>
        <w:t xml:space="preserve">to the </w:t>
      </w:r>
      <w:r w:rsidR="000A188C">
        <w:rPr>
          <w:rFonts w:cs="Arial"/>
          <w:spacing w:val="2"/>
        </w:rPr>
        <w:t>Incoming Party</w:t>
      </w:r>
      <w:r>
        <w:t xml:space="preserve"> </w:t>
      </w:r>
      <w:r w:rsidR="008669D7">
        <w:t xml:space="preserve">to perform the Appointment and to be bound by its terms in every way as if the </w:t>
      </w:r>
      <w:r w:rsidR="000A188C">
        <w:rPr>
          <w:rFonts w:cs="Arial"/>
          <w:spacing w:val="2"/>
        </w:rPr>
        <w:t>Incoming Party</w:t>
      </w:r>
      <w:r w:rsidR="008669D7">
        <w:t xml:space="preserve"> were, and had been from the inception, a party to the Appointment instead of the Employer.</w:t>
      </w:r>
    </w:p>
    <w:p w:rsidR="008669D7" w:rsidRDefault="00927A30">
      <w:pPr>
        <w:pStyle w:val="Legal2"/>
      </w:pPr>
      <w:r>
        <w:lastRenderedPageBreak/>
        <w:t>Except as provided in Clause 2.1 t</w:t>
      </w:r>
      <w:r w:rsidR="008669D7">
        <w:t xml:space="preserve">he Consultant releases and discharges the Employer from any and all obligations and liabilities owed to the Consultant under the Appointment and accepts the liability of the </w:t>
      </w:r>
      <w:r w:rsidR="000A188C">
        <w:rPr>
          <w:rFonts w:cs="Arial"/>
          <w:spacing w:val="2"/>
        </w:rPr>
        <w:t>Incoming Party</w:t>
      </w:r>
      <w:r w:rsidR="008669D7">
        <w:t xml:space="preserve"> under the Appointment in lieu of the liability of the Employer.</w:t>
      </w:r>
    </w:p>
    <w:p w:rsidR="00927A30" w:rsidRDefault="00927A30">
      <w:pPr>
        <w:pStyle w:val="Legal2"/>
      </w:pPr>
      <w:r>
        <w:t>The Consultant undertakes to the Employer that it has performed and will continue to perform the duties it continues to owe to the Employer</w:t>
      </w:r>
      <w:r w:rsidR="00066DFA">
        <w:t xml:space="preserve"> </w:t>
      </w:r>
      <w:r>
        <w:t xml:space="preserve">under </w:t>
      </w:r>
      <w:r w:rsidR="00066DFA">
        <w:t xml:space="preserve">the Appointment as set out in </w:t>
      </w:r>
      <w:r>
        <w:t>Clause 2.1.</w:t>
      </w:r>
    </w:p>
    <w:p w:rsidR="008669D7" w:rsidRDefault="00927A30">
      <w:pPr>
        <w:pStyle w:val="Legal2"/>
      </w:pPr>
      <w:r>
        <w:t>T</w:t>
      </w:r>
      <w:r w:rsidR="008669D7">
        <w:t xml:space="preserve">he Consultant shall be liable for any loss or damage suffered or incurred by the </w:t>
      </w:r>
      <w:r w:rsidR="000A188C">
        <w:rPr>
          <w:rFonts w:cs="Arial"/>
          <w:spacing w:val="2"/>
        </w:rPr>
        <w:t>Incoming Party</w:t>
      </w:r>
      <w:r w:rsidR="008669D7">
        <w:t xml:space="preserve"> arising out of any negligent act, default or breach by the Consultant in performing the Consultant’s obligations under the Appointment before the date of this Deed.  The Consultant shall be liable for such loss or damage even if such loss or damage would not have been suffered or incurred by the Employer (or suffered or incurred to the same extent by the Employer).</w:t>
      </w:r>
    </w:p>
    <w:p w:rsidR="008669D7" w:rsidRDefault="00927A30">
      <w:pPr>
        <w:pStyle w:val="Legal2"/>
      </w:pPr>
      <w:r>
        <w:t>T</w:t>
      </w:r>
      <w:r w:rsidR="008669D7">
        <w:t xml:space="preserve">he </w:t>
      </w:r>
      <w:r w:rsidR="000A188C">
        <w:rPr>
          <w:rFonts w:cs="Arial"/>
          <w:spacing w:val="2"/>
        </w:rPr>
        <w:t>Incoming Party</w:t>
      </w:r>
      <w:r w:rsidR="008669D7">
        <w:t xml:space="preserve"> undertakes to perform the Appointment and to be bound by its terms in every way as if the </w:t>
      </w:r>
      <w:r w:rsidR="000A188C">
        <w:rPr>
          <w:rFonts w:cs="Arial"/>
          <w:spacing w:val="2"/>
        </w:rPr>
        <w:t>Incoming Party</w:t>
      </w:r>
      <w:r w:rsidR="008669D7">
        <w:t xml:space="preserve"> were, and had been from the inception, a party to </w:t>
      </w:r>
      <w:r w:rsidR="00EA38DC">
        <w:t xml:space="preserve">the Appointment in lieu of the </w:t>
      </w:r>
      <w:r w:rsidR="008669D7">
        <w:t>Employer.</w:t>
      </w:r>
    </w:p>
    <w:p w:rsidR="008669D7" w:rsidRDefault="00927A30">
      <w:pPr>
        <w:pStyle w:val="Legal2"/>
      </w:pPr>
      <w:r>
        <w:t>Except in relation to the duties the Consult</w:t>
      </w:r>
      <w:r w:rsidR="002E0168">
        <w:t>ant is to continue to perform f</w:t>
      </w:r>
      <w:r>
        <w:t>o</w:t>
      </w:r>
      <w:r w:rsidR="002E0168">
        <w:t>r</w:t>
      </w:r>
      <w:r>
        <w:t xml:space="preserve"> the Employer as set out in this Deed r</w:t>
      </w:r>
      <w:r w:rsidR="008669D7">
        <w:t xml:space="preserve">eferences to the Employer in the Appointment shall be construed as references to the </w:t>
      </w:r>
      <w:r w:rsidR="000A188C">
        <w:rPr>
          <w:rFonts w:cs="Arial"/>
          <w:spacing w:val="2"/>
        </w:rPr>
        <w:t>Incoming Party</w:t>
      </w:r>
      <w:r w:rsidR="008669D7">
        <w:t>.</w:t>
      </w:r>
    </w:p>
    <w:p w:rsidR="008669D7" w:rsidRDefault="008669D7" w:rsidP="00A27579">
      <w:pPr>
        <w:pStyle w:val="Legal1"/>
      </w:pPr>
      <w:r>
        <w:t>WAIVER AND CONSENT</w:t>
      </w:r>
    </w:p>
    <w:p w:rsidR="008669D7" w:rsidRDefault="00927A30" w:rsidP="00927A30">
      <w:pPr>
        <w:pStyle w:val="Legal2"/>
      </w:pPr>
      <w:r>
        <w:t>A</w:t>
      </w:r>
      <w:r w:rsidR="008669D7">
        <w:t>ny clause in the Appointment purporting to prohibit or restrict the novation of the Appointment is waived by mutual consent for the purpose of the novation contained in Clause 2 of this Deed.</w:t>
      </w:r>
    </w:p>
    <w:p w:rsidR="008669D7" w:rsidRDefault="00927A30">
      <w:pPr>
        <w:pStyle w:val="Legal2"/>
      </w:pPr>
      <w:r>
        <w:t>T</w:t>
      </w:r>
      <w:r w:rsidR="008669D7">
        <w:t xml:space="preserve">he Consultant expressly consents to the novation of the Appointment from the Employer to the </w:t>
      </w:r>
      <w:r w:rsidR="000A188C">
        <w:rPr>
          <w:rFonts w:cs="Arial"/>
          <w:spacing w:val="2"/>
        </w:rPr>
        <w:t>Incoming Party</w:t>
      </w:r>
      <w:r w:rsidR="008669D7">
        <w:t>.</w:t>
      </w:r>
    </w:p>
    <w:p w:rsidR="008669D7" w:rsidRDefault="008669D7" w:rsidP="00A27579">
      <w:pPr>
        <w:pStyle w:val="Legal1"/>
      </w:pPr>
      <w:r>
        <w:t xml:space="preserve">ACKNOWLEDGEMENT OF PAYMENT </w:t>
      </w:r>
    </w:p>
    <w:p w:rsidR="008669D7" w:rsidRDefault="008669D7">
      <w:pPr>
        <w:pStyle w:val="Legal2"/>
        <w:numPr>
          <w:ilvl w:val="0"/>
          <w:numId w:val="0"/>
        </w:numPr>
        <w:ind w:left="720"/>
      </w:pPr>
      <w:r>
        <w:lastRenderedPageBreak/>
        <w:t>The Consultant acknowledges that all fees and expenses properly due to the Consultant under the Appointment up to the date of this Deed have been paid by the Employer.</w:t>
      </w:r>
    </w:p>
    <w:p w:rsidR="008669D7" w:rsidRDefault="008669D7" w:rsidP="00A27579">
      <w:pPr>
        <w:pStyle w:val="Legal1"/>
      </w:pPr>
      <w:bookmarkStart w:id="5" w:name="_Ref102988649"/>
      <w:bookmarkStart w:id="6" w:name="_Toc102988766"/>
      <w:bookmarkStart w:id="7" w:name="_Toc140910711"/>
      <w:bookmarkStart w:id="8" w:name="_Toc155163909"/>
      <w:r>
        <w:t>ENTIRE AGREEMENT</w:t>
      </w:r>
      <w:bookmarkEnd w:id="5"/>
      <w:bookmarkEnd w:id="6"/>
      <w:bookmarkEnd w:id="7"/>
      <w:bookmarkEnd w:id="8"/>
    </w:p>
    <w:p w:rsidR="008669D7" w:rsidRPr="00927A30" w:rsidRDefault="00927A30">
      <w:pPr>
        <w:pStyle w:val="Legal2"/>
        <w:rPr>
          <w:rFonts w:cs="Arial"/>
        </w:rPr>
      </w:pPr>
      <w:r>
        <w:t>T</w:t>
      </w:r>
      <w:r w:rsidR="008669D7">
        <w:t>his Deed and the Appointment togeth</w:t>
      </w:r>
      <w:r>
        <w:t xml:space="preserve">er set out the whole agreement </w:t>
      </w:r>
      <w:r w:rsidR="008669D7">
        <w:t xml:space="preserve">between the Parties in relation to the Appointment. They supersede and invalidate all other </w:t>
      </w:r>
      <w:r>
        <w:t xml:space="preserve">commitments, </w:t>
      </w:r>
      <w:r w:rsidR="008669D7">
        <w:t>representations and warranties relating to its subject matter which either party has made orally or in writing.</w:t>
      </w:r>
      <w:bookmarkStart w:id="9" w:name="_Ref101585381"/>
    </w:p>
    <w:p w:rsidR="008669D7" w:rsidRDefault="00927A30">
      <w:pPr>
        <w:pStyle w:val="Legal2"/>
      </w:pPr>
      <w:bookmarkStart w:id="10" w:name="_Ref236044893"/>
      <w:r>
        <w:t>E</w:t>
      </w:r>
      <w:bookmarkStart w:id="11" w:name="_Ref154201652"/>
      <w:r w:rsidR="008669D7">
        <w:t xml:space="preserve">ach Party warrants that it has not entered into this Deed on the basis of any representation made by the other except to the extent that such representation is expressly set out in it (but nothing in this Clause </w:t>
      </w:r>
      <w:r w:rsidR="00066DFA">
        <w:fldChar w:fldCharType="begin"/>
      </w:r>
      <w:r w:rsidR="00066DFA">
        <w:instrText xml:space="preserve"> REF _Ref236044893 \r \h </w:instrText>
      </w:r>
      <w:r w:rsidR="00066DFA">
        <w:fldChar w:fldCharType="separate"/>
      </w:r>
      <w:r w:rsidR="003E4846">
        <w:t>5.2</w:t>
      </w:r>
      <w:r w:rsidR="00066DFA">
        <w:fldChar w:fldCharType="end"/>
      </w:r>
      <w:r w:rsidR="008669D7">
        <w:t xml:space="preserve"> excludes any liability for fraudulent misrepresentation).</w:t>
      </w:r>
      <w:bookmarkStart w:id="12" w:name="_Toc102988767"/>
      <w:bookmarkStart w:id="13" w:name="_Toc140910712"/>
      <w:bookmarkEnd w:id="9"/>
      <w:bookmarkEnd w:id="10"/>
      <w:bookmarkEnd w:id="11"/>
    </w:p>
    <w:p w:rsidR="008669D7" w:rsidRDefault="008669D7" w:rsidP="00A27579">
      <w:pPr>
        <w:pStyle w:val="Legal1"/>
      </w:pPr>
      <w:bookmarkStart w:id="14" w:name="_Toc155163910"/>
      <w:r>
        <w:t>EXTENT OF OBLIGATIONS AND FURTHER ASSURANCE</w:t>
      </w:r>
      <w:bookmarkEnd w:id="12"/>
      <w:bookmarkEnd w:id="13"/>
      <w:bookmarkEnd w:id="14"/>
    </w:p>
    <w:p w:rsidR="008669D7" w:rsidRPr="006D3962" w:rsidRDefault="008669D7">
      <w:pPr>
        <w:pStyle w:val="Legal2"/>
        <w:rPr>
          <w:rFonts w:cs="Arial"/>
        </w:rPr>
      </w:pPr>
      <w:bookmarkStart w:id="15" w:name="_Ref3623891"/>
      <w:r>
        <w:t>Nothing in this Deed is to require</w:t>
      </w:r>
      <w:bookmarkEnd w:id="15"/>
      <w:r>
        <w:t xml:space="preserve"> </w:t>
      </w:r>
      <w:r w:rsidR="006D3962">
        <w:t xml:space="preserve">the Employer </w:t>
      </w:r>
      <w:r>
        <w:t xml:space="preserve">to act in any way which is inconsistent with its statutory duties or obligations as a local authority or is to act as a fetter on the exercise of those statutory duties </w:t>
      </w:r>
      <w:r w:rsidR="006D3962">
        <w:t>a</w:t>
      </w:r>
      <w:r w:rsidR="002E0168">
        <w:t>nd obligations.</w:t>
      </w:r>
    </w:p>
    <w:p w:rsidR="008669D7" w:rsidRDefault="006D3962">
      <w:pPr>
        <w:pStyle w:val="Legal2"/>
        <w:rPr>
          <w:rFonts w:cs="Arial"/>
        </w:rPr>
      </w:pPr>
      <w:r>
        <w:t>E</w:t>
      </w:r>
      <w:r w:rsidR="008669D7">
        <w:t>a</w:t>
      </w:r>
      <w:r w:rsidR="008669D7">
        <w:rPr>
          <w:rFonts w:cs="Arial"/>
        </w:rPr>
        <w:t xml:space="preserve">ch Party undertakes (subject to Clause </w:t>
      </w:r>
      <w:r w:rsidR="008669D7">
        <w:rPr>
          <w:rFonts w:cs="Arial"/>
        </w:rPr>
        <w:fldChar w:fldCharType="begin"/>
      </w:r>
      <w:r w:rsidR="008669D7">
        <w:rPr>
          <w:rFonts w:cs="Arial"/>
        </w:rPr>
        <w:instrText xml:space="preserve"> REF _Ref3623891 \r \h  \* MERGEFORMAT </w:instrText>
      </w:r>
      <w:r w:rsidR="008669D7">
        <w:rPr>
          <w:rFonts w:cs="Arial"/>
        </w:rPr>
      </w:r>
      <w:r w:rsidR="008669D7">
        <w:rPr>
          <w:rFonts w:cs="Arial"/>
        </w:rPr>
        <w:fldChar w:fldCharType="separate"/>
      </w:r>
      <w:r w:rsidR="003E4846">
        <w:rPr>
          <w:rFonts w:cs="Arial"/>
        </w:rPr>
        <w:t>6.1</w:t>
      </w:r>
      <w:r w:rsidR="008669D7">
        <w:rPr>
          <w:rFonts w:cs="Arial"/>
        </w:rPr>
        <w:fldChar w:fldCharType="end"/>
      </w:r>
      <w:r w:rsidR="008669D7">
        <w:rPr>
          <w:rFonts w:cs="Arial"/>
        </w:rPr>
        <w:t>) to do all things and execute all further documents that the other may reasonably require to give effect to this Deed.</w:t>
      </w:r>
    </w:p>
    <w:p w:rsidR="008669D7" w:rsidRDefault="008669D7" w:rsidP="00A27579">
      <w:pPr>
        <w:pStyle w:val="Legal1"/>
      </w:pPr>
      <w:bookmarkStart w:id="16" w:name="_Toc102988769"/>
      <w:bookmarkStart w:id="17" w:name="_Toc140910714"/>
      <w:bookmarkStart w:id="18" w:name="_Toc155163911"/>
      <w:r>
        <w:t>THIRD PARTIES</w:t>
      </w:r>
      <w:bookmarkEnd w:id="16"/>
      <w:bookmarkEnd w:id="17"/>
      <w:bookmarkEnd w:id="18"/>
    </w:p>
    <w:p w:rsidR="008669D7" w:rsidRDefault="008669D7">
      <w:pPr>
        <w:pStyle w:val="Legal2"/>
        <w:widowControl/>
        <w:numPr>
          <w:ilvl w:val="0"/>
          <w:numId w:val="0"/>
        </w:numPr>
        <w:autoSpaceDE/>
        <w:autoSpaceDN/>
        <w:adjustRightInd/>
        <w:spacing w:after="240"/>
        <w:ind w:left="720"/>
        <w:outlineLvl w:val="9"/>
        <w:rPr>
          <w:szCs w:val="24"/>
          <w:lang w:val="en-GB"/>
        </w:rPr>
      </w:pPr>
      <w:r>
        <w:rPr>
          <w:szCs w:val="24"/>
          <w:lang w:val="en-GB"/>
        </w:rPr>
        <w:t>Nothing in this Deed shall confer any benefit on a person who is not a party to it or give any such third party a right to enforce any of its terms.</w:t>
      </w:r>
    </w:p>
    <w:p w:rsidR="002E0168" w:rsidRDefault="002E0168">
      <w:pPr>
        <w:pStyle w:val="Legal2"/>
        <w:widowControl/>
        <w:numPr>
          <w:ilvl w:val="0"/>
          <w:numId w:val="0"/>
        </w:numPr>
        <w:autoSpaceDE/>
        <w:autoSpaceDN/>
        <w:adjustRightInd/>
        <w:spacing w:after="240"/>
        <w:ind w:left="720"/>
        <w:outlineLvl w:val="9"/>
        <w:rPr>
          <w:szCs w:val="24"/>
          <w:lang w:val="en-GB"/>
        </w:rPr>
      </w:pPr>
    </w:p>
    <w:p w:rsidR="008669D7" w:rsidRDefault="008669D7" w:rsidP="00A27579">
      <w:pPr>
        <w:pStyle w:val="Legal1"/>
      </w:pPr>
      <w:bookmarkStart w:id="19" w:name="_Toc102988777"/>
      <w:bookmarkStart w:id="20" w:name="_Toc140910723"/>
      <w:bookmarkStart w:id="21" w:name="_Toc155163912"/>
      <w:r>
        <w:t>GOVERNING LAW AND ENFORCEMENT</w:t>
      </w:r>
      <w:bookmarkEnd w:id="19"/>
      <w:bookmarkEnd w:id="20"/>
      <w:bookmarkEnd w:id="21"/>
    </w:p>
    <w:p w:rsidR="008669D7" w:rsidRDefault="006D3962">
      <w:pPr>
        <w:pStyle w:val="Legal2"/>
        <w:rPr>
          <w:rFonts w:cs="Arial"/>
        </w:rPr>
      </w:pPr>
      <w:r>
        <w:t>T</w:t>
      </w:r>
      <w:r w:rsidR="008669D7">
        <w:rPr>
          <w:rFonts w:cs="Arial"/>
        </w:rPr>
        <w:t xml:space="preserve">his Agreement is governed by English law. Any dispute shall be subject </w:t>
      </w:r>
      <w:r w:rsidR="008669D7">
        <w:rPr>
          <w:rFonts w:cs="Arial"/>
        </w:rPr>
        <w:lastRenderedPageBreak/>
        <w:t>to the jurisdiction of the English courts.</w:t>
      </w:r>
    </w:p>
    <w:p w:rsidR="008669D7" w:rsidRDefault="006D3962">
      <w:pPr>
        <w:pStyle w:val="Legal2"/>
      </w:pPr>
      <w:r>
        <w:rPr>
          <w:rFonts w:cs="Arial"/>
        </w:rPr>
        <w:t>T</w:t>
      </w:r>
      <w:r w:rsidR="008669D7">
        <w:t>he rights and remedies given by this Deed are cumulative and do not exclude any other rights or remedies given by law or under this Deed.</w:t>
      </w:r>
      <w:bookmarkStart w:id="22" w:name="_Toc102988778"/>
      <w:bookmarkStart w:id="23" w:name="_Toc140910724"/>
    </w:p>
    <w:p w:rsidR="008669D7" w:rsidRDefault="008669D7" w:rsidP="00A27579">
      <w:pPr>
        <w:pStyle w:val="Legal1"/>
      </w:pPr>
      <w:bookmarkStart w:id="24" w:name="_Toc155163913"/>
      <w:r>
        <w:t>COUNTERPARTS</w:t>
      </w:r>
      <w:bookmarkEnd w:id="22"/>
      <w:bookmarkEnd w:id="23"/>
      <w:bookmarkEnd w:id="24"/>
    </w:p>
    <w:p w:rsidR="008669D7" w:rsidRDefault="008669D7">
      <w:pPr>
        <w:spacing w:after="240"/>
        <w:ind w:left="720"/>
      </w:pPr>
      <w:r>
        <w:t>This Deed may be executed in two or more counterparts each of which shall be deemed to be an original but the counterparts shall together constitute one and the same Deed.</w:t>
      </w:r>
      <w:bookmarkStart w:id="25" w:name="_Toc102988779"/>
      <w:bookmarkStart w:id="26" w:name="_Toc140910725"/>
    </w:p>
    <w:p w:rsidR="008669D7" w:rsidRDefault="008669D7" w:rsidP="00A27579">
      <w:pPr>
        <w:pStyle w:val="Legal1"/>
      </w:pPr>
      <w:bookmarkStart w:id="27" w:name="_Toc155163914"/>
      <w:r>
        <w:t>COSTS</w:t>
      </w:r>
      <w:bookmarkEnd w:id="25"/>
      <w:bookmarkEnd w:id="26"/>
      <w:bookmarkEnd w:id="27"/>
    </w:p>
    <w:p w:rsidR="008669D7" w:rsidRDefault="008669D7">
      <w:pPr>
        <w:ind w:left="720"/>
        <w:rPr>
          <w:rFonts w:cs="Arial"/>
        </w:rPr>
      </w:pPr>
      <w:r>
        <w:rPr>
          <w:rFonts w:cs="Arial"/>
        </w:rPr>
        <w:t>Each Party shall bear their own costs in relation to the negotiation and completion of this Deed.</w:t>
      </w:r>
    </w:p>
    <w:p w:rsidR="008669D7" w:rsidRDefault="008669D7"/>
    <w:p w:rsidR="008669D7" w:rsidRDefault="008669D7">
      <w:r>
        <w:rPr>
          <w:rFonts w:cs="Arial"/>
          <w:b/>
          <w:bCs/>
          <w:sz w:val="26"/>
        </w:rPr>
        <w:t>IN WITNESS</w:t>
      </w:r>
      <w:r>
        <w:rPr>
          <w:rFonts w:cs="Arial"/>
        </w:rPr>
        <w:t xml:space="preserve"> of the above all of the parties have executed and delivered this Deed on the date set out at the start of it.</w:t>
      </w:r>
    </w:p>
    <w:p w:rsidR="008669D7" w:rsidRDefault="008669D7"/>
    <w:p w:rsidR="008669D7" w:rsidRDefault="002E0168">
      <w:r>
        <w:rPr>
          <w:b/>
          <w:bCs/>
        </w:rPr>
        <w:t>[INSERT EXECUTION CLAUSES]</w:t>
      </w:r>
    </w:p>
    <w:sectPr w:rsidR="008669D7">
      <w:footerReference w:type="first" r:id="rId15"/>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0A" w:rsidRDefault="0084380A">
      <w:r>
        <w:separator/>
      </w:r>
    </w:p>
  </w:endnote>
  <w:endnote w:type="continuationSeparator" w:id="0">
    <w:p w:rsidR="0084380A" w:rsidRDefault="0084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DC" w:rsidRDefault="00EA38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A38DC" w:rsidRDefault="00EA3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DC" w:rsidRDefault="002E0168">
    <w:pPr>
      <w:pStyle w:val="Footer"/>
      <w:spacing w:after="0" w:line="240" w:lineRule="auto"/>
      <w:rPr>
        <w:sz w:val="16"/>
        <w:lang w:val="en-US"/>
      </w:rPr>
    </w:pPr>
    <w:r>
      <w:rPr>
        <w:sz w:val="16"/>
        <w:lang w:val="en-US"/>
      </w:rPr>
      <w:fldChar w:fldCharType="begin"/>
    </w:r>
    <w:r>
      <w:rPr>
        <w:sz w:val="16"/>
        <w:lang w:val="en-US"/>
      </w:rPr>
      <w:instrText xml:space="preserve"> DOCVARIABLE  PilgOrigDocID  \* MERGEFORMAT </w:instrText>
    </w:r>
    <w:r>
      <w:rPr>
        <w:sz w:val="16"/>
        <w:lang w:val="en-US"/>
      </w:rPr>
      <w:fldChar w:fldCharType="separate"/>
    </w:r>
    <w:r w:rsidR="00BB76A2">
      <w:rPr>
        <w:sz w:val="16"/>
        <w:lang w:val="en-US"/>
      </w:rPr>
      <w:t>1851548</w:t>
    </w:r>
    <w:r>
      <w:rPr>
        <w:sz w:val="16"/>
        <w:lang w:val="en-US"/>
      </w:rPr>
      <w:fldChar w:fldCharType="end"/>
    </w:r>
  </w:p>
  <w:p w:rsidR="00EA38DC" w:rsidRDefault="00EA38DC">
    <w:pPr>
      <w:pStyle w:val="Footer"/>
      <w:spacing w:after="0" w:line="240" w:lineRule="auto"/>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BB76A2">
      <w:rPr>
        <w:noProof/>
        <w:sz w:val="16"/>
        <w:lang w:val="en-US"/>
      </w:rPr>
      <w:t>5</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BB76A2">
      <w:rPr>
        <w:noProof/>
        <w:sz w:val="16"/>
        <w:lang w:val="en-US"/>
      </w:rPr>
      <w:t>6</w:t>
    </w:r>
    <w:r>
      <w:rPr>
        <w:sz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D" w:rsidRDefault="00711B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DC" w:rsidRDefault="002E0168" w:rsidP="002E0168">
    <w:pPr>
      <w:pStyle w:val="Footer"/>
      <w:jc w:val="left"/>
      <w:rPr>
        <w:sz w:val="16"/>
      </w:rPr>
    </w:pPr>
    <w:r>
      <w:rPr>
        <w:sz w:val="16"/>
        <w:lang w:val="en-US"/>
      </w:rPr>
      <w:fldChar w:fldCharType="begin"/>
    </w:r>
    <w:r>
      <w:rPr>
        <w:sz w:val="16"/>
        <w:lang w:val="en-US"/>
      </w:rPr>
      <w:instrText xml:space="preserve"> DOCVARIABLE  PilgOrigDocID  \* MERGEFORMAT </w:instrText>
    </w:r>
    <w:r>
      <w:rPr>
        <w:sz w:val="16"/>
        <w:lang w:val="en-US"/>
      </w:rPr>
      <w:fldChar w:fldCharType="separate"/>
    </w:r>
    <w:r>
      <w:rPr>
        <w:sz w:val="16"/>
        <w:lang w:val="en-US"/>
      </w:rPr>
      <w:t>1851548</w:t>
    </w:r>
    <w:r>
      <w:rPr>
        <w:sz w:val="16"/>
        <w:lang w:val="en-US"/>
      </w:rPr>
      <w:fldChar w:fldCharType="end"/>
    </w:r>
    <w:r>
      <w:rPr>
        <w:sz w:val="16"/>
        <w:lang w:val="en-US"/>
      </w:rPr>
      <w:tab/>
    </w:r>
    <w:r>
      <w:rPr>
        <w:sz w:val="16"/>
        <w:lang w:val="en-US"/>
      </w:rPr>
      <w:tab/>
    </w:r>
    <w:r w:rsidR="00EA38DC">
      <w:rPr>
        <w:sz w:val="16"/>
        <w:lang w:val="en-US"/>
      </w:rPr>
      <w:t xml:space="preserve">Page </w:t>
    </w:r>
    <w:r w:rsidR="00EA38DC">
      <w:rPr>
        <w:sz w:val="16"/>
        <w:lang w:val="en-US"/>
      </w:rPr>
      <w:fldChar w:fldCharType="begin"/>
    </w:r>
    <w:r w:rsidR="00EA38DC">
      <w:rPr>
        <w:sz w:val="16"/>
        <w:lang w:val="en-US"/>
      </w:rPr>
      <w:instrText xml:space="preserve"> PAGE </w:instrText>
    </w:r>
    <w:r w:rsidR="00EA38DC">
      <w:rPr>
        <w:sz w:val="16"/>
        <w:lang w:val="en-US"/>
      </w:rPr>
      <w:fldChar w:fldCharType="separate"/>
    </w:r>
    <w:r w:rsidR="00BB76A2">
      <w:rPr>
        <w:noProof/>
        <w:sz w:val="16"/>
        <w:lang w:val="en-US"/>
      </w:rPr>
      <w:t>1</w:t>
    </w:r>
    <w:r w:rsidR="00EA38DC">
      <w:rPr>
        <w:sz w:val="16"/>
        <w:lang w:val="en-US"/>
      </w:rPr>
      <w:fldChar w:fldCharType="end"/>
    </w:r>
    <w:r w:rsidR="00EA38DC">
      <w:rPr>
        <w:sz w:val="16"/>
        <w:lang w:val="en-US"/>
      </w:rPr>
      <w:t xml:space="preserve"> of </w:t>
    </w:r>
    <w:r w:rsidR="00EA38DC">
      <w:rPr>
        <w:sz w:val="16"/>
        <w:lang w:val="en-US"/>
      </w:rPr>
      <w:fldChar w:fldCharType="begin"/>
    </w:r>
    <w:r w:rsidR="00EA38DC">
      <w:rPr>
        <w:sz w:val="16"/>
        <w:lang w:val="en-US"/>
      </w:rPr>
      <w:instrText xml:space="preserve"> NUMPAGES </w:instrText>
    </w:r>
    <w:r w:rsidR="00EA38DC">
      <w:rPr>
        <w:sz w:val="16"/>
        <w:lang w:val="en-US"/>
      </w:rPr>
      <w:fldChar w:fldCharType="separate"/>
    </w:r>
    <w:r w:rsidR="00BB76A2">
      <w:rPr>
        <w:noProof/>
        <w:sz w:val="16"/>
        <w:lang w:val="en-US"/>
      </w:rPr>
      <w:t>6</w:t>
    </w:r>
    <w:r w:rsidR="00EA38DC">
      <w:rPr>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0A" w:rsidRDefault="0084380A">
      <w:r>
        <w:separator/>
      </w:r>
    </w:p>
  </w:footnote>
  <w:footnote w:type="continuationSeparator" w:id="0">
    <w:p w:rsidR="0084380A" w:rsidRDefault="00843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D" w:rsidRDefault="00711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D" w:rsidRDefault="00711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AD" w:rsidRDefault="00711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8EEC2A"/>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434511B"/>
    <w:multiLevelType w:val="multilevel"/>
    <w:tmpl w:val="A936FA58"/>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83844E3"/>
    <w:multiLevelType w:val="multilevel"/>
    <w:tmpl w:val="0BCAC7D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9410DCC"/>
    <w:multiLevelType w:val="multilevel"/>
    <w:tmpl w:val="6C2AED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6CE6140"/>
    <w:multiLevelType w:val="multilevel"/>
    <w:tmpl w:val="6C2AED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2D415E85"/>
    <w:multiLevelType w:val="hybridMultilevel"/>
    <w:tmpl w:val="D35C2D8C"/>
    <w:lvl w:ilvl="0" w:tplc="7D826F60">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47735"/>
    <w:multiLevelType w:val="multilevel"/>
    <w:tmpl w:val="0E1CBB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6156755"/>
    <w:multiLevelType w:val="multilevel"/>
    <w:tmpl w:val="6C2AED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AF01D1F"/>
    <w:multiLevelType w:val="multilevel"/>
    <w:tmpl w:val="6C2AED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D201827"/>
    <w:multiLevelType w:val="multilevel"/>
    <w:tmpl w:val="991AF7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4FC1643E"/>
    <w:multiLevelType w:val="multilevel"/>
    <w:tmpl w:val="6C2AED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482266"/>
    <w:multiLevelType w:val="multilevel"/>
    <w:tmpl w:val="7ED64D0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58D77E0E"/>
    <w:multiLevelType w:val="multilevel"/>
    <w:tmpl w:val="6C2AED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4EC0321"/>
    <w:multiLevelType w:val="multilevel"/>
    <w:tmpl w:val="0E7C08E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6503777F"/>
    <w:multiLevelType w:val="multilevel"/>
    <w:tmpl w:val="6C2AE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67FE5747"/>
    <w:multiLevelType w:val="hybridMultilevel"/>
    <w:tmpl w:val="00C4DF6A"/>
    <w:lvl w:ilvl="0" w:tplc="A088EF8C">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6">
    <w:nsid w:val="6A8C475C"/>
    <w:multiLevelType w:val="multilevel"/>
    <w:tmpl w:val="1A56AF94"/>
    <w:lvl w:ilvl="0">
      <w:start w:val="1"/>
      <w:numFmt w:val="decimal"/>
      <w:isLgl/>
      <w:lvlText w:val="%1"/>
      <w:lvlJc w:val="left"/>
      <w:pPr>
        <w:tabs>
          <w:tab w:val="num" w:pos="720"/>
        </w:tabs>
        <w:ind w:left="720" w:hanging="720"/>
      </w:pPr>
      <w:rPr>
        <w:rFonts w:ascii="Arial" w:hAnsi="Arial" w:hint="default"/>
        <w:b/>
        <w:i w:val="0"/>
        <w:sz w:val="26"/>
      </w:rPr>
    </w:lvl>
    <w:lvl w:ilvl="1">
      <w:start w:val="1"/>
      <w:numFmt w:val="decimal"/>
      <w:isLgl/>
      <w:lvlText w:val="%1.%2"/>
      <w:lvlJc w:val="left"/>
      <w:pPr>
        <w:tabs>
          <w:tab w:val="num" w:pos="1440"/>
        </w:tabs>
        <w:ind w:left="1440" w:hanging="720"/>
      </w:pPr>
      <w:rPr>
        <w:rFonts w:ascii="Arial" w:hAnsi="Arial" w:hint="default"/>
        <w:sz w:val="22"/>
      </w:rPr>
    </w:lvl>
    <w:lvl w:ilvl="2">
      <w:start w:val="1"/>
      <w:numFmt w:val="decimal"/>
      <w:isLg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1226A69"/>
    <w:multiLevelType w:val="multilevel"/>
    <w:tmpl w:val="72E2A8B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985"/>
        </w:tabs>
        <w:ind w:left="1985"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6D80CBB"/>
    <w:multiLevelType w:val="multilevel"/>
    <w:tmpl w:val="6C2AED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lvl w:ilvl="0">
        <w:start w:val="1"/>
        <w:numFmt w:val="decimal"/>
        <w:pStyle w:val="Legal1"/>
        <w:isLgl/>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080"/>
          </w:tabs>
          <w:ind w:left="1080" w:hanging="720"/>
        </w:pPr>
        <w:rPr>
          <w:rFonts w:hint="default"/>
        </w:rPr>
      </w:lvl>
    </w:lvlOverride>
    <w:lvlOverride w:ilvl="2">
      <w:lvl w:ilvl="2">
        <w:start w:val="1"/>
        <w:numFmt w:val="decimal"/>
        <w:pStyle w:val="Legal3"/>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3">
    <w:abstractNumId w:val="0"/>
    <w:lvlOverride w:ilvl="0">
      <w:lvl w:ilvl="0">
        <w:start w:val="1"/>
        <w:numFmt w:val="decimal"/>
        <w:pStyle w:val="Legal1"/>
        <w:lvlText w:val="%1."/>
        <w:lvlJc w:val="left"/>
        <w:pPr>
          <w:tabs>
            <w:tab w:val="num" w:pos="2160"/>
          </w:tabs>
          <w:ind w:left="2160" w:hanging="720"/>
        </w:pPr>
        <w:rPr>
          <w:rFonts w:hint="default"/>
        </w:rPr>
      </w:lvl>
    </w:lvlOverride>
    <w:lvlOverride w:ilvl="1">
      <w:lvl w:ilvl="1">
        <w:start w:val="1"/>
        <w:numFmt w:val="decimal"/>
        <w:pStyle w:val="Legal2"/>
        <w:lvlText w:val="%1.%2."/>
        <w:lvlJc w:val="left"/>
        <w:pPr>
          <w:tabs>
            <w:tab w:val="num" w:pos="2520"/>
          </w:tabs>
          <w:ind w:left="2520" w:hanging="720"/>
        </w:pPr>
        <w:rPr>
          <w:rFonts w:hint="default"/>
        </w:rPr>
      </w:lvl>
    </w:lvlOverride>
    <w:lvlOverride w:ilvl="2">
      <w:lvl w:ilvl="2">
        <w:start w:val="1"/>
        <w:numFmt w:val="decimal"/>
        <w:pStyle w:val="Legal3"/>
        <w:lvlText w:val="%1.%2.%3."/>
        <w:lvlJc w:val="left"/>
        <w:pPr>
          <w:tabs>
            <w:tab w:val="num" w:pos="2880"/>
          </w:tabs>
          <w:ind w:left="2880" w:hanging="720"/>
        </w:pPr>
        <w:rPr>
          <w:rFonts w:hint="default"/>
        </w:rPr>
      </w:lvl>
    </w:lvlOverride>
    <w:lvlOverride w:ilvl="3">
      <w:lvl w:ilvl="3">
        <w:start w:val="1"/>
        <w:numFmt w:val="decimal"/>
        <w:lvlText w:val="%1.%2.%3.%4."/>
        <w:lvlJc w:val="left"/>
        <w:pPr>
          <w:tabs>
            <w:tab w:val="num" w:pos="3600"/>
          </w:tabs>
          <w:ind w:left="3168" w:hanging="648"/>
        </w:pPr>
        <w:rPr>
          <w:rFonts w:hint="default"/>
        </w:rPr>
      </w:lvl>
    </w:lvlOverride>
    <w:lvlOverride w:ilvl="4">
      <w:lvl w:ilvl="4">
        <w:start w:val="1"/>
        <w:numFmt w:val="decimal"/>
        <w:lvlText w:val="%1.%2.%3.%4.%5."/>
        <w:lvlJc w:val="left"/>
        <w:pPr>
          <w:tabs>
            <w:tab w:val="num" w:pos="3960"/>
          </w:tabs>
          <w:ind w:left="3672" w:hanging="792"/>
        </w:pPr>
        <w:rPr>
          <w:rFonts w:hint="default"/>
        </w:rPr>
      </w:lvl>
    </w:lvlOverride>
    <w:lvlOverride w:ilvl="5">
      <w:lvl w:ilvl="5">
        <w:start w:val="1"/>
        <w:numFmt w:val="decimal"/>
        <w:lvlText w:val="%1.%2.%3.%4.%5.%6."/>
        <w:lvlJc w:val="left"/>
        <w:pPr>
          <w:tabs>
            <w:tab w:val="num" w:pos="4680"/>
          </w:tabs>
          <w:ind w:left="4176" w:hanging="936"/>
        </w:pPr>
        <w:rPr>
          <w:rFonts w:hint="default"/>
        </w:rPr>
      </w:lvl>
    </w:lvlOverride>
    <w:lvlOverride w:ilvl="6">
      <w:lvl w:ilvl="6">
        <w:start w:val="1"/>
        <w:numFmt w:val="decimal"/>
        <w:lvlText w:val="%1.%2.%3.%4.%5.%6.%7."/>
        <w:lvlJc w:val="left"/>
        <w:pPr>
          <w:tabs>
            <w:tab w:val="num" w:pos="5040"/>
          </w:tabs>
          <w:ind w:left="4680" w:hanging="1080"/>
        </w:pPr>
        <w:rPr>
          <w:rFonts w:hint="default"/>
        </w:rPr>
      </w:lvl>
    </w:lvlOverride>
    <w:lvlOverride w:ilvl="7">
      <w:lvl w:ilvl="7">
        <w:start w:val="1"/>
        <w:numFmt w:val="decimal"/>
        <w:lvlText w:val="%1.%2.%3.%4.%5.%6.%7.%8."/>
        <w:lvlJc w:val="left"/>
        <w:pPr>
          <w:tabs>
            <w:tab w:val="num" w:pos="5760"/>
          </w:tabs>
          <w:ind w:left="5184" w:hanging="1224"/>
        </w:pPr>
        <w:rPr>
          <w:rFonts w:hint="default"/>
        </w:rPr>
      </w:lvl>
    </w:lvlOverride>
    <w:lvlOverride w:ilvl="8">
      <w:lvl w:ilvl="8">
        <w:start w:val="1"/>
        <w:numFmt w:val="decimal"/>
        <w:lvlText w:val="%1.%2.%3.%4.%5.%6.%7.%8.%9."/>
        <w:lvlJc w:val="left"/>
        <w:pPr>
          <w:tabs>
            <w:tab w:val="num" w:pos="6120"/>
          </w:tabs>
          <w:ind w:left="5760" w:hanging="1440"/>
        </w:pPr>
        <w:rPr>
          <w:rFonts w:hint="default"/>
        </w:rPr>
      </w:lvl>
    </w:lvlOverride>
  </w:num>
  <w:num w:numId="4">
    <w:abstractNumId w:val="2"/>
  </w:num>
  <w:num w:numId="5">
    <w:abstractNumId w:val="16"/>
  </w:num>
  <w:num w:numId="6">
    <w:abstractNumId w:val="10"/>
  </w:num>
  <w:num w:numId="7">
    <w:abstractNumId w:val="13"/>
  </w:num>
  <w:num w:numId="8">
    <w:abstractNumId w:val="8"/>
  </w:num>
  <w:num w:numId="9">
    <w:abstractNumId w:val="18"/>
  </w:num>
  <w:num w:numId="10">
    <w:abstractNumId w:val="12"/>
  </w:num>
  <w:num w:numId="11">
    <w:abstractNumId w:val="7"/>
  </w:num>
  <w:num w:numId="12">
    <w:abstractNumId w:val="14"/>
  </w:num>
  <w:num w:numId="13">
    <w:abstractNumId w:val="4"/>
  </w:num>
  <w:num w:numId="14">
    <w:abstractNumId w:val="3"/>
  </w:num>
  <w:num w:numId="15">
    <w:abstractNumId w:val="5"/>
  </w:num>
  <w:num w:numId="16">
    <w:abstractNumId w:val="15"/>
  </w:num>
  <w:num w:numId="17">
    <w:abstractNumId w:val="17"/>
  </w:num>
  <w:num w:numId="18">
    <w:abstractNumId w:val="9"/>
  </w:num>
  <w:num w:numId="19">
    <w:abstractNumId w:val="6"/>
  </w:num>
  <w:num w:numId="20">
    <w:abstractNumId w:val="1"/>
  </w:num>
  <w:num w:numId="21">
    <w:abstractNumId w:val="11"/>
  </w:num>
  <w:num w:numId="22">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3">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4">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5">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6">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7">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8">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9">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30">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31">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decimal"/>
        <w:pStyle w:val="Legal2"/>
        <w:lvlText w:val="%1.%2"/>
        <w:lvlJc w:val="left"/>
        <w:pPr>
          <w:tabs>
            <w:tab w:val="num" w:pos="1134"/>
          </w:tabs>
          <w:ind w:left="1134" w:hanging="567"/>
        </w:pPr>
        <w:rPr>
          <w:rFonts w:ascii="Arial" w:hAnsi="Arial" w:hint="default"/>
          <w:b w:val="0"/>
          <w:i w:val="0"/>
          <w:sz w:val="22"/>
          <w:szCs w:val="22"/>
        </w:rPr>
      </w:lvl>
    </w:lvlOverride>
    <w:lvlOverride w:ilvl="2">
      <w:lvl w:ilvl="2">
        <w:start w:val="1"/>
        <w:numFmt w:val="decimal"/>
        <w:pStyle w:val="Legal3"/>
        <w:lvlText w:val="%1.%2.%3"/>
        <w:lvlJc w:val="left"/>
        <w:pPr>
          <w:tabs>
            <w:tab w:val="num" w:pos="1985"/>
          </w:tabs>
          <w:ind w:left="1985" w:hanging="851"/>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PilgDocRef" w:val="1909478"/>
    <w:docVar w:name="PilgDocVersion" w:val="2"/>
    <w:docVar w:name="PilgOrigDocID" w:val="1851548"/>
  </w:docVars>
  <w:rsids>
    <w:rsidRoot w:val="00DE3C90"/>
    <w:rsid w:val="00066DFA"/>
    <w:rsid w:val="000A188C"/>
    <w:rsid w:val="0011201E"/>
    <w:rsid w:val="001B4D48"/>
    <w:rsid w:val="001E5088"/>
    <w:rsid w:val="002B2812"/>
    <w:rsid w:val="002C0989"/>
    <w:rsid w:val="002E0168"/>
    <w:rsid w:val="00331D87"/>
    <w:rsid w:val="003E4846"/>
    <w:rsid w:val="00555A7A"/>
    <w:rsid w:val="006722A0"/>
    <w:rsid w:val="00684385"/>
    <w:rsid w:val="006D3962"/>
    <w:rsid w:val="00711BAD"/>
    <w:rsid w:val="007C7F23"/>
    <w:rsid w:val="008305C8"/>
    <w:rsid w:val="0084380A"/>
    <w:rsid w:val="008669D7"/>
    <w:rsid w:val="008B656A"/>
    <w:rsid w:val="008C14EB"/>
    <w:rsid w:val="00927A30"/>
    <w:rsid w:val="00A27579"/>
    <w:rsid w:val="00AE1213"/>
    <w:rsid w:val="00B0085B"/>
    <w:rsid w:val="00B56435"/>
    <w:rsid w:val="00BB76A2"/>
    <w:rsid w:val="00DE3C90"/>
    <w:rsid w:val="00EA38DC"/>
    <w:rsid w:val="00FF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jc w:val="both"/>
    </w:pPr>
    <w:rPr>
      <w:rFonts w:ascii="Arial" w:hAnsi="Arial"/>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after="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customStyle="1" w:styleId="Legal1">
    <w:name w:val="Legal 1"/>
    <w:autoRedefine/>
    <w:rsid w:val="00A27579"/>
    <w:pPr>
      <w:widowControl w:val="0"/>
      <w:numPr>
        <w:numId w:val="2"/>
      </w:numPr>
      <w:autoSpaceDE w:val="0"/>
      <w:autoSpaceDN w:val="0"/>
      <w:adjustRightInd w:val="0"/>
      <w:spacing w:after="360" w:line="360" w:lineRule="auto"/>
      <w:outlineLvl w:val="0"/>
    </w:pPr>
    <w:rPr>
      <w:rFonts w:ascii="Arial" w:hAnsi="Arial"/>
      <w:b/>
      <w:sz w:val="26"/>
      <w:lang w:val="en-US" w:eastAsia="en-US"/>
    </w:rPr>
  </w:style>
  <w:style w:type="paragraph" w:customStyle="1" w:styleId="Legal2">
    <w:name w:val="Legal 2"/>
    <w:pPr>
      <w:widowControl w:val="0"/>
      <w:numPr>
        <w:ilvl w:val="1"/>
        <w:numId w:val="2"/>
      </w:numPr>
      <w:autoSpaceDE w:val="0"/>
      <w:autoSpaceDN w:val="0"/>
      <w:adjustRightInd w:val="0"/>
      <w:spacing w:after="360" w:line="360" w:lineRule="auto"/>
      <w:jc w:val="both"/>
      <w:outlineLvl w:val="1"/>
    </w:pPr>
    <w:rPr>
      <w:rFonts w:ascii="Arial" w:hAnsi="Arial"/>
      <w:sz w:val="22"/>
      <w:lang w:val="en-US" w:eastAsia="en-US"/>
    </w:rPr>
  </w:style>
  <w:style w:type="paragraph" w:customStyle="1" w:styleId="Legal3">
    <w:name w:val="Legal 3"/>
    <w:pPr>
      <w:widowControl w:val="0"/>
      <w:numPr>
        <w:ilvl w:val="2"/>
        <w:numId w:val="3"/>
      </w:numPr>
      <w:autoSpaceDE w:val="0"/>
      <w:autoSpaceDN w:val="0"/>
      <w:adjustRightInd w:val="0"/>
      <w:spacing w:after="360" w:line="360" w:lineRule="auto"/>
      <w:jc w:val="both"/>
      <w:outlineLvl w:val="2"/>
    </w:pPr>
    <w:rPr>
      <w:rFonts w:ascii="Arial" w:hAnsi="Arial"/>
      <w:sz w:val="22"/>
      <w:lang w:val="en-US" w:eastAsia="en-US"/>
    </w:rPr>
  </w:style>
  <w:style w:type="paragraph" w:customStyle="1" w:styleId="Legal4">
    <w:name w:val="Legal 4"/>
    <w:pPr>
      <w:spacing w:after="360" w:line="360" w:lineRule="auto"/>
      <w:jc w:val="both"/>
    </w:pPr>
    <w:rPr>
      <w:sz w:val="24"/>
      <w:lang w:eastAsia="en-US"/>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rsid w:val="003E4846"/>
    <w:pPr>
      <w:spacing w:after="0" w:line="240" w:lineRule="auto"/>
    </w:pPr>
    <w:rPr>
      <w:rFonts w:ascii="Tahoma" w:hAnsi="Tahoma" w:cs="Tahoma"/>
      <w:sz w:val="16"/>
      <w:szCs w:val="16"/>
    </w:rPr>
  </w:style>
  <w:style w:type="character" w:customStyle="1" w:styleId="BalloonTextChar">
    <w:name w:val="Balloon Text Char"/>
    <w:link w:val="BalloonText"/>
    <w:rsid w:val="003E48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onycollins.com" TargetMode="External"/><Relationship Id="rId13" Type="http://schemas.openxmlformats.org/officeDocument/2006/relationships/header" Target="header3.xm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2a3a6c9-dff4-4fc8-bcde-a84e5a3dc5b4" ContentTypeId="0x010100BD20F0AA2B8D8A4D944BDFBEDAC77B8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2232</Value>
      <Value>30</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2017-04-02T23:00:00+00:00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Deed of Novation</TermName>
          <TermId xmlns="http://schemas.microsoft.com/office/infopath/2007/PartnerControls">d5445ca4-e592-406f-9455-a0fcfea09c1b</TermId>
        </TermInfo>
      </Terms>
    </TaxKeywordTaxHTField>
    <_dlc_DocId xmlns="d9d47bb6-4f0c-4a73-9c52-42ce93c6974d">TSQKMFYWJW5T-5-10079</_dlc_DocId>
    <_dlc_DocIdUrl xmlns="d9d47bb6-4f0c-4a73-9c52-42ce93c6974d">
      <Url>http://sharepoint/sites/PolicyProjects/_layouts/DocIdRedir.aspx?ID=TSQKMFYWJW5T-5-10079</Url>
      <Description>TSQKMFYWJW5T-5-10079</Description>
    </_dlc_DocIdUrl>
  </documentManagement>
</p:properties>
</file>

<file path=customXml/itemProps1.xml><?xml version="1.0" encoding="utf-8"?>
<ds:datastoreItem xmlns:ds="http://schemas.openxmlformats.org/officeDocument/2006/customXml" ds:itemID="{883569F6-095F-4CB2-B445-6BDA0EEE9FF2}"/>
</file>

<file path=customXml/itemProps2.xml><?xml version="1.0" encoding="utf-8"?>
<ds:datastoreItem xmlns:ds="http://schemas.openxmlformats.org/officeDocument/2006/customXml" ds:itemID="{333ACDF2-C473-4E75-91D9-4F199449338F}"/>
</file>

<file path=customXml/itemProps3.xml><?xml version="1.0" encoding="utf-8"?>
<ds:datastoreItem xmlns:ds="http://schemas.openxmlformats.org/officeDocument/2006/customXml" ds:itemID="{0E2B7E3C-81DF-4BA2-BC39-64978F1B288C}"/>
</file>

<file path=customXml/itemProps4.xml><?xml version="1.0" encoding="utf-8"?>
<ds:datastoreItem xmlns:ds="http://schemas.openxmlformats.org/officeDocument/2006/customXml" ds:itemID="{B3B2EC3C-B62A-4D34-BF49-54BB73A99782}"/>
</file>

<file path=customXml/itemProps5.xml><?xml version="1.0" encoding="utf-8"?>
<ds:datastoreItem xmlns:ds="http://schemas.openxmlformats.org/officeDocument/2006/customXml" ds:itemID="{84496F6C-C6D4-4C34-B505-73B966A62182}"/>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5264</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Deed of Novation</vt:lpstr>
    </vt:vector>
  </TitlesOfParts>
  <Company>ACSOL</Company>
  <LinksUpToDate>false</LinksUpToDate>
  <CharactersWithSpaces>6479</CharactersWithSpaces>
  <SharedDoc>false</SharedDoc>
  <HLinks>
    <vt:vector size="6" baseType="variant">
      <vt:variant>
        <vt:i4>2818083</vt:i4>
      </vt:variant>
      <vt:variant>
        <vt:i4>0</vt:i4>
      </vt:variant>
      <vt:variant>
        <vt:i4>0</vt:i4>
      </vt:variant>
      <vt:variant>
        <vt:i4>5</vt:i4>
      </vt:variant>
      <vt:variant>
        <vt:lpwstr>http://www.anthonycollins.com/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Novation</dc:title>
  <dc:subject/>
  <dc:creator>ACS</dc:creator>
  <cp:keywords>Deed of Novation</cp:keywords>
  <dc:description/>
  <cp:lastModifiedBy>Lucy Geidel</cp:lastModifiedBy>
  <cp:revision>2</cp:revision>
  <cp:lastPrinted>2016-11-21T11:37:00Z</cp:lastPrinted>
  <dcterms:created xsi:type="dcterms:W3CDTF">2017-03-20T14:53:00Z</dcterms:created>
  <dcterms:modified xsi:type="dcterms:W3CDTF">2017-03-20T14:53:00Z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45410.0001</vt:lpwstr>
  </property>
  <property fmtid="{D5CDD505-2E9C-101B-9397-08002B2CF9AE}" pid="3" name="EntityDescription">
    <vt:lpwstr>Procurement of the Carfax Site</vt:lpwstr>
  </property>
  <property fmtid="{D5CDD505-2E9C-101B-9397-08002B2CF9AE}" pid="4" name="Corresp">
    <vt:lpwstr>Lucy Geidel</vt:lpwstr>
  </property>
  <property fmtid="{D5CDD505-2E9C-101B-9397-08002B2CF9AE}" pid="5" name="ContentTypeId">
    <vt:lpwstr>0x010100BD20F0AA2B8D8A4D944BDFBEDAC77B88006916E55A54572C4F919928C707C1588F</vt:lpwstr>
  </property>
  <property fmtid="{D5CDD505-2E9C-101B-9397-08002B2CF9AE}" pid="6" name="_dlc_DocIdItemGuid">
    <vt:lpwstr>f26e3eb8-24e0-4b42-afef-0864defc4ff0</vt:lpwstr>
  </property>
  <property fmtid="{D5CDD505-2E9C-101B-9397-08002B2CF9AE}" pid="7" name="TaxKeyword">
    <vt:lpwstr>2232;#Deed of Novation|d5445ca4-e592-406f-9455-a0fcfea09c1b</vt:lpwstr>
  </property>
  <property fmtid="{D5CDD505-2E9C-101B-9397-08002B2CF9AE}" pid="8" name="Project Category">
    <vt:lpwstr>30;#Tendering|029210ce-0695-4436-9128-3f060b69fbe4</vt:lpwstr>
  </property>
</Properties>
</file>