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016E25" w:rsidRDefault="00833D49" w:rsidP="00016E25"/>
    <w:p w14:paraId="232FB725" w14:textId="77777777" w:rsidR="003A0DFC" w:rsidRPr="00A03847" w:rsidRDefault="003A0DFC" w:rsidP="003A0DFC">
      <w:pPr>
        <w:spacing w:after="0"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This Schedule is prepared from the perspective that the Agency is the Data Controller and the Contractor is the Data Processor. If this is not the case please amend the schedule accordingly, check the guidance on the Easinet and/or seek advice</w:t>
      </w:r>
      <w:r w:rsidRPr="00A03847">
        <w:rPr>
          <w:sz w:val="22"/>
          <w:szCs w:val="22"/>
        </w:rPr>
        <w:t>]</w:t>
      </w:r>
    </w:p>
    <w:p w14:paraId="7891D6F3" w14:textId="77777777" w:rsidR="003A0DFC" w:rsidRPr="00A03847" w:rsidRDefault="003A0DFC" w:rsidP="003A0DFC">
      <w:pPr>
        <w:spacing w:after="0" w:line="276" w:lineRule="auto"/>
        <w:jc w:val="both"/>
        <w:rPr>
          <w:sz w:val="22"/>
          <w:szCs w:val="22"/>
        </w:rPr>
      </w:pPr>
    </w:p>
    <w:p w14:paraId="0DF01BEF" w14:textId="77777777"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61F815E9" w14:textId="77777777" w:rsidR="003A0DFC" w:rsidRPr="00A03847" w:rsidRDefault="003A0DFC" w:rsidP="003A0DFC">
      <w:pPr>
        <w:spacing w:after="0" w:line="276" w:lineRule="auto"/>
        <w:jc w:val="both"/>
        <w:rPr>
          <w:sz w:val="22"/>
          <w:szCs w:val="22"/>
        </w:rPr>
      </w:pPr>
      <w:r w:rsidRPr="00A03847">
        <w:rPr>
          <w:b/>
          <w:sz w:val="22"/>
          <w:szCs w:val="22"/>
        </w:rPr>
        <w:t>Annex 2</w:t>
      </w:r>
      <w:r w:rsidRPr="00A03847">
        <w:rPr>
          <w:sz w:val="22"/>
          <w:szCs w:val="22"/>
        </w:rPr>
        <w:t>: Joint Controller Agreement (where required).</w:t>
      </w:r>
    </w:p>
    <w:p w14:paraId="056D67B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a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77777777"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w:t>
      </w:r>
      <w:r w:rsidRPr="00A03847">
        <w:rPr>
          <w:rFonts w:eastAsia="Arial"/>
          <w:sz w:val="22"/>
          <w:szCs w:val="22"/>
        </w:rPr>
        <w:lastRenderedPageBreak/>
        <w:t xml:space="preserve">in Annex 1. The only processing that the Processor is authorised to do is listed in Annex 1 by the Controller and may not be determined by the Processor.  </w:t>
      </w:r>
    </w:p>
    <w:p w14:paraId="486DF5F1" w14:textId="77777777" w:rsidR="003A0DFC" w:rsidRPr="00A03847" w:rsidRDefault="003A0DFC" w:rsidP="003A0DFC">
      <w:pPr>
        <w:spacing w:after="0" w:line="276" w:lineRule="auto"/>
        <w:ind w:left="720"/>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nature of the data to be protected;</w:t>
      </w:r>
      <w:bookmarkStart w:id="5" w:name="kix.4naaai8z6pfd" w:colFirst="0" w:colLast="0"/>
      <w:bookmarkEnd w:id="5"/>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harm that might result from a Data Loss Event;</w:t>
      </w:r>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measures;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A03847">
        <w:rPr>
          <w:rFonts w:eastAsia="Arial"/>
          <w:sz w:val="22"/>
          <w:szCs w:val="22"/>
        </w:rPr>
        <w:t>ensure that :</w:t>
      </w:r>
    </w:p>
    <w:p w14:paraId="739D67C8" w14:textId="77777777" w:rsidR="003A0DFC" w:rsidRPr="00A03847" w:rsidRDefault="003A0DFC" w:rsidP="003A0DFC">
      <w:pPr>
        <w:spacing w:after="0" w:line="276" w:lineRule="auto"/>
        <w:ind w:left="1554"/>
        <w:jc w:val="both"/>
        <w:rPr>
          <w:rFonts w:eastAsia="Arial"/>
          <w:sz w:val="22"/>
          <w:szCs w:val="22"/>
        </w:rPr>
      </w:pPr>
    </w:p>
    <w:p w14:paraId="78A365F4"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2F8B3D0D" w14:textId="77777777" w:rsidR="003A0DFC" w:rsidRPr="00A03847" w:rsidRDefault="003A0DFC" w:rsidP="003A0DFC">
      <w:pPr>
        <w:tabs>
          <w:tab w:val="left" w:pos="2261"/>
        </w:tabs>
        <w:spacing w:after="0" w:line="276" w:lineRule="auto"/>
        <w:ind w:left="2275"/>
        <w:jc w:val="both"/>
        <w:rPr>
          <w:rFonts w:eastAsia="Arial"/>
          <w:sz w:val="22"/>
          <w:szCs w:val="22"/>
        </w:rPr>
      </w:pPr>
    </w:p>
    <w:p w14:paraId="0BB1D57F"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40581E56" w14:textId="77777777" w:rsidR="003A0DFC" w:rsidRPr="00A03847" w:rsidRDefault="003A0DFC" w:rsidP="003A0DFC">
      <w:pPr>
        <w:tabs>
          <w:tab w:val="left" w:pos="2261"/>
        </w:tabs>
        <w:spacing w:after="0" w:line="276" w:lineRule="auto"/>
        <w:ind w:left="2275"/>
        <w:jc w:val="both"/>
        <w:rPr>
          <w:rFonts w:eastAsia="Arial"/>
          <w:sz w:val="22"/>
          <w:szCs w:val="22"/>
        </w:rPr>
      </w:pPr>
    </w:p>
    <w:p w14:paraId="0F90A1BC"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are aware of and comply with the Processor’s duties under this clause;</w:t>
      </w:r>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the Data Subject has enforceable rights and effective legal remedies;</w:t>
      </w:r>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the Processor complies with any reasonable instructions notified to it in advance by the Controller with respect to the processing of the Personal Data;</w:t>
      </w:r>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 xml:space="preserve">receives any communication from the Information Commissioner or any other regulatory authority in connection with Personal Data processed under this Contract;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becomes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that the processing is not occasional;</w:t>
      </w:r>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the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Controller;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77777777" w:rsidR="001A7F6F" w:rsidRDefault="001A7F6F" w:rsidP="00016E25"/>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t>Sam Lumb,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77777777" w:rsidR="003A0DFC" w:rsidRPr="00A03847" w:rsidRDefault="003A0DFC" w:rsidP="003A0DFC">
      <w:pPr>
        <w:spacing w:after="0" w:line="276" w:lineRule="auto"/>
        <w:jc w:val="both"/>
        <w:rPr>
          <w:sz w:val="22"/>
          <w:szCs w:val="22"/>
        </w:rPr>
      </w:pPr>
      <w:r w:rsidRPr="00A03847">
        <w:rPr>
          <w:sz w:val="22"/>
          <w:szCs w:val="22"/>
        </w:rPr>
        <w:t>2. The contact details of the Processor’s Data Protection Officer are: [</w:t>
      </w:r>
      <w:r w:rsidRPr="00A03847">
        <w:rPr>
          <w:sz w:val="22"/>
          <w:szCs w:val="22"/>
          <w:highlight w:val="yellow"/>
        </w:rPr>
        <w:t>Insert Contact details</w:t>
      </w:r>
      <w:r w:rsidRPr="00A03847">
        <w:rPr>
          <w:sz w:val="22"/>
          <w:szCs w:val="22"/>
        </w:rPr>
        <w:t>]</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76641D1E" w14:textId="77777777" w:rsidR="001A7F6F" w:rsidRPr="00016E25"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79BDFF8E" w14:textId="77777777" w:rsidR="001A7F6F" w:rsidRPr="00016E25" w:rsidRDefault="001A7F6F" w:rsidP="00016E25">
            <w:pPr>
              <w:rPr>
                <w:rFonts w:eastAsia="Arial"/>
                <w:highlight w:val="yellow"/>
              </w:rPr>
            </w:pPr>
          </w:p>
          <w:p w14:paraId="0901EDF0" w14:textId="77777777" w:rsidR="001A7F6F" w:rsidRPr="00016E25" w:rsidRDefault="001A7F6F" w:rsidP="00016E25">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example where the Parties are Joint Controller of some Personal Data: </w:t>
            </w:r>
          </w:p>
          <w:p w14:paraId="2A11D3B3" w14:textId="77777777" w:rsidR="001A7F6F" w:rsidRPr="00016E25" w:rsidRDefault="001A7F6F" w:rsidP="00016E25">
            <w:pPr>
              <w:rPr>
                <w:rFonts w:eastAsia="Arial"/>
                <w:i/>
              </w:rPr>
            </w:pPr>
          </w:p>
          <w:p w14:paraId="08F346C2" w14:textId="77777777" w:rsidR="001A7F6F" w:rsidRPr="00016E25" w:rsidRDefault="001A7F6F" w:rsidP="00016E25">
            <w:pPr>
              <w:rPr>
                <w:rFonts w:eastAsia="Arial"/>
                <w:i/>
              </w:rPr>
            </w:pPr>
            <w:r w:rsidRPr="00016E25">
              <w:rPr>
                <w:rFonts w:eastAsia="Arial"/>
                <w:i/>
              </w:rPr>
              <w:t>“Notwithstanding Clause 1.1 the Parties acknowledge that they are also Joint Controllers for the purposes of the Data Protection Legislation in respect of:</w:t>
            </w:r>
          </w:p>
          <w:p w14:paraId="77EE33F3" w14:textId="77777777" w:rsidR="001A7F6F" w:rsidRPr="00016E25" w:rsidRDefault="001A7F6F" w:rsidP="00016E25">
            <w:pPr>
              <w:rPr>
                <w:rFonts w:eastAsia="Arial"/>
                <w:i/>
              </w:rPr>
            </w:pPr>
            <w:r w:rsidRPr="00016E25">
              <w:rPr>
                <w:rFonts w:eastAsia="Arial"/>
                <w:i/>
                <w:highlight w:val="yellow"/>
              </w:rPr>
              <w:t>[Insert</w:t>
            </w:r>
            <w:r w:rsidRPr="00016E25">
              <w:rPr>
                <w:rFonts w:eastAsia="Arial"/>
                <w:i/>
              </w:rPr>
              <w:t xml:space="preserve"> the scope of Personal Data which the purposes and means of the processing is determined by the both Parties]</w:t>
            </w:r>
          </w:p>
          <w:p w14:paraId="084BE951" w14:textId="77777777" w:rsidR="001A7F6F" w:rsidRPr="00016E25" w:rsidRDefault="001A7F6F" w:rsidP="00016E25">
            <w:pPr>
              <w:rPr>
                <w:rFonts w:eastAsia="Arial"/>
                <w:i/>
              </w:rPr>
            </w:pPr>
          </w:p>
          <w:p w14:paraId="63427B9A" w14:textId="77777777" w:rsidR="001A7F6F" w:rsidRPr="00016E25" w:rsidRDefault="001A7F6F" w:rsidP="00016E25">
            <w:pPr>
              <w:rPr>
                <w:rFonts w:eastAsia="Arial"/>
                <w:i/>
              </w:rPr>
            </w:pPr>
            <w:r w:rsidRPr="00016E25">
              <w:rPr>
                <w:rFonts w:eastAsia="Arial"/>
                <w:i/>
              </w:rPr>
              <w:t>In respect of Personal Data under Joint Control, Clause 1.1-1.15 will not apply and the Parties agree to put in place a Joint Controller Agreement as outlined in Annex 2 instead.”</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t>Subject matter of the processing</w:t>
            </w:r>
          </w:p>
        </w:tc>
        <w:tc>
          <w:tcPr>
            <w:tcW w:w="6873" w:type="dxa"/>
            <w:shd w:val="clear" w:color="auto" w:fill="auto"/>
          </w:tcPr>
          <w:p w14:paraId="1D79DE4E" w14:textId="77777777" w:rsidR="001A7F6F" w:rsidRPr="00016E25" w:rsidRDefault="001A7F6F" w:rsidP="00016E25">
            <w:pPr>
              <w:rPr>
                <w:rFonts w:eastAsia="Arial"/>
                <w:i/>
              </w:rPr>
            </w:pPr>
            <w:r w:rsidRPr="00016E25">
              <w:rPr>
                <w:rFonts w:eastAsia="Arial"/>
                <w:i/>
              </w:rPr>
              <w:t xml:space="preserve">[This should be a high level, short description of what the processing is about i.e. its subject matter of the contract. </w:t>
            </w:r>
          </w:p>
          <w:p w14:paraId="675209CF" w14:textId="77777777" w:rsidR="001A7F6F" w:rsidRPr="00016E25" w:rsidRDefault="001A7F6F" w:rsidP="00016E25">
            <w:pPr>
              <w:rPr>
                <w:rFonts w:eastAsia="Arial"/>
                <w:i/>
              </w:rPr>
            </w:pPr>
          </w:p>
          <w:p w14:paraId="514F423C" w14:textId="77777777" w:rsidR="001A7F6F" w:rsidRPr="00016E25" w:rsidRDefault="001A7F6F" w:rsidP="00016E25">
            <w:pPr>
              <w:rPr>
                <w:rFonts w:eastAsia="Arial"/>
                <w:i/>
              </w:rPr>
            </w:pPr>
            <w:r w:rsidRPr="00016E25">
              <w:rPr>
                <w:rFonts w:eastAsia="Arial"/>
                <w:i/>
              </w:rPr>
              <w:t>Example: The processing is needed in order to ensure that the Processor can effectively deliver the contract to provide a service to members of the public. ]</w:t>
            </w:r>
          </w:p>
          <w:p w14:paraId="68ACD12F" w14:textId="77777777" w:rsidR="001A7F6F" w:rsidRPr="00016E25" w:rsidRDefault="001A7F6F" w:rsidP="00016E25">
            <w:pPr>
              <w:rPr>
                <w:rFonts w:eastAsia="Arial"/>
              </w:rPr>
            </w:pP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lastRenderedPageBreak/>
              <w:t>Duration of the processing</w:t>
            </w:r>
          </w:p>
        </w:tc>
        <w:tc>
          <w:tcPr>
            <w:tcW w:w="6873" w:type="dxa"/>
            <w:shd w:val="clear" w:color="auto" w:fill="auto"/>
          </w:tcPr>
          <w:p w14:paraId="3EE3CA91" w14:textId="77777777" w:rsidR="001A7F6F" w:rsidRPr="00016E25" w:rsidRDefault="001A7F6F" w:rsidP="00016E25">
            <w:pPr>
              <w:rPr>
                <w:rFonts w:eastAsia="Arial"/>
              </w:rPr>
            </w:pPr>
            <w:r w:rsidRPr="00016E25">
              <w:rPr>
                <w:rFonts w:eastAsia="Arial"/>
                <w:i/>
              </w:rPr>
              <w:t>[Clearly set out the duration of the processing including dates]</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3A3A703D" w14:textId="77777777" w:rsidR="001A7F6F" w:rsidRPr="00016E25" w:rsidRDefault="001A7F6F" w:rsidP="00016E25">
            <w:pPr>
              <w:rPr>
                <w:rFonts w:eastAsia="Arial"/>
                <w:i/>
              </w:rPr>
            </w:pPr>
            <w:r w:rsidRPr="00016E25">
              <w:rPr>
                <w:rFonts w:eastAsia="Arial"/>
                <w:i/>
              </w:rPr>
              <w:t xml:space="preserve">[Please be as specific as possible, but make sure that you cover all intended purposes. </w:t>
            </w:r>
          </w:p>
          <w:p w14:paraId="6EF09F3C" w14:textId="77777777" w:rsidR="001A7F6F" w:rsidRPr="00016E25" w:rsidRDefault="001A7F6F" w:rsidP="00016E25">
            <w:pPr>
              <w:rPr>
                <w:rFonts w:eastAsia="Arial"/>
                <w:i/>
              </w:rPr>
            </w:pPr>
          </w:p>
          <w:p w14:paraId="2019C127" w14:textId="77777777" w:rsidR="001A7F6F" w:rsidRPr="00016E25" w:rsidRDefault="001A7F6F" w:rsidP="00016E25">
            <w:pPr>
              <w:rPr>
                <w:rFonts w:eastAsia="Arial"/>
                <w:i/>
              </w:rPr>
            </w:pPr>
            <w:r w:rsidRPr="00016E25">
              <w:rPr>
                <w:rFonts w:eastAsia="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713AE7E" w14:textId="77777777" w:rsidR="001A7F6F" w:rsidRPr="00016E25" w:rsidRDefault="001A7F6F" w:rsidP="00016E25">
            <w:pPr>
              <w:rPr>
                <w:rFonts w:eastAsia="Arial"/>
                <w:i/>
              </w:rPr>
            </w:pPr>
          </w:p>
          <w:p w14:paraId="6919C986" w14:textId="77777777" w:rsidR="001A7F6F" w:rsidRPr="00016E25" w:rsidRDefault="001A7F6F" w:rsidP="00016E25">
            <w:pPr>
              <w:rPr>
                <w:rFonts w:eastAsia="Arial"/>
                <w:i/>
              </w:rPr>
            </w:pPr>
            <w:r w:rsidRPr="00016E25">
              <w:rPr>
                <w:rFonts w:eastAsia="Arial"/>
                <w:i/>
              </w:rPr>
              <w:t>The purpose might include: employment processing, statutory obligation, recruitment assessment etc]</w:t>
            </w:r>
          </w:p>
          <w:p w14:paraId="1D550AE6" w14:textId="77777777" w:rsidR="001A7F6F" w:rsidRPr="00016E25" w:rsidRDefault="001A7F6F" w:rsidP="00016E25">
            <w:pPr>
              <w:rPr>
                <w:rFonts w:eastAsia="Arial"/>
              </w:rPr>
            </w:pPr>
            <w:r w:rsidRPr="00016E25">
              <w:rPr>
                <w:rFonts w:eastAsia="Arial"/>
                <w:i/>
              </w:rPr>
              <w:t xml:space="preserv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t>Type of Personal Data being Processed</w:t>
            </w:r>
          </w:p>
        </w:tc>
        <w:tc>
          <w:tcPr>
            <w:tcW w:w="6873" w:type="dxa"/>
            <w:shd w:val="clear" w:color="auto" w:fill="auto"/>
          </w:tcPr>
          <w:p w14:paraId="3EB6A476" w14:textId="77777777" w:rsidR="001A7F6F" w:rsidRPr="00016E25" w:rsidRDefault="001A7F6F" w:rsidP="00016E25">
            <w:pPr>
              <w:rPr>
                <w:rFonts w:eastAsia="Arial"/>
              </w:rPr>
            </w:pPr>
            <w:r w:rsidRPr="00016E25">
              <w:rPr>
                <w:rFonts w:eastAsia="Arial"/>
                <w:i/>
              </w:rPr>
              <w:t>[Examples here include: name, address, date of birth, NI number, telephone number, pay, images, biometric data etc]</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77777777" w:rsidR="001A7F6F" w:rsidRPr="00016E25" w:rsidRDefault="001A7F6F" w:rsidP="00016E25">
            <w:pPr>
              <w:rPr>
                <w:rFonts w:eastAsia="Arial"/>
              </w:rPr>
            </w:pPr>
            <w:r w:rsidRPr="00016E25">
              <w:rPr>
                <w:rFonts w:eastAsia="Arial"/>
                <w:i/>
              </w:rPr>
              <w:t>[Examples include: Staff (including volunteers, agents, and temporary workers), customers/ clients, suppliers, patients, students / pupils, members of the public, users of a particular</w:t>
            </w:r>
            <w:r w:rsidRPr="00016E25">
              <w:rPr>
                <w:rFonts w:eastAsia="Arial"/>
                <w:i/>
              </w:rPr>
              <w:br/>
              <w:t>website etc]</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77777777" w:rsidR="001A7F6F" w:rsidRPr="00016E25" w:rsidRDefault="001A7F6F" w:rsidP="00016E25">
            <w:pPr>
              <w:rPr>
                <w:rFonts w:eastAsia="Arial"/>
              </w:rPr>
            </w:pPr>
            <w:r w:rsidRPr="00016E25">
              <w:rPr>
                <w:rFonts w:eastAsia="Arial"/>
                <w:i/>
              </w:rPr>
              <w:t>[Describe how long the data will be retained for, how it be returned or destroyed]</w:t>
            </w:r>
          </w:p>
        </w:tc>
      </w:tr>
    </w:tbl>
    <w:p w14:paraId="2B2EB648" w14:textId="77777777" w:rsidR="001A7F6F" w:rsidRPr="00016E25" w:rsidRDefault="001A7F6F" w:rsidP="00016E25"/>
    <w:p w14:paraId="3A13B928" w14:textId="77777777" w:rsidR="001A7F6F" w:rsidRPr="00016E25" w:rsidRDefault="001A7F6F" w:rsidP="00016E25">
      <w:r w:rsidRPr="00016E25">
        <w:br w:type="page"/>
      </w:r>
    </w:p>
    <w:p w14:paraId="32F5CB04" w14:textId="77777777" w:rsidR="00516529" w:rsidRDefault="00516529" w:rsidP="003A0DFC">
      <w:pPr>
        <w:spacing w:after="0" w:line="276" w:lineRule="auto"/>
        <w:jc w:val="both"/>
        <w:rPr>
          <w:rFonts w:eastAsia="Arial"/>
          <w:b/>
          <w:sz w:val="22"/>
          <w:szCs w:val="22"/>
        </w:rPr>
      </w:pPr>
    </w:p>
    <w:p w14:paraId="060B000D" w14:textId="77777777" w:rsidR="003A0DFC" w:rsidRPr="00A03847" w:rsidRDefault="003A0DFC" w:rsidP="003A0DFC">
      <w:pPr>
        <w:spacing w:after="0" w:line="276" w:lineRule="auto"/>
        <w:jc w:val="both"/>
        <w:rPr>
          <w:rFonts w:eastAsia="Arial"/>
          <w:sz w:val="22"/>
          <w:szCs w:val="22"/>
        </w:rPr>
      </w:pPr>
      <w:r w:rsidRPr="00A03847">
        <w:rPr>
          <w:rFonts w:eastAsia="Arial"/>
          <w:b/>
          <w:sz w:val="22"/>
          <w:szCs w:val="22"/>
        </w:rPr>
        <w:t>Annex 2: Joint Controller Agreement</w:t>
      </w:r>
    </w:p>
    <w:p w14:paraId="6F0DB1A9" w14:textId="77777777" w:rsidR="003A0DFC" w:rsidRPr="00A03847" w:rsidRDefault="003A0DFC" w:rsidP="003A0DFC">
      <w:pPr>
        <w:spacing w:after="0" w:line="276" w:lineRule="auto"/>
        <w:ind w:left="494"/>
        <w:jc w:val="both"/>
        <w:rPr>
          <w:rFonts w:eastAsia="Arial"/>
          <w:b/>
          <w:sz w:val="22"/>
          <w:szCs w:val="22"/>
        </w:rPr>
      </w:pPr>
      <w:r w:rsidRPr="00A03847">
        <w:rPr>
          <w:rFonts w:eastAsia="Arial"/>
          <w:b/>
          <w:sz w:val="22"/>
          <w:szCs w:val="22"/>
          <w:highlight w:val="yellow"/>
        </w:rPr>
        <w:t>[Guidance:</w:t>
      </w:r>
      <w:r w:rsidRPr="00A03847">
        <w:rPr>
          <w:rFonts w:eastAsia="Arial"/>
          <w:sz w:val="22"/>
          <w:szCs w:val="22"/>
        </w:rPr>
        <w:t xml:space="preserve"> </w:t>
      </w:r>
      <w:r w:rsidRPr="00516529">
        <w:rPr>
          <w:rFonts w:eastAsia="Arial"/>
          <w:i/>
          <w:sz w:val="22"/>
          <w:szCs w:val="22"/>
        </w:rPr>
        <w:t>insert only where Joint Controller applies in Annex 1</w:t>
      </w:r>
      <w:r w:rsidRPr="00A03847">
        <w:rPr>
          <w:rFonts w:eastAsia="Arial"/>
          <w:sz w:val="22"/>
          <w:szCs w:val="22"/>
        </w:rPr>
        <w:t>]</w:t>
      </w:r>
      <w:r w:rsidRPr="00A03847">
        <w:rPr>
          <w:rFonts w:eastAsia="Arial"/>
          <w:b/>
          <w:sz w:val="22"/>
          <w:szCs w:val="22"/>
        </w:rPr>
        <w:t xml:space="preserve"> </w:t>
      </w:r>
    </w:p>
    <w:p w14:paraId="7B659069"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In this Annex the Parties must outline each party’s responsibilities for: </w:t>
      </w:r>
    </w:p>
    <w:p w14:paraId="0261FB44"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providing information to data subjects under </w:t>
      </w:r>
      <w:hyperlink r:id="rId11">
        <w:r w:rsidRPr="00A03847">
          <w:rPr>
            <w:rFonts w:eastAsia="Arial"/>
            <w:color w:val="1155CC"/>
            <w:sz w:val="22"/>
            <w:szCs w:val="22"/>
            <w:u w:val="single"/>
          </w:rPr>
          <w:t>Article 13 and 14</w:t>
        </w:r>
      </w:hyperlink>
      <w:r w:rsidRPr="00A03847">
        <w:rPr>
          <w:rFonts w:eastAsia="Arial"/>
          <w:sz w:val="22"/>
          <w:szCs w:val="22"/>
        </w:rPr>
        <w:t xml:space="preserve"> of the GDPR. </w:t>
      </w:r>
    </w:p>
    <w:p w14:paraId="03F12192"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responding to data subject requests under </w:t>
      </w:r>
      <w:hyperlink r:id="rId12">
        <w:r w:rsidRPr="00A03847">
          <w:rPr>
            <w:rFonts w:eastAsia="Arial"/>
            <w:color w:val="1155CC"/>
            <w:sz w:val="22"/>
            <w:szCs w:val="22"/>
            <w:u w:val="single"/>
          </w:rPr>
          <w:t>Articles 15-22</w:t>
        </w:r>
      </w:hyperlink>
      <w:r w:rsidRPr="00A03847">
        <w:rPr>
          <w:rFonts w:eastAsia="Arial"/>
          <w:sz w:val="22"/>
          <w:szCs w:val="22"/>
        </w:rPr>
        <w:t xml:space="preserve"> of the GDPR</w:t>
      </w:r>
    </w:p>
    <w:p w14:paraId="54A1848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notifying the Information Commissioner (and data subjects) where necessary about data breaches</w:t>
      </w:r>
    </w:p>
    <w:p w14:paraId="536713FE"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 xml:space="preserve">maintaining records of processing under </w:t>
      </w:r>
      <w:hyperlink r:id="rId13">
        <w:r w:rsidRPr="00A03847">
          <w:rPr>
            <w:rFonts w:eastAsia="Arial"/>
            <w:color w:val="1155CC"/>
            <w:sz w:val="22"/>
            <w:szCs w:val="22"/>
            <w:u w:val="single"/>
          </w:rPr>
          <w:t>Article 30</w:t>
        </w:r>
      </w:hyperlink>
      <w:r w:rsidRPr="00A03847">
        <w:rPr>
          <w:rFonts w:eastAsia="Arial"/>
          <w:sz w:val="22"/>
          <w:szCs w:val="22"/>
        </w:rPr>
        <w:t xml:space="preserve"> of the GDPR </w:t>
      </w:r>
    </w:p>
    <w:p w14:paraId="3476CEB7"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carrying out any required Data Protection Impact Assessment</w:t>
      </w:r>
    </w:p>
    <w:p w14:paraId="4CE51B58" w14:textId="77777777" w:rsidR="003A0DFC" w:rsidRPr="00A03847" w:rsidRDefault="003A0DFC" w:rsidP="003A0DFC">
      <w:pPr>
        <w:numPr>
          <w:ilvl w:val="0"/>
          <w:numId w:val="1"/>
        </w:numPr>
        <w:spacing w:after="0" w:line="276" w:lineRule="auto"/>
        <w:contextualSpacing/>
        <w:jc w:val="both"/>
        <w:rPr>
          <w:sz w:val="22"/>
          <w:szCs w:val="22"/>
        </w:rPr>
      </w:pPr>
      <w:r w:rsidRPr="00A03847">
        <w:rPr>
          <w:rFonts w:eastAsia="Arial"/>
          <w:sz w:val="22"/>
          <w:szCs w:val="22"/>
        </w:rPr>
        <w:t>The agreement must include a statement as to who is the point of contact for data subjects.</w:t>
      </w:r>
    </w:p>
    <w:p w14:paraId="0C56E925"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The essence of this relationship shall be published. </w:t>
      </w:r>
    </w:p>
    <w:p w14:paraId="7D3AF2AD" w14:textId="77777777" w:rsidR="003A0DFC" w:rsidRPr="00A03847" w:rsidRDefault="003A0DFC" w:rsidP="003A0DFC">
      <w:pPr>
        <w:spacing w:after="0" w:line="276" w:lineRule="auto"/>
        <w:ind w:left="494"/>
        <w:jc w:val="both"/>
        <w:rPr>
          <w:rFonts w:eastAsia="Arial"/>
          <w:sz w:val="22"/>
          <w:szCs w:val="22"/>
        </w:rPr>
      </w:pPr>
      <w:r w:rsidRPr="00A03847">
        <w:rPr>
          <w:rFonts w:eastAsia="Arial"/>
          <w:sz w:val="22"/>
          <w:szCs w:val="22"/>
        </w:rPr>
        <w:t xml:space="preserve">You may wish to incorporate some clauses equivalent to those specified in Clause 1.2-1.14. </w:t>
      </w:r>
    </w:p>
    <w:p w14:paraId="597CC691" w14:textId="77777777" w:rsidR="003A0DFC" w:rsidRPr="00A03847" w:rsidRDefault="003A0DFC" w:rsidP="003A0DFC">
      <w:pPr>
        <w:spacing w:after="0" w:line="276" w:lineRule="auto"/>
        <w:jc w:val="both"/>
        <w:rPr>
          <w:rFonts w:eastAsia="Arial"/>
          <w:sz w:val="22"/>
          <w:szCs w:val="22"/>
        </w:rPr>
      </w:pPr>
      <w:r w:rsidRPr="00A03847">
        <w:rPr>
          <w:rFonts w:eastAsia="Arial"/>
          <w:sz w:val="22"/>
          <w:szCs w:val="22"/>
        </w:rPr>
        <w:t xml:space="preserve">You may also wish to include an additional clause apportioning liability between the parties arising out of data protection; of data that is jointly controlled. </w:t>
      </w:r>
    </w:p>
    <w:p w14:paraId="70EEC186" w14:textId="22DA7BEC" w:rsidR="001A7F6F" w:rsidRPr="00016E25" w:rsidRDefault="003A0DFC" w:rsidP="003A0DFC">
      <w:r w:rsidRPr="00A03847">
        <w:rPr>
          <w:rFonts w:eastAsia="Arial"/>
          <w:sz w:val="22"/>
          <w:szCs w:val="22"/>
        </w:rPr>
        <w:t>Where there is a Joint Control relationship, but no controller to processor relationship under the contract, this completed Annex 2 should be used instead of Clause 1.1-1.15.</w:t>
      </w:r>
    </w:p>
    <w:p w14:paraId="12831ACF" w14:textId="77777777" w:rsidR="001A7F6F" w:rsidRPr="00016E25" w:rsidRDefault="001A7F6F" w:rsidP="00016E25"/>
    <w:p w14:paraId="4AA824AE" w14:textId="77777777" w:rsidR="001A7F6F" w:rsidRPr="00016E25" w:rsidRDefault="001A7F6F" w:rsidP="00016E25">
      <w:r w:rsidRPr="00016E25">
        <w:t xml:space="preserve"> </w:t>
      </w:r>
    </w:p>
    <w:p w14:paraId="2F940ADE" w14:textId="77777777" w:rsidR="001A7F6F" w:rsidRPr="00016E25" w:rsidRDefault="001A7F6F" w:rsidP="00016E25"/>
    <w:p w14:paraId="5D71B074" w14:textId="77777777" w:rsidR="001A7F6F" w:rsidRPr="00016E25" w:rsidRDefault="001A7F6F" w:rsidP="00016E25"/>
    <w:p w14:paraId="7EF927C4" w14:textId="77777777" w:rsidR="001A7F6F" w:rsidRPr="00016E25" w:rsidRDefault="001A7F6F" w:rsidP="00016E25"/>
    <w:sectPr w:rsidR="001A7F6F" w:rsidRPr="00016E25" w:rsidSect="00A06D99">
      <w:headerReference w:type="default" r:id="rId14"/>
      <w:footerReference w:type="default" r:id="rId15"/>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BFC6" w14:textId="77777777" w:rsidR="007D6F55" w:rsidRDefault="007D6F55" w:rsidP="00E7240D">
      <w:pPr>
        <w:spacing w:after="0" w:line="240" w:lineRule="auto"/>
      </w:pPr>
      <w:r>
        <w:separator/>
      </w:r>
    </w:p>
  </w:endnote>
  <w:endnote w:type="continuationSeparator" w:id="0">
    <w:p w14:paraId="561F4202" w14:textId="77777777" w:rsidR="007D6F55" w:rsidRDefault="007D6F55" w:rsidP="00E7240D">
      <w:pPr>
        <w:spacing w:after="0" w:line="240" w:lineRule="auto"/>
      </w:pPr>
      <w:r>
        <w:continuationSeparator/>
      </w:r>
    </w:p>
  </w:endnote>
  <w:endnote w:type="continuationNotice" w:id="1">
    <w:p w14:paraId="56E87D46" w14:textId="77777777" w:rsidR="007D6F55" w:rsidRDefault="007D6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40BEC" w14:textId="77777777" w:rsidR="007D6F55" w:rsidRDefault="007D6F55" w:rsidP="00E7240D">
      <w:pPr>
        <w:spacing w:after="0" w:line="240" w:lineRule="auto"/>
      </w:pPr>
      <w:r>
        <w:separator/>
      </w:r>
    </w:p>
  </w:footnote>
  <w:footnote w:type="continuationSeparator" w:id="0">
    <w:p w14:paraId="5D43D14F" w14:textId="77777777" w:rsidR="007D6F55" w:rsidRDefault="007D6F55" w:rsidP="00E7240D">
      <w:pPr>
        <w:spacing w:after="0" w:line="240" w:lineRule="auto"/>
      </w:pPr>
      <w:r>
        <w:continuationSeparator/>
      </w:r>
    </w:p>
  </w:footnote>
  <w:footnote w:type="continuationNotice" w:id="1">
    <w:p w14:paraId="5B579FAD" w14:textId="77777777" w:rsidR="007D6F55" w:rsidRDefault="007D6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F3"/>
    <w:rsid w:val="00016E25"/>
    <w:rsid w:val="00032A53"/>
    <w:rsid w:val="00036828"/>
    <w:rsid w:val="00065E89"/>
    <w:rsid w:val="00074258"/>
    <w:rsid w:val="000A575C"/>
    <w:rsid w:val="000D5B51"/>
    <w:rsid w:val="000F5236"/>
    <w:rsid w:val="00112605"/>
    <w:rsid w:val="00122575"/>
    <w:rsid w:val="00124C16"/>
    <w:rsid w:val="0013529D"/>
    <w:rsid w:val="001905F7"/>
    <w:rsid w:val="00194833"/>
    <w:rsid w:val="00194CC5"/>
    <w:rsid w:val="001A7F6F"/>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6F15"/>
    <w:rsid w:val="003A0DFC"/>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D6F55"/>
    <w:rsid w:val="007E5E44"/>
    <w:rsid w:val="007F6C3A"/>
    <w:rsid w:val="008013BA"/>
    <w:rsid w:val="00801ECF"/>
    <w:rsid w:val="00812705"/>
    <w:rsid w:val="00812F17"/>
    <w:rsid w:val="00813270"/>
    <w:rsid w:val="00813C8B"/>
    <w:rsid w:val="00816BB5"/>
    <w:rsid w:val="0082657F"/>
    <w:rsid w:val="0083235C"/>
    <w:rsid w:val="00833D49"/>
    <w:rsid w:val="00835DE3"/>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20590"/>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N/TXT/PDF/?uri=CELEX:32016R0679&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EN/TXT/PDF/?uri=CELEX:32016R0679&amp;fr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PDF/?uri=CELEX:32016R0679&amp;from=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C0B80B6AAB934C969C9B55832612FF" ma:contentTypeVersion="4" ma:contentTypeDescription="Create a new document." ma:contentTypeScope="" ma:versionID="12eb76936fe7b5cf67e4808c1e7006dd">
  <xsd:schema xmlns:xsd="http://www.w3.org/2001/XMLSchema" xmlns:xs="http://www.w3.org/2001/XMLSchema" xmlns:p="http://schemas.microsoft.com/office/2006/metadata/properties" xmlns:ns2="2e747ccf-1774-430e-8b3e-ff9fbc88d58f" xmlns:ns3="6e9034c5-c4d3-430a-9d00-615157b1ee51" targetNamespace="http://schemas.microsoft.com/office/2006/metadata/properties" ma:root="true" ma:fieldsID="048ba99e8d539e0755f058f9c718f62b" ns2:_="" ns3:_="">
    <xsd:import namespace="2e747ccf-1774-430e-8b3e-ff9fbc88d58f"/>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47ccf-1774-430e-8b3e-ff9fbc88d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781C3-682A-41DD-B9A7-75D2519F6C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5BD96-7DC5-4F7F-9332-6D304CDB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47ccf-1774-430e-8b3e-ff9fbc88d58f"/>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EF95C-DFA6-41B6-B484-39135135E02B}">
  <ds:schemaRefs>
    <ds:schemaRef ds:uri="http://schemas.openxmlformats.org/officeDocument/2006/bibliography"/>
  </ds:schemaRefs>
</ds:datastoreItem>
</file>

<file path=customXml/itemProps4.xml><?xml version="1.0" encoding="utf-8"?>
<ds:datastoreItem xmlns:ds="http://schemas.openxmlformats.org/officeDocument/2006/customXml" ds:itemID="{FF9D7FD8-7CAF-430D-92A5-365F856A7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Hutchinson, Harold</cp:lastModifiedBy>
  <cp:revision>2</cp:revision>
  <dcterms:created xsi:type="dcterms:W3CDTF">2021-11-24T13:22:00Z</dcterms:created>
  <dcterms:modified xsi:type="dcterms:W3CDTF">2021-11-24T13:22:00Z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0x010100D4C0B80B6AAB934C969C9B55832612FF</vt:lpwstr>
  </property>
</Properties>
</file>