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2 (Staff Transfer)</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w:t>
      </w:r>
      <w:r w:rsidDel="00000000" w:rsidR="00000000" w:rsidRPr="00000000">
        <w:rPr>
          <w:rFonts w:ascii="Arial" w:cs="Arial" w:eastAsia="Arial" w:hAnsi="Arial"/>
          <w:sz w:val="24"/>
          <w:szCs w:val="24"/>
          <w:rtl w:val="0"/>
        </w:rPr>
        <w:t xml:space="preserve">need</w:t>
      </w:r>
      <w:r w:rsidDel="00000000" w:rsidR="00000000" w:rsidRPr="00000000">
        <w:rPr>
          <w:rFonts w:ascii="Arial" w:cs="Arial" w:eastAsia="Arial" w:hAnsi="Arial"/>
          <w:sz w:val="24"/>
          <w:szCs w:val="24"/>
          <w:rtl w:val="0"/>
        </w:rPr>
        <w:t xml:space="preserve"> to be selected.</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the Buyer on entry (1st generation) then Part A shall apply.</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staff transfer from former/incumbent supplier on entry (2nd generation), Part B shall apply.</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both a 1st and 2nd generation staff transfer on entry, then both Part A and Part B shall apply.</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If either Part A and/or Part B apply, then consider whether Part D (Pensions) shall apply and the Buyer shall indicate on the Order Form which Annex shall apply (either D1 (CSPS), D2 (NHSPS), D3 (LGPS) or D4 (Other Schemes)). Part D pensions may also apply where there is not a TUPE transfer for example where the incumbent provider is successful.</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no staff transfer (either 1st generation or 2nd generation) at the Start Date then Part C shall apply and Part D pensions may also apply where there is not a TUPE transfer for example where the incumbent provider is successful.</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position on staff transfers is not known at the bid stage, include Parts A, B, C and D at the bid stage and then update the Buyer Contract Details before signing to specify whether Parts A and/or B, or C and D apply to the Contract.</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Part E (dealing with staff transfer on exit) shall apply to every Contract.</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For further guidance on this Schedule contact Government Legal Department’s Employment Law Group]</w:t>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have the following meanings and they shall supplement Joint Schedule 1  (Definitions):</w:t>
      </w:r>
    </w:p>
    <w:tbl>
      <w:tblPr>
        <w:tblStyle w:val="Table1"/>
        <w:tblW w:w="9026.0" w:type="dxa"/>
        <w:jc w:val="left"/>
        <w:tblLayout w:type="fixed"/>
        <w:tblLook w:val="0400"/>
      </w:tblPr>
      <w:tblGrid>
        <w:gridCol w:w="2917"/>
        <w:gridCol w:w="6109"/>
        <w:tblGridChange w:id="0">
          <w:tblGrid>
            <w:gridCol w:w="2917"/>
            <w:gridCol w:w="6109"/>
          </w:tblGrid>
        </w:tblGridChange>
      </w:tblGrid>
      <w:tr>
        <w:trPr>
          <w:cantSplit w:val="1"/>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“Acquired Rights Directive” </w:t>
            </w:r>
          </w:p>
        </w:tc>
        <w:tc>
          <w:tcPr/>
          <w:p w:rsidR="00000000" w:rsidDel="00000000" w:rsidP="00000000" w:rsidRDefault="00000000" w:rsidRPr="00000000" w14:paraId="0000000F">
            <w:pPr>
              <w:numPr>
                <w:ilvl w:val="0"/>
                <w:numId w:val="1"/>
              </w:numPr>
              <w:tabs>
                <w:tab w:val="left" w:leader="none" w:pos="-179"/>
                <w:tab w:val="left" w:leader="none" w:pos="-9"/>
              </w:tabs>
              <w:spacing w:after="120" w:lineRule="auto"/>
              <w:ind w:left="170" w:hanging="170"/>
              <w:rPr>
                <w:rFonts w:ascii="Arial" w:cs="Arial" w:eastAsia="Arial" w:hAnsi="Arial"/>
                <w:sz w:val="24"/>
                <w:szCs w:val="24"/>
              </w:rPr>
            </w:pPr>
            <w:r w:rsidDel="00000000" w:rsidR="00000000" w:rsidRPr="00000000">
              <w:rPr>
                <w:rFonts w:ascii="Arial" w:cs="Arial" w:eastAsia="Arial" w:hAnsi="Arial"/>
                <w:sz w:val="24"/>
                <w:szCs w:val="24"/>
                <w:rtl w:val="0"/>
              </w:rPr>
              <w:t xml:space="preserve">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rsidR="00000000" w:rsidDel="00000000" w:rsidP="00000000" w:rsidRDefault="00000000" w:rsidRPr="00000000" w14:paraId="00000010">
            <w:pPr>
              <w:numPr>
                <w:ilvl w:val="0"/>
                <w:numId w:val="1"/>
              </w:numPr>
              <w:tabs>
                <w:tab w:val="left" w:leader="none" w:pos="-179"/>
                <w:tab w:val="left" w:leader="none" w:pos="-9"/>
              </w:tabs>
              <w:spacing w:after="120" w:lineRule="auto"/>
              <w:ind w:left="170" w:hanging="170"/>
              <w:rPr>
                <w:rFonts w:ascii="Arial" w:cs="Arial" w:eastAsia="Arial" w:hAnsi="Arial"/>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Liability"</w:t>
            </w:r>
          </w:p>
        </w:tc>
        <w:tc>
          <w:tcPr/>
          <w:p w:rsidR="00000000" w:rsidDel="00000000" w:rsidP="00000000" w:rsidRDefault="00000000" w:rsidRPr="00000000" w14:paraId="00000012">
            <w:pPr>
              <w:numPr>
                <w:ilvl w:val="0"/>
                <w:numId w:val="1"/>
              </w:numPr>
              <w:tabs>
                <w:tab w:val="left" w:leader="none" w:pos="-179"/>
                <w:tab w:val="left" w:leader="none" w:pos="-9"/>
              </w:tabs>
              <w:spacing w:after="120" w:lineRule="auto"/>
              <w:ind w:left="170" w:hanging="170"/>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sidDel="00000000" w:rsidR="00000000" w:rsidRPr="00000000">
              <w:rPr>
                <w:rtl w:val="0"/>
              </w:rPr>
            </w:r>
          </w:p>
          <w:p w:rsidR="00000000" w:rsidDel="00000000" w:rsidP="00000000" w:rsidRDefault="00000000" w:rsidRPr="00000000" w14:paraId="00000013">
            <w:pPr>
              <w:numPr>
                <w:ilvl w:val="1"/>
                <w:numId w:val="1"/>
              </w:numPr>
              <w:tabs>
                <w:tab w:val="left" w:leader="none" w:pos="-576"/>
                <w:tab w:val="left" w:leader="none"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color w:val="000000"/>
                <w:sz w:val="24"/>
                <w:szCs w:val="24"/>
                <w:rtl w:val="0"/>
              </w:rPr>
              <w:t xml:space="preserve">redundancy</w:t>
            </w:r>
            <w:r w:rsidDel="00000000" w:rsidR="00000000" w:rsidRPr="00000000">
              <w:rPr>
                <w:rFonts w:ascii="Arial" w:cs="Arial" w:eastAsia="Arial" w:hAnsi="Arial"/>
                <w:sz w:val="24"/>
                <w:szCs w:val="24"/>
                <w:rtl w:val="0"/>
              </w:rPr>
              <w:t xml:space="preserve"> payments including contractual or enhanced redundancy costs, termination costs and notice payments; </w:t>
            </w:r>
            <w:r w:rsidDel="00000000" w:rsidR="00000000" w:rsidRPr="00000000">
              <w:rPr>
                <w:rtl w:val="0"/>
              </w:rPr>
            </w:r>
          </w:p>
        </w:tc>
      </w:tr>
      <w:tr>
        <w:trPr>
          <w:cantSplit w:val="1"/>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numPr>
                <w:ilvl w:val="1"/>
                <w:numId w:val="1"/>
              </w:numPr>
              <w:tabs>
                <w:tab w:val="left" w:leader="none" w:pos="-576"/>
                <w:tab w:val="left" w:leader="none"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unfair, wrongful or constructive dismissal </w:t>
            </w:r>
            <w:r w:rsidDel="00000000" w:rsidR="00000000" w:rsidRPr="00000000">
              <w:rPr>
                <w:rFonts w:ascii="Arial" w:cs="Arial" w:eastAsia="Arial" w:hAnsi="Arial"/>
                <w:color w:val="000000"/>
                <w:sz w:val="24"/>
                <w:szCs w:val="24"/>
                <w:rtl w:val="0"/>
              </w:rPr>
              <w:t xml:space="preserve">compensation</w:t>
            </w:r>
            <w:r w:rsidDel="00000000" w:rsidR="00000000" w:rsidRPr="00000000">
              <w:rPr>
                <w:rFonts w:ascii="Arial" w:cs="Arial" w:eastAsia="Arial" w:hAnsi="Arial"/>
                <w:sz w:val="24"/>
                <w:szCs w:val="24"/>
                <w:rtl w:val="0"/>
              </w:rPr>
              <w:t xml:space="preserve">;</w:t>
            </w:r>
          </w:p>
        </w:tc>
      </w:tr>
      <w:tr>
        <w:trPr>
          <w:cantSplit w:val="1"/>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numPr>
                <w:ilvl w:val="1"/>
                <w:numId w:val="1"/>
              </w:numPr>
              <w:tabs>
                <w:tab w:val="left" w:leader="none" w:pos="-576"/>
                <w:tab w:val="left" w:leader="none"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discrimination on grounds of  sex, race, disability, age, religion or belief, gender reassignment, marriage or civil partnership, pregnancy and maternity  or sexual orientation or claims for equal pay; </w:t>
            </w:r>
          </w:p>
        </w:tc>
      </w:tr>
      <w:tr>
        <w:trPr>
          <w:cantSplit w:val="1"/>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numPr>
                <w:ilvl w:val="1"/>
                <w:numId w:val="1"/>
              </w:numPr>
              <w:tabs>
                <w:tab w:val="left" w:leader="none" w:pos="-576"/>
                <w:tab w:val="left" w:leader="none" w:pos="144"/>
              </w:tabs>
              <w:spacing w:after="120" w:lineRule="auto"/>
              <w:ind w:left="720" w:hanging="545"/>
              <w:rPr>
                <w:rFonts w:ascii="Arial" w:cs="Arial" w:eastAsia="Arial" w:hAnsi="Arial"/>
                <w:sz w:val="24"/>
                <w:szCs w:val="24"/>
              </w:rPr>
            </w:pPr>
            <w:r w:rsidDel="00000000" w:rsidR="00000000" w:rsidRPr="00000000">
              <w:rPr>
                <w:rFonts w:ascii="Arial" w:cs="Arial" w:eastAsia="Arial" w:hAnsi="Arial"/>
                <w:sz w:val="24"/>
                <w:szCs w:val="24"/>
                <w:rtl w:val="0"/>
              </w:rPr>
              <w:t xml:space="preserve">compensation for less favourable treatment of part-time workers or fixed term employees;</w:t>
            </w:r>
          </w:p>
        </w:tc>
      </w:tr>
      <w:tr>
        <w:trPr>
          <w:cantSplit w:val="1"/>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B">
            <w:pPr>
              <w:numPr>
                <w:ilvl w:val="1"/>
                <w:numId w:val="1"/>
              </w:numPr>
              <w:tabs>
                <w:tab w:val="left" w:leader="none" w:pos="-576"/>
                <w:tab w:val="left" w:leader="none"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outstanding employment debts and unlawful deduction of wages </w:t>
            </w:r>
            <w:r w:rsidDel="00000000" w:rsidR="00000000" w:rsidRPr="00000000">
              <w:rPr>
                <w:rFonts w:ascii="Arial" w:cs="Arial" w:eastAsia="Arial" w:hAnsi="Arial"/>
                <w:color w:val="000000"/>
                <w:sz w:val="24"/>
                <w:szCs w:val="24"/>
                <w:rtl w:val="0"/>
              </w:rPr>
              <w:t xml:space="preserve">including</w:t>
            </w:r>
            <w:r w:rsidDel="00000000" w:rsidR="00000000" w:rsidRPr="00000000">
              <w:rPr>
                <w:rFonts w:ascii="Arial" w:cs="Arial" w:eastAsia="Arial" w:hAnsi="Arial"/>
                <w:sz w:val="24"/>
                <w:szCs w:val="24"/>
                <w:rtl w:val="0"/>
              </w:rPr>
              <w:t xml:space="preserve"> any PAYE and National Insurance Contributions;</w:t>
            </w:r>
            <w:r w:rsidDel="00000000" w:rsidR="00000000" w:rsidRPr="00000000">
              <w:rPr>
                <w:rtl w:val="0"/>
              </w:rPr>
            </w:r>
          </w:p>
        </w:tc>
      </w:tr>
      <w:tr>
        <w:trPr>
          <w:cantSplit w:val="1"/>
          <w:tblHeader w:val="0"/>
        </w:trPr>
        <w:tc>
          <w:tcPr/>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numPr>
                <w:ilvl w:val="1"/>
                <w:numId w:val="1"/>
              </w:numPr>
              <w:tabs>
                <w:tab w:val="left" w:leader="none" w:pos="-576"/>
                <w:tab w:val="left" w:leader="none" w:pos="144"/>
              </w:tabs>
              <w:spacing w:after="120" w:lineRule="auto"/>
              <w:ind w:left="720" w:hanging="545"/>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employment claims whether in tort, contract or statute or otherwise;</w:t>
            </w:r>
            <w:r w:rsidDel="00000000" w:rsidR="00000000" w:rsidRPr="00000000">
              <w:rPr>
                <w:rtl w:val="0"/>
              </w:rPr>
            </w:r>
          </w:p>
        </w:tc>
      </w:tr>
      <w:tr>
        <w:trPr>
          <w:cantSplit w:val="1"/>
          <w:tblHeader w:val="0"/>
        </w:trPr>
        <w:tc>
          <w:tcPr/>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numPr>
                <w:ilvl w:val="1"/>
                <w:numId w:val="1"/>
              </w:numPr>
              <w:tabs>
                <w:tab w:val="left" w:leader="none" w:pos="-576"/>
                <w:tab w:val="left" w:leader="none" w:pos="144"/>
              </w:tabs>
              <w:spacing w:after="120" w:lineRule="auto"/>
              <w:ind w:left="720" w:hanging="545"/>
              <w:rPr>
                <w:i w:val="1"/>
                <w:sz w:val="24"/>
                <w:szCs w:val="24"/>
              </w:rPr>
            </w:pPr>
            <w:r w:rsidDel="00000000" w:rsidR="00000000" w:rsidRPr="00000000">
              <w:rPr>
                <w:rFonts w:ascii="Arial" w:cs="Arial" w:eastAsia="Arial" w:hAnsi="Arial"/>
                <w:sz w:val="24"/>
                <w:szCs w:val="24"/>
                <w:rtl w:val="0"/>
              </w:rPr>
              <w:t xml:space="preserve">any investigation relating  to  employment matters by the Equality and Human Rights Commission or other enforcement, regulatory or supervisory body and of implementing any requirements which may arise from such investigation;</w:t>
            </w:r>
            <w:r w:rsidDel="00000000" w:rsidR="00000000" w:rsidRPr="00000000">
              <w:rPr>
                <w:rtl w:val="0"/>
              </w:rPr>
            </w:r>
          </w:p>
        </w:tc>
      </w:tr>
      <w:tr>
        <w:trPr>
          <w:cantSplit w:val="1"/>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"Former Supplier"</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supplier supplying services to the Buyer before the Relevant Transfer Date that are the same as or substantially similar to the Services (or any part of the Services) and shall include any Subcontractor of such supplier (or any Subcontractor of any such Subcontractor);</w:t>
            </w:r>
          </w:p>
        </w:tc>
      </w:tr>
      <w:tr>
        <w:trPr>
          <w:cantSplit w:val="1"/>
          <w:trHeight w:val="3560"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Fair Deal"</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revised Fair Deal position set out in the 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Staff Transfer from Central Government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October 2013 including:</w:t>
            </w:r>
          </w:p>
          <w:p w:rsidR="00000000" w:rsidDel="00000000" w:rsidP="00000000" w:rsidRDefault="00000000" w:rsidRPr="00000000" w14:paraId="0000002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to that document immediately prior to the Relevant Transfer Date; and</w:t>
            </w:r>
          </w:p>
          <w:p w:rsidR="00000000" w:rsidDel="00000000" w:rsidP="00000000" w:rsidRDefault="00000000" w:rsidRPr="00000000" w14:paraId="0000002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150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similar pension protection in accordance with the Annexes D1-D3 inclusive to Part D of this Schedule as notified to the Supplier by the Buyer;</w:t>
            </w:r>
          </w:p>
        </w:tc>
      </w:tr>
      <w:tr>
        <w:trPr>
          <w:cantSplit w:val="1"/>
          <w:trHeight w:val="1824" w:hRule="atLeast"/>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“Old Fair Deal”</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 Treasury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Staff Transfers from Central Government: A Fair Deal for Staff Pensions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1999 including the supplementary guidance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Fair Deal for Staff pensions: Procurement of Bulk Transfer Agreements and Related Issues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issued in June 2004;</w:t>
            </w:r>
          </w:p>
        </w:tc>
      </w:tr>
      <w:tr>
        <w:trPr>
          <w:cantSplit w:val="1"/>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 Termination"</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5"/>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partial termination of the relevant Contract to the extent that it relates to the provision of any part of the Services as further provided for in Clause 10.4 (When CCS or the Buyer can end this contract) or 10.6 (When the Supplier can end the contract);</w:t>
            </w:r>
          </w:p>
        </w:tc>
      </w:tr>
      <w:tr>
        <w:trPr>
          <w:cantSplit w:val="1"/>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transfer of employment to which the Employment Regulations apply;</w:t>
            </w:r>
            <w:r w:rsidDel="00000000" w:rsidR="00000000" w:rsidRPr="00000000">
              <w:rPr>
                <w:rtl w:val="0"/>
              </w:rPr>
            </w:r>
          </w:p>
        </w:tc>
      </w:tr>
      <w:tr>
        <w:trPr>
          <w:cantSplit w:val="1"/>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Transfer Date"</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Relevant Transfer, the date upon which the Relevant Transfer takes place. For the purposes of Part D: Pensions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Start Date;</w:t>
            </w:r>
            <w:r w:rsidDel="00000000" w:rsidR="00000000" w:rsidRPr="00000000">
              <w:rPr>
                <w:rtl w:val="0"/>
              </w:rPr>
            </w:r>
          </w:p>
        </w:tc>
      </w:tr>
      <w:tr>
        <w:trPr>
          <w:cantSplit w:val="1"/>
          <w:tblHeader w:val="0"/>
        </w:trPr>
        <w:tc>
          <w:tcPr/>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"Staffing Information"</w:t>
            </w:r>
          </w:p>
        </w:tc>
        <w:tc>
          <w:tcPr/>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all persons identified on the Supplier's Provisional Supplier Personnel List or Supplier's Final Supplier Personnel List, as the case may be, such information as the Buyer may reasonably request (subject to all applicable provisions of the Data Protection Legislation), but including in an anonymised format:</w:t>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tab/>
              <w:t xml:space="preserve">their ages, dates of commencement of employment or engagement, gender and place of work;</w:t>
            </w:r>
          </w:p>
        </w:tc>
      </w:tr>
      <w:tr>
        <w:trPr>
          <w:cantSplit w:val="1"/>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tab/>
              <w:t xml:space="preserve">details of whether they are employed, self-employed contractors or consultants, agency workers or otherwise;</w:t>
            </w:r>
          </w:p>
        </w:tc>
      </w:tr>
      <w:tr>
        <w:trPr>
          <w:cantSplit w:val="1"/>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55" w:right="0" w:hanging="65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the identity of the employer or relevant contracting Party;</w:t>
            </w:r>
          </w:p>
        </w:tc>
      </w:tr>
      <w:tr>
        <w:trPr>
          <w:cantSplit w:val="1"/>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their relevant contractual notice periods and any other terms relating to termination of employment, including redundancy procedures, and redundancy payments;</w:t>
            </w:r>
          </w:p>
        </w:tc>
      </w:tr>
      <w:tr>
        <w:trPr>
          <w:cantSplit w:val="1"/>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their wages, salaries, bonuses and profit sharing arrangements as applicable;</w:t>
            </w:r>
          </w:p>
        </w:tc>
      </w:tr>
      <w:tr>
        <w:trPr>
          <w:cantSplit w:val="1"/>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w:t>
              <w:tab/>
              <w:t xml:space="preserve">details of other employment-related benefits, including (without limitation) medical insurance, life assurance, pension or other retirement benefit schemes, share option schemes and company car schedules applicable to them;</w:t>
            </w:r>
          </w:p>
        </w:tc>
      </w:tr>
      <w:tr>
        <w:trPr>
          <w:cantSplit w:val="1"/>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t>
              <w:tab/>
              <w:t xml:space="preserve">any outstanding or potential contractual, statutory or other liabilities in respect of such individuals (including in respect of personal injury claims);</w:t>
            </w:r>
          </w:p>
        </w:tc>
      </w:tr>
      <w:tr>
        <w:trPr>
          <w:cantSplit w:val="1"/>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w:t>
              <w:tab/>
              <w:t xml:space="preserve">details of any such individuals on long term sickness absence, parental leave, maternity leave or other authorised long term absence; </w:t>
            </w:r>
          </w:p>
        </w:tc>
      </w:tr>
      <w:tr>
        <w:trPr>
          <w:cantSplit w:val="1"/>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copies of all relevant documents and materials relating to such information, including copies of relevant contracts of employment (or relevant standard contracts if applied generally in respect of such employees); and</w:t>
            </w:r>
          </w:p>
        </w:tc>
      </w:tr>
      <w:tr>
        <w:trPr>
          <w:cantSplit w:val="1"/>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w:t>
              <w:tab/>
              <w:t xml:space="preserve">any other "employee liability information" as such term is defined in regulation 11 of the Employment Regulations; </w:t>
            </w:r>
          </w:p>
        </w:tc>
      </w:tr>
      <w:tr>
        <w:trPr>
          <w:cantSplit w:val="1"/>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Final Supplier Personnel List"</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provided by the Supplier of all Supplier Staff whose will transfer under the Employment Regulations on the Service Transfer Date;</w:t>
            </w:r>
          </w:p>
        </w:tc>
      </w:tr>
      <w:tr>
        <w:trPr>
          <w:cantSplit w:val="1"/>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Provisional Supplier Personnel List"</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prepared and updated by the Supplier of all Supplier Staff who are at the date of the list  wholly or mainly engaged in or assigned to the provision of the Services or any relevant part of the Services which it is envisaged as at the date of such list will no longer be provided by the Supplier;</w:t>
            </w:r>
          </w:p>
        </w:tc>
      </w:tr>
      <w:tr>
        <w:trPr>
          <w:cantSplit w:val="1"/>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commencing on the Start Date and ending on the expiry of the Initial Period or any Extension Period or on earlier termination of the relevant Contract;</w:t>
            </w:r>
          </w:p>
        </w:tc>
      </w:tr>
      <w:tr>
        <w:trPr>
          <w:cantSplit w:val="1"/>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Buyer Employees"</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Buyer to whom the Employment Regulations will apply on the Relevant Transfer Date;</w:t>
            </w:r>
          </w:p>
        </w:tc>
      </w:tr>
      <w:tr>
        <w:trPr>
          <w:cantSplit w:val="1"/>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Former Supplier Employees"</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Former Supplier, those employees of the Former Supplier to whom the Employment Regulations will apply on the Relevant Transfer Date.</w:t>
            </w:r>
            <w:r w:rsidDel="00000000" w:rsidR="00000000" w:rsidRPr="00000000">
              <w:rPr>
                <w:rtl w:val="0"/>
              </w:rPr>
            </w:r>
          </w:p>
        </w:tc>
      </w:tr>
    </w:tbl>
    <w:p w:rsidR="00000000" w:rsidDel="00000000" w:rsidP="00000000" w:rsidRDefault="00000000" w:rsidRPr="00000000" w14:paraId="0000004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INTERPRETATION</w:t>
      </w:r>
    </w:p>
    <w:p w:rsidR="00000000" w:rsidDel="00000000" w:rsidP="00000000" w:rsidRDefault="00000000" w:rsidRPr="00000000" w14:paraId="0000004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Third Party Beneficiary may enforce, or take any step to enforce, any Third Party Provision without the prior written consent of the Buyer, which may, if given, be given on and subject to such terms as the Buyer may determine.</w:t>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amendments or modifications to this Call-Off Contract may be made, and any rights created under Paragraph 2.2 above may be altered or extinguished, by the Parties without the consent of any Third Party Beneficiary.  </w:t>
      </w:r>
    </w:p>
    <w:p w:rsidR="00000000" w:rsidDel="00000000" w:rsidP="00000000" w:rsidRDefault="00000000" w:rsidRPr="00000000" w14:paraId="0000005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Which parts of this Schedule apply</w:t>
      </w:r>
      <w:r w:rsidDel="00000000" w:rsidR="00000000" w:rsidRPr="00000000">
        <w:rPr>
          <w:rtl w:val="0"/>
        </w:rPr>
      </w:r>
    </w:p>
    <w:p w:rsidR="00000000" w:rsidDel="00000000" w:rsidP="00000000" w:rsidRDefault="00000000" w:rsidRPr="00000000" w14:paraId="00000055">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Only the following parts of this Schedule shall apply to this Call Off Contract:</w:t>
      </w:r>
    </w:p>
    <w:p w:rsidR="00000000" w:rsidDel="00000000" w:rsidP="00000000" w:rsidRDefault="00000000" w:rsidRPr="00000000" w14:paraId="00000056">
      <w:pPr>
        <w:spacing w:after="0" w:line="259" w:lineRule="auto"/>
        <w:rPr>
          <w:rFonts w:ascii="Arial" w:cs="Arial" w:eastAsia="Arial" w:hAnsi="Arial"/>
          <w:i w:val="0"/>
          <w:sz w:val="24"/>
          <w:szCs w:val="24"/>
        </w:rPr>
      </w:pPr>
      <w:r w:rsidDel="00000000" w:rsidR="00000000" w:rsidRPr="00000000">
        <w:rPr>
          <w:rtl w:val="0"/>
        </w:rPr>
      </w:r>
    </w:p>
    <w:p w:rsidR="00000000" w:rsidDel="00000000" w:rsidP="00000000" w:rsidRDefault="00000000" w:rsidRPr="00000000" w14:paraId="00000057">
      <w:pPr>
        <w:spacing w:after="0" w:line="259" w:lineRule="auto"/>
        <w:rPr>
          <w:rFonts w:ascii="Arial" w:cs="Arial" w:eastAsia="Arial" w:hAnsi="Arial"/>
          <w:b w:val="1"/>
          <w:sz w:val="24"/>
          <w:szCs w:val="24"/>
        </w:rPr>
      </w:pPr>
      <w:r w:rsidDel="00000000" w:rsidR="00000000" w:rsidRPr="00000000">
        <w:rPr>
          <w:rFonts w:ascii="Arial" w:cs="Arial" w:eastAsia="Arial" w:hAnsi="Arial"/>
          <w:i w:val="0"/>
          <w:sz w:val="24"/>
          <w:szCs w:val="24"/>
          <w:rtl w:val="0"/>
        </w:rPr>
        <w:t xml:space="preserve">                </w:t>
      </w:r>
      <w:r w:rsidDel="00000000" w:rsidR="00000000" w:rsidRPr="00000000">
        <w:rPr>
          <w:rFonts w:ascii="Arial" w:cs="Arial" w:eastAsia="Arial" w:hAnsi="Arial"/>
          <w:b w:val="1"/>
          <w:i w:val="0"/>
          <w:sz w:val="24"/>
          <w:szCs w:val="24"/>
          <w:rtl w:val="0"/>
        </w:rPr>
        <w:t xml:space="preserve">Part C (No Staff Transfer on the Start Date of the call off contract)</w:t>
      </w:r>
      <w:r w:rsidDel="00000000" w:rsidR="00000000" w:rsidRPr="00000000">
        <w:rPr>
          <w:rtl w:val="0"/>
        </w:rPr>
      </w:r>
    </w:p>
    <w:p w:rsidR="00000000" w:rsidDel="00000000" w:rsidP="00000000" w:rsidRDefault="00000000" w:rsidRPr="00000000" w14:paraId="00000058">
      <w:pPr>
        <w:pStyle w:val="Heading1"/>
        <w:jc w:val="both"/>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jc w:val="both"/>
        <w:rPr/>
      </w:pPr>
      <w:r w:rsidDel="00000000" w:rsidR="00000000" w:rsidRPr="00000000">
        <w:rPr>
          <w:rtl w:val="0"/>
        </w:rPr>
      </w:r>
    </w:p>
    <w:p w:rsidR="00000000" w:rsidDel="00000000" w:rsidP="00000000" w:rsidRDefault="00000000" w:rsidRPr="00000000" w14:paraId="0000005A">
      <w:pPr>
        <w:pStyle w:val="Heading1"/>
        <w:jc w:val="both"/>
        <w:rPr>
          <w:rFonts w:ascii="Arial Bold" w:cs="Arial Bold" w:eastAsia="Arial Bold" w:hAnsi="Arial Bold"/>
          <w:smallCaps w:val="0"/>
          <w:sz w:val="36"/>
          <w:szCs w:val="36"/>
        </w:rPr>
      </w:pPr>
      <w:r w:rsidDel="00000000" w:rsidR="00000000" w:rsidRPr="00000000">
        <w:rPr>
          <w:rFonts w:ascii="Arial Bold" w:cs="Arial Bold" w:eastAsia="Arial Bold" w:hAnsi="Arial Bold"/>
          <w:smallCaps w:val="0"/>
          <w:sz w:val="36"/>
          <w:szCs w:val="36"/>
          <w:rtl w:val="0"/>
        </w:rPr>
        <w:t xml:space="preserve">Part C: No Staff Transfer on the Start Date</w:t>
      </w:r>
    </w:p>
    <w:p w:rsidR="00000000" w:rsidDel="00000000" w:rsidP="00000000" w:rsidRDefault="00000000" w:rsidRPr="00000000" w14:paraId="0000005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357" w:right="0" w:hanging="357"/>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staff transfer</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the Supplier agree that the commencement of the provision of the Services or of any part of the Services will not be a Relevant Transfer in relation to any employees of the Buyer and/or any Former Supplier.  </w:t>
      </w:r>
    </w:p>
    <w:p w:rsidR="00000000" w:rsidDel="00000000" w:rsidP="00000000" w:rsidRDefault="00000000" w:rsidRPr="00000000" w14:paraId="0000005D">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w:t>
      </w:r>
    </w:p>
    <w:p w:rsidR="00000000" w:rsidDel="00000000" w:rsidP="00000000" w:rsidRDefault="00000000" w:rsidRPr="00000000" w14:paraId="0000005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relevant Subcontractor shall, within 5 Working Days of becoming aware of that fact, notify the Buyer in writing and, where required by the Buyer, notify the Former Supplier in writing; and</w:t>
      </w:r>
    </w:p>
    <w:p w:rsidR="00000000" w:rsidDel="00000000" w:rsidP="00000000" w:rsidRDefault="00000000" w:rsidRPr="00000000" w14:paraId="0000005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and/or the Former Supplier may offer (or may procure that a third party may offer) employment to such person within 15 Working Days of the notification from the Supplier or the Subcontractor (as appropriate) or take such other reasonable steps as the Buyer or Former Supplier (as the case may be) it considers appropriate to deal with the matter provided always that such steps are in compliance with applicable Law.</w:t>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offer referred to in Paragraph 1.2.2 is accepted (or if the situation has otherwise been resolved by the Buyer and/or the Former Supplier), the Supplier shall, or shall procure that the Subcontractor shall, immediately release the person from his/her employment or alleged employment.</w:t>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by the end of the 15 Working Day period referred to in Paragraph 1.2.2: </w:t>
      </w:r>
    </w:p>
    <w:p w:rsidR="00000000" w:rsidDel="00000000" w:rsidP="00000000" w:rsidRDefault="00000000" w:rsidRPr="00000000" w14:paraId="0000006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such offer of employment has been made; </w:t>
      </w:r>
    </w:p>
    <w:p w:rsidR="00000000" w:rsidDel="00000000" w:rsidP="00000000" w:rsidRDefault="00000000" w:rsidRPr="00000000" w14:paraId="0000006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offer has been made but not accepted; or</w:t>
      </w:r>
    </w:p>
    <w:p w:rsidR="00000000" w:rsidDel="00000000" w:rsidP="00000000" w:rsidRDefault="00000000" w:rsidRPr="00000000" w14:paraId="0000006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situation has not otherwise been resolved;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within 5 Working Days give notice to terminate the employment or alleged employment of such person.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Supplier and/or the relevant Subcontractor acting in accordance with the provisions of Paragraphs 1.2 to 1.4  and in accordance with all applicable employment procedures set out in applicable Law and subject also to Paragraph 1.8 the Buyer shall:</w:t>
      </w:r>
    </w:p>
    <w:p w:rsidR="00000000" w:rsidDel="00000000" w:rsidP="00000000" w:rsidRDefault="00000000" w:rsidRPr="00000000" w14:paraId="0000006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indemnify the Supplier and/or the relevant Subcontractor against all Employee Liabilities arising out of the termination of the employment of any of the Buyer's employees referred to in Paragraph 1.2 made pursuant to the provisions of Paragraph 1.4 provided that the Supplier takes, or shall procure that the Subcontractor takes, all reasonable steps to minimise any such Employee Liabilities; and </w:t>
      </w:r>
    </w:p>
    <w:p w:rsidR="00000000" w:rsidDel="00000000" w:rsidP="00000000" w:rsidRDefault="00000000" w:rsidRPr="00000000" w14:paraId="0000006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procure that the Former Supplier indemnifies the Supplier and/or any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000000" w:rsidDel="00000000" w:rsidP="00000000" w:rsidRDefault="00000000" w:rsidRPr="00000000" w14:paraId="0000006A">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such person as is described in Paragraph 1.2 is neither re employed by the Buyer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000000" w:rsidDel="00000000" w:rsidP="00000000" w:rsidRDefault="00000000" w:rsidRPr="00000000" w14:paraId="0000006B">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person remains employed by the Supplier and/or any Subcontractor pursuant to Paragraph 1.6,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indemnities in Paragraph 1.5: </w:t>
      </w:r>
    </w:p>
    <w:p w:rsidR="00000000" w:rsidDel="00000000" w:rsidP="00000000" w:rsidRDefault="00000000" w:rsidRPr="00000000" w14:paraId="0000006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apply to: </w:t>
      </w:r>
    </w:p>
    <w:p w:rsidR="00000000" w:rsidDel="00000000" w:rsidP="00000000" w:rsidRDefault="00000000" w:rsidRPr="00000000" w14:paraId="0000006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claim for: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discrimination, including on the grounds of sex, race, disability, age, gender reassignment, marriage or civil partnership, pregnancy and maternity or sexual orientation, religion or belief; or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9" w:right="0" w:hanging="991.999999999999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w:t>
        <w:tab/>
        <w:t xml:space="preserve">equal pay or compensation for less favourable treatment of part-time workers or fixed-term employees,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any case in relation to any alleged act or omission of the Supplier and/or Subcontractor; or</w:t>
      </w:r>
    </w:p>
    <w:p w:rsidR="00000000" w:rsidDel="00000000" w:rsidP="00000000" w:rsidRDefault="00000000" w:rsidRPr="00000000" w14:paraId="0000007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20" w:before="120" w:line="240" w:lineRule="auto"/>
        <w:ind w:left="28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that the termination of employment was unfair because the Supplier and/or any Subcontractor neglected to follow a fair dismissal procedure; and </w:t>
      </w:r>
    </w:p>
    <w:p w:rsidR="00000000" w:rsidDel="00000000" w:rsidP="00000000" w:rsidRDefault="00000000" w:rsidRPr="00000000" w14:paraId="0000007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120" w:line="240" w:lineRule="auto"/>
        <w:ind w:left="2214"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apply only where the notification referred to in Paragraph 1.2.1 is made by the Supplier and/or any Subcontractor to the Buyer and, if applicable, Former Supplier within 6 months of the Start Date. </w:t>
      </w:r>
    </w:p>
    <w:p w:rsidR="00000000" w:rsidDel="00000000" w:rsidP="00000000" w:rsidRDefault="00000000" w:rsidRPr="00000000" w14:paraId="0000007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993"/>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000000" w:rsidDel="00000000" w:rsidP="00000000" w:rsidRDefault="00000000" w:rsidRPr="00000000" w14:paraId="00000076">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Limits on the Former Supplier’s obligations</w:t>
      </w:r>
      <w:r w:rsidDel="00000000" w:rsidR="00000000" w:rsidRPr="00000000">
        <w:rPr>
          <w:rtl w:val="0"/>
        </w:rPr>
      </w:r>
    </w:p>
    <w:p w:rsidR="00000000" w:rsidDel="00000000" w:rsidP="00000000" w:rsidRDefault="00000000" w:rsidRPr="00000000" w14:paraId="00000077">
      <w:pPr>
        <w:ind w:left="3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Times New Roman"/>
  <w:font w:name="Arial"/>
  <w:font w:name="Georg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80">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center" w:leader="none" w:pos="4513"/>
        <w:tab w:val="right" w:leader="none"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84">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w:t>
    </w:r>
    <w:r w:rsidDel="00000000" w:rsidR="00000000" w:rsidRPr="00000000">
      <w:rPr>
        <w:rFonts w:ascii="Arial" w:cs="Arial" w:eastAsia="Arial" w:hAnsi="Arial"/>
        <w:color w:val="000000"/>
        <w:sz w:val="20"/>
        <w:szCs w:val="20"/>
        <w:rtl w:val="0"/>
      </w:rPr>
      <w:t xml:space="preserve">RM6217</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2 (Staff Transfer)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cs="Arial" w:eastAsia="Arial" w:hAnsi="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Lines w:val="1"/>
    </w:pPr>
    <w:rPr>
      <w:rFonts w:ascii="Trebuchet MS" w:cs="Trebuchet MS" w:eastAsia="Trebuchet MS" w:hAnsi="Trebuchet MS"/>
    </w:rPr>
  </w:style>
  <w:style w:type="paragraph" w:styleId="Heading4">
    <w:name w:val="heading 4"/>
    <w:basedOn w:val="Normal"/>
    <w:next w:val="Normal"/>
    <w:pPr>
      <w:keepLines w:val="1"/>
    </w:pPr>
    <w:rPr>
      <w:rFonts w:ascii="Trebuchet MS" w:cs="Trebuchet MS" w:eastAsia="Trebuchet MS" w:hAnsi="Trebuchet MS"/>
    </w:rPr>
  </w:style>
  <w:style w:type="paragraph" w:styleId="Heading5">
    <w:name w:val="heading 5"/>
    <w:basedOn w:val="Normal"/>
    <w:next w:val="Normal"/>
    <w:pPr>
      <w:keepLines w:val="1"/>
    </w:pPr>
    <w:rPr>
      <w:rFonts w:ascii="Trebuchet MS" w:cs="Trebuchet MS" w:eastAsia="Trebuchet MS" w:hAnsi="Trebuchet MS"/>
    </w:rPr>
  </w:style>
  <w:style w:type="paragraph" w:styleId="Heading6">
    <w:name w:val="heading 6"/>
    <w:basedOn w:val="Normal"/>
    <w:next w:val="Normal"/>
    <w:pPr>
      <w:keepLines w:val="0"/>
      <w:spacing w:line="360" w:lineRule="auto"/>
    </w:pPr>
    <w:rPr>
      <w:rFonts w:ascii="Times New Roman" w:cs="Times New Roman" w:eastAsia="Times New Roman" w:hAnsi="Times New Roman"/>
    </w:rPr>
  </w:style>
  <w:style w:type="paragraph" w:styleId="Title">
    <w:name w:val="Title"/>
    <w:basedOn w:val="Normal"/>
    <w:next w:val="Normal"/>
    <w:pPr>
      <w:spacing w:after="60" w:before="240" w:line="36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jc w:val="both"/>
      <w:textAlignment w:val="baseline"/>
    </w:pPr>
    <w:rPr>
      <w:rFonts w:cs="Arial" w:eastAsia="Times New Roman"/>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val="1"/>
    <w:pPr>
      <w:spacing w:after="240"/>
      <w:jc w:val="center"/>
      <w:outlineLvl w:val="0"/>
    </w:pPr>
    <w:rPr>
      <w:rFonts w:ascii="Trebuchet MS" w:eastAsia="Times New Roman" w:hAnsi="Trebuchet MS"/>
      <w:b w:val="1"/>
      <w:caps w:val="1"/>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val="1"/>
    <w:pPr>
      <w:keepNext w:val="1"/>
      <w:keepLines w:val="1"/>
      <w:outlineLvl w:val="1"/>
    </w:pPr>
    <w:rPr>
      <w:rFonts w:ascii="Trebuchet MS" w:eastAsia="HGｺﾞｼｯｸM" w:hAnsi="Trebuchet MS"/>
      <w:b w:val="1"/>
      <w:bCs w:val="1"/>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val="1"/>
    <w:pPr>
      <w:keepLines w:val="1"/>
      <w:outlineLvl w:val="2"/>
    </w:pPr>
    <w:rPr>
      <w:rFonts w:ascii="Trebuchet MS" w:eastAsia="HGｺﾞｼｯｸM" w:hAnsi="Trebuchet MS"/>
      <w:bCs w:val="1"/>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val="1"/>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val="1"/>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val="1"/>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val="1"/>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val="1"/>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val="1"/>
    <w:pPr>
      <w:numPr>
        <w:ilvl w:val="3"/>
        <w:numId w:val="1"/>
      </w:numPr>
      <w:outlineLvl w:val="8"/>
    </w:pPr>
    <w:rPr>
      <w:rFonts w:ascii="Trebuchet MS" w:eastAsia="Trebuchet MS" w:hAnsi="Trebuchet M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val="1"/>
      <w:caps w:val="1"/>
      <w:sz w:val="22"/>
      <w:szCs w:val="22"/>
      <w:lang w:eastAsia="en-US"/>
    </w:rPr>
  </w:style>
  <w:style w:type="character" w:styleId="Heading2Char" w:customStyle="1">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cs="Arial" w:eastAsia="HGｺﾞｼｯｸM" w:hAnsi="Trebuchet MS"/>
      <w:b w:val="1"/>
      <w:bCs w:val="1"/>
      <w:sz w:val="22"/>
      <w:szCs w:val="22"/>
      <w:lang w:eastAsia="en-US"/>
    </w:rPr>
  </w:style>
  <w:style w:type="character" w:styleId="Heading3Char" w:customStyle="1">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cs="Arial" w:eastAsia="HGｺﾞｼｯｸM" w:hAnsi="Trebuchet MS"/>
      <w:bCs w:val="1"/>
      <w:sz w:val="22"/>
      <w:szCs w:val="22"/>
      <w:lang w:eastAsia="en-US"/>
    </w:rPr>
  </w:style>
  <w:style w:type="character" w:styleId="Heading4Char" w:customStyle="1">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cs="Arial" w:eastAsia="HGｺﾞｼｯｸM" w:hAnsi="Trebuchet MS"/>
      <w:bCs w:val="1"/>
      <w:sz w:val="22"/>
      <w:szCs w:val="22"/>
      <w:lang w:eastAsia="en-US"/>
    </w:rPr>
  </w:style>
  <w:style w:type="character" w:styleId="Heading5Char" w:customStyle="1">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cs="Arial" w:eastAsia="HGｺﾞｼｯｸM" w:hAnsi="Trebuchet MS"/>
      <w:bCs w:val="1"/>
      <w:sz w:val="22"/>
      <w:szCs w:val="22"/>
      <w:lang w:eastAsia="en-US"/>
    </w:rPr>
  </w:style>
  <w:style w:type="character" w:styleId="Heading7Char" w:customStyle="1">
    <w:name w:val="Heading 7 Char"/>
    <w:aliases w:val="3AP Char,Heading 7(unused) Char,Legal Level 1.1. Char,L2 PIP Char,Lev 7 Char,H7DO NOT USE Char,PA Appendix Major Char,Blank 3 Char,Heading 7 (Do Not Use) Char,Appendix Major Char"/>
    <w:link w:val="Heading7"/>
    <w:rPr>
      <w:rFonts w:ascii="Trebuchet MS" w:cs="Arial" w:eastAsia="Trebuchet MS" w:hAnsi="Trebuchet MS"/>
      <w:sz w:val="22"/>
      <w:szCs w:val="22"/>
      <w:lang w:eastAsia="en-US"/>
    </w:rPr>
  </w:style>
  <w:style w:type="character" w:styleId="Heading8Char" w:customStyle="1">
    <w:name w:val="Heading 8 Char"/>
    <w:aliases w:val="4AP Char,Legal Level 1.1.1. Char,Lev 8 Char,h8 DO NOT USE Char,PA Appendix Minor Char,Blank 4 Char,h8 Char,Heading 8 (Do Not Use) Char,Appendix Minor Char"/>
    <w:link w:val="Heading8"/>
    <w:rPr>
      <w:rFonts w:ascii="Trebuchet MS" w:cs="Arial" w:eastAsia="Trebuchet MS" w:hAnsi="Trebuchet MS"/>
      <w:sz w:val="22"/>
      <w:szCs w:val="22"/>
      <w:lang w:eastAsia="en-US"/>
    </w:rPr>
  </w:style>
  <w:style w:type="character" w:styleId="Heading9Char" w:customStyle="1">
    <w:name w:val="Heading 9 Char"/>
    <w:aliases w:val="5AP Char,Heading 9 (defunct) Char,Legal Level 1.1.1.1. Char,Lev 9 Char,h9 DO NOT USE Char,App Heading Char,Titre 10 Char,App1 Char,Blank 5 Char,appendix Char,h9 Char,Heading 9 (Do Not Use) Char"/>
    <w:link w:val="Heading9"/>
    <w:rPr>
      <w:rFonts w:ascii="Trebuchet MS" w:cs="Arial" w:eastAsia="Trebuchet MS" w:hAnsi="Trebuchet MS"/>
      <w:sz w:val="22"/>
      <w:szCs w:val="22"/>
      <w:lang w:eastAsia="en-US"/>
    </w:rPr>
  </w:style>
  <w:style w:type="paragraph" w:styleId="MarginText" w:customStyle="1">
    <w:name w:val="Margin Text"/>
    <w:basedOn w:val="BodyText"/>
    <w:link w:val="MarginTextChar"/>
    <w:pPr>
      <w:spacing w:after="240"/>
      <w:ind w:left="709"/>
    </w:pPr>
    <w:rPr>
      <w:rFonts w:ascii="Trebuchet MS" w:eastAsia="Trebuchet MS" w:hAnsi="Trebuchet MS"/>
    </w:rPr>
  </w:style>
  <w:style w:type="character" w:styleId="MarginTextChar" w:customStyle="1">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link w:val="Footer"/>
    <w:uiPriority w:val="99"/>
    <w:rPr>
      <w:rFonts w:cs="Arial" w:eastAsia="Times New Roman"/>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styleId="BodyTextIndentChar" w:customStyle="1">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styleId="BodyTextIndent2Char" w:customStyle="1">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link w:val="Header"/>
    <w:uiPriority w:val="99"/>
    <w:rPr>
      <w:rFonts w:cs="Arial" w:eastAsia="Times New Roman"/>
      <w:sz w:val="22"/>
      <w:szCs w:val="22"/>
      <w:lang w:eastAsia="en-US"/>
    </w:rPr>
  </w:style>
  <w:style w:type="paragraph" w:styleId="SchHeadDes" w:customStyle="1">
    <w:name w:val="SchHeadDes"/>
    <w:basedOn w:val="Normal"/>
    <w:next w:val="Normal"/>
    <w:pPr>
      <w:keepNext w:val="1"/>
      <w:spacing w:after="120" w:before="120"/>
      <w:jc w:val="center"/>
    </w:pPr>
    <w:rPr>
      <w:rFonts w:ascii="Trebuchet MS" w:hAnsi="Trebuchet MS"/>
      <w:b w:val="1"/>
    </w:rPr>
  </w:style>
  <w:style w:type="paragraph" w:styleId="Guidancenoteparagraphtext" w:customStyle="1">
    <w:name w:val="Guidance note paragraph text"/>
    <w:basedOn w:val="MarginText"/>
    <w:link w:val="GuidancenoteparagraphtextChar"/>
    <w:qFormat w:val="1"/>
    <w:rPr>
      <w:rFonts w:ascii="Arial"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eastAsia="STZhongsong" w:hAnsi="Arial"/>
      <w:b w:val="1"/>
      <w:i w:val="1"/>
      <w:color w:val="000000"/>
      <w:szCs w:val="24"/>
      <w:lang w:eastAsia="zh-CN"/>
    </w:rPr>
  </w:style>
  <w:style w:type="paragraph" w:styleId="PartDes" w:customStyle="1">
    <w:name w:val="PartDes"/>
    <w:basedOn w:val="Normal"/>
    <w:qFormat w:val="1"/>
    <w:pPr>
      <w:spacing w:after="120" w:before="120"/>
      <w:jc w:val="center"/>
    </w:pPr>
    <w:rPr>
      <w:rFonts w:ascii="Trebuchet MS" w:cs="Times New Roman" w:eastAsia="Trebuchet MS" w:hAnsi="Trebuchet MS"/>
      <w:b w:val="1"/>
      <w:bCs w:val="1"/>
    </w:rPr>
  </w:style>
  <w:style w:type="paragraph" w:styleId="TableNormal1" w:customStyle="1">
    <w:name w:val="Table Normal1"/>
    <w:basedOn w:val="Normal"/>
    <w:pPr>
      <w:spacing w:after="120" w:before="120"/>
      <w:ind w:left="34"/>
    </w:pPr>
    <w:rPr>
      <w:rFonts w:ascii="Trebuchet MS" w:cs="Times New Roman" w:eastAsia="Trebuchet MS" w:hAnsi="Trebuchet MS"/>
    </w:rPr>
  </w:style>
  <w:style w:type="paragraph" w:styleId="BodyText">
    <w:name w:val="Body Text"/>
    <w:basedOn w:val="Normal"/>
    <w:link w:val="BodyTextChar"/>
    <w:uiPriority w:val="99"/>
    <w:unhideWhenUsed w:val="1"/>
    <w:pPr>
      <w:spacing w:after="120"/>
    </w:pPr>
  </w:style>
  <w:style w:type="character" w:styleId="BodyTextChar" w:customStyle="1">
    <w:name w:val="Body Text Char"/>
    <w:link w:val="BodyText"/>
    <w:uiPriority w:val="99"/>
    <w:rPr>
      <w:sz w:val="22"/>
      <w:szCs w:val="22"/>
      <w:lang w:eastAsia="en-US"/>
    </w:rPr>
  </w:style>
  <w:style w:type="paragraph" w:styleId="FootnoteText">
    <w:name w:val="footnote text"/>
    <w:basedOn w:val="Normal"/>
    <w:link w:val="FootnoteTextChar"/>
    <w:uiPriority w:val="99"/>
    <w:unhideWhenUsed w:val="1"/>
    <w:rPr>
      <w:sz w:val="20"/>
      <w:szCs w:val="20"/>
    </w:rPr>
  </w:style>
  <w:style w:type="character" w:styleId="FootnoteTextChar" w:customStyle="1">
    <w:name w:val="Footnote Text Char"/>
    <w:link w:val="FootnoteText"/>
    <w:uiPriority w:val="99"/>
    <w:rPr>
      <w:lang w:eastAsia="en-US"/>
    </w:rPr>
  </w:style>
  <w:style w:type="character" w:styleId="FootnoteReference">
    <w:name w:val="footnote reference"/>
    <w:uiPriority w:val="99"/>
    <w:unhideWhenUsed w:val="1"/>
    <w:rPr>
      <w:vertAlign w:val="superscript"/>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link w:val="BalloonText"/>
    <w:uiPriority w:val="99"/>
    <w:semiHidden w:val="1"/>
    <w:rPr>
      <w:rFonts w:ascii="Tahoma" w:cs="Tahoma" w:eastAsia="Times New Roman" w:hAnsi="Tahoma"/>
      <w:sz w:val="16"/>
      <w:szCs w:val="16"/>
      <w:lang w:eastAsia="en-US"/>
    </w:rPr>
  </w:style>
  <w:style w:type="character" w:styleId="CommentReference">
    <w:name w:val="annotation reference"/>
    <w:uiPriority w:val="99"/>
    <w:unhideWhenUsed w:val="1"/>
    <w:rPr>
      <w:sz w:val="16"/>
      <w:szCs w:val="16"/>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link w:val="CommentText"/>
    <w:uiPriority w:val="99"/>
    <w:rPr>
      <w:rFonts w:cs="Arial" w:eastAsia="Times New Roman"/>
      <w:lang w:eastAsia="en-US"/>
    </w:rPr>
  </w:style>
  <w:style w:type="paragraph" w:styleId="CommentSubject">
    <w:name w:val="annotation subject"/>
    <w:basedOn w:val="CommentText"/>
    <w:next w:val="CommentText"/>
    <w:link w:val="CommentSubjectChar"/>
    <w:uiPriority w:val="99"/>
    <w:unhideWhenUsed w:val="1"/>
    <w:rPr>
      <w:b w:val="1"/>
      <w:bCs w:val="1"/>
    </w:rPr>
  </w:style>
  <w:style w:type="character" w:styleId="CommentSubjectChar" w:customStyle="1">
    <w:name w:val="Comment Subject Char"/>
    <w:link w:val="CommentSubject"/>
    <w:uiPriority w:val="99"/>
    <w:rPr>
      <w:rFonts w:cs="Arial" w:eastAsia="Times New Roman"/>
      <w:b w:val="1"/>
      <w:bCs w:val="1"/>
      <w:lang w:eastAsia="en-US"/>
    </w:rPr>
  </w:style>
  <w:style w:type="character" w:styleId="Heading6Char" w:customStyle="1">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styleId="BodyTextIndent3Char" w:customStyle="1">
    <w:name w:val="Body Text Indent 3 Char"/>
    <w:link w:val="BodyTextIndent3"/>
    <w:rPr>
      <w:rFonts w:ascii="Times New Roman" w:eastAsia="Times New Roman" w:hAnsi="Times New Roman"/>
      <w:sz w:val="22"/>
      <w:lang w:eastAsia="en-US"/>
    </w:rPr>
  </w:style>
  <w:style w:type="paragraph" w:styleId="BodyTextIndent4" w:customStyle="1">
    <w:name w:val="Body Text Indent 4"/>
    <w:basedOn w:val="Normal"/>
    <w:pPr>
      <w:spacing w:line="360" w:lineRule="auto"/>
      <w:ind w:left="2880"/>
    </w:pPr>
    <w:rPr>
      <w:rFonts w:ascii="Times New Roman" w:hAnsi="Times New Roman"/>
      <w:szCs w:val="20"/>
    </w:rPr>
  </w:style>
  <w:style w:type="paragraph" w:styleId="BodyTextIndent5" w:customStyle="1">
    <w:name w:val="Body Text Indent 5"/>
    <w:basedOn w:val="Normal"/>
    <w:pPr>
      <w:spacing w:line="360" w:lineRule="auto"/>
      <w:ind w:left="3600"/>
    </w:pPr>
    <w:rPr>
      <w:rFonts w:ascii="Times New Roman" w:hAnsi="Times New Roman"/>
      <w:szCs w:val="20"/>
    </w:rPr>
  </w:style>
  <w:style w:type="paragraph" w:styleId="BodyTextIndent6" w:customStyle="1">
    <w:name w:val="Body Text Indent 6"/>
    <w:basedOn w:val="BodyTextIndent5"/>
    <w:pPr>
      <w:ind w:left="4320"/>
    </w:pPr>
  </w:style>
  <w:style w:type="paragraph" w:styleId="BodyTextIndent7" w:customStyle="1">
    <w:name w:val="Body Text Indent 7"/>
    <w:basedOn w:val="BodyTextIndent6"/>
  </w:style>
  <w:style w:type="paragraph" w:styleId="SchHead" w:customStyle="1">
    <w:name w:val="SchHead"/>
    <w:basedOn w:val="MarginText"/>
    <w:next w:val="SchHeadDes"/>
    <w:pPr>
      <w:spacing w:line="360" w:lineRule="auto"/>
      <w:ind w:left="0"/>
      <w:jc w:val="center"/>
    </w:pPr>
    <w:rPr>
      <w:rFonts w:ascii="Times New Roman" w:eastAsia="Times New Roman" w:hAnsi="Times New Roman"/>
      <w:b w:val="1"/>
      <w:caps w:val="1"/>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val="1"/>
    <w:pPr>
      <w:spacing w:before="120" w:line="360" w:lineRule="auto"/>
    </w:pPr>
    <w:rPr>
      <w:rFonts w:ascii="Times New Roman" w:hAnsi="Times New Roman"/>
      <w:b w:val="1"/>
      <w:szCs w:val="20"/>
    </w:rPr>
  </w:style>
  <w:style w:type="paragraph" w:styleId="Title">
    <w:name w:val="Title"/>
    <w:basedOn w:val="Normal"/>
    <w:link w:val="TitleChar"/>
    <w:qFormat w:val="1"/>
    <w:pPr>
      <w:spacing w:after="60" w:before="240" w:line="360" w:lineRule="auto"/>
      <w:jc w:val="center"/>
    </w:pPr>
    <w:rPr>
      <w:rFonts w:ascii="Arial" w:hAnsi="Arial"/>
      <w:b w:val="1"/>
      <w:kern w:val="28"/>
      <w:sz w:val="32"/>
      <w:szCs w:val="20"/>
    </w:rPr>
  </w:style>
  <w:style w:type="character" w:styleId="TitleChar" w:customStyle="1">
    <w:name w:val="Title Char"/>
    <w:link w:val="Title"/>
    <w:rPr>
      <w:rFonts w:ascii="Arial" w:eastAsia="Times New Roman" w:hAnsi="Arial"/>
      <w:b w:val="1"/>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styleId="BBLegal2" w:customStyle="1">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styleId="msolistparagraph0" w:customStyle="1">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val="1"/>
    <w:pPr>
      <w:spacing w:line="360" w:lineRule="auto"/>
    </w:pPr>
    <w:rPr>
      <w:rFonts w:ascii="Times New Roman" w:hAnsi="Times New Roman"/>
      <w:szCs w:val="20"/>
    </w:rPr>
  </w:style>
  <w:style w:type="paragraph" w:styleId="TOC2">
    <w:name w:val="toc 2"/>
    <w:basedOn w:val="Normal"/>
    <w:next w:val="Normal"/>
    <w:autoRedefine w:val="1"/>
    <w:pPr>
      <w:spacing w:line="360" w:lineRule="auto"/>
      <w:ind w:left="220"/>
    </w:pPr>
    <w:rPr>
      <w:rFonts w:ascii="Times New Roman" w:hAnsi="Times New Roman"/>
      <w:szCs w:val="20"/>
    </w:rPr>
  </w:style>
  <w:style w:type="paragraph" w:styleId="TOC3">
    <w:name w:val="toc 3"/>
    <w:basedOn w:val="Normal"/>
    <w:next w:val="Normal"/>
    <w:autoRedefine w:val="1"/>
    <w:pPr>
      <w:spacing w:line="360" w:lineRule="auto"/>
      <w:ind w:left="440"/>
    </w:pPr>
    <w:rPr>
      <w:rFonts w:ascii="Times New Roman" w:hAnsi="Times New Roman"/>
      <w:szCs w:val="20"/>
    </w:rPr>
  </w:style>
  <w:style w:type="paragraph" w:styleId="TOC4">
    <w:name w:val="toc 4"/>
    <w:basedOn w:val="Normal"/>
    <w:next w:val="Normal"/>
    <w:autoRedefine w:val="1"/>
    <w:pPr>
      <w:spacing w:line="360" w:lineRule="auto"/>
      <w:ind w:left="660"/>
    </w:pPr>
    <w:rPr>
      <w:rFonts w:ascii="Times New Roman" w:hAnsi="Times New Roman"/>
      <w:szCs w:val="20"/>
    </w:rPr>
  </w:style>
  <w:style w:type="paragraph" w:styleId="TOC5">
    <w:name w:val="toc 5"/>
    <w:basedOn w:val="Normal"/>
    <w:next w:val="Normal"/>
    <w:autoRedefine w:val="1"/>
    <w:pPr>
      <w:spacing w:line="360" w:lineRule="auto"/>
      <w:ind w:left="880"/>
    </w:pPr>
    <w:rPr>
      <w:rFonts w:ascii="Times New Roman" w:hAnsi="Times New Roman"/>
      <w:szCs w:val="20"/>
    </w:rPr>
  </w:style>
  <w:style w:type="paragraph" w:styleId="TOC6">
    <w:name w:val="toc 6"/>
    <w:basedOn w:val="Normal"/>
    <w:next w:val="Normal"/>
    <w:autoRedefine w:val="1"/>
    <w:uiPriority w:val="39"/>
    <w:pPr>
      <w:spacing w:line="360" w:lineRule="auto"/>
      <w:ind w:left="1100"/>
    </w:pPr>
    <w:rPr>
      <w:rFonts w:ascii="Times New Roman" w:hAnsi="Times New Roman"/>
      <w:szCs w:val="20"/>
    </w:rPr>
  </w:style>
  <w:style w:type="paragraph" w:styleId="TOC7">
    <w:name w:val="toc 7"/>
    <w:basedOn w:val="Normal"/>
    <w:next w:val="Normal"/>
    <w:autoRedefine w:val="1"/>
    <w:pPr>
      <w:spacing w:line="360" w:lineRule="auto"/>
      <w:ind w:left="1320"/>
    </w:pPr>
    <w:rPr>
      <w:rFonts w:ascii="Times New Roman" w:hAnsi="Times New Roman"/>
      <w:szCs w:val="20"/>
    </w:rPr>
  </w:style>
  <w:style w:type="paragraph" w:styleId="TOC8">
    <w:name w:val="toc 8"/>
    <w:basedOn w:val="Normal"/>
    <w:next w:val="Normal"/>
    <w:autoRedefine w:val="1"/>
    <w:pPr>
      <w:spacing w:line="360" w:lineRule="auto"/>
      <w:ind w:left="1540"/>
    </w:pPr>
    <w:rPr>
      <w:rFonts w:ascii="Times New Roman" w:hAnsi="Times New Roman"/>
      <w:szCs w:val="20"/>
    </w:rPr>
  </w:style>
  <w:style w:type="paragraph" w:styleId="TOC9">
    <w:name w:val="toc 9"/>
    <w:basedOn w:val="Normal"/>
    <w:next w:val="Normal"/>
    <w:autoRedefine w:val="1"/>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val="1"/>
      <w:spacing w:after="0"/>
      <w:ind w:left="5040" w:right="-334"/>
    </w:pPr>
    <w:rPr>
      <w:rFonts w:ascii="Times New Roman" w:hAnsi="Times New Roman"/>
      <w:b w:val="1"/>
      <w:spacing w:val="-3"/>
      <w:sz w:val="24"/>
      <w:szCs w:val="20"/>
    </w:rPr>
  </w:style>
  <w:style w:type="paragraph" w:styleId="BulletDash" w:customStyle="1">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color="auto" w:fill="000080" w:val="clear"/>
      <w:spacing w:line="360" w:lineRule="auto"/>
    </w:pPr>
    <w:rPr>
      <w:rFonts w:ascii="Tahoma" w:cs="Tahoma" w:hAnsi="Tahoma"/>
      <w:sz w:val="20"/>
      <w:szCs w:val="20"/>
    </w:rPr>
  </w:style>
  <w:style w:type="character" w:styleId="DocumentMapChar" w:customStyle="1">
    <w:name w:val="Document Map Char"/>
    <w:link w:val="DocumentMap"/>
    <w:rPr>
      <w:rFonts w:ascii="Tahoma" w:cs="Tahoma" w:eastAsia="Times New Roman" w:hAnsi="Tahoma"/>
      <w:shd w:color="auto" w:fill="000080" w:val="clear"/>
      <w:lang w:eastAsia="en-US"/>
    </w:rPr>
  </w:style>
  <w:style w:type="paragraph" w:styleId="blueheading" w:customStyle="1">
    <w:name w:val="blueheading"/>
    <w:basedOn w:val="Normal"/>
    <w:pPr>
      <w:spacing w:after="100" w:afterAutospacing="1" w:before="100" w:beforeAutospacing="1"/>
    </w:pPr>
    <w:rPr>
      <w:rFonts w:ascii="Times New Roman" w:hAnsi="Times New Roman"/>
      <w:sz w:val="24"/>
      <w:szCs w:val="24"/>
      <w:lang w:eastAsia="en-GB"/>
    </w:rPr>
  </w:style>
  <w:style w:type="paragraph" w:styleId="Default" w:customStyle="1">
    <w:name w:val="Default"/>
    <w:uiPriority w:val="99"/>
    <w:pPr>
      <w:autoSpaceDE w:val="0"/>
      <w:autoSpaceDN w:val="0"/>
      <w:adjustRightInd w:val="0"/>
    </w:pPr>
    <w:rPr>
      <w:rFonts w:ascii="Times New Roman" w:eastAsia="Times New Roman" w:hAnsi="Times New Roman"/>
      <w:color w:val="000000"/>
      <w:sz w:val="24"/>
      <w:szCs w:val="24"/>
      <w:lang w:eastAsia="en-US" w:val="en-US"/>
    </w:rPr>
  </w:style>
  <w:style w:type="paragraph" w:styleId="EndnoteText">
    <w:name w:val="endnote text"/>
    <w:basedOn w:val="Normal"/>
    <w:link w:val="EndnoteTextChar"/>
    <w:pPr>
      <w:widowControl w:val="0"/>
      <w:spacing w:after="0"/>
    </w:pPr>
    <w:rPr>
      <w:rFonts w:ascii="Courier" w:hAnsi="Courier"/>
      <w:sz w:val="24"/>
      <w:szCs w:val="20"/>
    </w:rPr>
  </w:style>
  <w:style w:type="character" w:styleId="EndnoteTextChar" w:customStyle="1">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 w:customStyle="1">
    <w:name w:val="bullet"/>
    <w:basedOn w:val="Normal"/>
    <w:pPr>
      <w:tabs>
        <w:tab w:val="num" w:pos="360"/>
      </w:tabs>
      <w:spacing w:after="0" w:before="120"/>
      <w:ind w:left="360" w:hanging="360"/>
    </w:pPr>
    <w:rPr>
      <w:rFonts w:ascii="Times New Roman" w:hAnsi="Times New Roman"/>
      <w:snapToGrid w:val="0"/>
      <w:sz w:val="24"/>
      <w:szCs w:val="20"/>
    </w:rPr>
  </w:style>
  <w:style w:type="paragraph" w:styleId="text1" w:customStyle="1">
    <w:name w:val="text 1"/>
    <w:basedOn w:val="Normal"/>
    <w:pPr>
      <w:spacing w:after="0" w:before="320" w:line="320" w:lineRule="atLeast"/>
      <w:ind w:left="720"/>
    </w:pPr>
    <w:rPr>
      <w:rFonts w:ascii="Arial" w:hAnsi="Arial"/>
      <w:szCs w:val="20"/>
    </w:rPr>
  </w:style>
  <w:style w:type="paragraph" w:styleId="text0" w:customStyle="1">
    <w:name w:val="text 0"/>
    <w:basedOn w:val="Normal"/>
    <w:link w:val="text0Char"/>
    <w:uiPriority w:val="99"/>
    <w:pPr>
      <w:spacing w:after="0" w:before="320" w:line="320" w:lineRule="atLeast"/>
    </w:pPr>
    <w:rPr>
      <w:rFonts w:ascii="Arial" w:hAnsi="Arial"/>
      <w:szCs w:val="20"/>
    </w:rPr>
  </w:style>
  <w:style w:type="character" w:styleId="text0Char" w:customStyle="1">
    <w:name w:val="text 0 Char"/>
    <w:link w:val="text0"/>
    <w:uiPriority w:val="99"/>
    <w:locked w:val="1"/>
    <w:rPr>
      <w:rFonts w:ascii="Arial" w:eastAsia="Times New Roman" w:hAnsi="Arial"/>
      <w:sz w:val="22"/>
      <w:lang w:eastAsia="en-US"/>
    </w:rPr>
  </w:style>
  <w:style w:type="paragraph" w:styleId="NtocHeading1" w:customStyle="1">
    <w:name w:val="NtocHeading 1"/>
    <w:basedOn w:val="Normal"/>
    <w:next w:val="text0"/>
    <w:pPr>
      <w:widowControl w:val="0"/>
      <w:spacing w:after="0" w:before="320" w:line="320" w:lineRule="atLeast"/>
    </w:pPr>
    <w:rPr>
      <w:rFonts w:ascii="Arial" w:hAnsi="Arial"/>
      <w:b w:val="1"/>
      <w:szCs w:val="20"/>
    </w:rPr>
  </w:style>
  <w:style w:type="paragraph" w:styleId="ScheduleHeading1" w:customStyle="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styleId="ScheduleNumber1" w:customStyle="1">
    <w:name w:val="Schedule Number 1"/>
    <w:pPr>
      <w:keepNext w:val="1"/>
      <w:keepLines w:val="1"/>
      <w:tabs>
        <w:tab w:val="num" w:pos="360"/>
      </w:tabs>
      <w:spacing w:before="320" w:line="320" w:lineRule="atLeast"/>
      <w:jc w:val="both"/>
    </w:pPr>
    <w:rPr>
      <w:rFonts w:ascii="Arial" w:eastAsia="Times New Roman" w:hAnsi="Arial"/>
      <w:sz w:val="22"/>
      <w:lang w:eastAsia="en-US"/>
    </w:rPr>
  </w:style>
  <w:style w:type="paragraph" w:styleId="ScheduleNumber2" w:customStyle="1">
    <w:name w:val="Schedule Number 2"/>
    <w:basedOn w:val="ScheduleNumber1"/>
    <w:pPr>
      <w:tabs>
        <w:tab w:val="clear" w:pos="360"/>
      </w:tabs>
      <w:ind w:left="1440" w:hanging="720"/>
    </w:pPr>
  </w:style>
  <w:style w:type="paragraph" w:styleId="ScheduleNumber3" w:customStyle="1">
    <w:name w:val="Schedule Number 3"/>
    <w:basedOn w:val="ScheduleNumber2"/>
    <w:pPr>
      <w:ind w:left="2160"/>
    </w:pPr>
  </w:style>
  <w:style w:type="paragraph" w:styleId="ScheduleNumber4" w:customStyle="1">
    <w:name w:val="Schedule Number 4"/>
    <w:basedOn w:val="ScheduleNumber3"/>
    <w:pPr>
      <w:ind w:left="2880"/>
    </w:pPr>
  </w:style>
  <w:style w:type="paragraph" w:styleId="TableStyle" w:customStyle="1">
    <w:name w:val="Table Style"/>
    <w:basedOn w:val="Normal"/>
    <w:pPr>
      <w:widowControl w:val="0"/>
      <w:spacing w:after="60" w:before="60"/>
    </w:pPr>
    <w:rPr>
      <w:rFonts w:ascii="Arial" w:hAnsi="Arial"/>
      <w:szCs w:val="20"/>
    </w:rPr>
  </w:style>
  <w:style w:type="paragraph" w:styleId="ScheduleNumber5" w:customStyle="1">
    <w:name w:val="Schedule Number 5"/>
    <w:basedOn w:val="ScheduleNumber4"/>
    <w:pPr>
      <w:ind w:left="3600"/>
    </w:pPr>
  </w:style>
  <w:style w:type="paragraph" w:styleId="ScheduleNumber6" w:customStyle="1">
    <w:name w:val="Schedule Number 6"/>
    <w:basedOn w:val="ScheduleNumber5"/>
    <w:pPr>
      <w:ind w:left="4320"/>
    </w:pPr>
  </w:style>
  <w:style w:type="paragraph" w:styleId="ColorfulList-Accent11" w:customStyle="1">
    <w:name w:val="Colorful List - Accent 11"/>
    <w:basedOn w:val="Normal"/>
    <w:uiPriority w:val="99"/>
    <w:qFormat w:val="1"/>
    <w:pPr>
      <w:spacing w:line="360" w:lineRule="auto"/>
      <w:ind w:left="720"/>
    </w:pPr>
    <w:rPr>
      <w:rFonts w:ascii="Times New Roman" w:hAnsi="Times New Roman"/>
      <w:szCs w:val="20"/>
    </w:rPr>
  </w:style>
  <w:style w:type="character" w:styleId="st1" w:customStyle="1">
    <w:name w:val="st1"/>
  </w:style>
  <w:style w:type="paragraph" w:styleId="NumText" w:customStyle="1">
    <w:name w:val="NumText"/>
    <w:basedOn w:val="Normal"/>
    <w:uiPriority w:val="99"/>
    <w:pPr>
      <w:spacing w:after="284"/>
    </w:pPr>
    <w:rPr>
      <w:rFonts w:eastAsia="MS Mincho"/>
      <w:lang w:eastAsia="ja-JP"/>
    </w:rPr>
  </w:style>
  <w:style w:type="paragraph" w:styleId="DLFrontPage" w:customStyle="1">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val="1"/>
    <w:pPr>
      <w:spacing w:after="0"/>
    </w:pPr>
    <w:rPr>
      <w:rFonts w:ascii="Times New Roman" w:hAnsi="Times New Roman"/>
      <w:sz w:val="24"/>
      <w:szCs w:val="24"/>
      <w:lang w:eastAsia="en-GB"/>
    </w:rPr>
  </w:style>
  <w:style w:type="character" w:styleId="Emphasis">
    <w:name w:val="Emphasis"/>
    <w:qFormat w:val="1"/>
    <w:rPr>
      <w:i w:val="1"/>
      <w:iCs w:val="1"/>
    </w:rPr>
  </w:style>
  <w:style w:type="character" w:styleId="Strong">
    <w:name w:val="Strong"/>
    <w:uiPriority w:val="22"/>
    <w:qFormat w:val="1"/>
    <w:rPr>
      <w:b w:val="1"/>
      <w:bCs w:val="1"/>
    </w:rPr>
  </w:style>
  <w:style w:type="paragraph" w:styleId="Level2" w:customStyle="1">
    <w:name w:val="Level 2"/>
    <w:basedOn w:val="Normal"/>
    <w:uiPriority w:val="99"/>
    <w:pPr>
      <w:tabs>
        <w:tab w:val="num" w:pos="851"/>
      </w:tabs>
      <w:ind w:left="851" w:hanging="851"/>
      <w:outlineLvl w:val="1"/>
    </w:pPr>
    <w:rPr>
      <w:rFonts w:ascii="Arial" w:hAnsi="Arial"/>
      <w:sz w:val="20"/>
      <w:szCs w:val="20"/>
      <w:lang w:eastAsia="en-GB"/>
    </w:rPr>
  </w:style>
  <w:style w:type="paragraph" w:styleId="Level3" w:customStyle="1">
    <w:name w:val="Level 3"/>
    <w:basedOn w:val="Normal"/>
    <w:uiPriority w:val="99"/>
    <w:pPr>
      <w:tabs>
        <w:tab w:val="num" w:pos="1702"/>
      </w:tabs>
      <w:ind w:left="1702" w:hanging="851"/>
      <w:outlineLvl w:val="2"/>
    </w:pPr>
    <w:rPr>
      <w:rFonts w:ascii="Arial" w:hAnsi="Arial"/>
      <w:sz w:val="20"/>
      <w:szCs w:val="20"/>
      <w:lang w:eastAsia="en-GB"/>
    </w:rPr>
  </w:style>
  <w:style w:type="paragraph" w:styleId="Level4" w:customStyle="1">
    <w:name w:val="Level 4"/>
    <w:basedOn w:val="Normal"/>
    <w:uiPriority w:val="99"/>
    <w:pPr>
      <w:tabs>
        <w:tab w:val="num" w:pos="2553"/>
      </w:tabs>
      <w:ind w:left="2553" w:hanging="851"/>
      <w:outlineLvl w:val="3"/>
    </w:pPr>
    <w:rPr>
      <w:rFonts w:ascii="Arial" w:hAnsi="Arial"/>
      <w:sz w:val="20"/>
      <w:szCs w:val="20"/>
      <w:lang w:eastAsia="en-GB"/>
    </w:rPr>
  </w:style>
  <w:style w:type="paragraph" w:styleId="Level5" w:customStyle="1">
    <w:name w:val="Level 5"/>
    <w:basedOn w:val="Normal"/>
    <w:uiPriority w:val="99"/>
    <w:pPr>
      <w:tabs>
        <w:tab w:val="num" w:pos="3404"/>
      </w:tabs>
      <w:ind w:left="3404" w:hanging="851"/>
      <w:outlineLvl w:val="4"/>
    </w:pPr>
    <w:rPr>
      <w:rFonts w:ascii="Arial" w:hAnsi="Arial"/>
      <w:sz w:val="20"/>
      <w:szCs w:val="20"/>
      <w:lang w:eastAsia="en-GB"/>
    </w:rPr>
  </w:style>
  <w:style w:type="paragraph" w:styleId="Level6" w:customStyle="1">
    <w:name w:val="Level 6"/>
    <w:basedOn w:val="Normal"/>
    <w:uiPriority w:val="99"/>
    <w:pPr>
      <w:tabs>
        <w:tab w:val="num" w:pos="4255"/>
      </w:tabs>
      <w:ind w:left="4255" w:hanging="851"/>
      <w:outlineLvl w:val="5"/>
    </w:pPr>
    <w:rPr>
      <w:rFonts w:ascii="Arial" w:hAnsi="Arial"/>
      <w:sz w:val="20"/>
      <w:szCs w:val="20"/>
      <w:lang w:eastAsia="en-GB"/>
    </w:rPr>
  </w:style>
  <w:style w:type="paragraph" w:styleId="MOJStyle0" w:customStyle="1">
    <w:name w:val="MOJ Style0"/>
    <w:basedOn w:val="Normal"/>
    <w:autoRedefine w:val="1"/>
    <w:uiPriority w:val="99"/>
    <w:pPr>
      <w:numPr>
        <w:numId w:val="5"/>
      </w:numPr>
      <w:suppressAutoHyphens w:val="1"/>
      <w:spacing w:after="0" w:line="360" w:lineRule="auto"/>
    </w:pPr>
    <w:rPr>
      <w:rFonts w:ascii="Arial" w:eastAsia="MS Mincho" w:hAnsi="Arial"/>
      <w:b w:val="1"/>
      <w:lang w:eastAsia="ja-JP"/>
    </w:rPr>
  </w:style>
  <w:style w:type="paragraph" w:styleId="MOJLevel1" w:customStyle="1">
    <w:name w:val="MOJ Level 1"/>
    <w:basedOn w:val="Normal"/>
    <w:next w:val="MOJLevel2"/>
    <w:autoRedefine w:val="1"/>
    <w:uiPriority w:val="99"/>
    <w:pPr>
      <w:numPr>
        <w:ilvl w:val="1"/>
        <w:numId w:val="5"/>
      </w:numPr>
      <w:suppressAutoHyphens w:val="1"/>
      <w:spacing w:after="0" w:before="240" w:line="360" w:lineRule="auto"/>
    </w:pPr>
    <w:rPr>
      <w:rFonts w:ascii="Arial" w:eastAsia="MS Mincho" w:hAnsi="Arial"/>
      <w:b w:val="1"/>
      <w:lang w:eastAsia="ja-JP"/>
    </w:rPr>
  </w:style>
  <w:style w:type="paragraph" w:styleId="MOJLevel2" w:customStyle="1">
    <w:name w:val="MOJ Level 2"/>
    <w:basedOn w:val="Normal"/>
    <w:autoRedefine w:val="1"/>
    <w:uiPriority w:val="99"/>
    <w:pPr>
      <w:numPr>
        <w:ilvl w:val="2"/>
        <w:numId w:val="5"/>
      </w:numPr>
      <w:spacing w:after="0" w:line="360" w:lineRule="auto"/>
    </w:pPr>
    <w:rPr>
      <w:rFonts w:ascii="Arial" w:eastAsia="MS Mincho" w:hAnsi="Arial"/>
      <w:bCs w:val="1"/>
      <w:lang w:eastAsia="ja-JP"/>
    </w:rPr>
  </w:style>
  <w:style w:type="paragraph" w:styleId="MOJLevel3" w:customStyle="1">
    <w:name w:val="MOJ Level 3"/>
    <w:basedOn w:val="Normal"/>
    <w:autoRedefine w:val="1"/>
    <w:uiPriority w:val="99"/>
    <w:pPr>
      <w:numPr>
        <w:ilvl w:val="3"/>
        <w:numId w:val="5"/>
      </w:numPr>
      <w:tabs>
        <w:tab w:val="num" w:pos="1620"/>
      </w:tabs>
      <w:spacing w:after="0" w:line="360" w:lineRule="auto"/>
    </w:pPr>
    <w:rPr>
      <w:rFonts w:ascii="Arial" w:eastAsia="MS Mincho" w:hAnsi="Arial"/>
      <w:bCs w:val="1"/>
      <w:lang w:eastAsia="ja-JP"/>
    </w:rPr>
  </w:style>
  <w:style w:type="paragraph" w:styleId="MOJLevel4" w:customStyle="1">
    <w:name w:val="MOJ Level 4"/>
    <w:basedOn w:val="Normal"/>
    <w:autoRedefine w:val="1"/>
    <w:uiPriority w:val="99"/>
    <w:pPr>
      <w:numPr>
        <w:ilvl w:val="4"/>
        <w:numId w:val="5"/>
      </w:numPr>
      <w:spacing w:after="0" w:line="360" w:lineRule="auto"/>
    </w:pPr>
    <w:rPr>
      <w:rFonts w:ascii="Arial" w:eastAsia="MS Mincho" w:hAnsi="Arial"/>
      <w:lang w:eastAsia="ja-JP"/>
    </w:rPr>
  </w:style>
  <w:style w:type="paragraph" w:styleId="DefinitionNumbering1" w:customStyle="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styleId="DefinitionNumbering2" w:customStyle="1">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styleId="DefinitionNumbering3" w:customStyle="1">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styleId="DefinitionNumbering4" w:customStyle="1">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styleId="DefinitionNumbering5" w:customStyle="1">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styleId="DefinitionNumbering6" w:customStyle="1">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styleId="DefinitionNumbering7" w:customStyle="1">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styleId="DefinitionNumbering8" w:customStyle="1">
    <w:name w:val="Definition Numbering 8"/>
    <w:basedOn w:val="Normal"/>
    <w:pPr>
      <w:numPr>
        <w:ilvl w:val="7"/>
        <w:numId w:val="6"/>
      </w:numPr>
      <w:outlineLvl w:val="7"/>
    </w:pPr>
    <w:rPr>
      <w:rFonts w:ascii="Times New Roman" w:eastAsia="STZhongsong" w:hAnsi="Times New Roman"/>
      <w:szCs w:val="20"/>
      <w:lang w:eastAsia="zh-CN"/>
    </w:rPr>
  </w:style>
  <w:style w:type="paragraph" w:styleId="DefinitionNumbering9" w:customStyle="1">
    <w:name w:val="Definition Numbering 9"/>
    <w:basedOn w:val="Normal"/>
    <w:pPr>
      <w:numPr>
        <w:ilvl w:val="8"/>
        <w:numId w:val="6"/>
      </w:numPr>
      <w:outlineLvl w:val="8"/>
    </w:pPr>
    <w:rPr>
      <w:rFonts w:ascii="Times New Roman" w:eastAsia="STZhongsong" w:hAnsi="Times New Roman"/>
      <w:szCs w:val="20"/>
      <w:lang w:eastAsia="zh-CN"/>
    </w:rPr>
  </w:style>
  <w:style w:type="paragraph" w:styleId="SchPart" w:customStyle="1">
    <w:name w:val="SchPart"/>
    <w:basedOn w:val="Normal"/>
    <w:next w:val="MarginText"/>
    <w:pPr>
      <w:keepNext w:val="1"/>
      <w:ind w:left="3118"/>
      <w:jc w:val="center"/>
      <w:outlineLvl w:val="1"/>
    </w:pPr>
    <w:rPr>
      <w:rFonts w:ascii="Times New Roman" w:eastAsia="STZhongsong" w:hAnsi="Times New Roman"/>
      <w:b w:val="1"/>
      <w:szCs w:val="20"/>
      <w:lang w:eastAsia="zh-CN"/>
    </w:rPr>
  </w:style>
  <w:style w:type="paragraph" w:styleId="SchSection" w:customStyle="1">
    <w:name w:val="SchSection"/>
    <w:basedOn w:val="Normal"/>
    <w:next w:val="MarginText"/>
    <w:pPr>
      <w:keepNext w:val="1"/>
      <w:ind w:left="3118"/>
      <w:jc w:val="center"/>
      <w:outlineLvl w:val="2"/>
    </w:pPr>
    <w:rPr>
      <w:rFonts w:ascii="Times New Roman" w:eastAsia="STZhongsong" w:hAnsi="Times New Roman"/>
      <w:b w:val="1"/>
      <w:szCs w:val="20"/>
      <w:lang w:eastAsia="zh-CN"/>
    </w:rPr>
  </w:style>
  <w:style w:type="paragraph" w:styleId="Body" w:customStyle="1">
    <w:name w:val="Body"/>
    <w:basedOn w:val="Normal"/>
    <w:qFormat w:val="1"/>
    <w:rPr>
      <w:rFonts w:ascii="Arial" w:hAnsi="Arial"/>
      <w:szCs w:val="20"/>
    </w:rPr>
  </w:style>
  <w:style w:type="paragraph" w:styleId="heading2numberedbutnotbold" w:customStyle="1">
    <w:name w:val="heading 2 numbered but not bold"/>
    <w:basedOn w:val="Heading2"/>
    <w:link w:val="heading2numberedbutnotboldChar"/>
    <w:qFormat w:val="1"/>
    <w:pPr>
      <w:keepNext w:val="0"/>
      <w:keepLines w:val="0"/>
      <w:tabs>
        <w:tab w:val="num" w:pos="1713"/>
      </w:tabs>
      <w:ind w:left="1713"/>
    </w:pPr>
    <w:rPr>
      <w:rFonts w:ascii="Arial" w:eastAsia="STZhongsong" w:hAnsi="Arial"/>
      <w:b w:val="0"/>
      <w:bCs w:val="0"/>
      <w:sz w:val="20"/>
      <w:szCs w:val="20"/>
      <w:lang w:eastAsia="zh-CN"/>
    </w:rPr>
  </w:style>
  <w:style w:type="character" w:styleId="heading2numberedbutnotboldChar" w:customStyle="1">
    <w:name w:val="heading 2 numbered but not bold Char"/>
    <w:link w:val="heading2numberedbutnotbold"/>
    <w:rPr>
      <w:rFonts w:ascii="Arial" w:cs="Arial" w:eastAsia="STZhongsong" w:hAnsi="Arial"/>
      <w:lang w:eastAsia="zh-CN"/>
    </w:rPr>
  </w:style>
  <w:style w:type="paragraph" w:styleId="PartHeadingboldcentered" w:customStyle="1">
    <w:name w:val="Part Heading bold centered"/>
    <w:basedOn w:val="MarginText"/>
    <w:link w:val="PartHeadingboldcenteredChar"/>
    <w:qFormat w:val="1"/>
    <w:pPr>
      <w:keepNext w:val="1"/>
      <w:ind w:left="0"/>
      <w:jc w:val="center"/>
    </w:pPr>
    <w:rPr>
      <w:rFonts w:ascii="Arial" w:eastAsia="STZhongsong" w:hAnsi="Arial"/>
      <w:b w:val="1"/>
      <w:sz w:val="20"/>
      <w:szCs w:val="20"/>
      <w:lang w:eastAsia="zh-CN"/>
    </w:rPr>
  </w:style>
  <w:style w:type="character" w:styleId="PartHeadingboldcenteredChar" w:customStyle="1">
    <w:name w:val="Part Heading bold centered Char"/>
    <w:link w:val="PartHeadingboldcentered"/>
    <w:rPr>
      <w:rFonts w:ascii="Arial" w:eastAsia="STZhongsong" w:hAnsi="Arial"/>
      <w:b w:val="1"/>
      <w:lang w:eastAsia="zh-CN"/>
    </w:rPr>
  </w:style>
  <w:style w:type="paragraph" w:styleId="ScheduleL1" w:customStyle="1">
    <w:name w:val="Schedule L1"/>
    <w:basedOn w:val="Normal"/>
    <w:pPr>
      <w:keepNext w:val="1"/>
      <w:numPr>
        <w:numId w:val="16"/>
      </w:numPr>
      <w:overflowPunct w:val="1"/>
      <w:autoSpaceDE w:val="1"/>
      <w:autoSpaceDN w:val="1"/>
      <w:spacing w:before="120"/>
      <w:textAlignment w:val="auto"/>
      <w:outlineLvl w:val="0"/>
    </w:pPr>
    <w:rPr>
      <w:rFonts w:cs="Times New Roman" w:eastAsia="STZhongsong"/>
      <w:b w:val="1"/>
      <w:caps w:val="1"/>
      <w:szCs w:val="20"/>
      <w:lang w:eastAsia="zh-CN"/>
    </w:rPr>
  </w:style>
  <w:style w:type="paragraph" w:styleId="ScheduleL2" w:customStyle="1">
    <w:name w:val="Schedule L2"/>
    <w:basedOn w:val="Normal"/>
    <w:link w:val="ScheduleL2Char"/>
    <w:pPr>
      <w:numPr>
        <w:ilvl w:val="1"/>
        <w:numId w:val="16"/>
      </w:numPr>
      <w:tabs>
        <w:tab w:val="left" w:pos="993"/>
      </w:tabs>
      <w:overflowPunct w:val="1"/>
      <w:autoSpaceDE w:val="1"/>
      <w:autoSpaceDN w:val="1"/>
      <w:spacing w:after="120" w:before="120"/>
      <w:textAlignment w:val="auto"/>
      <w:outlineLvl w:val="1"/>
    </w:pPr>
    <w:rPr>
      <w:rFonts w:cs="Times New Roman" w:eastAsia="STZhongsong"/>
      <w:szCs w:val="20"/>
      <w:lang w:eastAsia="zh-CN" w:val="en-US"/>
    </w:rPr>
  </w:style>
  <w:style w:type="character" w:styleId="ScheduleL2Char" w:customStyle="1">
    <w:name w:val="Schedule L2 Char"/>
    <w:link w:val="ScheduleL2"/>
    <w:rPr>
      <w:rFonts w:eastAsia="STZhongsong"/>
      <w:sz w:val="22"/>
      <w:lang w:eastAsia="zh-CN" w:val="en-US"/>
    </w:rPr>
  </w:style>
  <w:style w:type="paragraph" w:styleId="ScheduleL3" w:customStyle="1">
    <w:name w:val="Schedule L3"/>
    <w:basedOn w:val="Normal"/>
    <w:pPr>
      <w:numPr>
        <w:ilvl w:val="2"/>
        <w:numId w:val="16"/>
      </w:numPr>
      <w:overflowPunct w:val="1"/>
      <w:autoSpaceDE w:val="1"/>
      <w:autoSpaceDN w:val="1"/>
      <w:spacing w:after="120" w:before="120"/>
      <w:textAlignment w:val="auto"/>
      <w:outlineLvl w:val="2"/>
    </w:pPr>
    <w:rPr>
      <w:rFonts w:cs="Times New Roman" w:eastAsia="STZhongsong"/>
      <w:szCs w:val="20"/>
      <w:lang w:eastAsia="zh-CN"/>
    </w:rPr>
  </w:style>
  <w:style w:type="paragraph" w:styleId="ScheduleL4" w:customStyle="1">
    <w:name w:val="Schedule L4"/>
    <w:basedOn w:val="Normal"/>
    <w:pPr>
      <w:numPr>
        <w:ilvl w:val="3"/>
        <w:numId w:val="16"/>
      </w:numPr>
      <w:overflowPunct w:val="1"/>
      <w:autoSpaceDE w:val="1"/>
      <w:autoSpaceDN w:val="1"/>
      <w:spacing w:after="120" w:before="120"/>
      <w:textAlignment w:val="auto"/>
      <w:outlineLvl w:val="3"/>
    </w:pPr>
    <w:rPr>
      <w:rFonts w:cs="Times New Roman" w:eastAsia="STZhongsong"/>
      <w:szCs w:val="20"/>
      <w:lang w:eastAsia="zh-CN"/>
    </w:rPr>
  </w:style>
  <w:style w:type="paragraph" w:styleId="ScheduleL5" w:customStyle="1">
    <w:name w:val="Schedule L5"/>
    <w:basedOn w:val="Normal"/>
    <w:pPr>
      <w:numPr>
        <w:ilvl w:val="4"/>
        <w:numId w:val="16"/>
      </w:numPr>
      <w:overflowPunct w:val="1"/>
      <w:autoSpaceDE w:val="1"/>
      <w:autoSpaceDN w:val="1"/>
      <w:textAlignment w:val="auto"/>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16"/>
      </w:numPr>
      <w:outlineLvl w:val="5"/>
    </w:pPr>
    <w:rPr>
      <w:rFonts w:ascii="Times New Roman" w:eastAsia="STZhongsong" w:hAnsi="Times New Roman"/>
      <w:szCs w:val="20"/>
      <w:lang w:eastAsia="zh-CN"/>
    </w:rPr>
  </w:style>
  <w:style w:type="paragraph" w:styleId="ScheduleL7" w:customStyle="1">
    <w:name w:val="Schedule L7"/>
    <w:basedOn w:val="Normal"/>
    <w:pPr>
      <w:numPr>
        <w:ilvl w:val="6"/>
        <w:numId w:val="16"/>
      </w:numPr>
      <w:outlineLvl w:val="6"/>
    </w:pPr>
    <w:rPr>
      <w:rFonts w:ascii="Times New Roman" w:eastAsia="STZhongsong" w:hAnsi="Times New Roman"/>
      <w:szCs w:val="20"/>
      <w:lang w:eastAsia="zh-CN"/>
    </w:rPr>
  </w:style>
  <w:style w:type="paragraph" w:styleId="ScheduleL8" w:customStyle="1">
    <w:name w:val="Schedule L8"/>
    <w:basedOn w:val="Normal"/>
    <w:pPr>
      <w:numPr>
        <w:ilvl w:val="7"/>
        <w:numId w:val="16"/>
      </w:numPr>
      <w:outlineLvl w:val="7"/>
    </w:pPr>
    <w:rPr>
      <w:rFonts w:ascii="Times New Roman" w:eastAsia="STZhongsong" w:hAnsi="Times New Roman"/>
      <w:szCs w:val="20"/>
      <w:lang w:eastAsia="zh-CN"/>
    </w:rPr>
  </w:style>
  <w:style w:type="paragraph" w:styleId="ScheduleL9" w:customStyle="1">
    <w:name w:val="Schedule L9"/>
    <w:basedOn w:val="Normal"/>
    <w:pPr>
      <w:numPr>
        <w:ilvl w:val="8"/>
        <w:numId w:val="16"/>
      </w:numPr>
      <w:outlineLvl w:val="8"/>
    </w:pPr>
    <w:rPr>
      <w:rFonts w:ascii="Times New Roman" w:eastAsia="STZhongsong" w:hAnsi="Times New Roman"/>
      <w:szCs w:val="20"/>
      <w:lang w:eastAsia="zh-CN"/>
    </w:rPr>
  </w:style>
  <w:style w:type="paragraph" w:styleId="bodystrong" w:customStyle="1">
    <w:name w:val="body strong"/>
    <w:basedOn w:val="Body"/>
    <w:link w:val="bodystrongChar"/>
    <w:pPr>
      <w:spacing w:after="0"/>
      <w:jc w:val="left"/>
    </w:pPr>
    <w:rPr>
      <w:rFonts w:cs="Times New Roman" w:eastAsia="SimSun"/>
      <w:b w:val="1"/>
      <w:sz w:val="20"/>
      <w:szCs w:val="24"/>
    </w:rPr>
  </w:style>
  <w:style w:type="character" w:styleId="bodystrongChar" w:customStyle="1">
    <w:name w:val="body strong Char"/>
    <w:link w:val="bodystrong"/>
    <w:rPr>
      <w:rFonts w:ascii="Arial" w:eastAsia="SimSun" w:hAnsi="Arial"/>
      <w:b w:val="1"/>
      <w:szCs w:val="24"/>
      <w:lang w:eastAsia="en-US"/>
    </w:rPr>
  </w:style>
  <w:style w:type="character" w:styleId="searchword1" w:customStyle="1">
    <w:name w:val="searchword1"/>
    <w:rPr>
      <w:shd w:color="auto" w:fill="ffff00" w:val="clear"/>
    </w:rPr>
  </w:style>
  <w:style w:type="character" w:styleId="searchword2" w:customStyle="1">
    <w:name w:val="searchword2"/>
    <w:rPr>
      <w:shd w:color="auto" w:fill="ffff00" w:val="clear"/>
    </w:rPr>
  </w:style>
  <w:style w:type="character" w:styleId="searchword3" w:customStyle="1">
    <w:name w:val="searchword3"/>
    <w:rPr>
      <w:shd w:color="auto" w:fill="ffff00" w:val="clear"/>
    </w:rPr>
  </w:style>
  <w:style w:type="character" w:styleId="searchword4" w:customStyle="1">
    <w:name w:val="searchword4"/>
    <w:rPr>
      <w:shd w:color="auto" w:fill="ffff00" w:val="clear"/>
    </w:rPr>
  </w:style>
  <w:style w:type="character" w:styleId="Defterm" w:customStyle="1">
    <w:name w:val="Defterm"/>
    <w:rPr>
      <w:b w:val="1"/>
      <w:color w:val="000000"/>
      <w:sz w:val="22"/>
    </w:rPr>
  </w:style>
  <w:style w:type="paragraph" w:styleId="Sch1styleclause" w:customStyle="1">
    <w:name w:val="Sch  (1style) clause"/>
    <w:basedOn w:val="Normal"/>
    <w:pPr>
      <w:numPr>
        <w:ilvl w:val="2"/>
        <w:numId w:val="7"/>
      </w:numPr>
      <w:spacing w:after="0" w:before="320" w:line="300" w:lineRule="atLeast"/>
      <w:outlineLvl w:val="0"/>
    </w:pPr>
    <w:rPr>
      <w:rFonts w:ascii="Times New Roman" w:hAnsi="Times New Roman"/>
      <w:b w:val="1"/>
      <w:smallCaps w:val="1"/>
      <w:szCs w:val="20"/>
    </w:rPr>
  </w:style>
  <w:style w:type="paragraph" w:styleId="Sch1stylesubclause" w:customStyle="1">
    <w:name w:val="Sch  (1style) sub clause"/>
    <w:basedOn w:val="Normal"/>
    <w:pPr>
      <w:numPr>
        <w:ilvl w:val="3"/>
        <w:numId w:val="7"/>
      </w:numPr>
      <w:spacing w:after="120" w:before="280" w:line="300" w:lineRule="atLeast"/>
      <w:outlineLvl w:val="1"/>
    </w:pPr>
    <w:rPr>
      <w:rFonts w:ascii="Times New Roman" w:hAnsi="Times New Roman"/>
      <w:color w:val="000000"/>
      <w:szCs w:val="20"/>
    </w:rPr>
  </w:style>
  <w:style w:type="paragraph" w:styleId="Sch1stylepara" w:customStyle="1">
    <w:name w:val="Sch (1style) para"/>
    <w:basedOn w:val="Normal"/>
    <w:pPr>
      <w:tabs>
        <w:tab w:val="num" w:pos="1559"/>
      </w:tabs>
      <w:spacing w:after="120" w:line="300" w:lineRule="atLeast"/>
      <w:ind w:left="1559" w:hanging="567"/>
    </w:pPr>
    <w:rPr>
      <w:rFonts w:ascii="Times New Roman" w:hAnsi="Times New Roman"/>
      <w:szCs w:val="20"/>
    </w:rPr>
  </w:style>
  <w:style w:type="paragraph" w:styleId="Sch1stylesubpara" w:customStyle="1">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styleId="StyleHeading3ServiceConformance3Arial" w:customStyle="1">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styleId="StyleHeading3ServiceConformance3ArialCharChar" w:customStyle="1">
    <w:name w:val="Style Heading 3Service Conformance 3 + Arial Char Char"/>
    <w:link w:val="StyleHeading3ServiceConformance3Arial"/>
    <w:locked w:val="1"/>
    <w:rPr>
      <w:rFonts w:ascii="Times New Roman" w:eastAsia="Times New Roman" w:hAnsi="Times New Roman"/>
      <w:sz w:val="22"/>
      <w:lang w:eastAsia="en-US"/>
    </w:rPr>
  </w:style>
  <w:style w:type="paragraph" w:styleId="StyleHeading5ServiceConformance4HeadingHeading5unusedLev" w:customStyle="1">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styleId="StyleHeading5ServiceConformance4HeadingHeading5unusedLevChar" w:customStyle="1">
    <w:name w:val="Style Heading 5Service Conformance 4HeadingHeading 5(unused)Lev... Char"/>
    <w:link w:val="StyleHeading5ServiceConformance4HeadingHeading5unusedLev"/>
    <w:locked w:val="1"/>
    <w:rPr>
      <w:rFonts w:ascii="Times New Roman" w:cs="Arial" w:eastAsia="Times New Roman" w:hAnsi="Times New Roman"/>
      <w:sz w:val="22"/>
      <w:lang w:eastAsia="en-US"/>
    </w:rPr>
  </w:style>
  <w:style w:type="character" w:styleId="MediumGrid11" w:customStyle="1">
    <w:name w:val="Medium Grid 11"/>
    <w:uiPriority w:val="99"/>
    <w:semiHidden w:val="1"/>
    <w:rPr>
      <w:color w:val="808080"/>
    </w:rPr>
  </w:style>
  <w:style w:type="paragraph" w:styleId="FFWLevel1" w:customStyle="1">
    <w:name w:val="FFW Level 1"/>
    <w:basedOn w:val="Normal"/>
    <w:next w:val="FFWLevel2"/>
    <w:locked w:val="1"/>
    <w:pPr>
      <w:keepNext w:val="1"/>
      <w:numPr>
        <w:numId w:val="8"/>
      </w:numPr>
      <w:spacing w:after="0" w:before="240" w:line="260" w:lineRule="atLeast"/>
    </w:pPr>
    <w:rPr>
      <w:rFonts w:ascii="Arial" w:hAnsi="Arial"/>
      <w:b w:val="1"/>
      <w:sz w:val="20"/>
      <w:szCs w:val="24"/>
      <w:lang w:eastAsia="fr-FR"/>
    </w:rPr>
  </w:style>
  <w:style w:type="paragraph" w:styleId="FFWLevel2" w:customStyle="1">
    <w:name w:val="FFW Level 2"/>
    <w:basedOn w:val="Normal"/>
    <w:link w:val="FFWLevel2Char"/>
    <w:locked w:val="1"/>
    <w:pPr>
      <w:numPr>
        <w:ilvl w:val="1"/>
        <w:numId w:val="8"/>
      </w:numPr>
      <w:spacing w:after="0" w:before="240" w:line="260" w:lineRule="atLeast"/>
    </w:pPr>
    <w:rPr>
      <w:rFonts w:ascii="Arial" w:hAnsi="Arial"/>
      <w:sz w:val="20"/>
      <w:szCs w:val="24"/>
      <w:lang w:eastAsia="fr-FR"/>
    </w:rPr>
  </w:style>
  <w:style w:type="character" w:styleId="FFWLevel2Char" w:customStyle="1">
    <w:name w:val="FFW Level 2 Char"/>
    <w:link w:val="FFWLevel2"/>
    <w:rPr>
      <w:rFonts w:ascii="Arial" w:cs="Arial" w:eastAsia="Times New Roman" w:hAnsi="Arial"/>
      <w:szCs w:val="24"/>
      <w:lang w:eastAsia="fr-FR"/>
    </w:rPr>
  </w:style>
  <w:style w:type="paragraph" w:styleId="FFWLevel3" w:customStyle="1">
    <w:name w:val="FFW Level 3"/>
    <w:basedOn w:val="Normal"/>
    <w:locked w:val="1"/>
    <w:pPr>
      <w:numPr>
        <w:ilvl w:val="3"/>
        <w:numId w:val="8"/>
      </w:numPr>
      <w:spacing w:after="0" w:before="240" w:line="260" w:lineRule="atLeast"/>
    </w:pPr>
    <w:rPr>
      <w:rFonts w:ascii="Arial" w:hAnsi="Arial"/>
      <w:sz w:val="20"/>
      <w:szCs w:val="24"/>
      <w:lang w:eastAsia="fr-FR"/>
    </w:rPr>
  </w:style>
  <w:style w:type="paragraph" w:styleId="FFWLevel4" w:customStyle="1">
    <w:name w:val="FFW Level 4"/>
    <w:basedOn w:val="Normal"/>
    <w:link w:val="FFWLevel4Char"/>
    <w:locked w:val="1"/>
    <w:pPr>
      <w:tabs>
        <w:tab w:val="num" w:pos="1587"/>
      </w:tabs>
      <w:spacing w:after="0" w:before="240" w:line="260" w:lineRule="atLeast"/>
      <w:ind w:left="1587" w:hanging="793"/>
    </w:pPr>
    <w:rPr>
      <w:rFonts w:ascii="Arial" w:hAnsi="Arial"/>
      <w:sz w:val="20"/>
      <w:szCs w:val="24"/>
      <w:lang w:eastAsia="fr-FR"/>
    </w:rPr>
  </w:style>
  <w:style w:type="character" w:styleId="FFWLevel4Char" w:customStyle="1">
    <w:name w:val="FFW Level 4 Char"/>
    <w:link w:val="FFWLevel4"/>
    <w:rPr>
      <w:rFonts w:ascii="Arial" w:cs="Arial" w:eastAsia="Times New Roman" w:hAnsi="Arial"/>
      <w:szCs w:val="24"/>
      <w:lang w:eastAsia="fr-FR"/>
    </w:rPr>
  </w:style>
  <w:style w:type="paragraph" w:styleId="FFWLevel5" w:customStyle="1">
    <w:name w:val="FFW Level 5"/>
    <w:basedOn w:val="Normal"/>
    <w:locked w:val="1"/>
    <w:pPr>
      <w:tabs>
        <w:tab w:val="num" w:pos="2381"/>
      </w:tabs>
      <w:spacing w:after="0" w:before="240" w:line="260" w:lineRule="atLeast"/>
      <w:ind w:left="2381" w:hanging="794"/>
    </w:pPr>
    <w:rPr>
      <w:rFonts w:ascii="Arial" w:hAnsi="Arial"/>
      <w:sz w:val="20"/>
      <w:szCs w:val="24"/>
      <w:lang w:eastAsia="fr-FR"/>
    </w:rPr>
  </w:style>
  <w:style w:type="paragraph" w:styleId="FFWLevel6" w:customStyle="1">
    <w:name w:val="FFW Level 6"/>
    <w:basedOn w:val="Normal"/>
    <w:locked w:val="1"/>
    <w:pPr>
      <w:numPr>
        <w:ilvl w:val="5"/>
        <w:numId w:val="8"/>
      </w:numPr>
      <w:spacing w:after="0" w:before="240" w:line="260" w:lineRule="atLeast"/>
    </w:pPr>
    <w:rPr>
      <w:rFonts w:ascii="Arial" w:hAnsi="Arial"/>
      <w:sz w:val="20"/>
      <w:szCs w:val="24"/>
      <w:lang w:eastAsia="fr-FR"/>
    </w:rPr>
  </w:style>
  <w:style w:type="paragraph" w:styleId="FFWBody1" w:customStyle="1">
    <w:name w:val="FFW Body 1"/>
    <w:basedOn w:val="Normal"/>
    <w:locked w:val="1"/>
    <w:pPr>
      <w:spacing w:after="0" w:before="240" w:line="260" w:lineRule="atLeast"/>
      <w:ind w:left="794"/>
    </w:pPr>
    <w:rPr>
      <w:rFonts w:ascii="Arial" w:hAnsi="Arial"/>
      <w:sz w:val="20"/>
      <w:szCs w:val="24"/>
      <w:lang w:eastAsia="fr-FR"/>
    </w:rPr>
  </w:style>
  <w:style w:type="paragraph" w:styleId="FFWDefinitionColumnLevel1" w:customStyle="1">
    <w:name w:val="FFW Definition Column Level 1"/>
    <w:basedOn w:val="Normal"/>
    <w:locked w:val="1"/>
    <w:pPr>
      <w:numPr>
        <w:numId w:val="9"/>
      </w:numPr>
      <w:spacing w:after="0" w:before="240" w:line="260" w:lineRule="atLeast"/>
    </w:pPr>
    <w:rPr>
      <w:rFonts w:ascii="Arial" w:hAnsi="Arial"/>
      <w:sz w:val="20"/>
      <w:szCs w:val="24"/>
      <w:lang w:eastAsia="fr-FR"/>
    </w:rPr>
  </w:style>
  <w:style w:type="paragraph" w:styleId="FFWDefinitionColumnLevel2" w:customStyle="1">
    <w:name w:val="FFW Definition Column Level 2"/>
    <w:basedOn w:val="Normal"/>
    <w:locked w:val="1"/>
    <w:pPr>
      <w:numPr>
        <w:ilvl w:val="1"/>
        <w:numId w:val="9"/>
      </w:numPr>
      <w:spacing w:after="0" w:before="240" w:line="260" w:lineRule="atLeast"/>
    </w:pPr>
    <w:rPr>
      <w:rFonts w:ascii="Arial" w:hAnsi="Arial"/>
      <w:sz w:val="20"/>
      <w:szCs w:val="24"/>
      <w:lang w:eastAsia="fr-FR"/>
    </w:rPr>
  </w:style>
  <w:style w:type="paragraph" w:styleId="FFWBody3" w:customStyle="1">
    <w:name w:val="FFW Body 3"/>
    <w:basedOn w:val="Normal"/>
    <w:locked w:val="1"/>
    <w:pPr>
      <w:spacing w:after="0" w:before="240" w:line="260" w:lineRule="atLeast"/>
      <w:ind w:left="794"/>
    </w:pPr>
    <w:rPr>
      <w:rFonts w:ascii="Arial" w:hAnsi="Arial"/>
      <w:sz w:val="20"/>
      <w:szCs w:val="20"/>
    </w:rPr>
  </w:style>
  <w:style w:type="paragraph" w:styleId="FFWDefinitionLevel1" w:customStyle="1">
    <w:name w:val="FFW Definition Level 1"/>
    <w:basedOn w:val="Normal"/>
    <w:locked w:val="1"/>
    <w:pPr>
      <w:numPr>
        <w:numId w:val="10"/>
      </w:numPr>
      <w:spacing w:after="0" w:before="240" w:line="260" w:lineRule="atLeast"/>
    </w:pPr>
    <w:rPr>
      <w:rFonts w:ascii="Arial" w:hAnsi="Arial"/>
      <w:sz w:val="20"/>
      <w:szCs w:val="24"/>
      <w:lang w:eastAsia="en-GB"/>
    </w:rPr>
  </w:style>
  <w:style w:type="paragraph" w:styleId="MediumGrid21" w:customStyle="1">
    <w:name w:val="Medium Grid 21"/>
    <w:uiPriority w:val="1"/>
    <w:qFormat w:val="1"/>
    <w:rPr>
      <w:rFonts w:ascii="Arial" w:cs="Arial" w:eastAsia="Times New Roman" w:hAnsi="Arial"/>
      <w:sz w:val="24"/>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locked w:val="1"/>
    <w:rPr>
      <w:rFonts w:ascii="Arial Bold" w:eastAsia="STZhongsong" w:hAnsi="Arial Bold"/>
      <w:b w:val="1"/>
      <w:caps w:val="1"/>
      <w:sz w:val="22"/>
      <w:szCs w:val="22"/>
      <w:lang w:eastAsia="zh-CN"/>
    </w:rPr>
  </w:style>
  <w:style w:type="paragraph" w:styleId="FFWDefinitionLevel2" w:customStyle="1">
    <w:name w:val="FFW Definition Level 2"/>
    <w:basedOn w:val="Normal"/>
    <w:locked w:val="1"/>
    <w:pPr>
      <w:tabs>
        <w:tab w:val="num" w:pos="1587"/>
      </w:tabs>
      <w:spacing w:after="0" w:before="240" w:line="260" w:lineRule="atLeast"/>
      <w:ind w:left="1587" w:hanging="794"/>
    </w:pPr>
    <w:rPr>
      <w:rFonts w:ascii="Arial" w:hAnsi="Arial"/>
      <w:sz w:val="20"/>
      <w:szCs w:val="24"/>
      <w:lang w:eastAsia="fr-FR"/>
    </w:rPr>
  </w:style>
  <w:style w:type="table" w:styleId="TableGrid1" w:customStyle="1">
    <w:name w:val="Table Grid1"/>
    <w:basedOn w:val="TableNormal"/>
    <w:next w:val="TableGrid"/>
    <w:uiPriority w:val="59"/>
    <w:pPr>
      <w:ind w:left="360" w:hanging="36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DefinitionTerm" w:customStyle="1">
    <w:name w:val="GPS Definition Term"/>
    <w:basedOn w:val="Normal"/>
    <w:uiPriority w:val="99"/>
    <w:qFormat w:val="1"/>
    <w:pPr>
      <w:spacing w:after="120"/>
      <w:ind w:left="-108"/>
      <w:jc w:val="left"/>
    </w:pPr>
    <w:rPr>
      <w:b w:val="1"/>
    </w:rPr>
  </w:style>
  <w:style w:type="paragraph" w:styleId="BodyText2">
    <w:name w:val="Body Text 2"/>
    <w:basedOn w:val="Normal"/>
    <w:link w:val="BodyText2Char"/>
    <w:uiPriority w:val="99"/>
    <w:unhideWhenUsed w:val="1"/>
    <w:pPr>
      <w:spacing w:after="120" w:line="480" w:lineRule="auto"/>
    </w:pPr>
  </w:style>
  <w:style w:type="character" w:styleId="BodyText2Char" w:customStyle="1">
    <w:name w:val="Body Text 2 Char"/>
    <w:link w:val="BodyText2"/>
    <w:uiPriority w:val="99"/>
    <w:rPr>
      <w:sz w:val="22"/>
      <w:szCs w:val="22"/>
      <w:lang w:eastAsia="en-US"/>
    </w:rPr>
  </w:style>
  <w:style w:type="paragraph" w:styleId="GPSL1CLAUSEHEADING" w:customStyle="1">
    <w:name w:val="GPS L1 CLAUSE HEADING"/>
    <w:basedOn w:val="Normal"/>
    <w:next w:val="Normal"/>
    <w:link w:val="GPSL1CLAUSEHEADINGChar"/>
    <w:uiPriority w:val="99"/>
    <w:qFormat w:val="1"/>
    <w:pPr>
      <w:numPr>
        <w:numId w:val="15"/>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paragraph" w:styleId="GPSL3numberedclause" w:customStyle="1">
    <w:name w:val="GPS L3 numbered clause"/>
    <w:basedOn w:val="Normal"/>
    <w:link w:val="GPSL3numberedclauseChar"/>
    <w:qFormat w:val="1"/>
    <w:pPr>
      <w:numPr>
        <w:ilvl w:val="2"/>
        <w:numId w:val="15"/>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pPr>
  </w:style>
  <w:style w:type="character" w:styleId="GPSL2numberedclauseChar1" w:customStyle="1">
    <w:name w:val="GPS L2 numbered clause Char1"/>
    <w:link w:val="GPSL2numberedclause"/>
    <w:rPr>
      <w:rFonts w:cs="Arial" w:eastAsia="Times New Roman"/>
      <w:sz w:val="22"/>
      <w:szCs w:val="22"/>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6numbered" w:customStyle="1">
    <w:name w:val="GPS L6 numbered"/>
    <w:basedOn w:val="GPSL5numberedclause"/>
    <w:uiPriority w:val="99"/>
    <w:qFormat w:val="1"/>
    <w:pPr>
      <w:numPr>
        <w:ilvl w:val="5"/>
      </w:numPr>
      <w:tabs>
        <w:tab w:val="left" w:pos="3686"/>
      </w:tabs>
    </w:pPr>
  </w:style>
  <w:style w:type="character" w:styleId="GPSL3numberedclauseChar" w:customStyle="1">
    <w:name w:val="GPS L3 numbered clause Char"/>
    <w:link w:val="GPSL3numberedclause"/>
    <w:rPr>
      <w:rFonts w:cs="Arial" w:eastAsia="Times New Roman"/>
      <w:sz w:val="22"/>
      <w:szCs w:val="22"/>
      <w:lang w:eastAsia="zh-CN"/>
    </w:rPr>
  </w:style>
  <w:style w:type="paragraph" w:styleId="ColorfulShading-Accent11" w:customStyle="1">
    <w:name w:val="Colorful Shading - Accent 11"/>
    <w:hidden w:val="1"/>
    <w:uiPriority w:val="99"/>
    <w:semiHidden w:val="1"/>
    <w:rPr>
      <w:sz w:val="22"/>
      <w:szCs w:val="22"/>
      <w:lang w:eastAsia="en-US"/>
    </w:rPr>
  </w:style>
  <w:style w:type="paragraph" w:styleId="GPSL2Numbered" w:customStyle="1">
    <w:name w:val="GPS L2 Numbered"/>
    <w:basedOn w:val="GPSL2NumberedBoldHeading"/>
    <w:link w:val="GPSL2NumberedChar"/>
    <w:qFormat w:val="1"/>
    <w:pPr>
      <w:numPr>
        <w:ilvl w:val="0"/>
        <w:numId w:val="0"/>
      </w:numPr>
      <w:tabs>
        <w:tab w:val="clear" w:pos="1134"/>
      </w:tabs>
    </w:pPr>
    <w:rPr>
      <w:b w:val="0"/>
    </w:rPr>
  </w:style>
  <w:style w:type="character" w:styleId="GPSL2NumberedChar" w:customStyle="1">
    <w:name w:val="GPS L2 Numbered Char"/>
    <w:link w:val="GPSL2Numbered"/>
    <w:locked w:val="1"/>
    <w:rPr>
      <w:rFonts w:cs="Arial" w:eastAsia="Times New Roman"/>
      <w:sz w:val="22"/>
      <w:szCs w:val="22"/>
      <w:lang w:eastAsia="zh-CN"/>
    </w:rPr>
  </w:style>
  <w:style w:type="paragraph" w:styleId="GPSL1SCHEDULEHeading" w:customStyle="1">
    <w:name w:val="GPS L1 SCHEDULE Heading"/>
    <w:basedOn w:val="GPSL1CLAUSEHEADING"/>
    <w:link w:val="GPSL1SCHEDULEHeadingChar"/>
    <w:qFormat w:val="1"/>
    <w:pPr>
      <w:numPr>
        <w:numId w:val="0"/>
      </w:numPr>
      <w:outlineLvl w:val="9"/>
    </w:pPr>
  </w:style>
  <w:style w:type="character" w:styleId="GPSL1SCHEDULEHeadingChar" w:customStyle="1">
    <w:name w:val="GPS L1 SCHEDULE Heading Char"/>
    <w:link w:val="GPSL1SCHEDULEHeading"/>
    <w:locked w:val="1"/>
    <w:rPr>
      <w:rFonts w:cs="Arial" w:eastAsia="STZhongsong"/>
      <w:b w:val="1"/>
      <w:caps w:val="1"/>
      <w:sz w:val="22"/>
      <w:szCs w:val="22"/>
      <w:lang w:eastAsia="zh-CN"/>
    </w:rPr>
  </w:style>
  <w:style w:type="paragraph" w:styleId="GPSL2NumberedBoldHeading" w:customStyle="1">
    <w:name w:val="GPS L2 Numbered Bold Heading"/>
    <w:basedOn w:val="Normal"/>
    <w:link w:val="GPSL2NumberedBoldHeadingChar"/>
    <w:qFormat w:val="1"/>
    <w:pPr>
      <w:numPr>
        <w:ilvl w:val="1"/>
        <w:numId w:val="15"/>
      </w:numPr>
      <w:tabs>
        <w:tab w:val="left" w:pos="1134"/>
      </w:tabs>
      <w:overflowPunct w:val="1"/>
      <w:autoSpaceDE w:val="1"/>
      <w:autoSpaceDN w:val="1"/>
      <w:spacing w:after="120" w:before="120"/>
      <w:textAlignment w:val="auto"/>
    </w:pPr>
    <w:rPr>
      <w:b w:val="1"/>
      <w:lang w:eastAsia="zh-CN"/>
    </w:rPr>
  </w:style>
  <w:style w:type="paragraph" w:styleId="GPsDefinition" w:customStyle="1">
    <w:name w:val="GPs Definition"/>
    <w:basedOn w:val="Normal"/>
    <w:uiPriority w:val="99"/>
    <w:qFormat w:val="1"/>
    <w:pPr>
      <w:numPr>
        <w:numId w:val="14"/>
      </w:numPr>
      <w:tabs>
        <w:tab w:val="left" w:pos="175"/>
      </w:tabs>
      <w:spacing w:after="120"/>
    </w:pPr>
  </w:style>
  <w:style w:type="paragraph" w:styleId="GPSDefinitionL2" w:customStyle="1">
    <w:name w:val="GPS Definition L2"/>
    <w:basedOn w:val="GPsDefinition"/>
    <w:uiPriority w:val="99"/>
    <w:qFormat w:val="1"/>
    <w:pPr>
      <w:numPr>
        <w:ilvl w:val="1"/>
      </w:numPr>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character" w:styleId="GPSL1CLAUSEHEADINGChar" w:customStyle="1">
    <w:name w:val="GPS L1 CLAUSE HEADING Char"/>
    <w:link w:val="GPSL1CLAUSEHEADING"/>
    <w:uiPriority w:val="99"/>
    <w:rPr>
      <w:rFonts w:cs="Arial" w:eastAsia="STZhongsong"/>
      <w:b w:val="1"/>
      <w:caps w:val="1"/>
      <w:sz w:val="22"/>
      <w:szCs w:val="22"/>
      <w:lang w:eastAsia="zh-CN"/>
    </w:rPr>
  </w:style>
  <w:style w:type="character" w:styleId="GPSL2NumberedBoldHeadingChar" w:customStyle="1">
    <w:name w:val="GPS L2 Numbered Bold Heading Char"/>
    <w:link w:val="GPSL2NumberedBoldHeading"/>
    <w:locked w:val="1"/>
    <w:rPr>
      <w:rFonts w:cs="Arial" w:eastAsia="Times New Roman"/>
      <w:b w:val="1"/>
      <w:sz w:val="22"/>
      <w:szCs w:val="22"/>
      <w:lang w:eastAsia="zh-CN"/>
    </w:rPr>
  </w:style>
  <w:style w:type="character" w:styleId="GPSL4numberedclauseChar" w:customStyle="1">
    <w:name w:val="GPS L4 numbered clause Char"/>
    <w:link w:val="GPSL4numberedclause"/>
    <w:locked w:val="1"/>
    <w:rPr>
      <w:rFonts w:cs="Arial" w:eastAsia="Times New Roman"/>
      <w:sz w:val="22"/>
      <w:szCs w:val="22"/>
      <w:lang w:eastAsia="zh-CN"/>
    </w:rPr>
  </w:style>
  <w:style w:type="character" w:styleId="GPSL5numberedclauseChar" w:customStyle="1">
    <w:name w:val="GPS L5 numbered clause Char"/>
    <w:link w:val="GPSL5numberedclause"/>
    <w:locked w:val="1"/>
    <w:rPr>
      <w:rFonts w:cs="Arial" w:eastAsia="Times New Roman"/>
      <w:sz w:val="22"/>
      <w:szCs w:val="22"/>
      <w:lang w:eastAsia="zh-CN"/>
    </w:rPr>
  </w:style>
  <w:style w:type="paragraph" w:styleId="GPSmacrorestart" w:customStyle="1">
    <w:name w:val="GPS macro restart"/>
    <w:basedOn w:val="Normal"/>
    <w:qFormat w:val="1"/>
    <w:pPr>
      <w:spacing w:after="0"/>
    </w:pPr>
    <w:rPr>
      <w:color w:val="ffffff"/>
      <w:sz w:val="16"/>
      <w:szCs w:val="16"/>
    </w:rPr>
  </w:style>
  <w:style w:type="paragraph" w:styleId="Normal1" w:customStyle="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val="1"/>
    <w:rsid w:val="006630B3"/>
    <w:pPr>
      <w:overflowPunct w:val="1"/>
      <w:autoSpaceDE w:val="1"/>
      <w:autoSpaceDN w:val="1"/>
      <w:adjustRightInd w:val="1"/>
      <w:ind w:left="720"/>
      <w:textAlignment w:val="auto"/>
    </w:pPr>
    <w:rPr>
      <w:rFonts w:asciiTheme="minorHAnsi" w:cstheme="minorBidi" w:eastAsiaTheme="minorHAnsi" w:hAnsiTheme="minorHAnsi"/>
    </w:rPr>
  </w:style>
  <w:style w:type="paragraph" w:styleId="aDefinition" w:customStyle="1">
    <w:name w:val="(a) Definition"/>
    <w:basedOn w:val="Body"/>
    <w:qFormat w:val="1"/>
    <w:rsid w:val="008C76D4"/>
    <w:pPr>
      <w:tabs>
        <w:tab w:val="num" w:pos="851"/>
      </w:tabs>
      <w:overflowPunct w:val="1"/>
      <w:autoSpaceDE w:val="1"/>
      <w:autoSpaceDN w:val="1"/>
      <w:adjustRightInd w:val="1"/>
      <w:ind w:left="851" w:hanging="851"/>
      <w:textAlignment w:val="auto"/>
    </w:pPr>
    <w:rPr>
      <w:rFonts w:ascii="Verdana" w:cs="Times New Roman" w:hAnsi="Verdana"/>
      <w:sz w:val="18"/>
      <w:szCs w:val="18"/>
      <w:lang w:eastAsia="zh-CN"/>
    </w:rPr>
  </w:style>
  <w:style w:type="paragraph" w:styleId="iDefinition" w:customStyle="1">
    <w:name w:val="(i) Definition"/>
    <w:basedOn w:val="Body"/>
    <w:qFormat w:val="1"/>
    <w:rsid w:val="008C76D4"/>
    <w:pPr>
      <w:tabs>
        <w:tab w:val="num" w:pos="1843"/>
      </w:tabs>
      <w:overflowPunct w:val="1"/>
      <w:autoSpaceDE w:val="1"/>
      <w:autoSpaceDN w:val="1"/>
      <w:adjustRightInd w:val="1"/>
      <w:ind w:left="1843" w:hanging="992"/>
      <w:textAlignment w:val="auto"/>
    </w:pPr>
    <w:rPr>
      <w:rFonts w:ascii="Verdana" w:cs="Times New Roman" w:hAnsi="Verdana"/>
      <w:sz w:val="18"/>
      <w:szCs w:val="18"/>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HQ2PDNhJyKuqh68zM8/Ei3VjDg==">AMUW2mWWQYJPj6wyG74LSdSjoID3W4xretQThxZokmrdnHSK/BbdimCkIC9Qxw6n4SHl7+AdgnJ1IcsQGIUUiRt8H4dXElQse5DgvlFFHZghJFSKfowrIGvc+Mghy6Ic+JXck/zJQh6sWU/Otu+agJlU2o4rwFU0vOUc0Xttn2amEktz6LBALurBDJ9jpJI8EwvvorXY0wwUajA/BGD6WDcctew4FrjiwQ==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2022-08-18T19:14:00Z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