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w:t>
      </w:r>
      <w:r w:rsidDel="00000000" w:rsidR="00000000" w:rsidRPr="00000000">
        <w:rPr>
          <w:rFonts w:ascii="Arial" w:cs="Arial" w:eastAsia="Arial" w:hAnsi="Arial"/>
          <w:sz w:val="24"/>
          <w:szCs w:val="24"/>
          <w:rtl w:val="0"/>
        </w:rPr>
        <w:t xml:space="preserve">need</w:t>
      </w:r>
      <w:r w:rsidDel="00000000" w:rsidR="00000000" w:rsidRPr="00000000">
        <w:rPr>
          <w:rFonts w:ascii="Arial" w:cs="Arial" w:eastAsia="Arial" w:hAnsi="Arial"/>
          <w:sz w:val="24"/>
          <w:szCs w:val="24"/>
          <w:rtl w:val="0"/>
        </w:rPr>
        <w:t xml:space="preserve"> to be selected.</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the Buyer on entry (1st generation) then Part A shall apply.</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former/incumbent supplier on entry (2nd generation), Part B shall apply.</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both a 1st and 2nd generation staff transfer on entry, then both Part A and Part B shall apply.</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no staff transfer (either 1st generation or 2nd generation) at the Start Date then Part C shall apply and Part D pensions may also apply where there is not a TUPE transfer for example where the incumbent provider is successful.</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If the position on staff transfers is not known at the bid stage, include Parts A, B, C and D at the bid stage and then update the Buyer Contract Details before signing to specify whether Parts A and/or B, or C and D apply to the Contract.</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Part E (dealing with staff transfer on exit) shall apply to every Contract.</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guidance on this Schedule contact Government Legal Department’s Employment Law Group]</w:t>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9026.0" w:type="dxa"/>
        <w:jc w:val="left"/>
        <w:tblLayout w:type="fixed"/>
        <w:tblLook w:val="0400"/>
      </w:tblPr>
      <w:tblGrid>
        <w:gridCol w:w="2917"/>
        <w:gridCol w:w="6109"/>
        <w:tblGridChange w:id="0">
          <w:tblGrid>
            <w:gridCol w:w="2917"/>
            <w:gridCol w:w="6109"/>
          </w:tblGrid>
        </w:tblGridChange>
      </w:tblGrid>
      <w:tr>
        <w:trPr>
          <w:cantSplit w:val="1"/>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“Acquired Rights Directive” </w:t>
            </w:r>
          </w:p>
        </w:tc>
        <w:tc>
          <w:tcPr/>
          <w:p w:rsidR="00000000" w:rsidDel="00000000" w:rsidP="00000000" w:rsidRDefault="00000000" w:rsidRPr="00000000" w14:paraId="0000000F">
            <w:pPr>
              <w:numPr>
                <w:ilvl w:val="0"/>
                <w:numId w:val="1"/>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000000" w:rsidDel="00000000" w:rsidP="00000000" w:rsidRDefault="00000000" w:rsidRPr="00000000" w14:paraId="00000010">
            <w:pPr>
              <w:numPr>
                <w:ilvl w:val="0"/>
                <w:numId w:val="1"/>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Liability"</w:t>
            </w:r>
          </w:p>
        </w:tc>
        <w:tc>
          <w:tcPr/>
          <w:p w:rsidR="00000000" w:rsidDel="00000000" w:rsidP="00000000" w:rsidRDefault="00000000" w:rsidRPr="00000000" w14:paraId="00000012">
            <w:pPr>
              <w:numPr>
                <w:ilvl w:val="0"/>
                <w:numId w:val="1"/>
              </w:numPr>
              <w:tabs>
                <w:tab w:val="left" w:leader="none" w:pos="-179"/>
                <w:tab w:val="left" w:leader="none" w:pos="-9"/>
              </w:tabs>
              <w:spacing w:after="120" w:lineRule="auto"/>
              <w:ind w:left="170" w:hanging="170"/>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3">
            <w:pPr>
              <w:numPr>
                <w:ilvl w:val="1"/>
                <w:numId w:val="1"/>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r w:rsidDel="00000000" w:rsidR="00000000" w:rsidRPr="00000000">
              <w:rPr>
                <w:rtl w:val="0"/>
              </w:rPr>
            </w:r>
          </w:p>
        </w:tc>
      </w:tr>
      <w:tr>
        <w:trPr>
          <w:cantSplit w:val="1"/>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numPr>
                <w:ilvl w:val="1"/>
                <w:numId w:val="1"/>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rPr>
          <w:cantSplit w:val="1"/>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7">
            <w:pPr>
              <w:numPr>
                <w:ilvl w:val="1"/>
                <w:numId w:val="1"/>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1"/>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numPr>
                <w:ilvl w:val="1"/>
                <w:numId w:val="1"/>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rPr>
          <w:cantSplit w:val="1"/>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numPr>
                <w:ilvl w:val="1"/>
                <w:numId w:val="1"/>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outstanding employment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w:t>
            </w:r>
            <w:r w:rsidDel="00000000" w:rsidR="00000000" w:rsidRPr="00000000">
              <w:rPr>
                <w:rtl w:val="0"/>
              </w:rPr>
            </w:r>
          </w:p>
        </w:tc>
      </w:tr>
      <w:tr>
        <w:trPr>
          <w:cantSplit w:val="1"/>
          <w:tblHeader w:val="0"/>
        </w:trPr>
        <w:tc>
          <w:tcPr/>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numPr>
                <w:ilvl w:val="1"/>
                <w:numId w:val="1"/>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employment claims whether in tort, contract or statute or otherwise;</w:t>
            </w:r>
            <w:r w:rsidDel="00000000" w:rsidR="00000000" w:rsidRPr="00000000">
              <w:rPr>
                <w:rtl w:val="0"/>
              </w:rPr>
            </w:r>
          </w:p>
        </w:tc>
      </w:tr>
      <w:tr>
        <w:trPr>
          <w:cantSplit w:val="1"/>
          <w:tblHeader w:val="0"/>
        </w:trPr>
        <w:tc>
          <w:tcPr/>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numPr>
                <w:ilvl w:val="1"/>
                <w:numId w:val="1"/>
              </w:numPr>
              <w:tabs>
                <w:tab w:val="left" w:leader="none" w:pos="-576"/>
                <w:tab w:val="left" w:leader="none" w:pos="144"/>
              </w:tabs>
              <w:spacing w:after="120" w:lineRule="auto"/>
              <w:ind w:left="720" w:hanging="545"/>
              <w:rPr>
                <w:i w:val="1"/>
                <w:sz w:val="24"/>
                <w:szCs w:val="24"/>
              </w:rPr>
            </w:pPr>
            <w:r w:rsidDel="00000000" w:rsidR="00000000" w:rsidRPr="00000000">
              <w:rPr>
                <w:rFonts w:ascii="Arial" w:cs="Arial" w:eastAsia="Arial" w:hAnsi="Arial"/>
                <w:sz w:val="24"/>
                <w:szCs w:val="24"/>
                <w:rtl w:val="0"/>
              </w:rPr>
              <w:t xml:space="preserve">any investigation relating  to  employment matters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1"/>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"Former Supplier"</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trPr>
          <w:cantSplit w:val="1"/>
          <w:trHeight w:val="3560"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Fair Deal"</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revised Fair Deal position set out in the HM Treasury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Fair Deal for Staff Pensions: Staff Transfer from Central Government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October 2013 including:</w:t>
            </w:r>
          </w:p>
          <w:p w:rsidR="00000000" w:rsidDel="00000000" w:rsidP="00000000" w:rsidRDefault="00000000" w:rsidRPr="00000000" w14:paraId="0000002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to that document immediately prior to the Relevant Transfer Date; and</w:t>
            </w:r>
          </w:p>
          <w:p w:rsidR="00000000" w:rsidDel="00000000" w:rsidP="00000000" w:rsidRDefault="00000000" w:rsidRPr="00000000" w14:paraId="0000002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similar pension protection in accordance with the Annexes D1-D3 inclusive to Part D of this Schedule as notified to the Supplier by the Buyer;</w:t>
            </w:r>
          </w:p>
        </w:tc>
      </w:tr>
      <w:tr>
        <w:trPr>
          <w:cantSplit w:val="1"/>
          <w:trHeight w:val="1824"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“Old Fair Deal”</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 Treasury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Transfers from Central Government: A Fair Deal for Staff Pensions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June 1999 including the supplementary guidance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Fair Deal for Staff pensions: Procurement of Bulk Transfer Agreements and Related 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issued in June 2004;</w:t>
            </w:r>
          </w:p>
        </w:tc>
      </w:tr>
      <w:tr>
        <w:trPr>
          <w:cantSplit w:val="1"/>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 Termination"</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partial termination of the relevant Contract to the extent that it relates to the provision of any part of the Services as further provided for in Clause 10.4 (When CCS or the Buyer can end this contract) or 10.6 (When the Supplier can end the contract);</w:t>
            </w:r>
          </w:p>
        </w:tc>
      </w:tr>
      <w:tr>
        <w:trPr>
          <w:cantSplit w:val="1"/>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transfer of employment to which the Employment Regulations apply;</w:t>
            </w:r>
            <w:r w:rsidDel="00000000" w:rsidR="00000000" w:rsidRPr="00000000">
              <w:rPr>
                <w:rtl w:val="0"/>
              </w:rPr>
            </w:r>
          </w:p>
        </w:tc>
      </w:tr>
      <w:tr>
        <w:trPr>
          <w:cantSplit w:val="1"/>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 Date"</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1"/>
          <w:tblHeader w:val="0"/>
        </w:trPr>
        <w:tc>
          <w:tcPr/>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"Staffing Information"</w:t>
            </w:r>
          </w:p>
        </w:tc>
        <w:tc>
          <w:tcPr/>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their ages, dates of commencement of employment or engagement, gender and place of work;</w:t>
            </w:r>
          </w:p>
        </w:tc>
      </w:tr>
      <w:tr>
        <w:trPr>
          <w:cantSplit w:val="1"/>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details of whether they are employed, self-employed contractors or consultants, agency workers or otherwise;</w:t>
            </w:r>
          </w:p>
        </w:tc>
      </w:tr>
      <w:tr>
        <w:trPr>
          <w:cantSplit w:val="1"/>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55" w:right="0" w:hanging="6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the identity of the employer or relevant contracting Party;</w:t>
            </w:r>
          </w:p>
        </w:tc>
      </w:tr>
      <w:tr>
        <w:trPr>
          <w:cantSplit w:val="1"/>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their relevant contractual notice periods and any other terms relating to termination of employment, including redundancy procedures, and redundancy payments;</w:t>
            </w:r>
          </w:p>
        </w:tc>
      </w:tr>
      <w:tr>
        <w:trPr>
          <w:cantSplit w:val="1"/>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their wages, salaries, bonuses and profit sharing arrangements as applicable;</w:t>
            </w:r>
          </w:p>
        </w:tc>
      </w:tr>
      <w:tr>
        <w:trPr>
          <w:cantSplit w:val="1"/>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p>
        </w:tc>
      </w:tr>
      <w:tr>
        <w:trPr>
          <w:cantSplit w:val="1"/>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any outstanding or potential contractual, statutory or other liabilities in respect of such individuals (including in respect of personal injury claims);</w:t>
            </w:r>
          </w:p>
        </w:tc>
      </w:tr>
      <w:tr>
        <w:trPr>
          <w:cantSplit w:val="1"/>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tab/>
              <w:t xml:space="preserve">details of any such individuals on long term sickness absence, parental leave, maternity leave or other authorised long term absence; </w:t>
            </w:r>
          </w:p>
        </w:tc>
      </w:tr>
      <w:tr>
        <w:trPr>
          <w:cantSplit w:val="1"/>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rPr>
          <w:cantSplit w:val="1"/>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tab/>
              <w:t xml:space="preserve">any other "employee liability information" as such term is defined in regulation 11 of the Employment Regulations; </w:t>
            </w:r>
          </w:p>
        </w:tc>
      </w:tr>
      <w:tr>
        <w:trPr>
          <w:cantSplit w:val="1"/>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Final Supplier Personnel List"</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provided by the Supplier of all Supplier Staff whose will transfer under the Employment Regulations on the Service Transfer Date;</w:t>
            </w:r>
          </w:p>
        </w:tc>
      </w:tr>
      <w:tr>
        <w:trPr>
          <w:cantSplit w:val="1"/>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Provisional Supplier Personnel List"</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1"/>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commencing on the Start Date and ending on the expiry of the Initial Period or any Extension Period or on earlier termination of the relevant Contract;</w:t>
            </w:r>
          </w:p>
        </w:tc>
      </w:tr>
      <w:tr>
        <w:trPr>
          <w:cantSplit w:val="1"/>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Buyer Employees"</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employees of the Buyer to whom the Employment Regulations will apply on the Relevant Transfer Date;</w:t>
            </w:r>
          </w:p>
        </w:tc>
      </w:tr>
      <w:tr>
        <w:trPr>
          <w:cantSplit w:val="1"/>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Former Supplier Employees"</w:t>
            </w: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Former Supplier, those employees of the Former Supplier to whom the Employment Regulations will apply on the Relevant Transfer Date.</w:t>
            </w:r>
            <w:r w:rsidDel="00000000" w:rsidR="00000000" w:rsidRPr="00000000">
              <w:rPr>
                <w:rtl w:val="0"/>
              </w:rPr>
            </w:r>
          </w:p>
        </w:tc>
      </w:tr>
    </w:tbl>
    <w:p w:rsidR="00000000" w:rsidDel="00000000" w:rsidP="00000000" w:rsidRDefault="00000000" w:rsidRPr="00000000" w14:paraId="0000004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INTERPRETATION</w:t>
      </w:r>
    </w:p>
    <w:p w:rsidR="00000000" w:rsidDel="00000000" w:rsidP="00000000" w:rsidRDefault="00000000" w:rsidRPr="00000000" w14:paraId="0000004F">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Third Party Beneficiary may enforce, or take any step to enforce, any Third Party Provision without the prior written consent of the Buyer, which may, if given, be given on and subject to such terms as the Buyer may determine.</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or modifications to this Call-Off Contract may be made, and any rights created under Paragraph 2.2 above may be altered or extinguished, by the Parties without the consent of any Third Party Beneficiary.  </w:t>
      </w:r>
    </w:p>
    <w:p w:rsidR="00000000" w:rsidDel="00000000" w:rsidP="00000000" w:rsidRDefault="00000000" w:rsidRPr="00000000" w14:paraId="0000005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Which parts of this Schedule apply</w:t>
      </w:r>
      <w:r w:rsidDel="00000000" w:rsidR="00000000" w:rsidRPr="00000000">
        <w:rPr>
          <w:rtl w:val="0"/>
        </w:rPr>
      </w:r>
    </w:p>
    <w:p w:rsidR="00000000" w:rsidDel="00000000" w:rsidP="00000000" w:rsidRDefault="00000000" w:rsidRPr="00000000" w14:paraId="00000055">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Call Off Contract:</w:t>
      </w:r>
    </w:p>
    <w:p w:rsidR="00000000" w:rsidDel="00000000" w:rsidP="00000000" w:rsidRDefault="00000000" w:rsidRPr="00000000" w14:paraId="00000056">
      <w:pPr>
        <w:spacing w:after="0" w:line="259" w:lineRule="auto"/>
        <w:rPr>
          <w:rFonts w:ascii="Arial" w:cs="Arial" w:eastAsia="Arial" w:hAnsi="Arial"/>
          <w:i w:val="0"/>
          <w:sz w:val="24"/>
          <w:szCs w:val="24"/>
        </w:rPr>
      </w:pPr>
      <w:r w:rsidDel="00000000" w:rsidR="00000000" w:rsidRPr="00000000">
        <w:rPr>
          <w:rtl w:val="0"/>
        </w:rPr>
      </w:r>
    </w:p>
    <w:p w:rsidR="00000000" w:rsidDel="00000000" w:rsidP="00000000" w:rsidRDefault="00000000" w:rsidRPr="00000000" w14:paraId="00000057">
      <w:pPr>
        <w:spacing w:after="0" w:line="259" w:lineRule="auto"/>
        <w:rPr>
          <w:rFonts w:ascii="Arial" w:cs="Arial" w:eastAsia="Arial" w:hAnsi="Arial"/>
          <w:b w:val="1"/>
          <w:sz w:val="24"/>
          <w:szCs w:val="24"/>
        </w:rPr>
      </w:pPr>
      <w:r w:rsidDel="00000000" w:rsidR="00000000" w:rsidRPr="00000000">
        <w:rPr>
          <w:rFonts w:ascii="Arial" w:cs="Arial" w:eastAsia="Arial" w:hAnsi="Arial"/>
          <w:i w:val="0"/>
          <w:sz w:val="24"/>
          <w:szCs w:val="24"/>
          <w:rtl w:val="0"/>
        </w:rPr>
        <w:t xml:space="preserve">                </w:t>
      </w:r>
      <w:r w:rsidDel="00000000" w:rsidR="00000000" w:rsidRPr="00000000">
        <w:rPr>
          <w:rFonts w:ascii="Arial" w:cs="Arial" w:eastAsia="Arial" w:hAnsi="Arial"/>
          <w:b w:val="1"/>
          <w:i w:val="0"/>
          <w:sz w:val="24"/>
          <w:szCs w:val="24"/>
          <w:rtl w:val="0"/>
        </w:rPr>
        <w:t xml:space="preserve">Part C (No Staff Transfer on the Start Date of the call off contract)</w:t>
      </w:r>
      <w:r w:rsidDel="00000000" w:rsidR="00000000" w:rsidRPr="00000000">
        <w:rPr>
          <w:rtl w:val="0"/>
        </w:rPr>
      </w:r>
    </w:p>
    <w:p w:rsidR="00000000" w:rsidDel="00000000" w:rsidP="00000000" w:rsidRDefault="00000000" w:rsidRPr="00000000" w14:paraId="00000058">
      <w:pPr>
        <w:pStyle w:val="Heading1"/>
        <w:jc w:val="both"/>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jc w:val="both"/>
        <w:rPr/>
      </w:pPr>
      <w:r w:rsidDel="00000000" w:rsidR="00000000" w:rsidRPr="00000000">
        <w:rPr>
          <w:rtl w:val="0"/>
        </w:rPr>
      </w:r>
    </w:p>
    <w:p w:rsidR="00000000" w:rsidDel="00000000" w:rsidP="00000000" w:rsidRDefault="00000000" w:rsidRPr="00000000" w14:paraId="0000005A">
      <w:pPr>
        <w:pStyle w:val="Heading1"/>
        <w:jc w:val="both"/>
        <w:rPr>
          <w:rFonts w:ascii="Arial Bold" w:cs="Arial Bold" w:eastAsia="Arial Bold" w:hAnsi="Arial Bold"/>
          <w:smallCaps w:val="0"/>
          <w:sz w:val="36"/>
          <w:szCs w:val="36"/>
        </w:rPr>
      </w:pPr>
      <w:r w:rsidDel="00000000" w:rsidR="00000000" w:rsidRPr="00000000">
        <w:rPr>
          <w:rFonts w:ascii="Arial Bold" w:cs="Arial Bold" w:eastAsia="Arial Bold" w:hAnsi="Arial Bold"/>
          <w:smallCaps w:val="0"/>
          <w:sz w:val="36"/>
          <w:szCs w:val="36"/>
          <w:rtl w:val="0"/>
        </w:rPr>
        <w:t xml:space="preserve">Part C: No Staff Transfer on the Start Date</w:t>
      </w:r>
    </w:p>
    <w:p w:rsidR="00000000" w:rsidDel="00000000" w:rsidP="00000000" w:rsidRDefault="00000000" w:rsidRPr="00000000" w14:paraId="0000005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staff transfer</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5D">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5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1.2.2: </w:t>
      </w:r>
    </w:p>
    <w:p w:rsidR="00000000" w:rsidDel="00000000" w:rsidP="00000000" w:rsidRDefault="00000000" w:rsidRPr="00000000" w14:paraId="0000006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 </w:t>
      </w:r>
    </w:p>
    <w:p w:rsidR="00000000" w:rsidDel="00000000" w:rsidP="00000000" w:rsidRDefault="00000000" w:rsidRPr="00000000" w14:paraId="0000006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06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within 5 Working Days give notice to terminate the employment or alleged employment of such person.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06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0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06A">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06B">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1.5: </w:t>
      </w:r>
    </w:p>
    <w:p w:rsidR="00000000" w:rsidDel="00000000" w:rsidP="00000000" w:rsidRDefault="00000000" w:rsidRPr="00000000" w14:paraId="0000006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06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equal pay or compensation for less favourable treatment of part-time workers or fixed-term employees,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977"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Subcontractor; or</w:t>
      </w:r>
    </w:p>
    <w:p w:rsidR="00000000" w:rsidDel="00000000" w:rsidP="00000000" w:rsidRDefault="00000000" w:rsidRPr="00000000" w14:paraId="0000007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7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07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77">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 w:name="Georg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8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8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w:t>
    </w:r>
    <w:r w:rsidDel="00000000" w:rsidR="00000000" w:rsidRPr="00000000">
      <w:rPr>
        <w:rFonts w:ascii="Arial" w:cs="Arial" w:eastAsia="Arial" w:hAnsi="Arial"/>
        <w:color w:val="000000"/>
        <w:sz w:val="20"/>
        <w:szCs w:val="20"/>
        <w:rtl w:val="0"/>
      </w:rPr>
      <w:t xml:space="preserve">RM6217</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 (Staff Transfer)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jc w:val="both"/>
      <w:textAlignment w:val="baseline"/>
    </w:pPr>
    <w:rPr>
      <w:rFonts w:cs="Arial" w:eastAsia="Times New Roman"/>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val="1"/>
    <w:pPr>
      <w:spacing w:after="240"/>
      <w:jc w:val="center"/>
      <w:outlineLvl w:val="0"/>
    </w:pPr>
    <w:rPr>
      <w:rFonts w:ascii="Trebuchet MS" w:eastAsia="Times New Roman" w:hAnsi="Trebuchet MS"/>
      <w:b w:val="1"/>
      <w:caps w:val="1"/>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val="1"/>
    <w:pPr>
      <w:keepNext w:val="1"/>
      <w:keepLines w:val="1"/>
      <w:outlineLvl w:val="1"/>
    </w:pPr>
    <w:rPr>
      <w:rFonts w:ascii="Trebuchet MS" w:eastAsia="HGｺﾞｼｯｸM" w:hAnsi="Trebuchet MS"/>
      <w:b w:val="1"/>
      <w:bCs w:val="1"/>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val="1"/>
    <w:pPr>
      <w:keepLines w:val="1"/>
      <w:outlineLvl w:val="2"/>
    </w:pPr>
    <w:rPr>
      <w:rFonts w:ascii="Trebuchet MS" w:eastAsia="HGｺﾞｼｯｸM" w:hAnsi="Trebuchet MS"/>
      <w:bCs w:val="1"/>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val="1"/>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val="1"/>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val="1"/>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ｺﾞｼｯｸM" w:hAnsi="Trebuchet MS"/>
      <w:b w:val="1"/>
      <w:bCs w:val="1"/>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ｺﾞｼｯｸM" w:hAnsi="Trebuchet MS"/>
      <w:bCs w:val="1"/>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ｺﾞｼｯｸM" w:hAnsi="Trebuchet MS"/>
      <w:bCs w:val="1"/>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ｺﾞｼｯｸM" w:hAnsi="Trebuchet MS"/>
      <w:bCs w:val="1"/>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1"/>
    </w:rPr>
  </w:style>
  <w:style w:type="character" w:styleId="CommentSubjectChar" w:customStyle="1">
    <w:name w:val="Comment Subject Char"/>
    <w:link w:val="CommentSubject"/>
    <w:uiPriority w:val="99"/>
    <w:rPr>
      <w:rFonts w:cs="Arial" w:eastAsia="Times New Roman"/>
      <w:b w:val="1"/>
      <w:bCs w:val="1"/>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paragraph" w:styleId="Title">
    <w:name w:val="Title"/>
    <w:basedOn w:val="Normal"/>
    <w:link w:val="TitleChar"/>
    <w:qFormat w:val="1"/>
    <w:pPr>
      <w:spacing w:after="60" w:before="240" w:line="360" w:lineRule="auto"/>
      <w:jc w:val="center"/>
    </w:pPr>
    <w:rPr>
      <w:rFonts w:ascii="Arial" w:hAnsi="Arial"/>
      <w:b w:val="1"/>
      <w:kern w:val="28"/>
      <w:sz w:val="32"/>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eastAsia="Times New Roman" w:hAnsi="Times New Roman"/>
      <w:color w:val="000000"/>
      <w:sz w:val="24"/>
      <w:szCs w:val="24"/>
      <w:lang w:eastAsia="en-US"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 w:val="24"/>
      <w:szCs w:val="20"/>
    </w:rPr>
  </w:style>
  <w:style w:type="paragraph" w:styleId="text1" w:customStyle="1">
    <w:name w:val="text 1"/>
    <w:basedOn w:val="Normal"/>
    <w:pPr>
      <w:spacing w:after="0" w:before="320" w:line="320" w:lineRule="atLeast"/>
      <w:ind w:left="720"/>
    </w:pPr>
    <w:rPr>
      <w:rFonts w:ascii="Arial" w:hAnsi="Arial"/>
      <w:szCs w:val="20"/>
    </w:rPr>
  </w:style>
  <w:style w:type="paragraph" w:styleId="text0" w:customStyle="1">
    <w:name w:val="text 0"/>
    <w:basedOn w:val="Normal"/>
    <w:link w:val="text0Char"/>
    <w:uiPriority w:val="99"/>
    <w:pPr>
      <w:spacing w:after="0" w:before="320" w:line="320" w:lineRule="atLeast"/>
    </w:pPr>
    <w:rPr>
      <w:rFonts w:ascii="Arial" w:hAnsi="Arial"/>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rFonts w:ascii="Arial" w:hAnsi="Arial"/>
      <w:b w:val="1"/>
      <w:szCs w:val="20"/>
    </w:rPr>
  </w:style>
  <w:style w:type="paragraph" w:styleId="ScheduleHeading1" w:customStyle="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styleId="ScheduleNumber1" w:customStyle="1">
    <w:name w:val="Schedule Number 1"/>
    <w:pPr>
      <w:keepNext w:val="1"/>
      <w:keepLines w:val="1"/>
      <w:tabs>
        <w:tab w:val="num" w:pos="360"/>
      </w:tabs>
      <w:spacing w:before="320" w:line="320" w:lineRule="atLeast"/>
      <w:jc w:val="both"/>
    </w:pPr>
    <w:rPr>
      <w:rFonts w:ascii="Arial" w:eastAsia="Times New Roman" w:hAnsi="Arial"/>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val="1"/>
    <w:pPr>
      <w:spacing w:after="0"/>
    </w:pPr>
    <w:rPr>
      <w:rFonts w:ascii="Times New Roman" w:hAnsi="Times New Roman"/>
      <w:sz w:val="24"/>
      <w:szCs w:val="24"/>
      <w:lang w:eastAsia="en-GB"/>
    </w:rPr>
  </w:style>
  <w:style w:type="character" w:styleId="Emphasis">
    <w:name w:val="Emphasis"/>
    <w:qFormat w:val="1"/>
    <w:rPr>
      <w:i w:val="1"/>
      <w:iCs w:val="1"/>
    </w:rPr>
  </w:style>
  <w:style w:type="character" w:styleId="Strong">
    <w:name w:val="Strong"/>
    <w:uiPriority w:val="22"/>
    <w:qFormat w:val="1"/>
    <w:rPr>
      <w:b w:val="1"/>
      <w:bCs w:val="1"/>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val="1"/>
    <w:uiPriority w:val="99"/>
    <w:pPr>
      <w:numPr>
        <w:numId w:val="5"/>
      </w:numPr>
      <w:suppressAutoHyphens w:val="1"/>
      <w:spacing w:after="0" w:line="360" w:lineRule="auto"/>
    </w:pPr>
    <w:rPr>
      <w:rFonts w:ascii="Arial" w:eastAsia="MS Mincho" w:hAnsi="Arial"/>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ascii="Arial" w:eastAsia="MS Mincho" w:hAnsi="Arial"/>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ascii="Arial" w:eastAsia="MS Mincho" w:hAnsi="Arial"/>
      <w:bCs w:val="1"/>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ascii="Arial" w:eastAsia="MS Mincho" w:hAnsi="Arial"/>
      <w:bCs w:val="1"/>
      <w:lang w:eastAsia="ja-JP"/>
    </w:rPr>
  </w:style>
  <w:style w:type="paragraph" w:styleId="MOJLevel4" w:customStyle="1">
    <w:name w:val="MOJ Level 4"/>
    <w:basedOn w:val="Normal"/>
    <w:autoRedefine w:val="1"/>
    <w:uiPriority w:val="99"/>
    <w:pPr>
      <w:numPr>
        <w:ilvl w:val="4"/>
        <w:numId w:val="5"/>
      </w:numPr>
      <w:spacing w:after="0" w:line="360" w:lineRule="auto"/>
    </w:pPr>
    <w:rPr>
      <w:rFonts w:ascii="Arial" w:eastAsia="MS Mincho" w:hAnsi="Arial"/>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rFonts w:ascii="Arial" w:hAnsi="Arial"/>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0"/>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rFonts w:ascii="Arial" w:hAnsi="Arial"/>
      <w:b w:val="1"/>
      <w:sz w:val="20"/>
      <w:szCs w:val="24"/>
      <w:lang w:eastAsia="fr-FR"/>
    </w:rPr>
  </w:style>
  <w:style w:type="paragraph" w:styleId="FFWLevel2" w:customStyle="1">
    <w:name w:val="FFW Level 2"/>
    <w:basedOn w:val="Normal"/>
    <w:link w:val="FFWLevel2Char"/>
    <w:locked w:val="1"/>
    <w:pPr>
      <w:numPr>
        <w:ilvl w:val="1"/>
        <w:numId w:val="8"/>
      </w:numPr>
      <w:spacing w:after="0" w:before="240" w:line="260" w:lineRule="atLeast"/>
    </w:pPr>
    <w:rPr>
      <w:rFonts w:ascii="Arial" w:hAnsi="Arial"/>
      <w:sz w:val="20"/>
      <w:szCs w:val="24"/>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rFonts w:ascii="Arial" w:hAnsi="Arial"/>
      <w:sz w:val="20"/>
      <w:szCs w:val="24"/>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rFonts w:ascii="Arial" w:hAnsi="Arial"/>
      <w:sz w:val="20"/>
      <w:szCs w:val="24"/>
      <w:lang w:eastAsia="fr-FR"/>
    </w:rPr>
  </w:style>
  <w:style w:type="paragraph" w:styleId="FFWLevel6" w:customStyle="1">
    <w:name w:val="FFW Level 6"/>
    <w:basedOn w:val="Normal"/>
    <w:locked w:val="1"/>
    <w:pPr>
      <w:numPr>
        <w:ilvl w:val="5"/>
        <w:numId w:val="8"/>
      </w:numPr>
      <w:spacing w:after="0" w:before="240" w:line="260" w:lineRule="atLeast"/>
    </w:pPr>
    <w:rPr>
      <w:rFonts w:ascii="Arial" w:hAnsi="Arial"/>
      <w:sz w:val="20"/>
      <w:szCs w:val="24"/>
      <w:lang w:eastAsia="fr-FR"/>
    </w:rPr>
  </w:style>
  <w:style w:type="paragraph" w:styleId="FFWBody1" w:customStyle="1">
    <w:name w:val="FFW Body 1"/>
    <w:basedOn w:val="Normal"/>
    <w:locked w:val="1"/>
    <w:pPr>
      <w:spacing w:after="0" w:before="240" w:line="260" w:lineRule="atLeast"/>
      <w:ind w:left="794"/>
    </w:pPr>
    <w:rPr>
      <w:rFonts w:ascii="Arial" w:hAnsi="Arial"/>
      <w:sz w:val="20"/>
      <w:szCs w:val="24"/>
      <w:lang w:eastAsia="fr-FR"/>
    </w:rPr>
  </w:style>
  <w:style w:type="paragraph" w:styleId="FFWDefinitionColumnLevel1" w:customStyle="1">
    <w:name w:val="FFW Definition Column Level 1"/>
    <w:basedOn w:val="Normal"/>
    <w:locked w:val="1"/>
    <w:pPr>
      <w:numPr>
        <w:numId w:val="9"/>
      </w:numPr>
      <w:spacing w:after="0" w:before="240" w:line="260" w:lineRule="atLeast"/>
    </w:pPr>
    <w:rPr>
      <w:rFonts w:ascii="Arial" w:hAnsi="Arial"/>
      <w:sz w:val="20"/>
      <w:szCs w:val="24"/>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rFonts w:ascii="Arial" w:hAnsi="Arial"/>
      <w:sz w:val="20"/>
      <w:szCs w:val="24"/>
      <w:lang w:eastAsia="fr-FR"/>
    </w:rPr>
  </w:style>
  <w:style w:type="paragraph" w:styleId="FFWBody3" w:customStyle="1">
    <w:name w:val="FFW Body 3"/>
    <w:basedOn w:val="Normal"/>
    <w:locked w:val="1"/>
    <w:pPr>
      <w:spacing w:after="0" w:before="240" w:line="260" w:lineRule="atLeast"/>
      <w:ind w:left="794"/>
    </w:pPr>
    <w:rPr>
      <w:rFonts w:ascii="Arial" w:hAnsi="Arial"/>
      <w:sz w:val="20"/>
      <w:szCs w:val="20"/>
    </w:rPr>
  </w:style>
  <w:style w:type="paragraph" w:styleId="FFWDefinitionLevel1" w:customStyle="1">
    <w:name w:val="FFW Definition Level 1"/>
    <w:basedOn w:val="Normal"/>
    <w:locked w:val="1"/>
    <w:pPr>
      <w:numPr>
        <w:numId w:val="10"/>
      </w:numPr>
      <w:spacing w:after="0" w:before="240" w:line="260" w:lineRule="atLeast"/>
    </w:pPr>
    <w:rPr>
      <w:rFonts w:ascii="Arial" w:hAnsi="Arial"/>
      <w:sz w:val="20"/>
      <w:szCs w:val="24"/>
      <w:lang w:eastAsia="en-GB"/>
    </w:rPr>
  </w:style>
  <w:style w:type="paragraph" w:styleId="MediumGrid21" w:customStyle="1">
    <w:name w:val="Medium Grid 21"/>
    <w:uiPriority w:val="1"/>
    <w:qFormat w:val="1"/>
    <w:rPr>
      <w:rFonts w:ascii="Arial" w:cs="Arial" w:eastAsia="Times New Roman" w:hAnsi="Arial"/>
      <w:sz w:val="24"/>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sz w:val="22"/>
      <w:szCs w:val="22"/>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HQ2PDNhJyKuqh68zM8/Ei3VjDg==">AMUW2mWWQYJPj6wyG74LSdSjoID3W4xretQThxZokmrdnHSK/BbdimCkIC9Qxw6n4SHl7+AdgnJ1IcsQGIUUiRt8H4dXElQse5DgvlFFHZghJFSKfowrIGvc+Mghy6Ic+JXck/zJQh6sWU/Otu+agJlU2o4rwFU0vOUc0Xttn2amEktz6LBALurBDJ9jpJI8EwvvorXY0wwUajA/BGD6WDcctew4FrjiwQ==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2022-08-18T19:14:00Z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