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6B" w:rsidRDefault="000E166B" w:rsidP="00CE0548">
      <w:bookmarkStart w:id="0" w:name="_Toc331760307"/>
      <w:bookmarkStart w:id="1" w:name="_Toc332122747"/>
      <w:bookmarkStart w:id="2" w:name="_Toc332458697"/>
    </w:p>
    <w:bookmarkEnd w:id="0"/>
    <w:bookmarkEnd w:id="1"/>
    <w:bookmarkEnd w:id="2"/>
    <w:p w:rsidR="002058DB" w:rsidRDefault="002058DB">
      <w:pPr>
        <w:pStyle w:val="BodyText"/>
        <w:rPr>
          <w:rFonts w:cs="Arial"/>
        </w:rPr>
      </w:pPr>
      <w:r>
        <w:rPr>
          <w:rFonts w:cs="Arial"/>
          <w:b/>
          <w:sz w:val="32"/>
          <w:szCs w:val="32"/>
        </w:rPr>
        <w:t xml:space="preserve">Natural England /Cefas Partnership Video &amp; Stills Processing Protocol – </w:t>
      </w:r>
      <w:r w:rsidR="00D657C8">
        <w:rPr>
          <w:rFonts w:cs="Arial"/>
          <w:b/>
          <w:sz w:val="32"/>
          <w:szCs w:val="32"/>
        </w:rPr>
        <w:t xml:space="preserve">revised for </w:t>
      </w:r>
      <w:r>
        <w:rPr>
          <w:rFonts w:cs="Arial"/>
          <w:b/>
          <w:sz w:val="32"/>
          <w:szCs w:val="32"/>
        </w:rPr>
        <w:t>2015 MPA surveys undertaken</w:t>
      </w:r>
      <w:r w:rsidR="008C1437">
        <w:rPr>
          <w:rFonts w:cs="Arial"/>
          <w:b/>
          <w:sz w:val="32"/>
          <w:szCs w:val="32"/>
        </w:rPr>
        <w:t xml:space="preserve"> using Cefas and/or Environment Agency platforms</w:t>
      </w:r>
      <w:r>
        <w:rPr>
          <w:rFonts w:cs="Arial"/>
          <w:b/>
          <w:sz w:val="32"/>
          <w:szCs w:val="32"/>
        </w:rPr>
        <w:t xml:space="preserve">. </w:t>
      </w:r>
    </w:p>
    <w:p w:rsidR="002058DB" w:rsidRPr="004C1375" w:rsidRDefault="002058DB" w:rsidP="002058DB">
      <w:pPr>
        <w:pStyle w:val="HeadingNolevel"/>
        <w:numPr>
          <w:ilvl w:val="0"/>
          <w:numId w:val="21"/>
        </w:numPr>
        <w:rPr>
          <w:sz w:val="28"/>
          <w:szCs w:val="28"/>
        </w:rPr>
      </w:pPr>
      <w:r w:rsidRPr="004C1375">
        <w:rPr>
          <w:sz w:val="28"/>
          <w:szCs w:val="28"/>
        </w:rPr>
        <w:t>Video and stills processing protocol for Monitoring surveys</w:t>
      </w:r>
    </w:p>
    <w:p w:rsidR="00D657C8" w:rsidRDefault="007E0846" w:rsidP="005118E9">
      <w:pPr>
        <w:pStyle w:val="BodyText"/>
        <w:spacing w:before="0" w:after="0"/>
        <w:rPr>
          <w:rFonts w:cs="Arial"/>
        </w:rPr>
      </w:pPr>
      <w:r w:rsidRPr="00D0712C">
        <w:rPr>
          <w:rFonts w:cs="Arial"/>
        </w:rPr>
        <w:t xml:space="preserve">The </w:t>
      </w:r>
      <w:r w:rsidR="00D657C8">
        <w:rPr>
          <w:rFonts w:cs="Arial"/>
        </w:rPr>
        <w:t xml:space="preserve">primary </w:t>
      </w:r>
      <w:r w:rsidRPr="00D0712C">
        <w:rPr>
          <w:rFonts w:cs="Arial"/>
        </w:rPr>
        <w:t xml:space="preserve">purpose of the analysis of the video/stills is to identify </w:t>
      </w:r>
      <w:r w:rsidR="00D0712C">
        <w:rPr>
          <w:rFonts w:cs="Arial"/>
        </w:rPr>
        <w:t xml:space="preserve">which seabed habitats are present </w:t>
      </w:r>
      <w:r w:rsidRPr="00D0712C">
        <w:rPr>
          <w:rFonts w:cs="Arial"/>
        </w:rPr>
        <w:t>in a video</w:t>
      </w:r>
      <w:r w:rsidR="00D0712C">
        <w:rPr>
          <w:rFonts w:cs="Arial"/>
        </w:rPr>
        <w:t xml:space="preserve"> record/still image, </w:t>
      </w:r>
      <w:r w:rsidRPr="00D0712C">
        <w:rPr>
          <w:rFonts w:cs="Arial"/>
        </w:rPr>
        <w:t xml:space="preserve">provide </w:t>
      </w:r>
      <w:r w:rsidR="00D0712C">
        <w:rPr>
          <w:rFonts w:cs="Arial"/>
        </w:rPr>
        <w:t xml:space="preserve">quantitative (where possible) or </w:t>
      </w:r>
      <w:r w:rsidRPr="00D0712C">
        <w:rPr>
          <w:rFonts w:cs="Arial"/>
        </w:rPr>
        <w:t>semi-quantitative data on the</w:t>
      </w:r>
      <w:r w:rsidR="00D0712C">
        <w:rPr>
          <w:rFonts w:cs="Arial"/>
        </w:rPr>
        <w:t xml:space="preserve"> observed </w:t>
      </w:r>
      <w:r w:rsidRPr="00D0712C">
        <w:rPr>
          <w:rFonts w:cs="Arial"/>
        </w:rPr>
        <w:t xml:space="preserve">physical </w:t>
      </w:r>
      <w:r w:rsidR="00D0712C">
        <w:rPr>
          <w:rFonts w:cs="Arial"/>
        </w:rPr>
        <w:t>habitat and b</w:t>
      </w:r>
      <w:r w:rsidRPr="00D0712C">
        <w:rPr>
          <w:rFonts w:cs="Arial"/>
        </w:rPr>
        <w:t xml:space="preserve">iological </w:t>
      </w:r>
      <w:r w:rsidR="00D0712C">
        <w:rPr>
          <w:rFonts w:cs="Arial"/>
        </w:rPr>
        <w:t>assemblages (species records</w:t>
      </w:r>
      <w:r w:rsidR="00E30618">
        <w:rPr>
          <w:rFonts w:cs="Arial"/>
        </w:rPr>
        <w:t xml:space="preserve"> at the highest taxonomic level</w:t>
      </w:r>
      <w:r w:rsidR="00D0712C">
        <w:rPr>
          <w:rFonts w:cs="Arial"/>
        </w:rPr>
        <w:t xml:space="preserve">) </w:t>
      </w:r>
      <w:r w:rsidRPr="00D0712C">
        <w:rPr>
          <w:rFonts w:cs="Arial"/>
        </w:rPr>
        <w:t xml:space="preserve">and to note where one </w:t>
      </w:r>
      <w:r w:rsidR="003D29EE" w:rsidRPr="00D0712C">
        <w:rPr>
          <w:rFonts w:cs="Arial"/>
        </w:rPr>
        <w:t>substrate</w:t>
      </w:r>
      <w:r w:rsidR="00D0712C">
        <w:rPr>
          <w:rFonts w:cs="Arial"/>
        </w:rPr>
        <w:t xml:space="preserve">/habitat </w:t>
      </w:r>
      <w:r w:rsidR="003D29EE" w:rsidRPr="00D0712C">
        <w:rPr>
          <w:rFonts w:cs="Arial"/>
        </w:rPr>
        <w:t xml:space="preserve">type </w:t>
      </w:r>
      <w:r w:rsidRPr="00D0712C">
        <w:rPr>
          <w:rFonts w:cs="Arial"/>
        </w:rPr>
        <w:t>changes to another.</w:t>
      </w:r>
      <w:r w:rsidR="00D0712C">
        <w:rPr>
          <w:rFonts w:cs="Arial"/>
        </w:rPr>
        <w:t xml:space="preserve"> </w:t>
      </w:r>
      <w:r w:rsidR="00D657C8">
        <w:rPr>
          <w:rFonts w:cs="Arial"/>
        </w:rPr>
        <w:t>Secondarily, the intension is to undertake video an</w:t>
      </w:r>
      <w:r w:rsidR="00EC262A">
        <w:rPr>
          <w:rFonts w:cs="Arial"/>
        </w:rPr>
        <w:t>d</w:t>
      </w:r>
      <w:r w:rsidR="00D657C8">
        <w:rPr>
          <w:rFonts w:cs="Arial"/>
        </w:rPr>
        <w:t xml:space="preserve"> stills processing in such a way as to provide data to inform potential MSFD indicators</w:t>
      </w:r>
      <w:r w:rsidR="008C1437">
        <w:rPr>
          <w:rFonts w:cs="Arial"/>
        </w:rPr>
        <w:t xml:space="preserve"> development</w:t>
      </w:r>
      <w:r w:rsidR="00D657C8">
        <w:rPr>
          <w:rFonts w:cs="Arial"/>
        </w:rPr>
        <w:t>. This may include:</w:t>
      </w:r>
    </w:p>
    <w:p w:rsidR="00D657C8" w:rsidRDefault="00D657C8" w:rsidP="005118E9">
      <w:pPr>
        <w:pStyle w:val="BodyText"/>
        <w:numPr>
          <w:ilvl w:val="0"/>
          <w:numId w:val="30"/>
        </w:numPr>
        <w:spacing w:before="0" w:after="0"/>
        <w:rPr>
          <w:rFonts w:cs="Arial"/>
        </w:rPr>
      </w:pPr>
      <w:r w:rsidRPr="00D657C8">
        <w:rPr>
          <w:rFonts w:cs="Arial"/>
        </w:rPr>
        <w:t xml:space="preserve">Shallow sublittoral rock biodiversity indicator development </w:t>
      </w:r>
      <w:r>
        <w:rPr>
          <w:rFonts w:cs="Arial"/>
        </w:rPr>
        <w:t>–</w:t>
      </w:r>
      <w:r w:rsidRPr="00D657C8">
        <w:rPr>
          <w:rFonts w:cs="Arial"/>
        </w:rPr>
        <w:t xml:space="preserve"> Kelp</w:t>
      </w:r>
    </w:p>
    <w:p w:rsidR="00D657C8" w:rsidRPr="005118E9" w:rsidRDefault="00D657C8" w:rsidP="005118E9">
      <w:pPr>
        <w:pStyle w:val="BodyText"/>
        <w:numPr>
          <w:ilvl w:val="0"/>
          <w:numId w:val="30"/>
        </w:numPr>
        <w:spacing w:before="0" w:after="0"/>
        <w:rPr>
          <w:rFonts w:cs="Arial"/>
        </w:rPr>
      </w:pPr>
      <w:r w:rsidRPr="00D657C8">
        <w:rPr>
          <w:rFonts w:cs="Arial"/>
        </w:rPr>
        <w:t>Sublittoral rock biodiversity indic</w:t>
      </w:r>
      <w:r w:rsidR="00E30618">
        <w:rPr>
          <w:rFonts w:cs="Arial"/>
        </w:rPr>
        <w:t xml:space="preserve">ator development </w:t>
      </w:r>
      <w:r>
        <w:rPr>
          <w:rFonts w:cs="Arial"/>
        </w:rPr>
        <w:t>–sponge and anthozoa</w:t>
      </w:r>
    </w:p>
    <w:p w:rsidR="00D657C8" w:rsidRDefault="00D657C8" w:rsidP="005118E9">
      <w:pPr>
        <w:pStyle w:val="BodyText"/>
        <w:numPr>
          <w:ilvl w:val="0"/>
          <w:numId w:val="30"/>
        </w:numPr>
        <w:spacing w:before="0" w:after="0"/>
        <w:rPr>
          <w:rFonts w:cs="Arial"/>
        </w:rPr>
      </w:pPr>
      <w:r w:rsidRPr="00D657C8">
        <w:rPr>
          <w:rFonts w:cs="Arial"/>
        </w:rPr>
        <w:t>Development of indicators for biogenic structures</w:t>
      </w:r>
    </w:p>
    <w:p w:rsidR="008C1437" w:rsidRPr="008C1437" w:rsidRDefault="008C1437" w:rsidP="005118E9">
      <w:pPr>
        <w:pStyle w:val="BodyText"/>
        <w:spacing w:before="0" w:after="0"/>
        <w:rPr>
          <w:rFonts w:cs="Arial"/>
        </w:rPr>
      </w:pPr>
    </w:p>
    <w:p w:rsidR="008C1437" w:rsidRDefault="00D0712C">
      <w:pPr>
        <w:pStyle w:val="BodyText"/>
        <w:rPr>
          <w:rFonts w:cs="Arial"/>
        </w:rPr>
      </w:pPr>
      <w:r>
        <w:rPr>
          <w:rFonts w:cs="Arial"/>
        </w:rPr>
        <w:t>The contractor may also be made aware of additional specific requirements relating to a particular survey/dataset which may require completing</w:t>
      </w:r>
      <w:r w:rsidR="007A02C6">
        <w:rPr>
          <w:rFonts w:cs="Arial"/>
        </w:rPr>
        <w:t xml:space="preserve"> at the same time.</w:t>
      </w:r>
      <w:r w:rsidR="00622904">
        <w:rPr>
          <w:rFonts w:cs="Arial"/>
        </w:rPr>
        <w:t xml:space="preserve">  </w:t>
      </w:r>
    </w:p>
    <w:p w:rsidR="00CE0548" w:rsidRDefault="00622904">
      <w:pPr>
        <w:pStyle w:val="BodyText"/>
        <w:rPr>
          <w:rFonts w:cs="Arial"/>
        </w:rPr>
      </w:pPr>
      <w:r>
        <w:rPr>
          <w:rFonts w:cs="Arial"/>
        </w:rPr>
        <w:t xml:space="preserve">Contractors should note that video analysis is to be undertaken based on </w:t>
      </w:r>
      <w:r w:rsidR="008C1437">
        <w:rPr>
          <w:rFonts w:cs="Arial"/>
        </w:rPr>
        <w:t xml:space="preserve">either time or </w:t>
      </w:r>
      <w:r>
        <w:rPr>
          <w:rFonts w:cs="Arial"/>
        </w:rPr>
        <w:t>distance</w:t>
      </w:r>
      <w:r w:rsidR="008C1437">
        <w:rPr>
          <w:rFonts w:cs="Arial"/>
        </w:rPr>
        <w:t>, dependant on whether a USBL devise was deployed and functioning adequately.</w:t>
      </w:r>
      <w:r>
        <w:rPr>
          <w:rFonts w:cs="Arial"/>
        </w:rPr>
        <w:t xml:space="preserve">  It is therefore important for the contractor to understand the average speed that each camera transect was run at</w:t>
      </w:r>
      <w:r w:rsidR="00206F43">
        <w:rPr>
          <w:rFonts w:cs="Arial"/>
        </w:rPr>
        <w:t xml:space="preserve"> (which can be calculated using the positional data and time)</w:t>
      </w:r>
      <w:r>
        <w:rPr>
          <w:rFonts w:cs="Arial"/>
        </w:rPr>
        <w:t>, so that the time taken to run set distances (such as 5m</w:t>
      </w:r>
      <w:r w:rsidR="008C1437">
        <w:rPr>
          <w:rFonts w:cs="Arial"/>
        </w:rPr>
        <w:t>), or time (such as 30s) as</w:t>
      </w:r>
      <w:r>
        <w:rPr>
          <w:rFonts w:cs="Arial"/>
        </w:rPr>
        <w:t xml:space="preserve"> specified in this document) can be calculated.</w:t>
      </w:r>
    </w:p>
    <w:p w:rsidR="00CE0548" w:rsidRDefault="007E0846" w:rsidP="00847892">
      <w:pPr>
        <w:pStyle w:val="HeadingNolevel"/>
        <w:outlineLvl w:val="0"/>
      </w:pPr>
      <w:r w:rsidRPr="00D0712C">
        <w:t>Video Analysis</w:t>
      </w:r>
    </w:p>
    <w:p w:rsidR="009E7934" w:rsidRDefault="00622904" w:rsidP="009E7934">
      <w:pPr>
        <w:pStyle w:val="BodyText"/>
        <w:numPr>
          <w:ilvl w:val="1"/>
          <w:numId w:val="20"/>
        </w:numPr>
        <w:ind w:left="567"/>
        <w:rPr>
          <w:rFonts w:cs="Arial"/>
        </w:rPr>
      </w:pPr>
      <w:r w:rsidRPr="0097007E">
        <w:rPr>
          <w:rFonts w:cs="Arial"/>
        </w:rPr>
        <w:t>An initial quality check of the video footage for each transect should be performed.</w:t>
      </w:r>
      <w:r w:rsidR="0011704C">
        <w:rPr>
          <w:rFonts w:cs="Arial"/>
        </w:rPr>
        <w:t xml:space="preserve">  If the contractor feels that any transect videos contain footage too poor for analysis to be undertaken, </w:t>
      </w:r>
      <w:r w:rsidR="00282B3B">
        <w:rPr>
          <w:rFonts w:cs="Arial"/>
        </w:rPr>
        <w:t>the video should be subdivided according to image quality</w:t>
      </w:r>
      <w:r w:rsidR="009F5C9E">
        <w:rPr>
          <w:rFonts w:cs="Arial"/>
        </w:rPr>
        <w:t>,</w:t>
      </w:r>
      <w:r w:rsidR="00282B3B">
        <w:rPr>
          <w:rFonts w:cs="Arial"/>
        </w:rPr>
        <w:t xml:space="preserve"> and </w:t>
      </w:r>
      <w:r w:rsidR="0011704C">
        <w:rPr>
          <w:rFonts w:cs="Arial"/>
        </w:rPr>
        <w:t>this should be flagged with the project officer immediately</w:t>
      </w:r>
      <w:r w:rsidR="005367A9">
        <w:rPr>
          <w:rFonts w:cs="Arial"/>
        </w:rPr>
        <w:t xml:space="preserve"> (see Annex 9 for video quality guidance)</w:t>
      </w:r>
      <w:r w:rsidR="0011704C">
        <w:rPr>
          <w:rFonts w:cs="Arial"/>
        </w:rPr>
        <w:t xml:space="preserve">.  </w:t>
      </w:r>
      <w:r w:rsidR="00926D0E">
        <w:rPr>
          <w:rFonts w:cs="Arial"/>
        </w:rPr>
        <w:t>T</w:t>
      </w:r>
      <w:r w:rsidR="005C0387">
        <w:rPr>
          <w:rFonts w:cs="Arial"/>
        </w:rPr>
        <w:t>he start and end points (time as well as the spatial positions in Lats/Longs)</w:t>
      </w:r>
      <w:r w:rsidR="00926D0E">
        <w:rPr>
          <w:rFonts w:cs="Arial"/>
        </w:rPr>
        <w:t xml:space="preserve"> of the whole video sequence, and any quality based subdivisions should be logged.</w:t>
      </w:r>
    </w:p>
    <w:p w:rsidR="009F5C9E" w:rsidRDefault="0011704C" w:rsidP="009F5C9E">
      <w:pPr>
        <w:pStyle w:val="BodyText"/>
        <w:numPr>
          <w:ilvl w:val="1"/>
          <w:numId w:val="20"/>
        </w:numPr>
        <w:ind w:left="567"/>
        <w:rPr>
          <w:rFonts w:cs="Arial"/>
        </w:rPr>
      </w:pPr>
      <w:r>
        <w:rPr>
          <w:rFonts w:cs="Arial"/>
        </w:rPr>
        <w:t xml:space="preserve"> It is recommended that the video record is initially viewed rapidly</w:t>
      </w:r>
      <w:r w:rsidR="007E0846" w:rsidRPr="0097007E">
        <w:rPr>
          <w:rFonts w:cs="Arial"/>
        </w:rPr>
        <w:t xml:space="preserve"> (at approximately 4x normal speed) in order to </w:t>
      </w:r>
      <w:r>
        <w:rPr>
          <w:rFonts w:cs="Arial"/>
        </w:rPr>
        <w:t xml:space="preserve">gain an overview of the habitat types visible in the complete camera tow.  </w:t>
      </w:r>
    </w:p>
    <w:p w:rsidR="00B8247F" w:rsidRPr="009F5C9E" w:rsidRDefault="0011704C" w:rsidP="009F5C9E">
      <w:pPr>
        <w:pStyle w:val="BodyText"/>
        <w:numPr>
          <w:ilvl w:val="1"/>
          <w:numId w:val="20"/>
        </w:numPr>
        <w:ind w:left="567"/>
        <w:rPr>
          <w:rFonts w:cs="Arial"/>
        </w:rPr>
      </w:pPr>
      <w:r w:rsidRPr="009F5C9E">
        <w:rPr>
          <w:rFonts w:cs="Arial"/>
        </w:rPr>
        <w:t xml:space="preserve">Then, at normal speed, the video can be viewed again and the start and end points (time as well as the spatial positions in Lats/Longs) of each segment are </w:t>
      </w:r>
      <w:r w:rsidRPr="009F5C9E">
        <w:rPr>
          <w:rFonts w:cs="Arial"/>
        </w:rPr>
        <w:lastRenderedPageBreak/>
        <w:t>logged; each of these segments will then be subjected to more detailed analysis</w:t>
      </w:r>
      <w:r w:rsidR="009D137F" w:rsidRPr="009F5C9E">
        <w:rPr>
          <w:rFonts w:cs="Arial"/>
        </w:rPr>
        <w:t>.</w:t>
      </w:r>
    </w:p>
    <w:p w:rsidR="009D137F" w:rsidRPr="009D137F" w:rsidRDefault="009D137F" w:rsidP="009D137F">
      <w:pPr>
        <w:pStyle w:val="Caption"/>
        <w:rPr>
          <w:rFonts w:ascii="Arial Narrow" w:eastAsia="Times New Roman" w:hAnsi="Arial Narrow" w:cs="Arial"/>
          <w:noProof/>
          <w:szCs w:val="24"/>
        </w:rPr>
      </w:pPr>
      <w:r w:rsidRPr="009D137F">
        <w:rPr>
          <w:noProof/>
        </w:rPr>
        <w:drawing>
          <wp:inline distT="0" distB="0" distL="0" distR="0">
            <wp:extent cx="5664530" cy="232578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5742" cy="2326287"/>
                    </a:xfrm>
                    <a:prstGeom prst="rect">
                      <a:avLst/>
                    </a:prstGeom>
                    <a:noFill/>
                    <a:ln>
                      <a:noFill/>
                    </a:ln>
                  </pic:spPr>
                </pic:pic>
              </a:graphicData>
            </a:graphic>
          </wp:inline>
        </w:drawing>
      </w:r>
      <w:r w:rsidRPr="009D137F">
        <w:rPr>
          <w:rFonts w:eastAsia="Times New Roman" w:cs="Times New Roman"/>
          <w:b w:val="0"/>
          <w:bCs w:val="0"/>
          <w:sz w:val="20"/>
        </w:rPr>
        <w:t xml:space="preserve"> </w:t>
      </w:r>
      <w:r w:rsidRPr="009D137F">
        <w:rPr>
          <w:rFonts w:eastAsia="Times New Roman" w:cs="Times New Roman"/>
          <w:sz w:val="20"/>
        </w:rPr>
        <w:t xml:space="preserve">Figure </w:t>
      </w:r>
      <w:r w:rsidR="00E53FBD" w:rsidRPr="009D137F">
        <w:rPr>
          <w:rFonts w:eastAsia="Times New Roman" w:cs="Times New Roman"/>
          <w:sz w:val="20"/>
        </w:rPr>
        <w:fldChar w:fldCharType="begin"/>
      </w:r>
      <w:r w:rsidRPr="009D137F">
        <w:rPr>
          <w:rFonts w:eastAsia="Times New Roman" w:cs="Times New Roman"/>
          <w:sz w:val="20"/>
        </w:rPr>
        <w:instrText xml:space="preserve"> SEQ Figure \* ARABIC </w:instrText>
      </w:r>
      <w:r w:rsidR="00E53FBD" w:rsidRPr="009D137F">
        <w:rPr>
          <w:rFonts w:eastAsia="Times New Roman" w:cs="Times New Roman"/>
          <w:sz w:val="20"/>
        </w:rPr>
        <w:fldChar w:fldCharType="separate"/>
      </w:r>
      <w:r w:rsidRPr="009D137F">
        <w:rPr>
          <w:rFonts w:eastAsia="Times New Roman" w:cs="Times New Roman"/>
          <w:noProof/>
          <w:sz w:val="20"/>
        </w:rPr>
        <w:t>1</w:t>
      </w:r>
      <w:r w:rsidR="00E53FBD" w:rsidRPr="009D137F">
        <w:rPr>
          <w:rFonts w:eastAsia="Times New Roman" w:cs="Times New Roman"/>
          <w:sz w:val="20"/>
        </w:rPr>
        <w:fldChar w:fldCharType="end"/>
      </w:r>
      <w:r w:rsidRPr="009D137F">
        <w:rPr>
          <w:rFonts w:eastAsia="Times New Roman" w:cs="Times New Roman"/>
          <w:sz w:val="20"/>
        </w:rPr>
        <w:t xml:space="preserve"> Simplified illustration of method for segmenting seabed video tows based on changes in habitat. Marine Recorder Briefing Note, JNCC.</w:t>
      </w:r>
    </w:p>
    <w:p w:rsidR="00614E61" w:rsidRPr="00614E61" w:rsidRDefault="00614E61" w:rsidP="005118E9">
      <w:pPr>
        <w:pStyle w:val="BodyText"/>
        <w:ind w:left="567"/>
        <w:rPr>
          <w:rFonts w:cs="Arial"/>
        </w:rPr>
      </w:pPr>
    </w:p>
    <w:p w:rsidR="00CE72B6" w:rsidRPr="005118E9" w:rsidRDefault="0011704C" w:rsidP="009F5C9E">
      <w:pPr>
        <w:pStyle w:val="BodyText"/>
        <w:numPr>
          <w:ilvl w:val="1"/>
          <w:numId w:val="20"/>
        </w:numPr>
        <w:ind w:left="567"/>
        <w:rPr>
          <w:rFonts w:cs="Arial"/>
        </w:rPr>
      </w:pPr>
      <w:r w:rsidRPr="005118E9">
        <w:rPr>
          <w:rFonts w:cs="Arial"/>
        </w:rPr>
        <w:t xml:space="preserve">It should be specified on the video analysis log whether the spatial positions relate to the Central Reference Point (CRP = GPS antenna), Side/Stern Gantry or HiPAP/USBL.  </w:t>
      </w:r>
    </w:p>
    <w:p w:rsidR="00CE72B6" w:rsidRPr="005118E9" w:rsidRDefault="0011704C" w:rsidP="005118E9">
      <w:pPr>
        <w:pStyle w:val="BodyText"/>
        <w:numPr>
          <w:ilvl w:val="1"/>
          <w:numId w:val="20"/>
        </w:numPr>
        <w:ind w:left="567"/>
        <w:rPr>
          <w:rFonts w:cs="Arial"/>
        </w:rPr>
      </w:pPr>
      <w:r w:rsidRPr="005118E9">
        <w:rPr>
          <w:rFonts w:cs="Arial"/>
        </w:rPr>
        <w:t xml:space="preserve">Brief changes in substrate type covering less than 5 meters </w:t>
      </w:r>
      <w:r w:rsidR="009F5C9E" w:rsidRPr="005118E9">
        <w:rPr>
          <w:rFonts w:cs="Arial"/>
        </w:rPr>
        <w:t xml:space="preserve">in length </w:t>
      </w:r>
      <w:r w:rsidR="00CE72B6" w:rsidRPr="005118E9">
        <w:rPr>
          <w:rFonts w:cs="Arial"/>
        </w:rPr>
        <w:t xml:space="preserve">(which aligns with </w:t>
      </w:r>
      <w:r w:rsidR="00CE72B6" w:rsidRPr="005118E9">
        <w:t>the minimum biotope area defined by MNCR (5m</w:t>
      </w:r>
      <w:r w:rsidR="00CE72B6" w:rsidRPr="005118E9">
        <w:rPr>
          <w:vertAlign w:val="superscript"/>
        </w:rPr>
        <w:t>2</w:t>
      </w:r>
      <w:r w:rsidR="00CE72B6" w:rsidRPr="005118E9">
        <w:t>)), are therefore to be</w:t>
      </w:r>
      <w:r w:rsidR="00CE72B6" w:rsidRPr="005118E9">
        <w:rPr>
          <w:rFonts w:cs="Arial"/>
        </w:rPr>
        <w:t xml:space="preserve"> considered as incidental patches and are not logged – however, these should be recorded as part of the habitat description. </w:t>
      </w:r>
      <w:r w:rsidR="00CE72B6" w:rsidRPr="005118E9">
        <w:t xml:space="preserve">The time taken to cover a linear transect of seabed will dependant on towing speed.  All video time </w:t>
      </w:r>
      <w:r w:rsidR="00CE72B6" w:rsidRPr="005118E9">
        <w:rPr>
          <w:b/>
        </w:rPr>
        <w:t xml:space="preserve">must </w:t>
      </w:r>
      <w:r w:rsidR="00CE72B6" w:rsidRPr="005118E9">
        <w:t>be linked to positional data so that when this is combined with the field of view of the camera the area can be calculated. Therefore if identifying substrate patches utilising tow duration, minimum linear patch size would equate to a 30s video sequence when the video is traversing the seabed at a target speed of 0.3 knots.</w:t>
      </w:r>
    </w:p>
    <w:p w:rsidR="008968BA" w:rsidRPr="005118E9" w:rsidRDefault="00CD763B" w:rsidP="005118E9">
      <w:pPr>
        <w:pStyle w:val="BodyText"/>
        <w:numPr>
          <w:ilvl w:val="1"/>
          <w:numId w:val="20"/>
        </w:numPr>
        <w:spacing w:before="0" w:after="0"/>
        <w:ind w:left="567"/>
        <w:rPr>
          <w:rFonts w:cs="Arial"/>
        </w:rPr>
      </w:pPr>
      <w:r>
        <w:rPr>
          <w:rFonts w:cs="Arial"/>
        </w:rPr>
        <w:t>As noted in ‘</w:t>
      </w:r>
      <w:r w:rsidR="00CE0548" w:rsidRPr="005118E9">
        <w:rPr>
          <w:rFonts w:cs="Arial"/>
        </w:rPr>
        <w:t>a</w:t>
      </w:r>
      <w:r>
        <w:rPr>
          <w:rFonts w:cs="Arial"/>
        </w:rPr>
        <w:t>.’</w:t>
      </w:r>
      <w:r w:rsidR="00CE0548" w:rsidRPr="005118E9">
        <w:rPr>
          <w:rFonts w:cs="Arial"/>
        </w:rPr>
        <w:t xml:space="preserve"> above, record the start and end times and positions of each segment </w:t>
      </w:r>
      <w:r w:rsidR="009F5C9E" w:rsidRPr="005118E9">
        <w:rPr>
          <w:rFonts w:cs="Arial"/>
        </w:rPr>
        <w:t xml:space="preserve">(habitat patches and video quality </w:t>
      </w:r>
      <w:r w:rsidR="00CE72B6" w:rsidRPr="005118E9">
        <w:rPr>
          <w:rFonts w:cs="Arial"/>
        </w:rPr>
        <w:t>categories</w:t>
      </w:r>
      <w:r w:rsidR="009F5C9E" w:rsidRPr="005118E9">
        <w:rPr>
          <w:rFonts w:cs="Arial"/>
        </w:rPr>
        <w:t xml:space="preserve">) </w:t>
      </w:r>
      <w:r w:rsidR="00CE0548" w:rsidRPr="005118E9">
        <w:rPr>
          <w:rFonts w:cs="Arial"/>
        </w:rPr>
        <w:t xml:space="preserve">from the information provided (by Cefas).  </w:t>
      </w:r>
      <w:r w:rsidR="0097007E" w:rsidRPr="005118E9">
        <w:rPr>
          <w:rFonts w:cs="Arial"/>
        </w:rPr>
        <w:t>As stated above, i</w:t>
      </w:r>
      <w:r w:rsidR="00CE0548" w:rsidRPr="005118E9">
        <w:rPr>
          <w:rFonts w:cs="Arial"/>
        </w:rPr>
        <w:t xml:space="preserve">t should also be specified </w:t>
      </w:r>
      <w:r w:rsidR="00E34019" w:rsidRPr="005118E9">
        <w:rPr>
          <w:rFonts w:cs="Arial"/>
        </w:rPr>
        <w:t xml:space="preserve">on the video analysis log </w:t>
      </w:r>
      <w:r w:rsidR="00CE0548" w:rsidRPr="005118E9">
        <w:rPr>
          <w:rFonts w:cs="Arial"/>
        </w:rPr>
        <w:t xml:space="preserve">whether the spatial positions relate to the Central Reference </w:t>
      </w:r>
      <w:r w:rsidR="006B4AE3" w:rsidRPr="005118E9">
        <w:rPr>
          <w:rFonts w:cs="Arial"/>
        </w:rPr>
        <w:t>Point (CRP = GPS antenna), Side/</w:t>
      </w:r>
      <w:r w:rsidR="00CE0548" w:rsidRPr="005118E9">
        <w:rPr>
          <w:rFonts w:cs="Arial"/>
        </w:rPr>
        <w:t>Stern Gantry</w:t>
      </w:r>
      <w:r w:rsidR="006B4AE3" w:rsidRPr="005118E9">
        <w:rPr>
          <w:rFonts w:cs="Arial"/>
        </w:rPr>
        <w:t xml:space="preserve"> or HiP</w:t>
      </w:r>
      <w:r w:rsidR="00E85AA9" w:rsidRPr="005118E9">
        <w:rPr>
          <w:rFonts w:cs="Arial"/>
        </w:rPr>
        <w:t>AP/USBL</w:t>
      </w:r>
      <w:r w:rsidR="009C5FFB" w:rsidRPr="005118E9">
        <w:rPr>
          <w:rFonts w:cs="Arial"/>
        </w:rPr>
        <w:t>.</w:t>
      </w:r>
      <w:r w:rsidR="008968BA" w:rsidRPr="005118E9">
        <w:rPr>
          <w:spacing w:val="-3"/>
          <w:lang w:eastAsia="en-US"/>
        </w:rPr>
        <w:t xml:space="preserve"> For each segment identified during this review the following </w:t>
      </w:r>
      <w:r w:rsidR="008968BA" w:rsidRPr="005118E9">
        <w:rPr>
          <w:b/>
          <w:spacing w:val="-3"/>
          <w:lang w:eastAsia="en-US"/>
        </w:rPr>
        <w:t>must</w:t>
      </w:r>
      <w:r w:rsidR="008968BA" w:rsidRPr="005118E9">
        <w:rPr>
          <w:spacing w:val="-3"/>
          <w:lang w:eastAsia="en-US"/>
        </w:rPr>
        <w:t xml:space="preserve"> be noted from the information on the video overlay or accompanying metadata:</w:t>
      </w:r>
    </w:p>
    <w:p w:rsidR="008968BA" w:rsidRPr="005118E9" w:rsidRDefault="008968BA" w:rsidP="005118E9">
      <w:pPr>
        <w:numPr>
          <w:ilvl w:val="3"/>
          <w:numId w:val="25"/>
        </w:numPr>
        <w:tabs>
          <w:tab w:val="clear" w:pos="2880"/>
          <w:tab w:val="num" w:pos="1134"/>
        </w:tabs>
        <w:spacing w:after="0" w:line="240" w:lineRule="auto"/>
        <w:ind w:left="1134"/>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Start and end time</w:t>
      </w:r>
    </w:p>
    <w:p w:rsidR="008968BA" w:rsidRPr="005118E9" w:rsidRDefault="008968BA" w:rsidP="005118E9">
      <w:pPr>
        <w:numPr>
          <w:ilvl w:val="3"/>
          <w:numId w:val="25"/>
        </w:numPr>
        <w:tabs>
          <w:tab w:val="clear" w:pos="2880"/>
          <w:tab w:val="num" w:pos="1134"/>
        </w:tabs>
        <w:spacing w:after="0" w:line="240" w:lineRule="auto"/>
        <w:ind w:left="1134"/>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Start and end position</w:t>
      </w:r>
    </w:p>
    <w:p w:rsidR="008968BA" w:rsidRPr="005118E9" w:rsidRDefault="008968BA" w:rsidP="005118E9">
      <w:pPr>
        <w:numPr>
          <w:ilvl w:val="3"/>
          <w:numId w:val="25"/>
        </w:numPr>
        <w:tabs>
          <w:tab w:val="clear" w:pos="2880"/>
          <w:tab w:val="num" w:pos="1134"/>
        </w:tabs>
        <w:spacing w:before="100" w:beforeAutospacing="1" w:after="0" w:afterAutospacing="1" w:line="240" w:lineRule="auto"/>
        <w:ind w:left="1134"/>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 xml:space="preserve">Depth at the start and the end of </w:t>
      </w:r>
      <w:r w:rsidR="00644154" w:rsidRPr="005118E9">
        <w:rPr>
          <w:rFonts w:ascii="Arial" w:eastAsia="Times New Roman" w:hAnsi="Arial" w:cs="Times New Roman"/>
          <w:spacing w:val="-3"/>
          <w:sz w:val="24"/>
          <w:szCs w:val="24"/>
          <w:lang w:eastAsia="en-US"/>
        </w:rPr>
        <w:t>each section</w:t>
      </w:r>
      <w:r w:rsidRPr="005118E9">
        <w:rPr>
          <w:rFonts w:ascii="Arial" w:eastAsia="Times New Roman" w:hAnsi="Arial" w:cs="Times New Roman"/>
          <w:spacing w:val="-3"/>
          <w:sz w:val="24"/>
          <w:szCs w:val="24"/>
          <w:lang w:eastAsia="en-US"/>
        </w:rPr>
        <w:t xml:space="preserve">.  However, if there are large variations in depth throughout the tow then the range, including minimum and maximum depths, </w:t>
      </w:r>
      <w:r w:rsidRPr="005118E9">
        <w:rPr>
          <w:rFonts w:ascii="Arial" w:eastAsia="Times New Roman" w:hAnsi="Arial" w:cs="Times New Roman"/>
          <w:b/>
          <w:spacing w:val="-3"/>
          <w:sz w:val="24"/>
          <w:szCs w:val="24"/>
          <w:lang w:eastAsia="en-US"/>
        </w:rPr>
        <w:t>must</w:t>
      </w:r>
      <w:r w:rsidRPr="005118E9">
        <w:rPr>
          <w:rFonts w:ascii="Arial" w:eastAsia="Times New Roman" w:hAnsi="Arial" w:cs="Times New Roman"/>
          <w:spacing w:val="-3"/>
          <w:sz w:val="24"/>
          <w:szCs w:val="24"/>
          <w:lang w:eastAsia="en-US"/>
        </w:rPr>
        <w:t xml:space="preserve"> be noted.</w:t>
      </w:r>
    </w:p>
    <w:p w:rsidR="00E57A8C" w:rsidRDefault="00CE0548" w:rsidP="005118E9">
      <w:pPr>
        <w:pStyle w:val="BodyText"/>
        <w:numPr>
          <w:ilvl w:val="1"/>
          <w:numId w:val="20"/>
        </w:numPr>
        <w:ind w:left="567"/>
        <w:rPr>
          <w:rFonts w:cs="Arial"/>
        </w:rPr>
      </w:pPr>
      <w:r w:rsidRPr="00CE0548">
        <w:rPr>
          <w:rFonts w:cs="Arial"/>
        </w:rPr>
        <w:lastRenderedPageBreak/>
        <w:t>View each segment at a slower than normal speed, recording the physical habitat (substrate type, seabed character/morphology) and biological component</w:t>
      </w:r>
      <w:r w:rsidR="00656A64">
        <w:rPr>
          <w:rFonts w:cs="Arial"/>
        </w:rPr>
        <w:t>s</w:t>
      </w:r>
      <w:r w:rsidRPr="00CE0548">
        <w:rPr>
          <w:rFonts w:cs="Arial"/>
        </w:rPr>
        <w:t xml:space="preserve"> (</w:t>
      </w:r>
      <w:r w:rsidR="0097007E">
        <w:rPr>
          <w:rFonts w:cs="Arial"/>
        </w:rPr>
        <w:t>organisms to the lowest taxa/taxon at which ID can be certain)</w:t>
      </w:r>
      <w:r w:rsidRPr="00CE0548">
        <w:rPr>
          <w:rFonts w:cs="Arial"/>
        </w:rPr>
        <w:t xml:space="preserve"> as detailed on the recording form.</w:t>
      </w:r>
      <w:r w:rsidR="005118E9">
        <w:rPr>
          <w:rFonts w:cs="Arial"/>
        </w:rPr>
        <w:t xml:space="preserve"> </w:t>
      </w:r>
      <w:r w:rsidR="005118E9">
        <w:rPr>
          <w:szCs w:val="22"/>
        </w:rPr>
        <w:t xml:space="preserve">If available, </w:t>
      </w:r>
      <w:r w:rsidR="00F83E49">
        <w:rPr>
          <w:szCs w:val="22"/>
        </w:rPr>
        <w:t xml:space="preserve">still images from the respective video tow </w:t>
      </w:r>
      <w:r w:rsidR="00F83E49">
        <w:rPr>
          <w:b/>
          <w:szCs w:val="22"/>
        </w:rPr>
        <w:t>should</w:t>
      </w:r>
      <w:r w:rsidR="00F83E49">
        <w:rPr>
          <w:szCs w:val="22"/>
        </w:rPr>
        <w:t xml:space="preserve"> be viewed alongside the video to assist with interpretation due to their higher resolution. </w:t>
      </w:r>
      <w:r w:rsidR="00BC0C3D" w:rsidRPr="00CE0548">
        <w:rPr>
          <w:rFonts w:cs="Arial"/>
        </w:rPr>
        <w:t xml:space="preserve">Record the analyses on the video pro-forma; detailed instructions of how to </w:t>
      </w:r>
      <w:r w:rsidR="009C5FFB">
        <w:rPr>
          <w:rFonts w:cs="Arial"/>
        </w:rPr>
        <w:t>fill this in can be found below.</w:t>
      </w:r>
    </w:p>
    <w:p w:rsidR="00F83E49" w:rsidRPr="005118E9" w:rsidRDefault="00F83E49" w:rsidP="005118E9">
      <w:pPr>
        <w:pStyle w:val="BodyText"/>
        <w:numPr>
          <w:ilvl w:val="1"/>
          <w:numId w:val="20"/>
        </w:numPr>
        <w:ind w:left="567"/>
        <w:rPr>
          <w:rFonts w:cs="Arial"/>
        </w:rPr>
      </w:pPr>
      <w:r w:rsidRPr="00E57A8C">
        <w:rPr>
          <w:rFonts w:cs="Arial"/>
        </w:rPr>
        <w:t>The area of each transect should be estimated. The field of view of the camera can be determined</w:t>
      </w:r>
      <w:r w:rsidRPr="00184058">
        <w:rPr>
          <w:rFonts w:cs="Arial"/>
        </w:rPr>
        <w:t xml:space="preserve"> using the scaling device. Transect length can be calculated from the positional data.  </w:t>
      </w:r>
    </w:p>
    <w:p w:rsidR="00BC0C3D" w:rsidRDefault="00BC0C3D" w:rsidP="009F5C9E">
      <w:pPr>
        <w:pStyle w:val="BodyText"/>
        <w:numPr>
          <w:ilvl w:val="1"/>
          <w:numId w:val="20"/>
        </w:numPr>
        <w:ind w:left="567"/>
        <w:rPr>
          <w:rFonts w:cs="Arial"/>
        </w:rPr>
      </w:pPr>
      <w:r w:rsidRPr="00CE0548">
        <w:rPr>
          <w:rFonts w:cs="Arial"/>
        </w:rPr>
        <w:t xml:space="preserve">For each identifiable taxon record </w:t>
      </w:r>
      <w:r w:rsidR="00EB240A">
        <w:rPr>
          <w:rFonts w:cs="Arial"/>
        </w:rPr>
        <w:t xml:space="preserve">presence/ absence, </w:t>
      </w:r>
      <w:r w:rsidRPr="00CE0548">
        <w:rPr>
          <w:rFonts w:cs="Arial"/>
        </w:rPr>
        <w:t xml:space="preserve">an actual abundance </w:t>
      </w:r>
      <w:r w:rsidR="009C5FFB">
        <w:rPr>
          <w:rFonts w:cs="Arial"/>
        </w:rPr>
        <w:t xml:space="preserve">or percentage cover </w:t>
      </w:r>
      <w:r w:rsidR="006E642E" w:rsidRPr="006E642E">
        <w:rPr>
          <w:rFonts w:cs="Arial"/>
          <w:b/>
        </w:rPr>
        <w:t>and</w:t>
      </w:r>
      <w:r w:rsidRPr="00CE0548">
        <w:rPr>
          <w:rFonts w:cs="Arial"/>
        </w:rPr>
        <w:t xml:space="preserve"> a semi quantitative SACFOR abundance</w:t>
      </w:r>
      <w:r w:rsidR="0097007E">
        <w:rPr>
          <w:rFonts w:cs="Arial"/>
        </w:rPr>
        <w:t xml:space="preserve"> score </w:t>
      </w:r>
      <w:r w:rsidRPr="00CE0548">
        <w:rPr>
          <w:rFonts w:cs="Arial"/>
        </w:rPr>
        <w:t>(Annex</w:t>
      </w:r>
      <w:r w:rsidR="00954AC3">
        <w:rPr>
          <w:rFonts w:cs="Arial"/>
        </w:rPr>
        <w:t xml:space="preserve"> 1</w:t>
      </w:r>
      <w:r w:rsidR="00EB240A">
        <w:rPr>
          <w:rFonts w:cs="Arial"/>
        </w:rPr>
        <w:t xml:space="preserve"> – determining organism abundance</w:t>
      </w:r>
      <w:r w:rsidR="00954AC3">
        <w:rPr>
          <w:rFonts w:cs="Arial"/>
        </w:rPr>
        <w:t>)</w:t>
      </w:r>
      <w:r w:rsidR="009C5FFB">
        <w:rPr>
          <w:rFonts w:cs="Arial"/>
        </w:rPr>
        <w:t>.</w:t>
      </w:r>
      <w:r w:rsidRPr="00CE0548">
        <w:rPr>
          <w:rFonts w:cs="Arial"/>
        </w:rPr>
        <w:t xml:space="preserve"> </w:t>
      </w:r>
    </w:p>
    <w:p w:rsidR="00EB240A" w:rsidRDefault="00EB240A" w:rsidP="005118E9">
      <w:pPr>
        <w:pStyle w:val="BodyText"/>
        <w:numPr>
          <w:ilvl w:val="1"/>
          <w:numId w:val="20"/>
        </w:numPr>
        <w:spacing w:before="0" w:after="0"/>
        <w:ind w:left="567"/>
        <w:rPr>
          <w:rFonts w:cs="Arial"/>
        </w:rPr>
      </w:pPr>
      <w:r>
        <w:rPr>
          <w:rFonts w:cs="Arial"/>
        </w:rPr>
        <w:t>The data collected across these surveys may inform the development of up to four MSFD indicators:</w:t>
      </w:r>
    </w:p>
    <w:p w:rsidR="00EB240A" w:rsidRDefault="00EB240A" w:rsidP="005118E9">
      <w:pPr>
        <w:pStyle w:val="BodyText"/>
        <w:numPr>
          <w:ilvl w:val="2"/>
          <w:numId w:val="20"/>
        </w:numPr>
        <w:spacing w:before="0" w:after="0"/>
        <w:ind w:left="993"/>
        <w:rPr>
          <w:rFonts w:cs="Arial"/>
        </w:rPr>
      </w:pPr>
      <w:r>
        <w:rPr>
          <w:rFonts w:cs="Arial"/>
        </w:rPr>
        <w:t>Shallow/ shelf sub-littoral rock – sponge morphological diversity</w:t>
      </w:r>
    </w:p>
    <w:p w:rsidR="00EB240A" w:rsidRDefault="00EB240A" w:rsidP="005118E9">
      <w:pPr>
        <w:pStyle w:val="BodyText"/>
        <w:numPr>
          <w:ilvl w:val="2"/>
          <w:numId w:val="20"/>
        </w:numPr>
        <w:spacing w:before="0" w:after="0"/>
        <w:ind w:left="993"/>
        <w:rPr>
          <w:rFonts w:cs="Arial"/>
        </w:rPr>
      </w:pPr>
      <w:r>
        <w:rPr>
          <w:rFonts w:cs="Arial"/>
        </w:rPr>
        <w:t xml:space="preserve">Shallow sub-littoral rock – Kelp park </w:t>
      </w:r>
      <w:r w:rsidR="009E6537">
        <w:rPr>
          <w:rFonts w:cs="Arial"/>
        </w:rPr>
        <w:t xml:space="preserve">and kelp forest </w:t>
      </w:r>
      <w:r>
        <w:rPr>
          <w:rFonts w:cs="Arial"/>
        </w:rPr>
        <w:t>depth</w:t>
      </w:r>
    </w:p>
    <w:p w:rsidR="00EB240A" w:rsidRDefault="00EB240A" w:rsidP="005118E9">
      <w:pPr>
        <w:pStyle w:val="BodyText"/>
        <w:numPr>
          <w:ilvl w:val="2"/>
          <w:numId w:val="20"/>
        </w:numPr>
        <w:spacing w:before="0" w:after="0"/>
        <w:ind w:left="993"/>
        <w:rPr>
          <w:rFonts w:cs="Arial"/>
        </w:rPr>
      </w:pPr>
      <w:r>
        <w:rPr>
          <w:rFonts w:cs="Arial"/>
        </w:rPr>
        <w:t>Biogenic structures – Blue mussel</w:t>
      </w:r>
      <w:r w:rsidR="009E6537">
        <w:rPr>
          <w:rFonts w:cs="Arial"/>
        </w:rPr>
        <w:t xml:space="preserve"> reef</w:t>
      </w:r>
    </w:p>
    <w:p w:rsidR="00EB240A" w:rsidRDefault="00107B4E" w:rsidP="005118E9">
      <w:pPr>
        <w:pStyle w:val="BodyText"/>
        <w:numPr>
          <w:ilvl w:val="2"/>
          <w:numId w:val="20"/>
        </w:numPr>
        <w:spacing w:before="0" w:after="0"/>
        <w:ind w:left="993"/>
        <w:rPr>
          <w:rFonts w:cs="Arial"/>
        </w:rPr>
      </w:pPr>
      <w:r>
        <w:rPr>
          <w:rFonts w:cs="Arial"/>
        </w:rPr>
        <w:t>Biogenic</w:t>
      </w:r>
      <w:r w:rsidR="00EB240A">
        <w:rPr>
          <w:rFonts w:cs="Arial"/>
        </w:rPr>
        <w:t xml:space="preserve"> structures – Sabellaria spinulosa reef</w:t>
      </w:r>
    </w:p>
    <w:p w:rsidR="009E6537" w:rsidRDefault="009E6537" w:rsidP="009E6537">
      <w:pPr>
        <w:pStyle w:val="BodyText"/>
        <w:spacing w:before="0" w:after="0"/>
        <w:ind w:left="993"/>
        <w:rPr>
          <w:rFonts w:cs="Arial"/>
        </w:rPr>
      </w:pPr>
    </w:p>
    <w:p w:rsidR="009E6537" w:rsidRDefault="009E6537" w:rsidP="005118E9">
      <w:pPr>
        <w:pStyle w:val="BodyText"/>
        <w:spacing w:before="0" w:after="120"/>
        <w:ind w:left="993"/>
        <w:rPr>
          <w:rFonts w:cs="Arial"/>
        </w:rPr>
      </w:pPr>
      <w:r>
        <w:rPr>
          <w:rFonts w:cs="Arial"/>
        </w:rPr>
        <w:t xml:space="preserve">Please refer to Annex 6 (a-d) for further specific methodological protocols relevant to theses MSFD indicators </w:t>
      </w:r>
    </w:p>
    <w:p w:rsidR="00CE0548" w:rsidRPr="00270DDE" w:rsidRDefault="00CE0548" w:rsidP="009F5C9E">
      <w:pPr>
        <w:pStyle w:val="BodyText"/>
        <w:numPr>
          <w:ilvl w:val="1"/>
          <w:numId w:val="20"/>
        </w:numPr>
        <w:ind w:left="567"/>
        <w:rPr>
          <w:rFonts w:cs="Arial"/>
        </w:rPr>
      </w:pPr>
      <w:r w:rsidRPr="00CE0548">
        <w:rPr>
          <w:rFonts w:cs="Arial"/>
        </w:rPr>
        <w:t>When each segment has been analysed, review all the information recorded and assign the segment to the most relevant level of the JNCC marine habitat classification and the EUNIS habitat classification system</w:t>
      </w:r>
      <w:r w:rsidR="0097007E">
        <w:rPr>
          <w:rFonts w:cs="Arial"/>
        </w:rPr>
        <w:t xml:space="preserve"> as per the guidance provided </w:t>
      </w:r>
      <w:r w:rsidR="0029506C">
        <w:rPr>
          <w:rFonts w:cs="Arial"/>
        </w:rPr>
        <w:t>by Parry (2015)</w:t>
      </w:r>
      <w:r w:rsidRPr="00CE0548">
        <w:rPr>
          <w:rFonts w:cs="Arial"/>
        </w:rPr>
        <w:t xml:space="preserve">. </w:t>
      </w:r>
    </w:p>
    <w:p w:rsidR="00CE0548" w:rsidRDefault="00CE0548" w:rsidP="009F5C9E">
      <w:pPr>
        <w:pStyle w:val="BodyText"/>
        <w:numPr>
          <w:ilvl w:val="1"/>
          <w:numId w:val="20"/>
        </w:numPr>
        <w:ind w:left="567"/>
        <w:rPr>
          <w:rFonts w:cs="Arial"/>
        </w:rPr>
      </w:pPr>
      <w:r w:rsidRPr="00CE0548">
        <w:rPr>
          <w:rFonts w:cs="Arial"/>
        </w:rPr>
        <w:t>A Video_Sample_Ref by species matrix shou</w:t>
      </w:r>
      <w:r w:rsidR="009C5FFB">
        <w:rPr>
          <w:rFonts w:cs="Arial"/>
        </w:rPr>
        <w:t>ld be completed for each survey.</w:t>
      </w:r>
    </w:p>
    <w:p w:rsidR="00382DA3" w:rsidRPr="00270DDE" w:rsidRDefault="00382DA3" w:rsidP="005118E9">
      <w:pPr>
        <w:pStyle w:val="BodyText"/>
        <w:rPr>
          <w:rFonts w:cs="Arial"/>
        </w:rPr>
      </w:pPr>
    </w:p>
    <w:p w:rsidR="007E0846" w:rsidRPr="00685CE5" w:rsidRDefault="00CE0548" w:rsidP="00847892">
      <w:pPr>
        <w:pStyle w:val="HeadingNolevel"/>
        <w:outlineLvl w:val="0"/>
      </w:pPr>
      <w:r w:rsidRPr="00685CE5">
        <w:t>Stills analysis</w:t>
      </w:r>
    </w:p>
    <w:p w:rsidR="007E0846" w:rsidRPr="00D0712C" w:rsidRDefault="007E0846" w:rsidP="00ED23E4">
      <w:pPr>
        <w:pStyle w:val="BodyText"/>
        <w:numPr>
          <w:ilvl w:val="0"/>
          <w:numId w:val="22"/>
        </w:numPr>
        <w:ind w:left="709"/>
        <w:rPr>
          <w:rFonts w:cs="Arial"/>
        </w:rPr>
      </w:pPr>
      <w:r w:rsidRPr="00D0712C">
        <w:rPr>
          <w:rFonts w:cs="Arial"/>
        </w:rPr>
        <w:t xml:space="preserve">Still images should be analysed separately, to supplement and validate the video analysis, and provide more detailed (i.e. higher resolution) information than can be extracted from a moving video image. </w:t>
      </w:r>
    </w:p>
    <w:p w:rsidR="007E0846" w:rsidRPr="00D0712C" w:rsidRDefault="00CE0548" w:rsidP="00ED23E4">
      <w:pPr>
        <w:pStyle w:val="BodyText"/>
        <w:numPr>
          <w:ilvl w:val="0"/>
          <w:numId w:val="22"/>
        </w:numPr>
        <w:ind w:left="709"/>
        <w:rPr>
          <w:rFonts w:cs="Arial"/>
        </w:rPr>
      </w:pPr>
      <w:r w:rsidRPr="00CE0548">
        <w:rPr>
          <w:rFonts w:cs="Arial"/>
        </w:rPr>
        <w:t>Analyse all stills and assign them to their parent segment (see Stills analysis proforma instructions below).  For each image, note the time and position it was taken, using information from the metadata provided by Cefas.</w:t>
      </w:r>
    </w:p>
    <w:p w:rsidR="00CE4151" w:rsidRPr="00D0712C" w:rsidRDefault="00CE0548" w:rsidP="00ED23E4">
      <w:pPr>
        <w:pStyle w:val="BodyText"/>
        <w:numPr>
          <w:ilvl w:val="0"/>
          <w:numId w:val="22"/>
        </w:numPr>
        <w:ind w:left="709"/>
        <w:rPr>
          <w:rFonts w:cs="Arial"/>
        </w:rPr>
      </w:pPr>
      <w:r w:rsidRPr="00CE0548">
        <w:rPr>
          <w:rFonts w:cs="Arial"/>
        </w:rPr>
        <w:t>View the image at normal or greater than normal magnification, noting the physical and biological characteristics, such as substrate typ</w:t>
      </w:r>
      <w:r w:rsidR="00D33146">
        <w:rPr>
          <w:rFonts w:cs="Arial"/>
        </w:rPr>
        <w:t>e (according to ‘Modified folk’</w:t>
      </w:r>
      <w:r w:rsidRPr="00CE0548">
        <w:rPr>
          <w:rFonts w:cs="Arial"/>
        </w:rPr>
        <w:t>, seabed character, species and life forms present.</w:t>
      </w:r>
    </w:p>
    <w:p w:rsidR="005C23DD" w:rsidRPr="00D0712C" w:rsidRDefault="00CE0548" w:rsidP="00ED23E4">
      <w:pPr>
        <w:pStyle w:val="BodyText"/>
        <w:numPr>
          <w:ilvl w:val="0"/>
          <w:numId w:val="22"/>
        </w:numPr>
        <w:ind w:left="709"/>
        <w:rPr>
          <w:rFonts w:cs="Arial"/>
        </w:rPr>
      </w:pPr>
      <w:r w:rsidRPr="00CE0548">
        <w:rPr>
          <w:rFonts w:cs="Arial"/>
        </w:rPr>
        <w:lastRenderedPageBreak/>
        <w:t>If enough information on depth (biological zone), vegetation, faunal composition or energy (for rock biotopes) is availab</w:t>
      </w:r>
      <w:r w:rsidR="008F1C9F">
        <w:rPr>
          <w:rFonts w:cs="Arial"/>
        </w:rPr>
        <w:t>le then allocate a lower</w:t>
      </w:r>
      <w:r w:rsidRPr="00CE0548">
        <w:rPr>
          <w:rFonts w:cs="Arial"/>
        </w:rPr>
        <w:t xml:space="preserve"> level EUNIS code.</w:t>
      </w:r>
    </w:p>
    <w:p w:rsidR="004E25C8" w:rsidRDefault="00CE0548" w:rsidP="00ED23E4">
      <w:pPr>
        <w:pStyle w:val="BodyText"/>
        <w:numPr>
          <w:ilvl w:val="0"/>
          <w:numId w:val="22"/>
        </w:numPr>
        <w:ind w:left="709"/>
        <w:rPr>
          <w:rFonts w:cs="Arial"/>
        </w:rPr>
      </w:pPr>
      <w:r w:rsidRPr="00CE0548">
        <w:rPr>
          <w:rFonts w:cs="Arial"/>
        </w:rPr>
        <w:t>Record the analysis on the stills proforma; detailed instructions of how to fill this in can be found below.</w:t>
      </w:r>
    </w:p>
    <w:p w:rsidR="00451341" w:rsidRPr="00D0712C" w:rsidRDefault="00451341" w:rsidP="00ED23E4">
      <w:pPr>
        <w:pStyle w:val="BodyText"/>
        <w:numPr>
          <w:ilvl w:val="0"/>
          <w:numId w:val="22"/>
        </w:numPr>
        <w:ind w:left="709"/>
        <w:rPr>
          <w:rFonts w:cs="Arial"/>
        </w:rPr>
      </w:pPr>
      <w:r w:rsidRPr="00451341">
        <w:rPr>
          <w:rFonts w:cs="Arial"/>
          <w:b/>
        </w:rPr>
        <w:t>Optional</w:t>
      </w:r>
      <w:r>
        <w:rPr>
          <w:rFonts w:cs="Arial"/>
        </w:rPr>
        <w:t xml:space="preserve">: Calculate the area </w:t>
      </w:r>
      <w:r w:rsidR="007B6E45">
        <w:rPr>
          <w:rFonts w:cs="Arial"/>
        </w:rPr>
        <w:t>(m</w:t>
      </w:r>
      <w:r w:rsidR="007B6E45" w:rsidRPr="007B6E45">
        <w:rPr>
          <w:rFonts w:cs="Arial"/>
          <w:vertAlign w:val="superscript"/>
        </w:rPr>
        <w:t>2</w:t>
      </w:r>
      <w:r w:rsidR="007B6E45">
        <w:rPr>
          <w:rFonts w:cs="Arial"/>
        </w:rPr>
        <w:t xml:space="preserve">) </w:t>
      </w:r>
      <w:r>
        <w:rPr>
          <w:rFonts w:cs="Arial"/>
        </w:rPr>
        <w:t xml:space="preserve">of </w:t>
      </w:r>
      <w:r w:rsidR="007B6E45">
        <w:rPr>
          <w:rFonts w:cs="Arial"/>
        </w:rPr>
        <w:t>each</w:t>
      </w:r>
      <w:r>
        <w:rPr>
          <w:rFonts w:cs="Arial"/>
        </w:rPr>
        <w:t xml:space="preserve"> still using the laser point</w:t>
      </w:r>
      <w:r w:rsidR="00BF1FB0">
        <w:rPr>
          <w:rFonts w:cs="Arial"/>
        </w:rPr>
        <w:t>s</w:t>
      </w:r>
      <w:r>
        <w:rPr>
          <w:rFonts w:cs="Arial"/>
        </w:rPr>
        <w:t xml:space="preserve"> </w:t>
      </w:r>
      <w:r w:rsidR="00BF1FB0">
        <w:rPr>
          <w:rFonts w:cs="Arial"/>
        </w:rPr>
        <w:t>for scale</w:t>
      </w:r>
      <w:r>
        <w:rPr>
          <w:rFonts w:cs="Arial"/>
        </w:rPr>
        <w:t xml:space="preserve">. </w:t>
      </w:r>
    </w:p>
    <w:p w:rsidR="004E25C8" w:rsidRPr="00D0712C" w:rsidRDefault="00CE0548" w:rsidP="00ED23E4">
      <w:pPr>
        <w:pStyle w:val="BodyText"/>
        <w:numPr>
          <w:ilvl w:val="0"/>
          <w:numId w:val="22"/>
        </w:numPr>
        <w:ind w:left="709"/>
        <w:rPr>
          <w:rFonts w:cs="Arial"/>
        </w:rPr>
      </w:pPr>
      <w:r w:rsidRPr="00CE0548">
        <w:rPr>
          <w:rFonts w:cs="Arial"/>
        </w:rPr>
        <w:t xml:space="preserve">Assign each still to the relevant habitat classification as described above for video analysis.  </w:t>
      </w:r>
      <w:r w:rsidRPr="00270DDE">
        <w:rPr>
          <w:rFonts w:cs="Arial"/>
        </w:rPr>
        <w:t>This does not have to be the same as its ‘parent’ segment in the video.</w:t>
      </w:r>
      <w:r w:rsidR="00F5052B">
        <w:rPr>
          <w:rFonts w:cs="Arial"/>
        </w:rPr>
        <w:t xml:space="preserve"> A comment should be added where there is discrepancy between the still and the 'parent' video segment.</w:t>
      </w:r>
    </w:p>
    <w:p w:rsidR="00CE4151" w:rsidRPr="007C4D9A" w:rsidRDefault="00CE0548" w:rsidP="00307DC2">
      <w:pPr>
        <w:pStyle w:val="BodyText"/>
        <w:numPr>
          <w:ilvl w:val="0"/>
          <w:numId w:val="22"/>
        </w:numPr>
        <w:ind w:left="709"/>
        <w:rPr>
          <w:rFonts w:cs="Arial"/>
        </w:rPr>
      </w:pPr>
      <w:r w:rsidRPr="007C4D9A">
        <w:rPr>
          <w:rFonts w:cs="Arial"/>
        </w:rPr>
        <w:t xml:space="preserve">For each taxon, record </w:t>
      </w:r>
      <w:r w:rsidR="00F83E49" w:rsidRPr="007C4D9A">
        <w:rPr>
          <w:rFonts w:cs="Arial"/>
        </w:rPr>
        <w:t xml:space="preserve">presence/ absence, </w:t>
      </w:r>
      <w:r w:rsidRPr="007C4D9A">
        <w:rPr>
          <w:rFonts w:cs="Arial"/>
        </w:rPr>
        <w:t xml:space="preserve">an actual abundance (where </w:t>
      </w:r>
      <w:r w:rsidR="00847892">
        <w:rPr>
          <w:rFonts w:cs="Arial"/>
        </w:rPr>
        <w:t>possible</w:t>
      </w:r>
      <w:r w:rsidRPr="007C4D9A">
        <w:rPr>
          <w:rFonts w:cs="Arial"/>
        </w:rPr>
        <w:t>) or percentage cover for encrusting/turf/colonial organisms</w:t>
      </w:r>
      <w:r w:rsidR="0097007E" w:rsidRPr="007C4D9A">
        <w:rPr>
          <w:rFonts w:cs="Arial"/>
        </w:rPr>
        <w:t xml:space="preserve"> and a SACFOR (semi-quantitative) score. </w:t>
      </w:r>
      <w:r w:rsidRPr="007C4D9A">
        <w:rPr>
          <w:rFonts w:cs="Arial"/>
        </w:rPr>
        <w:t>(Annex 1</w:t>
      </w:r>
      <w:r w:rsidR="00F83E49" w:rsidRPr="007C4D9A">
        <w:rPr>
          <w:rFonts w:cs="Arial"/>
        </w:rPr>
        <w:t xml:space="preserve"> – determining organism </w:t>
      </w:r>
      <w:r w:rsidR="00EB240A" w:rsidRPr="007C4D9A">
        <w:rPr>
          <w:rFonts w:cs="Arial"/>
        </w:rPr>
        <w:t>abundance</w:t>
      </w:r>
      <w:r w:rsidRPr="007C4D9A">
        <w:rPr>
          <w:rFonts w:cs="Arial"/>
        </w:rPr>
        <w:t>).</w:t>
      </w:r>
    </w:p>
    <w:p w:rsidR="00CE0548" w:rsidRDefault="00CE0548" w:rsidP="00ED23E4">
      <w:pPr>
        <w:pStyle w:val="BodyText"/>
        <w:numPr>
          <w:ilvl w:val="0"/>
          <w:numId w:val="22"/>
        </w:numPr>
        <w:ind w:left="709"/>
        <w:rPr>
          <w:rFonts w:cs="Arial"/>
        </w:rPr>
      </w:pPr>
      <w:r w:rsidRPr="00CE0548">
        <w:rPr>
          <w:rFonts w:cs="Arial"/>
        </w:rPr>
        <w:t>A Still_Sample_Ref by species matrix should be completed for each survey.</w:t>
      </w:r>
    </w:p>
    <w:p w:rsidR="007E0846" w:rsidRPr="00685CE5" w:rsidRDefault="00CE0548" w:rsidP="00847892">
      <w:pPr>
        <w:pStyle w:val="HeadingNolevel"/>
        <w:outlineLvl w:val="0"/>
      </w:pPr>
      <w:r w:rsidRPr="00685CE5">
        <w:t>Taxon ID</w:t>
      </w:r>
    </w:p>
    <w:p w:rsidR="007E0846" w:rsidRDefault="007E0846" w:rsidP="007E0846">
      <w:pPr>
        <w:pStyle w:val="BodyText"/>
        <w:rPr>
          <w:rFonts w:cs="Arial"/>
        </w:rPr>
      </w:pPr>
      <w:r w:rsidRPr="00D0712C">
        <w:rPr>
          <w:rFonts w:cs="Arial"/>
        </w:rPr>
        <w:t xml:space="preserve">In all analyses, the identification of taxa should be limited to a level that can be confidently achieved from the available image. </w:t>
      </w:r>
      <w:r w:rsidR="00836608" w:rsidRPr="00D0712C">
        <w:rPr>
          <w:rFonts w:cs="Arial"/>
        </w:rPr>
        <w:t xml:space="preserve"> </w:t>
      </w:r>
      <w:r w:rsidRPr="00D0712C">
        <w:rPr>
          <w:rFonts w:cs="Arial"/>
        </w:rPr>
        <w:t xml:space="preserve">Hence, taxon ID could range from the ‘life form’ level (e.g. sponge, hydroid, </w:t>
      </w:r>
      <w:r w:rsidR="0076340D" w:rsidRPr="00D0712C">
        <w:rPr>
          <w:rFonts w:cs="Arial"/>
        </w:rPr>
        <w:t>and anemone</w:t>
      </w:r>
      <w:r w:rsidRPr="00D0712C">
        <w:rPr>
          <w:rFonts w:cs="Arial"/>
        </w:rPr>
        <w:t xml:space="preserve">) to the species level (e.g. </w:t>
      </w:r>
      <w:r w:rsidR="00CE0548" w:rsidRPr="00CE0548">
        <w:rPr>
          <w:rFonts w:cs="Arial"/>
          <w:i/>
        </w:rPr>
        <w:t>Asterias rubens</w:t>
      </w:r>
      <w:r w:rsidR="00CE0548" w:rsidRPr="00CE0548">
        <w:rPr>
          <w:rFonts w:cs="Arial"/>
        </w:rPr>
        <w:t xml:space="preserve">, </w:t>
      </w:r>
      <w:r w:rsidR="00CE0548" w:rsidRPr="00CE0548">
        <w:rPr>
          <w:rFonts w:cs="Arial"/>
          <w:i/>
        </w:rPr>
        <w:t>Alcyonium digitatum</w:t>
      </w:r>
      <w:r w:rsidR="00CE0548" w:rsidRPr="00CE0548">
        <w:rPr>
          <w:rFonts w:cs="Arial"/>
        </w:rPr>
        <w:t xml:space="preserve">). Avoid the temptation to guess the species ID if it </w:t>
      </w:r>
      <w:r w:rsidR="0076340D" w:rsidRPr="00CE0548">
        <w:rPr>
          <w:rFonts w:cs="Arial"/>
        </w:rPr>
        <w:t>cannot</w:t>
      </w:r>
      <w:r w:rsidR="00CE0548" w:rsidRPr="00CE0548">
        <w:rPr>
          <w:rFonts w:cs="Arial"/>
        </w:rPr>
        <w:t xml:space="preserve"> be determined positively from the image. For example, </w:t>
      </w:r>
      <w:r w:rsidR="00CE0548" w:rsidRPr="00CE0548">
        <w:rPr>
          <w:rFonts w:cs="Arial"/>
          <w:i/>
        </w:rPr>
        <w:t>Spirobranchus</w:t>
      </w:r>
      <w:r w:rsidR="00CE0548" w:rsidRPr="00CE0548">
        <w:rPr>
          <w:rFonts w:cs="Arial"/>
        </w:rPr>
        <w:t xml:space="preserve"> sp(p). would be acceptable, but </w:t>
      </w:r>
      <w:r w:rsidR="00CE0548" w:rsidRPr="00CE0548">
        <w:rPr>
          <w:rFonts w:cs="Arial"/>
          <w:i/>
        </w:rPr>
        <w:t>Spirobranchus triqueter</w:t>
      </w:r>
      <w:r w:rsidR="00CE0548" w:rsidRPr="00CE0548">
        <w:rPr>
          <w:rFonts w:cs="Arial"/>
        </w:rPr>
        <w:t xml:space="preserve"> would not, as the specific ID normally requires the specimen to be inspected under a microscope. A list of life forms to be used is provided in Annex 8 to aid in consistency.</w:t>
      </w:r>
    </w:p>
    <w:p w:rsidR="00885FB6" w:rsidRPr="00952B4A" w:rsidRDefault="00885FB6">
      <w:pPr>
        <w:rPr>
          <w:rFonts w:ascii="Arial" w:eastAsiaTheme="majorEastAsia" w:hAnsi="Arial" w:cs="Arial"/>
          <w:bCs/>
          <w:color w:val="4F81BD" w:themeColor="accent1"/>
          <w:sz w:val="26"/>
          <w:szCs w:val="26"/>
        </w:rPr>
      </w:pPr>
      <w:r w:rsidRPr="00952B4A">
        <w:rPr>
          <w:rFonts w:ascii="Arial" w:eastAsiaTheme="majorEastAsia" w:hAnsi="Arial" w:cs="Arial"/>
          <w:bCs/>
          <w:color w:val="4F81BD" w:themeColor="accent1"/>
          <w:sz w:val="26"/>
          <w:szCs w:val="26"/>
        </w:rPr>
        <w:br w:type="page"/>
      </w:r>
    </w:p>
    <w:p w:rsidR="00644154" w:rsidRDefault="00644154">
      <w:pPr>
        <w:rPr>
          <w:rFonts w:ascii="Arial" w:eastAsiaTheme="majorEastAsia" w:hAnsi="Arial" w:cs="Arial"/>
          <w:b/>
          <w:bCs/>
          <w:color w:val="4F81BD" w:themeColor="accent1"/>
          <w:sz w:val="26"/>
          <w:szCs w:val="26"/>
        </w:rPr>
      </w:pPr>
    </w:p>
    <w:p w:rsidR="00E81AC3" w:rsidRPr="004C1375" w:rsidRDefault="00CE0548" w:rsidP="004C1375">
      <w:pPr>
        <w:pStyle w:val="HeadingNolevel"/>
        <w:numPr>
          <w:ilvl w:val="0"/>
          <w:numId w:val="21"/>
        </w:numPr>
        <w:rPr>
          <w:sz w:val="28"/>
          <w:szCs w:val="28"/>
        </w:rPr>
      </w:pPr>
      <w:r w:rsidRPr="004C1375">
        <w:rPr>
          <w:sz w:val="28"/>
          <w:szCs w:val="28"/>
        </w:rPr>
        <w:t>Q</w:t>
      </w:r>
      <w:r w:rsidR="004C1375" w:rsidRPr="004C1375">
        <w:rPr>
          <w:sz w:val="28"/>
          <w:szCs w:val="28"/>
        </w:rPr>
        <w:t xml:space="preserve">uality </w:t>
      </w:r>
      <w:r w:rsidRPr="004C1375">
        <w:rPr>
          <w:sz w:val="28"/>
          <w:szCs w:val="28"/>
        </w:rPr>
        <w:t>A</w:t>
      </w:r>
      <w:r w:rsidR="004C1375" w:rsidRPr="004C1375">
        <w:rPr>
          <w:sz w:val="28"/>
          <w:szCs w:val="28"/>
        </w:rPr>
        <w:t>ssurance (QA)</w:t>
      </w:r>
    </w:p>
    <w:p w:rsidR="009930C5" w:rsidRPr="004C1375" w:rsidRDefault="00CE0548" w:rsidP="00847892">
      <w:pPr>
        <w:pStyle w:val="HeadingNolevel"/>
        <w:outlineLvl w:val="0"/>
      </w:pPr>
      <w:bookmarkStart w:id="3" w:name="_Toc340070482"/>
      <w:r w:rsidRPr="004C1375">
        <w:t>Internal QA</w:t>
      </w:r>
      <w:bookmarkEnd w:id="3"/>
    </w:p>
    <w:p w:rsidR="009930C5" w:rsidRPr="00D0712C" w:rsidRDefault="00CE0548" w:rsidP="004C1375">
      <w:pPr>
        <w:pStyle w:val="BodyText"/>
        <w:rPr>
          <w:rFonts w:cs="Arial"/>
        </w:rPr>
      </w:pPr>
      <w:r w:rsidRPr="00CE0548">
        <w:rPr>
          <w:rFonts w:cs="Arial"/>
        </w:rPr>
        <w:t>Cefas will require contractors to provide quality assured products under this contract.  Contractors should also supply a quality plan as part of the contract.  All products supplied will be subject to quality checks by Cefas to ensure they meet the agreed standards.</w:t>
      </w:r>
    </w:p>
    <w:p w:rsidR="009930C5" w:rsidRPr="00D0712C" w:rsidRDefault="00CE0548" w:rsidP="004C1375">
      <w:pPr>
        <w:pStyle w:val="BodyText"/>
        <w:rPr>
          <w:rFonts w:cs="Arial"/>
        </w:rPr>
      </w:pPr>
      <w:r w:rsidRPr="00CE0548">
        <w:rPr>
          <w:rFonts w:cs="Arial"/>
        </w:rPr>
        <w:t xml:space="preserve">Contractors should clearly describe their data management facilities and procedures in proposals related to this work.  </w:t>
      </w:r>
    </w:p>
    <w:p w:rsidR="009930C5" w:rsidRPr="004C1375" w:rsidRDefault="00CE0548" w:rsidP="00847892">
      <w:pPr>
        <w:pStyle w:val="HeadingNolevel"/>
        <w:outlineLvl w:val="0"/>
      </w:pPr>
      <w:bookmarkStart w:id="4" w:name="_Toc340070483"/>
      <w:r w:rsidRPr="004C1375">
        <w:t>Documentation</w:t>
      </w:r>
      <w:bookmarkEnd w:id="4"/>
    </w:p>
    <w:p w:rsidR="009930C5" w:rsidRPr="00F43F1E" w:rsidRDefault="00CE0548" w:rsidP="009930C5">
      <w:pPr>
        <w:rPr>
          <w:rFonts w:ascii="Arial" w:hAnsi="Arial" w:cs="Arial"/>
          <w:sz w:val="24"/>
          <w:szCs w:val="24"/>
        </w:rPr>
      </w:pPr>
      <w:r w:rsidRPr="00F43F1E">
        <w:rPr>
          <w:rFonts w:ascii="Arial" w:hAnsi="Arial" w:cs="Arial"/>
          <w:sz w:val="24"/>
          <w:szCs w:val="24"/>
        </w:rPr>
        <w:t>The following documents must be provided by the contractor upon the request of the contract manager.  Contractors must also ensure they have a document control system in place to manage these documents (i.e. documents are kept electronically live and there is version control of hard copies to prevent the inadvertent use of obsolete documents).</w:t>
      </w:r>
    </w:p>
    <w:p w:rsidR="009930C5" w:rsidRPr="004C1375" w:rsidRDefault="00CE0548" w:rsidP="00847892">
      <w:pPr>
        <w:pStyle w:val="HeadingNolevel"/>
        <w:outlineLvl w:val="0"/>
      </w:pPr>
      <w:bookmarkStart w:id="5" w:name="_Toc250562320"/>
      <w:bookmarkStart w:id="6" w:name="_Toc340070484"/>
      <w:r w:rsidRPr="004C1375">
        <w:t>Standard Operating Procedure</w:t>
      </w:r>
      <w:bookmarkEnd w:id="5"/>
      <w:bookmarkEnd w:id="6"/>
    </w:p>
    <w:p w:rsidR="009930C5" w:rsidRPr="00F43F1E" w:rsidRDefault="00CE0548" w:rsidP="009930C5">
      <w:pPr>
        <w:rPr>
          <w:rFonts w:ascii="Arial" w:hAnsi="Arial" w:cs="Arial"/>
          <w:sz w:val="24"/>
          <w:szCs w:val="24"/>
        </w:rPr>
      </w:pPr>
      <w:r w:rsidRPr="00F43F1E">
        <w:rPr>
          <w:rFonts w:ascii="Arial" w:hAnsi="Arial" w:cs="Arial"/>
          <w:sz w:val="24"/>
          <w:szCs w:val="24"/>
        </w:rPr>
        <w:t xml:space="preserve">The contractor must provide copies of all relevant Standard Operating Procedures (SOPs) for the contracted work.  An SOP should include: </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A clear statement of the qualitative and quantitative goals of the contract work, which demonstrates that the specified methods are fit for purpose.</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Methodological details of all steps performed.</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Details of the procedures related to the analysis of data.</w:t>
      </w:r>
    </w:p>
    <w:p w:rsidR="009930C5" w:rsidRPr="00F43F1E" w:rsidRDefault="00CE0548" w:rsidP="009930C5">
      <w:pPr>
        <w:numPr>
          <w:ilvl w:val="0"/>
          <w:numId w:val="11"/>
        </w:numPr>
        <w:spacing w:before="100" w:beforeAutospacing="1" w:after="100" w:afterAutospacing="1" w:line="240" w:lineRule="auto"/>
        <w:rPr>
          <w:rFonts w:ascii="Arial" w:hAnsi="Arial" w:cs="Arial"/>
          <w:sz w:val="24"/>
          <w:szCs w:val="24"/>
        </w:rPr>
      </w:pPr>
      <w:r w:rsidRPr="00F43F1E">
        <w:rPr>
          <w:rFonts w:ascii="Arial" w:hAnsi="Arial" w:cs="Arial"/>
          <w:sz w:val="24"/>
          <w:szCs w:val="24"/>
        </w:rPr>
        <w:t>Details of the quality assurance system in place.</w:t>
      </w:r>
    </w:p>
    <w:p w:rsidR="009930C5" w:rsidRPr="004C1375" w:rsidRDefault="00CE0548" w:rsidP="00847892">
      <w:pPr>
        <w:pStyle w:val="HeadingNolevel"/>
        <w:outlineLvl w:val="0"/>
      </w:pPr>
      <w:bookmarkStart w:id="7" w:name="_Toc250562321"/>
      <w:bookmarkStart w:id="8" w:name="_Toc340070485"/>
      <w:r w:rsidRPr="004C1375">
        <w:t>Quality Manual</w:t>
      </w:r>
      <w:bookmarkEnd w:id="7"/>
      <w:bookmarkEnd w:id="8"/>
    </w:p>
    <w:p w:rsidR="009930C5" w:rsidRPr="00F43F1E" w:rsidRDefault="00CE0548" w:rsidP="009930C5">
      <w:pPr>
        <w:rPr>
          <w:rFonts w:ascii="Arial" w:hAnsi="Arial" w:cs="Arial"/>
          <w:sz w:val="24"/>
          <w:szCs w:val="24"/>
        </w:rPr>
      </w:pPr>
      <w:r w:rsidRPr="00F43F1E">
        <w:rPr>
          <w:rFonts w:ascii="Arial" w:hAnsi="Arial" w:cs="Arial"/>
          <w:sz w:val="24"/>
          <w:szCs w:val="24"/>
        </w:rPr>
        <w:t>The contractor should be able to provide on request a quality manual which details an organisation’s quality assurance system/policy (i.e. all aspects of quality assurance described in this document), which allows systematic audits of a monitoring programme to ensure that all aspects of quality assurance are being met.  This should include details of the contractor’s Quality Manager, who is deemed responsible for overseeing the entire QA</w:t>
      </w:r>
      <w:r w:rsidRPr="00CE0548">
        <w:rPr>
          <w:rFonts w:ascii="Arial" w:hAnsi="Arial" w:cs="Arial"/>
        </w:rPr>
        <w:t xml:space="preserve"> </w:t>
      </w:r>
      <w:r w:rsidRPr="00F43F1E">
        <w:rPr>
          <w:rFonts w:ascii="Arial" w:hAnsi="Arial" w:cs="Arial"/>
          <w:sz w:val="24"/>
          <w:szCs w:val="24"/>
        </w:rPr>
        <w:t>within the contracted organisation.</w:t>
      </w:r>
    </w:p>
    <w:p w:rsidR="00184058" w:rsidRDefault="00184058" w:rsidP="004C1375">
      <w:pPr>
        <w:pStyle w:val="HeadingNolevel"/>
      </w:pPr>
      <w:bookmarkStart w:id="9" w:name="_Toc250562334"/>
      <w:bookmarkStart w:id="10" w:name="_Toc340070486"/>
    </w:p>
    <w:p w:rsidR="00184058" w:rsidRDefault="00184058" w:rsidP="004C1375">
      <w:pPr>
        <w:pStyle w:val="HeadingNolevel"/>
      </w:pPr>
    </w:p>
    <w:p w:rsidR="009930C5" w:rsidRPr="004C1375" w:rsidRDefault="00CE0548" w:rsidP="00847892">
      <w:pPr>
        <w:pStyle w:val="HeadingNolevel"/>
        <w:outlineLvl w:val="0"/>
      </w:pPr>
      <w:r w:rsidRPr="004C1375">
        <w:lastRenderedPageBreak/>
        <w:t>Quality Management System</w:t>
      </w:r>
      <w:bookmarkEnd w:id="9"/>
      <w:bookmarkEnd w:id="10"/>
    </w:p>
    <w:p w:rsidR="009930C5" w:rsidRPr="00F43F1E" w:rsidRDefault="00CE0548" w:rsidP="009930C5">
      <w:pPr>
        <w:rPr>
          <w:rFonts w:ascii="Arial" w:hAnsi="Arial" w:cs="Arial"/>
          <w:sz w:val="24"/>
          <w:szCs w:val="24"/>
        </w:rPr>
      </w:pPr>
      <w:r w:rsidRPr="00F43F1E">
        <w:rPr>
          <w:rFonts w:ascii="Arial" w:hAnsi="Arial" w:cs="Arial"/>
          <w:sz w:val="24"/>
          <w:szCs w:val="24"/>
        </w:rPr>
        <w:t>It is recommended that the contractor should have the following Quality Management System (QMS) documentation (or alternative documentation proposed by the contractor which is demonstrated to be equivalent) to demonstrate there is a working QA system in place:</w:t>
      </w:r>
    </w:p>
    <w:p w:rsidR="009930C5" w:rsidRPr="004C1375" w:rsidRDefault="00CE0548" w:rsidP="00847892">
      <w:pPr>
        <w:pStyle w:val="HeadingNolevel"/>
        <w:outlineLvl w:val="0"/>
      </w:pPr>
      <w:bookmarkStart w:id="11" w:name="_Toc250562335"/>
      <w:bookmarkStart w:id="12" w:name="_Toc340070487"/>
      <w:r w:rsidRPr="004C1375">
        <w:t>Quality Control Audit</w:t>
      </w:r>
      <w:bookmarkEnd w:id="11"/>
      <w:bookmarkEnd w:id="12"/>
    </w:p>
    <w:p w:rsidR="009930C5" w:rsidRPr="00F43F1E" w:rsidRDefault="00CE0548" w:rsidP="009930C5">
      <w:pPr>
        <w:rPr>
          <w:rFonts w:ascii="Arial" w:hAnsi="Arial" w:cs="Arial"/>
          <w:sz w:val="24"/>
          <w:szCs w:val="24"/>
        </w:rPr>
      </w:pPr>
      <w:r w:rsidRPr="00F43F1E">
        <w:rPr>
          <w:rFonts w:ascii="Arial" w:hAnsi="Arial" w:cs="Arial"/>
          <w:sz w:val="24"/>
          <w:szCs w:val="24"/>
        </w:rPr>
        <w:t xml:space="preserve">Examination of in-house QC data, check of appropriate control limits, and corrective action is documented where QC data has breached control limits. </w:t>
      </w:r>
    </w:p>
    <w:p w:rsidR="009930C5" w:rsidRPr="004C1375" w:rsidRDefault="00CE0548" w:rsidP="00847892">
      <w:pPr>
        <w:pStyle w:val="HeadingNolevel"/>
        <w:outlineLvl w:val="0"/>
      </w:pPr>
      <w:bookmarkStart w:id="13" w:name="_Toc340070488"/>
      <w:r w:rsidRPr="004C1375">
        <w:t>Vertical Audit</w:t>
      </w:r>
      <w:bookmarkEnd w:id="13"/>
    </w:p>
    <w:p w:rsidR="009930C5" w:rsidRPr="00F43F1E" w:rsidRDefault="00CE0548" w:rsidP="009930C5">
      <w:pPr>
        <w:rPr>
          <w:rFonts w:ascii="Arial" w:hAnsi="Arial" w:cs="Arial"/>
          <w:sz w:val="24"/>
          <w:szCs w:val="24"/>
        </w:rPr>
      </w:pPr>
      <w:r w:rsidRPr="00F43F1E">
        <w:rPr>
          <w:rFonts w:ascii="Arial" w:hAnsi="Arial" w:cs="Arial"/>
          <w:sz w:val="24"/>
          <w:szCs w:val="24"/>
        </w:rPr>
        <w:t>A random selection of data points, where each data point is traced to the Method, Instrument/Equipment, Calibration and internal and external QC.</w:t>
      </w:r>
    </w:p>
    <w:p w:rsidR="009930C5" w:rsidRPr="004C1375" w:rsidRDefault="00CE0548" w:rsidP="00847892">
      <w:pPr>
        <w:pStyle w:val="HeadingNolevel"/>
        <w:outlineLvl w:val="0"/>
      </w:pPr>
      <w:bookmarkStart w:id="14" w:name="_Toc250562338"/>
      <w:bookmarkStart w:id="15" w:name="_Toc340070490"/>
      <w:r w:rsidRPr="004C1375">
        <w:t>Method Witnessing</w:t>
      </w:r>
      <w:bookmarkEnd w:id="14"/>
      <w:bookmarkEnd w:id="15"/>
    </w:p>
    <w:p w:rsidR="009930C5" w:rsidRPr="00F43F1E" w:rsidRDefault="00CE0548" w:rsidP="009930C5">
      <w:pPr>
        <w:rPr>
          <w:rFonts w:ascii="Arial" w:hAnsi="Arial" w:cs="Arial"/>
          <w:sz w:val="24"/>
          <w:szCs w:val="24"/>
        </w:rPr>
      </w:pPr>
      <w:r w:rsidRPr="00F43F1E">
        <w:rPr>
          <w:rFonts w:ascii="Arial" w:hAnsi="Arial" w:cs="Arial"/>
          <w:sz w:val="24"/>
          <w:szCs w:val="24"/>
        </w:rPr>
        <w:t>Comparison of written procedure to observed procedure under real conditions.  Any differences must be resolved through corrective action where needed.</w:t>
      </w:r>
    </w:p>
    <w:p w:rsidR="009930C5" w:rsidRPr="004C1375" w:rsidRDefault="00CE0548" w:rsidP="00847892">
      <w:pPr>
        <w:pStyle w:val="HeadingNolevel"/>
        <w:outlineLvl w:val="0"/>
      </w:pPr>
      <w:bookmarkStart w:id="16" w:name="_Toc340070491"/>
      <w:r w:rsidRPr="004C1375">
        <w:t>Training Manual</w:t>
      </w:r>
      <w:bookmarkEnd w:id="16"/>
    </w:p>
    <w:p w:rsidR="009930C5" w:rsidRPr="00F43F1E" w:rsidRDefault="00CE0548" w:rsidP="009930C5">
      <w:pPr>
        <w:rPr>
          <w:rFonts w:ascii="Arial" w:hAnsi="Arial" w:cs="Arial"/>
          <w:sz w:val="24"/>
          <w:szCs w:val="24"/>
        </w:rPr>
      </w:pPr>
      <w:r w:rsidRPr="00F43F1E">
        <w:rPr>
          <w:rFonts w:ascii="Arial" w:hAnsi="Arial" w:cs="Arial"/>
          <w:sz w:val="24"/>
          <w:szCs w:val="24"/>
        </w:rPr>
        <w:t xml:space="preserve">Criteria stating the minimum competency (education, training, work experience and/or other demonstrated skills) necessary for staff to undertake different types of marine monitoring work must be defined in the Training Manual.  The competency of each staff member must be signed off initially against all criteria and evidence of ongoing competency must be maintained on a regular basis in a document such as a Training Log (or individual staff member’s Curriculum Vitae’s). </w:t>
      </w:r>
    </w:p>
    <w:p w:rsidR="009930C5" w:rsidRPr="004C1375" w:rsidRDefault="00CE0548" w:rsidP="00847892">
      <w:pPr>
        <w:pStyle w:val="HeadingNolevel"/>
        <w:outlineLvl w:val="0"/>
      </w:pPr>
      <w:bookmarkStart w:id="17" w:name="_Toc250562322"/>
      <w:bookmarkStart w:id="18" w:name="_Toc340070492"/>
      <w:r w:rsidRPr="004C1375">
        <w:t>Adherence to standardised methods</w:t>
      </w:r>
      <w:bookmarkEnd w:id="17"/>
      <w:bookmarkEnd w:id="18"/>
    </w:p>
    <w:p w:rsidR="009930C5" w:rsidRPr="00F43F1E" w:rsidRDefault="00CE0548" w:rsidP="009930C5">
      <w:pPr>
        <w:rPr>
          <w:rFonts w:ascii="Arial" w:hAnsi="Arial" w:cs="Arial"/>
          <w:sz w:val="24"/>
          <w:szCs w:val="24"/>
        </w:rPr>
      </w:pPr>
      <w:r w:rsidRPr="00F43F1E">
        <w:rPr>
          <w:rFonts w:ascii="Arial" w:hAnsi="Arial" w:cs="Arial"/>
          <w:sz w:val="24"/>
          <w:szCs w:val="24"/>
        </w:rPr>
        <w:t xml:space="preserve">The contractor must adhere to relevant national, European or international standardised methods. The </w:t>
      </w:r>
      <w:hyperlink r:id="rId10" w:history="1">
        <w:r w:rsidRPr="00F43F1E">
          <w:rPr>
            <w:rStyle w:val="Hyperlink"/>
            <w:rFonts w:ascii="Arial" w:hAnsi="Arial" w:cs="Arial"/>
            <w:sz w:val="24"/>
            <w:szCs w:val="24"/>
          </w:rPr>
          <w:t>NMBAQC website</w:t>
        </w:r>
      </w:hyperlink>
      <w:r w:rsidRPr="00F43F1E">
        <w:rPr>
          <w:rFonts w:ascii="Arial" w:hAnsi="Arial" w:cs="Arial"/>
          <w:sz w:val="24"/>
          <w:szCs w:val="24"/>
        </w:rPr>
        <w:t xml:space="preserve"> gives the current list of all British Standards (BSi), International Organization for Standardisation (ISO) standards and European Committee for Standardisation (CEN) standards which currently exist for marine biological monitoring.</w:t>
      </w:r>
    </w:p>
    <w:p w:rsidR="009930C5" w:rsidRPr="00F43F1E" w:rsidRDefault="00CE0548" w:rsidP="009930C5">
      <w:pPr>
        <w:rPr>
          <w:rFonts w:ascii="Arial" w:hAnsi="Arial" w:cs="Arial"/>
          <w:sz w:val="24"/>
          <w:szCs w:val="24"/>
        </w:rPr>
      </w:pPr>
      <w:r w:rsidRPr="00F43F1E">
        <w:rPr>
          <w:rFonts w:ascii="Arial" w:hAnsi="Arial" w:cs="Arial"/>
          <w:sz w:val="24"/>
          <w:szCs w:val="24"/>
        </w:rPr>
        <w:t>The contractor must provide details of any additional standard methods which they adhere to if these are not explicitly stated in the SOP (e.g. UK government agencies protocols and standards for marine monitoring programmes, ICES or NMBAQC standard methods).</w:t>
      </w:r>
    </w:p>
    <w:p w:rsidR="009930C5" w:rsidRPr="00F43F1E" w:rsidRDefault="00CE0548" w:rsidP="009930C5">
      <w:pPr>
        <w:rPr>
          <w:rFonts w:ascii="Arial" w:hAnsi="Arial" w:cs="Arial"/>
          <w:sz w:val="24"/>
          <w:szCs w:val="24"/>
        </w:rPr>
      </w:pPr>
      <w:r w:rsidRPr="00F43F1E">
        <w:rPr>
          <w:rFonts w:ascii="Arial" w:hAnsi="Arial" w:cs="Arial"/>
          <w:sz w:val="24"/>
          <w:szCs w:val="24"/>
        </w:rPr>
        <w:lastRenderedPageBreak/>
        <w:t xml:space="preserve">Documentary evidence must be provided if the contractor is certified or accredited to a standard method (or their own method) through an accreditation scheme such as Good Laboratory Practice (GLP) or United Kingdom Accreditation Service (UKAS).  </w:t>
      </w:r>
    </w:p>
    <w:p w:rsidR="009930C5" w:rsidRPr="004C1375" w:rsidRDefault="00CE0548" w:rsidP="00847892">
      <w:pPr>
        <w:pStyle w:val="HeadingNolevel"/>
        <w:outlineLvl w:val="0"/>
      </w:pPr>
      <w:bookmarkStart w:id="19" w:name="_Toc250562323"/>
      <w:bookmarkStart w:id="20" w:name="_Toc340070493"/>
      <w:r w:rsidRPr="004C1375">
        <w:t>Adherence to data standards and guidelines</w:t>
      </w:r>
      <w:bookmarkEnd w:id="19"/>
      <w:bookmarkEnd w:id="20"/>
    </w:p>
    <w:p w:rsidR="009930C5" w:rsidRPr="00F43F1E" w:rsidRDefault="00CE0548" w:rsidP="009930C5">
      <w:pPr>
        <w:rPr>
          <w:rFonts w:ascii="Arial" w:hAnsi="Arial" w:cs="Arial"/>
          <w:sz w:val="24"/>
          <w:szCs w:val="24"/>
        </w:rPr>
      </w:pPr>
      <w:r w:rsidRPr="00F43F1E">
        <w:rPr>
          <w:rFonts w:ascii="Arial" w:hAnsi="Arial" w:cs="Arial"/>
          <w:sz w:val="24"/>
          <w:szCs w:val="24"/>
        </w:rPr>
        <w:t>The contractor must adhere to the relevant data standards and guidelines.</w:t>
      </w:r>
    </w:p>
    <w:p w:rsidR="009930C5" w:rsidRPr="00F43F1E" w:rsidRDefault="00CE0548" w:rsidP="009930C5">
      <w:pPr>
        <w:numPr>
          <w:ilvl w:val="0"/>
          <w:numId w:val="12"/>
        </w:numPr>
        <w:spacing w:before="100" w:beforeAutospacing="1" w:after="100" w:afterAutospacing="1" w:line="240" w:lineRule="auto"/>
        <w:rPr>
          <w:rFonts w:ascii="Arial" w:hAnsi="Arial" w:cs="Arial"/>
          <w:sz w:val="24"/>
          <w:szCs w:val="24"/>
        </w:rPr>
      </w:pPr>
      <w:r w:rsidRPr="00F43F1E">
        <w:rPr>
          <w:rFonts w:ascii="Arial" w:hAnsi="Arial" w:cs="Arial"/>
          <w:sz w:val="24"/>
          <w:szCs w:val="24"/>
        </w:rPr>
        <w:t>Species lists which are compliant with current taxonomic names and synonyms (e.g. World Register of Marine Species (WoRMS), which is now endorsed by the Healthy</w:t>
      </w:r>
      <w:r w:rsidRPr="00F43F1E">
        <w:rPr>
          <w:rFonts w:ascii="Arial" w:hAnsi="Arial" w:cs="Arial"/>
          <w:bCs/>
          <w:sz w:val="24"/>
          <w:szCs w:val="24"/>
        </w:rPr>
        <w:t xml:space="preserve"> and Biologically Diverse Seas Evidence Group</w:t>
      </w:r>
      <w:r w:rsidRPr="00F43F1E">
        <w:rPr>
          <w:rFonts w:ascii="Arial" w:hAnsi="Arial" w:cs="Arial"/>
          <w:sz w:val="24"/>
          <w:szCs w:val="24"/>
        </w:rPr>
        <w:t xml:space="preserve"> (HBDSEG)). </w:t>
      </w:r>
    </w:p>
    <w:p w:rsidR="009930C5" w:rsidRPr="00F43F1E" w:rsidRDefault="00CE0548" w:rsidP="009930C5">
      <w:pPr>
        <w:numPr>
          <w:ilvl w:val="0"/>
          <w:numId w:val="12"/>
        </w:numPr>
        <w:spacing w:before="100" w:beforeAutospacing="1" w:after="100" w:afterAutospacing="1" w:line="240" w:lineRule="auto"/>
        <w:rPr>
          <w:rFonts w:ascii="Arial" w:hAnsi="Arial" w:cs="Arial"/>
          <w:sz w:val="24"/>
          <w:szCs w:val="24"/>
        </w:rPr>
      </w:pPr>
      <w:r w:rsidRPr="00F43F1E">
        <w:rPr>
          <w:rFonts w:ascii="Arial" w:hAnsi="Arial" w:cs="Arial"/>
          <w:sz w:val="24"/>
          <w:szCs w:val="24"/>
        </w:rPr>
        <w:t>Data and metadata guidelines relevant to the contracted work, which define data and metadata formats (e.g. Marine Environmental Data and Information Network (MEDIN) data guidelines and Mapping European Seabed Habitats (MESH) standards).</w:t>
      </w:r>
    </w:p>
    <w:p w:rsidR="009930C5" w:rsidRPr="004C1375" w:rsidRDefault="00CE0548" w:rsidP="00847892">
      <w:pPr>
        <w:pStyle w:val="HeadingNolevel"/>
        <w:outlineLvl w:val="0"/>
      </w:pPr>
      <w:bookmarkStart w:id="21" w:name="_Toc311577937"/>
      <w:bookmarkStart w:id="22" w:name="_Toc311577939"/>
      <w:bookmarkStart w:id="23" w:name="_Toc311577941"/>
      <w:bookmarkStart w:id="24" w:name="_Toc250562326"/>
      <w:bookmarkStart w:id="25" w:name="_Toc340070494"/>
      <w:bookmarkEnd w:id="21"/>
      <w:bookmarkEnd w:id="22"/>
      <w:bookmarkEnd w:id="23"/>
      <w:r w:rsidRPr="004C1375">
        <w:t>Taxonomic resources</w:t>
      </w:r>
      <w:bookmarkEnd w:id="24"/>
      <w:bookmarkEnd w:id="25"/>
    </w:p>
    <w:p w:rsidR="009930C5" w:rsidRPr="00F43F1E" w:rsidRDefault="00CE0548" w:rsidP="009930C5">
      <w:pPr>
        <w:rPr>
          <w:rFonts w:ascii="Arial" w:hAnsi="Arial" w:cs="Arial"/>
          <w:i/>
          <w:sz w:val="24"/>
          <w:szCs w:val="24"/>
        </w:rPr>
      </w:pPr>
      <w:r w:rsidRPr="00F43F1E">
        <w:rPr>
          <w:rFonts w:ascii="Arial" w:hAnsi="Arial" w:cs="Arial"/>
          <w:sz w:val="24"/>
          <w:szCs w:val="24"/>
        </w:rPr>
        <w:t xml:space="preserve">The contractor must use the taxon dictionary supplied within Marine Recorder (which is the WoRMS dictionary) to aid in the identification of marine biological taxa.  </w:t>
      </w:r>
    </w:p>
    <w:p w:rsidR="009930C5" w:rsidRPr="004C1375" w:rsidRDefault="00CE0548" w:rsidP="00847892">
      <w:pPr>
        <w:pStyle w:val="HeadingNolevel"/>
        <w:outlineLvl w:val="0"/>
      </w:pPr>
      <w:bookmarkStart w:id="26" w:name="_Toc250562327"/>
      <w:bookmarkStart w:id="27" w:name="_Toc340070495"/>
      <w:r w:rsidRPr="004C1375">
        <w:t>Staff competency</w:t>
      </w:r>
      <w:bookmarkEnd w:id="26"/>
      <w:bookmarkEnd w:id="27"/>
    </w:p>
    <w:p w:rsidR="009930C5" w:rsidRPr="00F43F1E" w:rsidRDefault="00CE0548" w:rsidP="009930C5">
      <w:pPr>
        <w:rPr>
          <w:rFonts w:ascii="Arial" w:hAnsi="Arial" w:cs="Arial"/>
          <w:i/>
          <w:iCs/>
          <w:sz w:val="24"/>
          <w:szCs w:val="24"/>
        </w:rPr>
      </w:pPr>
      <w:r w:rsidRPr="00F43F1E">
        <w:rPr>
          <w:rFonts w:ascii="Arial" w:hAnsi="Arial" w:cs="Arial"/>
          <w:sz w:val="24"/>
          <w:szCs w:val="24"/>
        </w:rPr>
        <w:t xml:space="preserve">Staff involved in identifying marine species should have a relevant degree level qualification (or equivalent) in a relevant discipline, plus 3 years relevant work experience.  If less experienced staff are proposed to conduct species identification, this must be under the direct supervision of a fully trained staff member. Staff should also have </w:t>
      </w:r>
      <w:r w:rsidRPr="00F43F1E">
        <w:rPr>
          <w:rFonts w:ascii="Arial" w:hAnsi="Arial" w:cs="Arial"/>
          <w:iCs/>
          <w:sz w:val="24"/>
          <w:szCs w:val="24"/>
        </w:rPr>
        <w:t>substantial experience of field recognition of marine biotopes.</w:t>
      </w:r>
    </w:p>
    <w:p w:rsidR="009930C5" w:rsidRPr="00F43F1E" w:rsidRDefault="00CE0548" w:rsidP="009930C5">
      <w:pPr>
        <w:rPr>
          <w:rFonts w:ascii="Arial" w:hAnsi="Arial" w:cs="Arial"/>
          <w:sz w:val="24"/>
          <w:szCs w:val="24"/>
        </w:rPr>
      </w:pPr>
      <w:r w:rsidRPr="00F43F1E">
        <w:rPr>
          <w:rFonts w:ascii="Arial" w:hAnsi="Arial" w:cs="Arial"/>
          <w:sz w:val="24"/>
          <w:szCs w:val="24"/>
        </w:rPr>
        <w:t>The up-to-date competency of each contracted staff member must be demonstrated via a list of the most up to date and relevant contracted marine work (along with client contact details) and proof of continual professional development of staff through:</w:t>
      </w:r>
    </w:p>
    <w:p w:rsidR="009930C5" w:rsidRPr="00F43F1E" w:rsidRDefault="00CE0548" w:rsidP="009930C5">
      <w:pPr>
        <w:pStyle w:val="Style2"/>
        <w:rPr>
          <w:rFonts w:cs="Arial"/>
          <w:iCs/>
          <w:sz w:val="24"/>
          <w:szCs w:val="24"/>
        </w:rPr>
      </w:pPr>
      <w:r w:rsidRPr="00F43F1E">
        <w:rPr>
          <w:rFonts w:cs="Arial"/>
          <w:iCs/>
          <w:sz w:val="24"/>
          <w:szCs w:val="24"/>
        </w:rPr>
        <w:t>Participation in workshops (run internally or externally through universities, museums</w:t>
      </w:r>
      <w:r w:rsidRPr="00CE0548">
        <w:rPr>
          <w:rFonts w:cs="Arial"/>
          <w:iCs/>
        </w:rPr>
        <w:t xml:space="preserve"> </w:t>
      </w:r>
      <w:r w:rsidRPr="00F43F1E">
        <w:rPr>
          <w:rFonts w:cs="Arial"/>
          <w:iCs/>
          <w:sz w:val="24"/>
          <w:szCs w:val="24"/>
        </w:rPr>
        <w:t>or marine organisations/associations),</w:t>
      </w:r>
    </w:p>
    <w:p w:rsidR="009930C5" w:rsidRPr="00F43F1E" w:rsidRDefault="00CE0548" w:rsidP="009930C5">
      <w:pPr>
        <w:pStyle w:val="Style2"/>
        <w:rPr>
          <w:rFonts w:cs="Arial"/>
          <w:iCs/>
          <w:sz w:val="24"/>
          <w:szCs w:val="24"/>
        </w:rPr>
      </w:pPr>
      <w:r w:rsidRPr="00F43F1E">
        <w:rPr>
          <w:rFonts w:cs="Arial"/>
          <w:iCs/>
          <w:sz w:val="24"/>
          <w:szCs w:val="24"/>
        </w:rPr>
        <w:t xml:space="preserve">Participation in proficiency tests (Interlaboratory Comparisons) and/or external quality control tests run through an external quality assurance scheme </w:t>
      </w:r>
    </w:p>
    <w:p w:rsidR="009930C5" w:rsidRPr="00F43F1E" w:rsidRDefault="00CE0548" w:rsidP="009930C5">
      <w:pPr>
        <w:pStyle w:val="Style2"/>
        <w:rPr>
          <w:rFonts w:cs="Arial"/>
          <w:iCs/>
          <w:sz w:val="24"/>
          <w:szCs w:val="24"/>
        </w:rPr>
      </w:pPr>
      <w:r w:rsidRPr="00F43F1E">
        <w:rPr>
          <w:rFonts w:cs="Arial"/>
          <w:iCs/>
          <w:sz w:val="24"/>
          <w:szCs w:val="24"/>
        </w:rPr>
        <w:t>Proof of tertiary qualifications and other qualifications (e.g. Identification Qualification awarded by a professionally recognised institute).</w:t>
      </w:r>
    </w:p>
    <w:p w:rsidR="009930C5" w:rsidRPr="004C1375" w:rsidRDefault="00CE0548" w:rsidP="00847892">
      <w:pPr>
        <w:pStyle w:val="HeadingNolevel"/>
        <w:outlineLvl w:val="0"/>
      </w:pPr>
      <w:bookmarkStart w:id="28" w:name="_Toc340070496"/>
      <w:r w:rsidRPr="004C1375">
        <w:t>Stated project personnel</w:t>
      </w:r>
      <w:bookmarkEnd w:id="28"/>
    </w:p>
    <w:p w:rsidR="009930C5" w:rsidRPr="00F43F1E" w:rsidRDefault="00CE0548" w:rsidP="009930C5">
      <w:pPr>
        <w:rPr>
          <w:rFonts w:ascii="Arial" w:hAnsi="Arial" w:cs="Arial"/>
          <w:sz w:val="24"/>
          <w:szCs w:val="24"/>
        </w:rPr>
      </w:pPr>
      <w:r w:rsidRPr="00F43F1E">
        <w:rPr>
          <w:rFonts w:ascii="Arial" w:hAnsi="Arial" w:cs="Arial"/>
          <w:sz w:val="24"/>
          <w:szCs w:val="24"/>
        </w:rPr>
        <w:t xml:space="preserve">The names of proposed project personnel and their role in the contracted work must be specified.  Only those staff proposed in the tender submission will be expected to </w:t>
      </w:r>
      <w:r w:rsidRPr="00F43F1E">
        <w:rPr>
          <w:rFonts w:ascii="Arial" w:hAnsi="Arial" w:cs="Arial"/>
          <w:sz w:val="24"/>
          <w:szCs w:val="24"/>
        </w:rPr>
        <w:lastRenderedPageBreak/>
        <w:t>undertake the work.  Changes to contracted staff (including subcontractors) will only be accepted following written approval from the contract manager.</w:t>
      </w:r>
    </w:p>
    <w:p w:rsidR="009930C5" w:rsidRPr="004C1375" w:rsidRDefault="00CE0548" w:rsidP="00847892">
      <w:pPr>
        <w:pStyle w:val="HeadingNolevel"/>
        <w:outlineLvl w:val="0"/>
      </w:pPr>
      <w:bookmarkStart w:id="29" w:name="_Toc250562332"/>
      <w:bookmarkStart w:id="30" w:name="_Toc340070497"/>
      <w:r w:rsidRPr="004C1375">
        <w:t>Internal Quality Control</w:t>
      </w:r>
      <w:bookmarkEnd w:id="29"/>
      <w:bookmarkEnd w:id="30"/>
    </w:p>
    <w:p w:rsidR="009930C5" w:rsidRPr="00F43F1E" w:rsidRDefault="00CE0548" w:rsidP="009930C5">
      <w:pPr>
        <w:rPr>
          <w:rFonts w:ascii="Arial" w:hAnsi="Arial" w:cs="Arial"/>
          <w:sz w:val="24"/>
          <w:szCs w:val="24"/>
        </w:rPr>
      </w:pPr>
      <w:r w:rsidRPr="00F43F1E">
        <w:rPr>
          <w:rFonts w:ascii="Arial" w:hAnsi="Arial" w:cs="Arial"/>
          <w:sz w:val="24"/>
          <w:szCs w:val="24"/>
        </w:rPr>
        <w:t>The contractors must demonstrate their internal Quality Control (QC) system (which is demonstrated in the Quality Control Audit), which includes routine checks of data and analysis.</w:t>
      </w:r>
    </w:p>
    <w:p w:rsidR="009930C5" w:rsidRPr="00F43F1E" w:rsidRDefault="00CE0548" w:rsidP="009930C5">
      <w:pPr>
        <w:rPr>
          <w:rFonts w:ascii="Arial" w:hAnsi="Arial" w:cs="Arial"/>
          <w:sz w:val="24"/>
          <w:szCs w:val="24"/>
        </w:rPr>
      </w:pPr>
      <w:r w:rsidRPr="00F43F1E">
        <w:rPr>
          <w:rFonts w:ascii="Arial" w:hAnsi="Arial" w:cs="Arial"/>
          <w:sz w:val="24"/>
          <w:szCs w:val="24"/>
        </w:rPr>
        <w:t xml:space="preserve">QC of data and analysis is where samples are re-checked and compared against the original and compared to an expected standard/limit of error/deviation from the original.  It is also where electronic records (in spreadsheets or databases) are checked against the data on the original field/laboratory datasheets.  This measures the repeatability of the method of analysis and data entry, and highlights factors such as inter-worker variability.  QC must also include details of remedial action in cases where expected standards/limits are not met.  </w:t>
      </w:r>
    </w:p>
    <w:p w:rsidR="009930C5"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 xml:space="preserve">The contractors should demonstrate their internal system of validation for 10% of the samples analysed (identification and enumeration of species and biotopes from photographs and videos).    </w:t>
      </w:r>
    </w:p>
    <w:p w:rsidR="009930C5"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The contractor should also be able to demonstrate their internal system of validation for 10% of the electronic records (in spreadsheets or databases) of biological/environmental data.</w:t>
      </w:r>
    </w:p>
    <w:p w:rsidR="00EC086A" w:rsidRPr="00F43F1E" w:rsidRDefault="00CE0548" w:rsidP="009930C5">
      <w:pPr>
        <w:numPr>
          <w:ilvl w:val="0"/>
          <w:numId w:val="13"/>
        </w:numPr>
        <w:tabs>
          <w:tab w:val="clear" w:pos="360"/>
          <w:tab w:val="num" w:pos="720"/>
        </w:tabs>
        <w:spacing w:before="100" w:beforeAutospacing="1" w:after="100" w:afterAutospacing="1" w:line="240" w:lineRule="auto"/>
        <w:ind w:left="720"/>
        <w:rPr>
          <w:rFonts w:ascii="Arial" w:hAnsi="Arial" w:cs="Arial"/>
          <w:iCs/>
          <w:sz w:val="24"/>
          <w:szCs w:val="24"/>
        </w:rPr>
      </w:pPr>
      <w:r w:rsidRPr="00F43F1E">
        <w:rPr>
          <w:rFonts w:ascii="Arial" w:hAnsi="Arial" w:cs="Arial"/>
          <w:sz w:val="24"/>
          <w:szCs w:val="24"/>
        </w:rPr>
        <w:t>The above 10% should include samples across the range of habitats recorded/observed.</w:t>
      </w:r>
    </w:p>
    <w:p w:rsidR="00885FB6" w:rsidRDefault="00CE0548" w:rsidP="009930C5">
      <w:pPr>
        <w:rPr>
          <w:rFonts w:ascii="Arial" w:hAnsi="Arial" w:cs="Arial"/>
          <w:sz w:val="24"/>
          <w:szCs w:val="24"/>
        </w:rPr>
      </w:pPr>
      <w:r w:rsidRPr="00F43F1E">
        <w:rPr>
          <w:rFonts w:ascii="Arial" w:hAnsi="Arial" w:cs="Arial"/>
          <w:sz w:val="24"/>
          <w:szCs w:val="24"/>
        </w:rPr>
        <w:t xml:space="preserve">Internal QC must be undertaken by a staff member other than the staff member who conducted the original sample analysis.  </w:t>
      </w:r>
    </w:p>
    <w:p w:rsidR="00885FB6" w:rsidRDefault="00885FB6">
      <w:pPr>
        <w:rPr>
          <w:rFonts w:ascii="Arial" w:hAnsi="Arial" w:cs="Arial"/>
          <w:sz w:val="24"/>
          <w:szCs w:val="24"/>
        </w:rPr>
      </w:pPr>
      <w:r>
        <w:rPr>
          <w:rFonts w:ascii="Arial" w:hAnsi="Arial" w:cs="Arial"/>
          <w:sz w:val="24"/>
          <w:szCs w:val="24"/>
        </w:rPr>
        <w:br w:type="page"/>
      </w:r>
    </w:p>
    <w:p w:rsidR="009930C5" w:rsidRPr="004C1375" w:rsidRDefault="00CE0548" w:rsidP="004C1375">
      <w:pPr>
        <w:pStyle w:val="HeadingNolevel"/>
        <w:numPr>
          <w:ilvl w:val="0"/>
          <w:numId w:val="21"/>
        </w:numPr>
        <w:rPr>
          <w:sz w:val="28"/>
          <w:szCs w:val="28"/>
        </w:rPr>
      </w:pPr>
      <w:bookmarkStart w:id="31" w:name="_Toc340070498"/>
      <w:r w:rsidRPr="004C1375">
        <w:rPr>
          <w:sz w:val="28"/>
          <w:szCs w:val="28"/>
        </w:rPr>
        <w:lastRenderedPageBreak/>
        <w:t>External Quality Assurance</w:t>
      </w:r>
      <w:bookmarkEnd w:id="31"/>
    </w:p>
    <w:p w:rsidR="009930C5" w:rsidRPr="004C1375" w:rsidRDefault="00CE0548" w:rsidP="00847892">
      <w:pPr>
        <w:pStyle w:val="HeadingNolevel"/>
        <w:outlineLvl w:val="0"/>
      </w:pPr>
      <w:bookmarkStart w:id="32" w:name="_Toc340070499"/>
      <w:bookmarkStart w:id="33" w:name="_Toc250562333"/>
      <w:r w:rsidRPr="004C1375">
        <w:t>External Training, Qualifications and Proficiency Tests</w:t>
      </w:r>
      <w:bookmarkEnd w:id="32"/>
    </w:p>
    <w:p w:rsidR="009930C5" w:rsidRPr="00F43F1E" w:rsidRDefault="00CE0548" w:rsidP="009930C5">
      <w:pPr>
        <w:rPr>
          <w:rFonts w:ascii="Arial" w:hAnsi="Arial" w:cs="Arial"/>
          <w:sz w:val="24"/>
          <w:szCs w:val="24"/>
        </w:rPr>
      </w:pPr>
      <w:r w:rsidRPr="00F43F1E">
        <w:rPr>
          <w:rFonts w:ascii="Arial" w:hAnsi="Arial" w:cs="Arial"/>
          <w:sz w:val="24"/>
          <w:szCs w:val="24"/>
        </w:rPr>
        <w:t>The contractor should provide evidence (Certificates or Statement of Performance) of their up-to-date expertise through active participation in:</w:t>
      </w:r>
    </w:p>
    <w:p w:rsidR="00CE0548" w:rsidRDefault="00CE0548" w:rsidP="00885FB6">
      <w:pPr>
        <w:pStyle w:val="ListParagraph"/>
        <w:spacing w:before="100" w:beforeAutospacing="1" w:after="100" w:afterAutospacing="1" w:line="240" w:lineRule="auto"/>
        <w:rPr>
          <w:rFonts w:ascii="Arial" w:hAnsi="Arial" w:cs="Arial"/>
          <w:sz w:val="24"/>
          <w:szCs w:val="24"/>
        </w:rPr>
      </w:pPr>
      <w:r w:rsidRPr="00F43F1E">
        <w:rPr>
          <w:rFonts w:ascii="Arial" w:hAnsi="Arial" w:cs="Arial"/>
          <w:sz w:val="24"/>
          <w:szCs w:val="24"/>
        </w:rPr>
        <w:t>External training (e.g. workshops run</w:t>
      </w:r>
      <w:r w:rsidR="00885FB6">
        <w:rPr>
          <w:rFonts w:ascii="Arial" w:hAnsi="Arial" w:cs="Arial"/>
          <w:sz w:val="24"/>
          <w:szCs w:val="24"/>
        </w:rPr>
        <w:t xml:space="preserve"> through universities, museums,</w:t>
      </w:r>
      <w:r w:rsidRPr="00F43F1E">
        <w:rPr>
          <w:rFonts w:ascii="Arial" w:hAnsi="Arial" w:cs="Arial"/>
          <w:sz w:val="24"/>
          <w:szCs w:val="24"/>
        </w:rPr>
        <w:t xml:space="preserve"> marine organisations/associations), </w:t>
      </w:r>
    </w:p>
    <w:p w:rsidR="00885FB6" w:rsidRPr="00F43F1E" w:rsidRDefault="00885FB6" w:rsidP="00885FB6">
      <w:pPr>
        <w:pStyle w:val="ListParagraph"/>
        <w:spacing w:before="100" w:beforeAutospacing="1" w:after="100" w:afterAutospacing="1" w:line="240" w:lineRule="auto"/>
        <w:rPr>
          <w:rFonts w:ascii="Arial" w:hAnsi="Arial" w:cs="Arial"/>
          <w:sz w:val="24"/>
          <w:szCs w:val="24"/>
        </w:rPr>
      </w:pPr>
    </w:p>
    <w:p w:rsidR="00CE0548" w:rsidRDefault="00CE0548" w:rsidP="00885FB6">
      <w:pPr>
        <w:pStyle w:val="ListParagraph"/>
        <w:spacing w:before="100" w:beforeAutospacing="1" w:after="100" w:afterAutospacing="1" w:line="240" w:lineRule="auto"/>
        <w:rPr>
          <w:rFonts w:ascii="Arial" w:hAnsi="Arial" w:cs="Arial"/>
          <w:sz w:val="24"/>
          <w:szCs w:val="24"/>
        </w:rPr>
      </w:pPr>
      <w:r w:rsidRPr="00F43F1E">
        <w:rPr>
          <w:rFonts w:ascii="Arial" w:hAnsi="Arial" w:cs="Arial"/>
          <w:sz w:val="24"/>
          <w:szCs w:val="24"/>
        </w:rPr>
        <w:t>Qualification schemes (e.g. Identification Qualification awarded by a professionally recognised institute)</w:t>
      </w:r>
    </w:p>
    <w:p w:rsidR="00885FB6" w:rsidRPr="00F43F1E" w:rsidRDefault="00885FB6" w:rsidP="00885FB6">
      <w:pPr>
        <w:pStyle w:val="ListParagraph"/>
        <w:spacing w:before="100" w:beforeAutospacing="1" w:after="100" w:afterAutospacing="1" w:line="240" w:lineRule="auto"/>
        <w:rPr>
          <w:rFonts w:ascii="Arial" w:hAnsi="Arial" w:cs="Arial"/>
          <w:sz w:val="24"/>
          <w:szCs w:val="24"/>
        </w:rPr>
      </w:pPr>
    </w:p>
    <w:p w:rsidR="00CE0548" w:rsidRPr="00F43F1E" w:rsidRDefault="00CE0548" w:rsidP="00885FB6">
      <w:pPr>
        <w:pStyle w:val="ListParagraph"/>
        <w:spacing w:before="100" w:beforeAutospacing="1" w:after="100" w:afterAutospacing="1" w:line="240" w:lineRule="auto"/>
        <w:rPr>
          <w:rFonts w:ascii="Arial" w:hAnsi="Arial" w:cs="Arial"/>
          <w:iCs/>
          <w:sz w:val="24"/>
          <w:szCs w:val="24"/>
        </w:rPr>
      </w:pPr>
      <w:r w:rsidRPr="00F43F1E">
        <w:rPr>
          <w:rFonts w:ascii="Arial" w:hAnsi="Arial" w:cs="Arial"/>
          <w:sz w:val="24"/>
          <w:szCs w:val="24"/>
        </w:rPr>
        <w:t>Participation in proficiency tests (Interlaboratory Comparisons) and/or external quality control tests run through an external quality assurance scheme</w:t>
      </w:r>
      <w:r w:rsidRPr="00F43F1E">
        <w:rPr>
          <w:rFonts w:ascii="Arial" w:hAnsi="Arial" w:cs="Arial"/>
          <w:iCs/>
          <w:sz w:val="24"/>
          <w:szCs w:val="24"/>
        </w:rPr>
        <w:t xml:space="preserve"> </w:t>
      </w:r>
    </w:p>
    <w:p w:rsidR="009930C5" w:rsidRPr="004C1375" w:rsidRDefault="00CE0548" w:rsidP="00847892">
      <w:pPr>
        <w:pStyle w:val="HeadingNolevel"/>
        <w:outlineLvl w:val="0"/>
      </w:pPr>
      <w:bookmarkStart w:id="34" w:name="_Toc340070500"/>
      <w:r w:rsidRPr="004C1375">
        <w:t>External Quality Control</w:t>
      </w:r>
      <w:bookmarkEnd w:id="33"/>
      <w:bookmarkEnd w:id="34"/>
    </w:p>
    <w:p w:rsidR="005F402D" w:rsidRPr="00F43F1E" w:rsidRDefault="00CE0548" w:rsidP="005F402D">
      <w:pPr>
        <w:rPr>
          <w:rFonts w:ascii="Arial" w:hAnsi="Arial" w:cs="Arial"/>
          <w:sz w:val="24"/>
          <w:szCs w:val="24"/>
        </w:rPr>
      </w:pPr>
      <w:r w:rsidRPr="00F43F1E">
        <w:rPr>
          <w:rFonts w:ascii="Arial" w:hAnsi="Arial" w:cs="Arial"/>
          <w:sz w:val="24"/>
          <w:szCs w:val="24"/>
        </w:rPr>
        <w:t>JNCC subscribes to the NMBAQC ‘own sample’ scheme (</w:t>
      </w:r>
      <w:hyperlink r:id="rId11" w:history="1">
        <w:r w:rsidRPr="00F43F1E">
          <w:rPr>
            <w:rStyle w:val="Hyperlink"/>
            <w:rFonts w:ascii="Arial" w:hAnsi="Arial" w:cs="Arial"/>
            <w:sz w:val="24"/>
            <w:szCs w:val="24"/>
          </w:rPr>
          <w:t>http://www.nmbaqcs.org/scheme-components/invertebrates.aspx</w:t>
        </w:r>
      </w:hyperlink>
      <w:r w:rsidRPr="00F43F1E">
        <w:rPr>
          <w:rFonts w:ascii="Arial" w:hAnsi="Arial" w:cs="Arial"/>
          <w:sz w:val="24"/>
          <w:szCs w:val="24"/>
        </w:rPr>
        <w:t xml:space="preserve"> ).  The contractor shall facilitate the completion of these independent QA/QC checks.  In all cases, if the products do not meet the relevant quality standard the contractor will be required to undertake appropriate remedial action and then re-supply the product.  All costs associated with such remedial action will be borne by the contractor and will not be charged to Cefas/JNCC. </w:t>
      </w:r>
    </w:p>
    <w:p w:rsidR="00F53CC7" w:rsidRDefault="00F53CC7">
      <w:pPr>
        <w:rPr>
          <w:rFonts w:ascii="Arial" w:eastAsiaTheme="majorEastAsia" w:hAnsi="Arial" w:cs="Arial"/>
          <w:b/>
          <w:bCs/>
          <w:color w:val="4F81BD" w:themeColor="accent1"/>
          <w:sz w:val="26"/>
          <w:szCs w:val="26"/>
        </w:rPr>
      </w:pPr>
      <w:r>
        <w:rPr>
          <w:rFonts w:ascii="Arial" w:hAnsi="Arial" w:cs="Arial"/>
        </w:rPr>
        <w:br w:type="page"/>
      </w:r>
    </w:p>
    <w:p w:rsidR="00F43F1E" w:rsidRDefault="00885FB6" w:rsidP="00885FB6">
      <w:pPr>
        <w:pStyle w:val="HeadingNolevel"/>
        <w:numPr>
          <w:ilvl w:val="0"/>
          <w:numId w:val="27"/>
        </w:numPr>
        <w:rPr>
          <w:sz w:val="28"/>
          <w:szCs w:val="28"/>
        </w:rPr>
      </w:pPr>
      <w:r>
        <w:rPr>
          <w:sz w:val="28"/>
          <w:szCs w:val="28"/>
        </w:rPr>
        <w:lastRenderedPageBreak/>
        <w:t>Suggested Report Outline</w:t>
      </w:r>
    </w:p>
    <w:p w:rsidR="00CE0548" w:rsidRDefault="003B1DA6" w:rsidP="00F43F1E">
      <w:pPr>
        <w:pStyle w:val="ListParagraph"/>
        <w:rPr>
          <w:rFonts w:ascii="Arial" w:hAnsi="Arial" w:cs="Arial"/>
          <w:sz w:val="24"/>
        </w:rPr>
      </w:pPr>
      <w:r w:rsidRPr="00D0712C">
        <w:rPr>
          <w:rFonts w:ascii="Arial" w:hAnsi="Arial" w:cs="Arial"/>
          <w:b/>
          <w:sz w:val="24"/>
        </w:rPr>
        <w:t>Introduction</w:t>
      </w:r>
      <w:r w:rsidRPr="00D0712C">
        <w:rPr>
          <w:rFonts w:ascii="Arial" w:hAnsi="Arial" w:cs="Arial"/>
          <w:sz w:val="24"/>
        </w:rPr>
        <w:t>: Brief details on the work undertaken, including number of videos and stills analysed.</w:t>
      </w:r>
    </w:p>
    <w:p w:rsidR="00CE0548" w:rsidRDefault="003B1DA6" w:rsidP="00F43F1E">
      <w:pPr>
        <w:pStyle w:val="ListParagraph"/>
        <w:rPr>
          <w:rFonts w:ascii="Arial" w:hAnsi="Arial" w:cs="Arial"/>
          <w:sz w:val="24"/>
        </w:rPr>
      </w:pPr>
      <w:r w:rsidRPr="00D0712C">
        <w:rPr>
          <w:rFonts w:ascii="Arial" w:hAnsi="Arial" w:cs="Arial"/>
          <w:b/>
          <w:sz w:val="24"/>
        </w:rPr>
        <w:t>Methods</w:t>
      </w:r>
      <w:r w:rsidRPr="00D0712C">
        <w:rPr>
          <w:rFonts w:ascii="Arial" w:hAnsi="Arial" w:cs="Arial"/>
          <w:sz w:val="24"/>
        </w:rPr>
        <w:t>: Brief details on the methodology followed for the video and stills analysis</w:t>
      </w:r>
      <w:r w:rsidR="00CE0548" w:rsidRPr="00CE0548">
        <w:rPr>
          <w:rFonts w:ascii="Arial" w:hAnsi="Arial" w:cs="Arial"/>
          <w:sz w:val="24"/>
        </w:rPr>
        <w:t xml:space="preserve"> and the QA followed</w:t>
      </w:r>
    </w:p>
    <w:p w:rsidR="00CE0548" w:rsidRDefault="00CE0548" w:rsidP="00F43F1E">
      <w:pPr>
        <w:pStyle w:val="ListParagraph"/>
        <w:rPr>
          <w:rFonts w:ascii="Arial" w:hAnsi="Arial" w:cs="Arial"/>
          <w:sz w:val="24"/>
        </w:rPr>
      </w:pPr>
      <w:r w:rsidRPr="00CE0548">
        <w:rPr>
          <w:rFonts w:ascii="Arial" w:hAnsi="Arial" w:cs="Arial"/>
          <w:b/>
          <w:sz w:val="24"/>
        </w:rPr>
        <w:t>Results</w:t>
      </w:r>
      <w:r w:rsidRPr="00CE0548">
        <w:rPr>
          <w:rFonts w:ascii="Arial" w:hAnsi="Arial" w:cs="Arial"/>
          <w:sz w:val="24"/>
        </w:rPr>
        <w:t>: Table of results for each video station segment and notes on any features of interest observed.  Also note any evidence of human activities seen at each station.</w:t>
      </w:r>
    </w:p>
    <w:p w:rsidR="00CE0548" w:rsidRDefault="00CE0548" w:rsidP="00F43F1E">
      <w:pPr>
        <w:pStyle w:val="ListParagraph"/>
        <w:rPr>
          <w:rFonts w:ascii="Arial" w:hAnsi="Arial" w:cs="Arial"/>
          <w:sz w:val="24"/>
        </w:rPr>
      </w:pPr>
      <w:r w:rsidRPr="00CE0548">
        <w:rPr>
          <w:rFonts w:ascii="Arial" w:hAnsi="Arial" w:cs="Arial"/>
          <w:b/>
          <w:sz w:val="24"/>
        </w:rPr>
        <w:t>QA</w:t>
      </w:r>
      <w:r w:rsidRPr="00CE0548">
        <w:rPr>
          <w:rFonts w:ascii="Arial" w:hAnsi="Arial" w:cs="Arial"/>
          <w:sz w:val="24"/>
        </w:rPr>
        <w:t>: Details on which stations were reanalysed and by whom and a table detailing the QA’d results against the originals.</w:t>
      </w:r>
    </w:p>
    <w:p w:rsidR="00F53CC7" w:rsidRDefault="00F53CC7">
      <w:pPr>
        <w:rPr>
          <w:rFonts w:ascii="Arial" w:eastAsiaTheme="majorEastAsia" w:hAnsi="Arial" w:cs="Arial"/>
          <w:b/>
          <w:bCs/>
          <w:color w:val="365F91" w:themeColor="accent1" w:themeShade="BF"/>
          <w:sz w:val="28"/>
          <w:szCs w:val="28"/>
        </w:rPr>
      </w:pPr>
      <w:r>
        <w:rPr>
          <w:rFonts w:ascii="Arial" w:hAnsi="Arial" w:cs="Arial"/>
        </w:rPr>
        <w:br w:type="page"/>
      </w:r>
    </w:p>
    <w:p w:rsidR="00E33A2C" w:rsidRPr="00F43F1E" w:rsidRDefault="00CE0548" w:rsidP="00885FB6">
      <w:pPr>
        <w:pStyle w:val="HeadingNolevel"/>
        <w:numPr>
          <w:ilvl w:val="0"/>
          <w:numId w:val="27"/>
        </w:numPr>
        <w:rPr>
          <w:sz w:val="28"/>
          <w:szCs w:val="28"/>
        </w:rPr>
      </w:pPr>
      <w:r w:rsidRPr="00F43F1E">
        <w:rPr>
          <w:sz w:val="28"/>
          <w:szCs w:val="28"/>
        </w:rPr>
        <w:lastRenderedPageBreak/>
        <w:t>Survey image reference collections</w:t>
      </w:r>
    </w:p>
    <w:p w:rsidR="00E33A2C" w:rsidRPr="004C1375" w:rsidRDefault="00CE0548" w:rsidP="00847892">
      <w:pPr>
        <w:pStyle w:val="HeadingNolevel"/>
        <w:outlineLvl w:val="0"/>
      </w:pPr>
      <w:r w:rsidRPr="004C1375">
        <w:t>Species/taxon reference collection</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 reference image is required for each species/taxon from the combined video and stills species list for each survey</w:t>
      </w:r>
      <w:r w:rsidR="00F5052B">
        <w:rPr>
          <w:rFonts w:ascii="Arial" w:hAnsi="Arial" w:cs="Arial"/>
          <w:sz w:val="24"/>
          <w:szCs w:val="24"/>
        </w:rPr>
        <w:t>, including those where positive ID was difficult/not possible</w:t>
      </w:r>
      <w:r w:rsidRPr="00F43F1E">
        <w:rPr>
          <w:rFonts w:ascii="Arial" w:hAnsi="Arial" w:cs="Arial"/>
          <w:sz w:val="24"/>
          <w:szCs w:val="24"/>
        </w:rPr>
        <w:t xml:space="preserve"> </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At least one image per species/taxon, either from the video (snapshot/screen grab) or the stills with the preference being the stills due to image resolution.</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Highlight the species/taxon on the image (e.g. box or circle) and save the image with the relevant species/taxon name and video/still file name</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Fill in a new row in the SpeciesBiotopeRefCollection.xlsx spreadsheet</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See examples below</w:t>
      </w:r>
    </w:p>
    <w:p w:rsidR="00E33A2C" w:rsidRPr="00D0712C" w:rsidRDefault="00CE0548" w:rsidP="00847892">
      <w:pPr>
        <w:spacing w:after="0"/>
        <w:ind w:left="357"/>
        <w:outlineLvl w:val="0"/>
        <w:rPr>
          <w:rFonts w:ascii="Arial" w:hAnsi="Arial" w:cs="Arial"/>
          <w:b/>
        </w:rPr>
      </w:pPr>
      <w:r w:rsidRPr="00CE0548">
        <w:rPr>
          <w:rFonts w:ascii="Arial" w:hAnsi="Arial" w:cs="Arial"/>
          <w:b/>
        </w:rPr>
        <w:t>Video screen shot</w:t>
      </w:r>
      <w:r w:rsidRPr="00CE0548">
        <w:rPr>
          <w:rFonts w:ascii="Arial" w:hAnsi="Arial" w:cs="Arial"/>
          <w:b/>
        </w:rPr>
        <w:tab/>
      </w:r>
      <w:r w:rsidRPr="00CE0548">
        <w:rPr>
          <w:rFonts w:ascii="Arial" w:hAnsi="Arial" w:cs="Arial"/>
          <w:b/>
        </w:rPr>
        <w:tab/>
      </w:r>
      <w:r w:rsidRPr="00CE0548">
        <w:rPr>
          <w:rFonts w:ascii="Arial" w:hAnsi="Arial" w:cs="Arial"/>
          <w:b/>
        </w:rPr>
        <w:tab/>
      </w:r>
      <w:r w:rsidRPr="00CE0548">
        <w:rPr>
          <w:rFonts w:ascii="Arial" w:hAnsi="Arial" w:cs="Arial"/>
          <w:b/>
        </w:rPr>
        <w:tab/>
        <w:t>Still image</w:t>
      </w:r>
    </w:p>
    <w:p w:rsidR="00E33A2C" w:rsidRPr="00D0712C" w:rsidRDefault="00BC0C3D" w:rsidP="00E33A2C">
      <w:pPr>
        <w:spacing w:after="0"/>
        <w:rPr>
          <w:rFonts w:ascii="Arial" w:hAnsi="Arial" w:cs="Arial"/>
        </w:rPr>
      </w:pPr>
      <w:r>
        <w:rPr>
          <w:rFonts w:ascii="Arial" w:hAnsi="Arial" w:cs="Arial"/>
          <w:noProof/>
        </w:rPr>
        <w:drawing>
          <wp:inline distT="0" distB="0" distL="0" distR="0">
            <wp:extent cx="2509520" cy="1882140"/>
            <wp:effectExtent l="19050" t="0" r="5080" b="0"/>
            <wp:docPr id="1" name="Picture 1" descr="C:\Documents and Settings\mac00\Desktop\Asterias rubens_MRTR_CEND08a12_MT05_STN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c00\Desktop\Asterias rubens_MRTR_CEND08a12_MT05_STN_119.jpg"/>
                    <pic:cNvPicPr>
                      <a:picLocks noChangeAspect="1" noChangeArrowheads="1"/>
                    </pic:cNvPicPr>
                  </pic:nvPicPr>
                  <pic:blipFill>
                    <a:blip r:embed="rId12" cstate="print"/>
                    <a:srcRect/>
                    <a:stretch>
                      <a:fillRect/>
                    </a:stretch>
                  </pic:blipFill>
                  <pic:spPr bwMode="auto">
                    <a:xfrm>
                      <a:off x="0" y="0"/>
                      <a:ext cx="2509520" cy="188214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499360" cy="1874520"/>
            <wp:effectExtent l="19050" t="0" r="0" b="0"/>
            <wp:docPr id="2" name="Picture 2" descr="C:\Documents and Settings\mac00\Desktop\Asterias rubens_MRTR_CEND08a12_MT05_STN_1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c00\Desktop\Asterias rubens_MRTR_CEND08a12_MT05_STN_119_005.JPG"/>
                    <pic:cNvPicPr>
                      <a:picLocks noChangeAspect="1" noChangeArrowheads="1"/>
                    </pic:cNvPicPr>
                  </pic:nvPicPr>
                  <pic:blipFill>
                    <a:blip r:embed="rId13" cstate="print"/>
                    <a:srcRect/>
                    <a:stretch>
                      <a:fillRect/>
                    </a:stretch>
                  </pic:blipFill>
                  <pic:spPr bwMode="auto">
                    <a:xfrm>
                      <a:off x="0" y="0"/>
                      <a:ext cx="2507780" cy="1880835"/>
                    </a:xfrm>
                    <a:prstGeom prst="rect">
                      <a:avLst/>
                    </a:prstGeom>
                    <a:noFill/>
                    <a:ln w="9525">
                      <a:noFill/>
                      <a:miter lim="800000"/>
                      <a:headEnd/>
                      <a:tailEnd/>
                    </a:ln>
                  </pic:spPr>
                </pic:pic>
              </a:graphicData>
            </a:graphic>
          </wp:inline>
        </w:drawing>
      </w:r>
    </w:p>
    <w:p w:rsidR="00E33A2C" w:rsidRPr="00D0712C" w:rsidRDefault="00CE0548" w:rsidP="00E33A2C">
      <w:pPr>
        <w:spacing w:after="0"/>
        <w:rPr>
          <w:rFonts w:ascii="Arial" w:hAnsi="Arial" w:cs="Arial"/>
          <w:sz w:val="16"/>
        </w:rPr>
      </w:pPr>
      <w:r w:rsidRPr="00CE0548">
        <w:rPr>
          <w:rFonts w:ascii="Arial" w:hAnsi="Arial" w:cs="Arial"/>
          <w:sz w:val="16"/>
        </w:rPr>
        <w:t>Example file names:</w:t>
      </w:r>
      <w:r w:rsidRPr="00CE0548">
        <w:rPr>
          <w:rFonts w:ascii="Arial" w:hAnsi="Arial" w:cs="Arial"/>
          <w:sz w:val="16"/>
        </w:rPr>
        <w:tab/>
        <w:t>Video</w:t>
      </w:r>
      <w:r w:rsidRPr="00CE0548">
        <w:rPr>
          <w:rFonts w:ascii="Arial" w:hAnsi="Arial" w:cs="Arial"/>
          <w:sz w:val="16"/>
        </w:rPr>
        <w:tab/>
      </w:r>
      <w:r w:rsidRPr="00CE0548">
        <w:rPr>
          <w:rFonts w:ascii="Arial" w:hAnsi="Arial" w:cs="Arial"/>
          <w:sz w:val="16"/>
        </w:rPr>
        <w:tab/>
      </w:r>
      <w:r w:rsidRPr="00CE0548">
        <w:rPr>
          <w:rFonts w:ascii="Arial" w:hAnsi="Arial" w:cs="Arial"/>
          <w:sz w:val="16"/>
        </w:rPr>
        <w:tab/>
      </w:r>
      <w:r w:rsidRPr="00CE0548">
        <w:rPr>
          <w:rFonts w:ascii="Arial" w:hAnsi="Arial" w:cs="Arial"/>
          <w:sz w:val="16"/>
        </w:rPr>
        <w:tab/>
      </w:r>
      <w:r w:rsidRPr="00CE0548">
        <w:rPr>
          <w:rFonts w:ascii="Arial" w:hAnsi="Arial" w:cs="Arial"/>
          <w:sz w:val="16"/>
        </w:rPr>
        <w:tab/>
        <w:t>Still</w:t>
      </w:r>
    </w:p>
    <w:p w:rsidR="00E33A2C" w:rsidRPr="00D0712C" w:rsidRDefault="00CE0548" w:rsidP="00E33A2C">
      <w:pPr>
        <w:rPr>
          <w:rFonts w:ascii="Arial" w:hAnsi="Arial" w:cs="Arial"/>
          <w:sz w:val="16"/>
        </w:rPr>
      </w:pPr>
      <w:r w:rsidRPr="00CE0548">
        <w:rPr>
          <w:rFonts w:ascii="Arial" w:hAnsi="Arial" w:cs="Arial"/>
          <w:sz w:val="16"/>
        </w:rPr>
        <w:t>Asterias rubens_Video_MRTR_CEND08a12_MT05_STN_119.jpg</w:t>
      </w:r>
      <w:r w:rsidRPr="00CE0548">
        <w:rPr>
          <w:rFonts w:ascii="Arial" w:hAnsi="Arial" w:cs="Arial"/>
          <w:sz w:val="16"/>
        </w:rPr>
        <w:tab/>
        <w:t>Asterias rubens_Still_MRTR_CEND08a12_MT05_STN_119_005.JPG</w:t>
      </w:r>
    </w:p>
    <w:p w:rsidR="00E33A2C" w:rsidRPr="004C1375" w:rsidRDefault="00CE0548" w:rsidP="00847892">
      <w:pPr>
        <w:pStyle w:val="HeadingNolevel"/>
        <w:outlineLvl w:val="0"/>
      </w:pPr>
      <w:r w:rsidRPr="004C1375">
        <w:t>Biotope reference collection</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 xml:space="preserve">A reference image is required for each biotope recorded within the survey </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At least 1 image per biotope, either from the video (snapshot/screen grab) or the stills with the preference being the stills due to image resolution.  In addition, a short (30 second/1 minute) video clip showing examples of habitats/biotopes identified should be included.  This may be better than a video screen shot and could accompany a still image to highlight possible variation within the habitat.</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Save the image with the relevant biotope code, both the EUNIS and MNCR, and video/still file name. See examples below.</w:t>
      </w:r>
    </w:p>
    <w:p w:rsidR="00E33A2C" w:rsidRPr="00F43F1E" w:rsidRDefault="00CE0548" w:rsidP="00E33A2C">
      <w:pPr>
        <w:pStyle w:val="ListParagraph"/>
        <w:numPr>
          <w:ilvl w:val="0"/>
          <w:numId w:val="17"/>
        </w:numPr>
        <w:rPr>
          <w:rFonts w:ascii="Arial" w:hAnsi="Arial" w:cs="Arial"/>
          <w:sz w:val="24"/>
          <w:szCs w:val="24"/>
        </w:rPr>
      </w:pPr>
      <w:r w:rsidRPr="00F43F1E">
        <w:rPr>
          <w:rFonts w:ascii="Arial" w:hAnsi="Arial" w:cs="Arial"/>
          <w:sz w:val="24"/>
          <w:szCs w:val="24"/>
        </w:rPr>
        <w:t>Fill in a new row in the SpeciesBiotopeRefCollection.xlsx spreadsheet</w:t>
      </w:r>
    </w:p>
    <w:p w:rsidR="00E33A2C" w:rsidRPr="00D0712C" w:rsidRDefault="00BC0C3D" w:rsidP="00E33A2C">
      <w:pPr>
        <w:spacing w:after="0"/>
        <w:rPr>
          <w:rFonts w:ascii="Arial" w:hAnsi="Arial" w:cs="Arial"/>
        </w:rPr>
      </w:pPr>
      <w:r>
        <w:rPr>
          <w:rFonts w:ascii="Arial" w:hAnsi="Arial" w:cs="Arial"/>
          <w:noProof/>
        </w:rPr>
        <w:lastRenderedPageBreak/>
        <w:drawing>
          <wp:inline distT="0" distB="0" distL="0" distR="0">
            <wp:extent cx="2560319" cy="1920240"/>
            <wp:effectExtent l="19050" t="0" r="0" b="0"/>
            <wp:docPr id="4" name="Picture 3" descr="C:\Documents and Settings\mac00\Desktop\A5.2_SS.SSa.CFiSa_MRTR_CEND08a12_MT05_STN_11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c00\Desktop\A5.2_SS.SSa.CFiSa_MRTR_CEND08a12_MT05_STN_119_003.JPG"/>
                    <pic:cNvPicPr>
                      <a:picLocks noChangeAspect="1" noChangeArrowheads="1"/>
                    </pic:cNvPicPr>
                  </pic:nvPicPr>
                  <pic:blipFill>
                    <a:blip r:embed="rId14" cstate="print"/>
                    <a:srcRect/>
                    <a:stretch>
                      <a:fillRect/>
                    </a:stretch>
                  </pic:blipFill>
                  <pic:spPr bwMode="auto">
                    <a:xfrm>
                      <a:off x="0" y="0"/>
                      <a:ext cx="2565176" cy="1923883"/>
                    </a:xfrm>
                    <a:prstGeom prst="rect">
                      <a:avLst/>
                    </a:prstGeom>
                    <a:noFill/>
                    <a:ln w="9525">
                      <a:noFill/>
                      <a:miter lim="800000"/>
                      <a:headEnd/>
                      <a:tailEnd/>
                    </a:ln>
                  </pic:spPr>
                </pic:pic>
              </a:graphicData>
            </a:graphic>
          </wp:inline>
        </w:drawing>
      </w:r>
    </w:p>
    <w:p w:rsidR="00E33A2C" w:rsidRPr="00D0712C" w:rsidRDefault="00CE0548" w:rsidP="00847892">
      <w:pPr>
        <w:spacing w:after="0"/>
        <w:outlineLvl w:val="0"/>
        <w:rPr>
          <w:rFonts w:ascii="Arial" w:hAnsi="Arial" w:cs="Arial"/>
        </w:rPr>
      </w:pPr>
      <w:r w:rsidRPr="00CE0548">
        <w:rPr>
          <w:rFonts w:ascii="Arial" w:hAnsi="Arial" w:cs="Arial"/>
          <w:sz w:val="16"/>
        </w:rPr>
        <w:t>Example file names: Biotope_A5.25_SS.SSa.CFiSa_Still_MRTR_CEND08a12_MT05_STN_119_003.JPG</w:t>
      </w:r>
    </w:p>
    <w:p w:rsidR="005B4BB7" w:rsidRPr="00D0712C" w:rsidRDefault="005B4BB7" w:rsidP="00A15E86">
      <w:pPr>
        <w:rPr>
          <w:rFonts w:ascii="Arial" w:eastAsia="Times New Roman" w:hAnsi="Arial" w:cs="Arial"/>
          <w:sz w:val="24"/>
          <w:szCs w:val="24"/>
        </w:rPr>
      </w:pPr>
    </w:p>
    <w:p w:rsidR="00F53CC7" w:rsidRDefault="00F53CC7">
      <w:pPr>
        <w:rPr>
          <w:rFonts w:ascii="Arial" w:eastAsiaTheme="majorEastAsia" w:hAnsi="Arial" w:cs="Arial"/>
          <w:b/>
          <w:bCs/>
          <w:color w:val="4F81BD" w:themeColor="accent1"/>
          <w:sz w:val="26"/>
          <w:szCs w:val="26"/>
        </w:rPr>
      </w:pPr>
      <w:r>
        <w:rPr>
          <w:rFonts w:ascii="Arial" w:hAnsi="Arial" w:cs="Arial"/>
        </w:rPr>
        <w:br w:type="page"/>
      </w:r>
    </w:p>
    <w:p w:rsidR="00F60181" w:rsidRPr="004C1375" w:rsidRDefault="00CE0548" w:rsidP="00847892">
      <w:pPr>
        <w:pStyle w:val="HeadingNolevel"/>
        <w:outlineLvl w:val="0"/>
      </w:pPr>
      <w:r w:rsidRPr="004C1375">
        <w:lastRenderedPageBreak/>
        <w:t>Video Analysis Proforma</w:t>
      </w:r>
    </w:p>
    <w:p w:rsidR="005B4BB7" w:rsidRPr="00D0712C" w:rsidRDefault="00E81AC3" w:rsidP="005B4BB7">
      <w:pPr>
        <w:rPr>
          <w:rFonts w:ascii="Arial" w:hAnsi="Arial" w:cs="Arial"/>
          <w:sz w:val="24"/>
          <w:szCs w:val="24"/>
        </w:rPr>
      </w:pPr>
      <w:r w:rsidRPr="00D0712C">
        <w:rPr>
          <w:rFonts w:ascii="Arial" w:hAnsi="Arial" w:cs="Arial"/>
          <w:sz w:val="24"/>
          <w:szCs w:val="24"/>
        </w:rPr>
        <w:t>The following is a detailed description</w:t>
      </w:r>
      <w:r w:rsidR="00832749" w:rsidRPr="00D0712C">
        <w:rPr>
          <w:rFonts w:ascii="Arial" w:hAnsi="Arial" w:cs="Arial"/>
          <w:sz w:val="24"/>
          <w:szCs w:val="24"/>
        </w:rPr>
        <w:t xml:space="preserve"> of ho</w:t>
      </w:r>
      <w:r w:rsidR="009522AE" w:rsidRPr="00D0712C">
        <w:rPr>
          <w:rFonts w:ascii="Arial" w:hAnsi="Arial" w:cs="Arial"/>
          <w:sz w:val="24"/>
          <w:szCs w:val="24"/>
        </w:rPr>
        <w:t>w to fill out the Video Analysis P</w:t>
      </w:r>
      <w:r w:rsidRPr="00D0712C">
        <w:rPr>
          <w:rFonts w:ascii="Arial" w:hAnsi="Arial" w:cs="Arial"/>
          <w:sz w:val="24"/>
          <w:szCs w:val="24"/>
        </w:rPr>
        <w:t>roforma</w:t>
      </w:r>
      <w:r w:rsidR="00E356DB" w:rsidRPr="00D0712C">
        <w:rPr>
          <w:rFonts w:ascii="Arial" w:hAnsi="Arial" w:cs="Arial"/>
          <w:caps/>
          <w:sz w:val="24"/>
          <w:szCs w:val="24"/>
        </w:rPr>
        <w:t>.</w:t>
      </w:r>
    </w:p>
    <w:p w:rsidR="001878FB" w:rsidRPr="00D0712C" w:rsidRDefault="00CE0548" w:rsidP="00E356DB">
      <w:pPr>
        <w:pStyle w:val="ListParagraph"/>
        <w:numPr>
          <w:ilvl w:val="0"/>
          <w:numId w:val="10"/>
        </w:numPr>
        <w:rPr>
          <w:rFonts w:ascii="Arial" w:hAnsi="Arial" w:cs="Arial"/>
          <w:sz w:val="24"/>
          <w:szCs w:val="24"/>
        </w:rPr>
      </w:pPr>
      <w:r w:rsidRPr="00CE0548">
        <w:rPr>
          <w:rFonts w:ascii="Arial" w:hAnsi="Arial" w:cs="Arial"/>
          <w:b/>
          <w:sz w:val="24"/>
          <w:szCs w:val="24"/>
        </w:rPr>
        <w:t>SURVEY NAME</w:t>
      </w:r>
      <w:r w:rsidRPr="00CE0548">
        <w:rPr>
          <w:rFonts w:ascii="Arial" w:hAnsi="Arial" w:cs="Arial"/>
          <w:sz w:val="24"/>
          <w:szCs w:val="24"/>
        </w:rPr>
        <w:t>: Enter the name of the rMCZ and the year of the survey</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Station code</w:t>
      </w:r>
      <w:r w:rsidRPr="00CE0548">
        <w:rPr>
          <w:rFonts w:ascii="Arial" w:hAnsi="Arial" w:cs="Arial"/>
          <w:sz w:val="24"/>
          <w:szCs w:val="24"/>
        </w:rPr>
        <w:t>: Enter the station code for the video being analysed</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Date</w:t>
      </w:r>
      <w:r w:rsidRPr="00CE0548">
        <w:rPr>
          <w:rFonts w:ascii="Arial" w:hAnsi="Arial" w:cs="Arial"/>
          <w:sz w:val="24"/>
          <w:szCs w:val="24"/>
        </w:rPr>
        <w:t>: Enter the date the video was taken</w:t>
      </w:r>
    </w:p>
    <w:p w:rsidR="00E54617" w:rsidRPr="00D0712C" w:rsidRDefault="00CE0548" w:rsidP="00E54617">
      <w:pPr>
        <w:pStyle w:val="ListParagraph"/>
        <w:numPr>
          <w:ilvl w:val="0"/>
          <w:numId w:val="7"/>
        </w:numPr>
        <w:rPr>
          <w:rFonts w:ascii="Arial" w:hAnsi="Arial" w:cs="Arial"/>
          <w:b/>
          <w:sz w:val="24"/>
          <w:szCs w:val="24"/>
        </w:rPr>
      </w:pPr>
      <w:r w:rsidRPr="00CE0548">
        <w:rPr>
          <w:rFonts w:ascii="Arial" w:hAnsi="Arial" w:cs="Arial"/>
          <w:b/>
          <w:sz w:val="24"/>
          <w:szCs w:val="24"/>
        </w:rPr>
        <w:t>Video Sample Ref</w:t>
      </w:r>
      <w:r w:rsidRPr="00CE0548">
        <w:rPr>
          <w:rFonts w:ascii="Arial" w:hAnsi="Arial" w:cs="Arial"/>
          <w:sz w:val="24"/>
          <w:szCs w:val="24"/>
        </w:rPr>
        <w:t>: This should be the station code along with the segment number. E.g. if the video is separated into 3 segments due to change in substrate type or biological community (communities identifiable by different biotope codes) the first sample ref would be StnCode_S1 (subsequent segments would be StnCode_S2, StnCode_S3 etc.). If, for example, the first and third segments contain the same habitat they should still be labelled _S1 and _S3 and not both labelled _S1. See example on the video analysis proforma.</w:t>
      </w:r>
    </w:p>
    <w:p w:rsidR="001878FB" w:rsidRPr="00D0712C" w:rsidRDefault="00CE0548" w:rsidP="009E3D78">
      <w:pPr>
        <w:pStyle w:val="ListParagraph"/>
        <w:numPr>
          <w:ilvl w:val="0"/>
          <w:numId w:val="7"/>
        </w:numPr>
        <w:rPr>
          <w:rFonts w:ascii="Arial" w:hAnsi="Arial" w:cs="Arial"/>
          <w:b/>
          <w:sz w:val="24"/>
          <w:szCs w:val="24"/>
        </w:rPr>
      </w:pPr>
      <w:r w:rsidRPr="00CE0548">
        <w:rPr>
          <w:rFonts w:ascii="Arial" w:hAnsi="Arial" w:cs="Arial"/>
          <w:b/>
          <w:sz w:val="24"/>
          <w:szCs w:val="24"/>
        </w:rPr>
        <w:t>BriefHabitatDescription</w:t>
      </w:r>
      <w:r w:rsidRPr="00CE0548">
        <w:rPr>
          <w:rFonts w:ascii="Arial" w:hAnsi="Arial" w:cs="Arial"/>
          <w:sz w:val="24"/>
          <w:szCs w:val="24"/>
        </w:rPr>
        <w:t>: Give a brief description of the physical and biological features visible in the appropriate video segment</w:t>
      </w:r>
      <w:r w:rsidR="009E3D78" w:rsidRPr="009E3D78">
        <w:t xml:space="preserve"> </w:t>
      </w:r>
      <w:r w:rsidR="009E3D78">
        <w:rPr>
          <w:rFonts w:ascii="Arial" w:hAnsi="Arial" w:cs="Arial"/>
          <w:sz w:val="24"/>
          <w:szCs w:val="24"/>
        </w:rPr>
        <w:t>i</w:t>
      </w:r>
      <w:r w:rsidR="009E3D78" w:rsidRPr="009E3D78">
        <w:rPr>
          <w:rFonts w:ascii="Arial" w:hAnsi="Arial" w:cs="Arial"/>
          <w:sz w:val="24"/>
          <w:szCs w:val="24"/>
        </w:rPr>
        <w:t>ncluding surface relief, overhangs, crevices and fissures for rock habitats</w:t>
      </w:r>
      <w:r w:rsidR="009E3D78">
        <w:rPr>
          <w:rFonts w:ascii="Arial" w:hAnsi="Arial" w:cs="Arial"/>
          <w:sz w:val="24"/>
          <w:szCs w:val="24"/>
        </w:rPr>
        <w: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Method</w:t>
      </w:r>
      <w:r w:rsidRPr="00CE0548">
        <w:rPr>
          <w:rFonts w:ascii="Arial" w:hAnsi="Arial" w:cs="Arial"/>
          <w:sz w:val="24"/>
          <w:szCs w:val="24"/>
        </w:rPr>
        <w:t>: Enter drop camera or camera sledge depending on the gear used from drop-down menu</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StartTime</w:t>
      </w:r>
      <w:r w:rsidRPr="00CE0548">
        <w:rPr>
          <w:rFonts w:ascii="Arial" w:hAnsi="Arial" w:cs="Arial"/>
          <w:sz w:val="24"/>
          <w:szCs w:val="24"/>
        </w:rPr>
        <w:t>: This should be taken from video overlay at the start of the segment.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EndTime</w:t>
      </w:r>
      <w:r w:rsidRPr="00CE0548">
        <w:rPr>
          <w:rFonts w:ascii="Arial" w:hAnsi="Arial" w:cs="Arial"/>
          <w:sz w:val="24"/>
          <w:szCs w:val="24"/>
        </w:rPr>
        <w:t>: This should be taken from video overlay at the end of the segment.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Duration</w:t>
      </w:r>
      <w:r w:rsidRPr="00CE0548">
        <w:rPr>
          <w:rFonts w:ascii="Arial" w:hAnsi="Arial" w:cs="Arial"/>
          <w:sz w:val="24"/>
          <w:szCs w:val="24"/>
        </w:rPr>
        <w:t xml:space="preserve">: This should automatically calculate when the two above rows are filled in. </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SurveyRunBy</w:t>
      </w:r>
      <w:r w:rsidRPr="00CE0548">
        <w:rPr>
          <w:rFonts w:ascii="Arial" w:hAnsi="Arial" w:cs="Arial"/>
          <w:sz w:val="24"/>
          <w:szCs w:val="24"/>
        </w:rPr>
        <w:t>: Enter the name of the company that undertook the survey (e.g. Cefas, EA etc)</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 – Latitude</w:t>
      </w:r>
      <w:r w:rsidRPr="00CE0548">
        <w:rPr>
          <w:rFonts w:ascii="Arial" w:hAnsi="Arial" w:cs="Arial"/>
          <w:sz w:val="24"/>
          <w:szCs w:val="24"/>
        </w:rPr>
        <w:t>: Enter the start latitude for the video segment. This should be taken preferentially from the nearest still position or video overlay (converted from degrees and decimal minutes to decimal degrees) if no still position available.</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Start – Longitude</w:t>
      </w:r>
      <w:r w:rsidRPr="00CE0548">
        <w:rPr>
          <w:rFonts w:ascii="Arial" w:hAnsi="Arial" w:cs="Arial"/>
          <w:sz w:val="24"/>
          <w:szCs w:val="24"/>
        </w:rPr>
        <w:t>: Enter the start Longitude for the video segment. This should be taken preferentially from the nearest still position or video overlay (converted from degrees and decimal minutes to decimal degrees) if no still position available. Note that longitudes west of the meridian are negative, e.g. -1.00 for 1° 00’ W.</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 - Latitude</w:t>
      </w:r>
      <w:r w:rsidRPr="00CE0548">
        <w:rPr>
          <w:rFonts w:ascii="Arial" w:hAnsi="Arial" w:cs="Arial"/>
          <w:sz w:val="24"/>
          <w:szCs w:val="24"/>
        </w:rPr>
        <w:t>: Enter the end latitude for the video segment. This should be taken preferentially from the nearest still position or video overlay (converted from degrees and decimal minutes to decimal degrees) if no still position available.</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End - Longitude</w:t>
      </w:r>
      <w:r w:rsidRPr="00CE0548">
        <w:rPr>
          <w:rFonts w:ascii="Arial" w:hAnsi="Arial" w:cs="Arial"/>
          <w:sz w:val="24"/>
          <w:szCs w:val="24"/>
        </w:rPr>
        <w:t xml:space="preserve">: Enter the end Longitude for the video segment. This should be taken preferentially from the nearest still position or video overlay </w:t>
      </w:r>
      <w:r w:rsidRPr="00CE0548">
        <w:rPr>
          <w:rFonts w:ascii="Arial" w:hAnsi="Arial" w:cs="Arial"/>
          <w:sz w:val="24"/>
          <w:szCs w:val="24"/>
        </w:rPr>
        <w:lastRenderedPageBreak/>
        <w:t>(converted from degrees and decimal minutes to decimal degrees) if no still position available. Note that longitudes west of the meridian are negative, e.g. -1.00 for 1° 00’ W.</w:t>
      </w:r>
    </w:p>
    <w:p w:rsidR="006C6703" w:rsidRPr="006C6703" w:rsidRDefault="00CE0548" w:rsidP="006C6703">
      <w:pPr>
        <w:pStyle w:val="ListParagraph"/>
        <w:numPr>
          <w:ilvl w:val="0"/>
          <w:numId w:val="7"/>
        </w:numPr>
        <w:rPr>
          <w:rFonts w:ascii="Arial" w:hAnsi="Arial" w:cs="Arial"/>
          <w:b/>
          <w:sz w:val="24"/>
          <w:szCs w:val="24"/>
        </w:rPr>
      </w:pPr>
      <w:r w:rsidRPr="00CE0548">
        <w:rPr>
          <w:rFonts w:ascii="Arial" w:hAnsi="Arial" w:cs="Arial"/>
          <w:b/>
          <w:sz w:val="24"/>
          <w:szCs w:val="24"/>
        </w:rPr>
        <w:t>SeaLevelUpper</w:t>
      </w:r>
      <w:r w:rsidRPr="00CE0548">
        <w:rPr>
          <w:rFonts w:ascii="Arial" w:hAnsi="Arial" w:cs="Arial"/>
          <w:sz w:val="24"/>
          <w:szCs w:val="24"/>
        </w:rPr>
        <w:t xml:space="preserve">: Enter upper depth </w:t>
      </w:r>
      <w:r w:rsidR="006C6703">
        <w:rPr>
          <w:rFonts w:ascii="Arial" w:hAnsi="Arial" w:cs="Arial"/>
          <w:sz w:val="24"/>
          <w:szCs w:val="24"/>
        </w:rPr>
        <w:t>taken from spreadsheet provided</w:t>
      </w:r>
    </w:p>
    <w:p w:rsidR="001878FB" w:rsidRPr="008C3DF2"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SeaLevelLower</w:t>
      </w:r>
      <w:r w:rsidRPr="00CE0548">
        <w:rPr>
          <w:rFonts w:ascii="Arial" w:hAnsi="Arial" w:cs="Arial"/>
          <w:sz w:val="24"/>
          <w:szCs w:val="24"/>
        </w:rPr>
        <w:t xml:space="preserve">: Enter lower depth </w:t>
      </w:r>
      <w:r w:rsidR="006C6703">
        <w:rPr>
          <w:rFonts w:ascii="Arial" w:hAnsi="Arial" w:cs="Arial"/>
          <w:sz w:val="24"/>
          <w:szCs w:val="24"/>
        </w:rPr>
        <w:t>taken from spreadsheet provided</w:t>
      </w:r>
    </w:p>
    <w:p w:rsidR="008C3DF2" w:rsidRPr="00D0712C" w:rsidRDefault="008C3DF2" w:rsidP="00B068E9">
      <w:pPr>
        <w:pStyle w:val="ListParagraph"/>
        <w:numPr>
          <w:ilvl w:val="0"/>
          <w:numId w:val="7"/>
        </w:numPr>
        <w:rPr>
          <w:rFonts w:ascii="Arial" w:hAnsi="Arial" w:cs="Arial"/>
          <w:b/>
          <w:sz w:val="24"/>
          <w:szCs w:val="24"/>
        </w:rPr>
      </w:pPr>
      <w:r>
        <w:rPr>
          <w:rFonts w:ascii="Arial" w:hAnsi="Arial" w:cs="Arial"/>
          <w:b/>
          <w:sz w:val="24"/>
          <w:szCs w:val="24"/>
        </w:rPr>
        <w:t>Area covered (m</w:t>
      </w:r>
      <w:r w:rsidRPr="008C3DF2">
        <w:rPr>
          <w:rFonts w:ascii="Arial" w:hAnsi="Arial" w:cs="Arial"/>
          <w:b/>
          <w:sz w:val="24"/>
          <w:szCs w:val="24"/>
          <w:vertAlign w:val="superscript"/>
        </w:rPr>
        <w:t>2</w:t>
      </w:r>
      <w:r>
        <w:rPr>
          <w:rFonts w:ascii="Arial" w:hAnsi="Arial" w:cs="Arial"/>
          <w:b/>
          <w:sz w:val="24"/>
          <w:szCs w:val="24"/>
        </w:rPr>
        <w:t xml:space="preserve">): </w:t>
      </w:r>
      <w:r>
        <w:rPr>
          <w:rFonts w:ascii="Arial" w:hAnsi="Arial" w:cs="Arial"/>
          <w:sz w:val="24"/>
          <w:szCs w:val="24"/>
        </w:rPr>
        <w:t>Enter the approximate area covered by the video segment. This can be done by multiplying the length of the segment by the width (calculated using the laser scalers). For drop cameras, use the approximate average width of the tow.</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Substratum%</w:t>
      </w:r>
      <w:r w:rsidRPr="00CE0548">
        <w:rPr>
          <w:rFonts w:ascii="Arial" w:hAnsi="Arial" w:cs="Arial"/>
          <w:sz w:val="24"/>
          <w:szCs w:val="24"/>
        </w:rPr>
        <w:t>: Under this section enter the % of each observed substrate. Make sure that when combined they add to 100%.</w:t>
      </w:r>
    </w:p>
    <w:p w:rsidR="00BF0ACC" w:rsidRPr="00D0712C" w:rsidRDefault="00CE0548" w:rsidP="00BF0ACC">
      <w:pPr>
        <w:pStyle w:val="ListParagraph"/>
        <w:numPr>
          <w:ilvl w:val="0"/>
          <w:numId w:val="7"/>
        </w:numPr>
        <w:rPr>
          <w:rFonts w:ascii="Arial" w:hAnsi="Arial" w:cs="Arial"/>
          <w:b/>
          <w:sz w:val="24"/>
          <w:szCs w:val="24"/>
        </w:rPr>
      </w:pPr>
      <w:r w:rsidRPr="00CE0548">
        <w:rPr>
          <w:rFonts w:ascii="Arial" w:hAnsi="Arial" w:cs="Arial"/>
          <w:b/>
          <w:sz w:val="24"/>
          <w:szCs w:val="24"/>
        </w:rPr>
        <w:t>Broadscale Habitat</w:t>
      </w:r>
      <w:r w:rsidRPr="00CE0548">
        <w:rPr>
          <w:rFonts w:ascii="Arial" w:hAnsi="Arial" w:cs="Arial"/>
          <w:sz w:val="24"/>
          <w:szCs w:val="24"/>
        </w:rPr>
        <w:t>: Enter the relevant broadscale habitat from the drop-down menu for each segment. For sediments, use the modified Folk trigon in Annex 2 to differentiate between Coarse Sediment, Sand, Mud, Mixed Sediment. Note that a mixture of sand and gravel (incl. granules, pebbles and unstable cobbles) is to be classified as Coarse Sediment in the absence of significant amounts of mud.</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Habitat FOCI</w:t>
      </w:r>
      <w:r w:rsidRPr="00CE0548">
        <w:rPr>
          <w:rFonts w:ascii="Arial" w:hAnsi="Arial" w:cs="Arial"/>
          <w:sz w:val="24"/>
          <w:szCs w:val="24"/>
        </w:rPr>
        <w:t>: Enter a Habitat FOCI from the drop-down menu for each segment if relevant (MCZ Only).</w:t>
      </w:r>
    </w:p>
    <w:p w:rsidR="00836608"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 xml:space="preserve">Annex 1 Habitats: </w:t>
      </w:r>
      <w:r w:rsidRPr="00CE0548">
        <w:rPr>
          <w:rFonts w:ascii="Arial" w:hAnsi="Arial" w:cs="Arial"/>
          <w:sz w:val="24"/>
          <w:szCs w:val="24"/>
        </w:rPr>
        <w:t>Enter an Annex 1 habitat from the drop-down menu for each segment if relevant (SAC Only).</w:t>
      </w:r>
    </w:p>
    <w:p w:rsidR="00291C82"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 xml:space="preserve">Scottish MPA Search Features: </w:t>
      </w:r>
      <w:r w:rsidRPr="00CE0548">
        <w:rPr>
          <w:rFonts w:ascii="Arial" w:hAnsi="Arial" w:cs="Arial"/>
          <w:sz w:val="24"/>
          <w:szCs w:val="24"/>
        </w:rPr>
        <w:t>Enter a SMPA search feature from the drop-down menu for each segment if relevant (SMPA Only).</w:t>
      </w:r>
    </w:p>
    <w:p w:rsidR="001878FB" w:rsidRPr="00D0712C" w:rsidRDefault="00CE0548" w:rsidP="00CB4508">
      <w:pPr>
        <w:pStyle w:val="ListParagraph"/>
        <w:numPr>
          <w:ilvl w:val="0"/>
          <w:numId w:val="7"/>
        </w:numPr>
        <w:rPr>
          <w:rFonts w:ascii="Arial" w:hAnsi="Arial" w:cs="Arial"/>
          <w:b/>
          <w:sz w:val="24"/>
          <w:szCs w:val="24"/>
        </w:rPr>
      </w:pPr>
      <w:r w:rsidRPr="00CE0548">
        <w:rPr>
          <w:rFonts w:ascii="Arial" w:hAnsi="Arial" w:cs="Arial"/>
          <w:b/>
          <w:sz w:val="24"/>
          <w:szCs w:val="24"/>
        </w:rPr>
        <w:t>EUNIS code</w:t>
      </w:r>
      <w:r w:rsidRPr="00CE0548">
        <w:rPr>
          <w:rFonts w:ascii="Arial" w:hAnsi="Arial" w:cs="Arial"/>
          <w:sz w:val="24"/>
          <w:szCs w:val="24"/>
        </w:rPr>
        <w:t>: If enough information on depth (biological zone), vegetation, faunal composition or energy (for rock biotopes) is available then use this space to allocate a higher level biotope code.</w:t>
      </w:r>
      <w:r w:rsidR="00CB4508">
        <w:rPr>
          <w:rFonts w:ascii="Arial" w:hAnsi="Arial" w:cs="Arial"/>
          <w:sz w:val="24"/>
          <w:szCs w:val="24"/>
        </w:rPr>
        <w:t xml:space="preserve"> </w:t>
      </w:r>
      <w:r w:rsidR="00CB4508" w:rsidRPr="00CB4508">
        <w:rPr>
          <w:rFonts w:ascii="Arial" w:hAnsi="Arial" w:cs="Arial"/>
          <w:sz w:val="24"/>
          <w:szCs w:val="24"/>
        </w:rPr>
        <w:t>Some sections of video may show the habitat more clearly</w:t>
      </w:r>
      <w:r w:rsidR="00CB4508">
        <w:rPr>
          <w:rFonts w:ascii="Arial" w:hAnsi="Arial" w:cs="Arial"/>
          <w:sz w:val="24"/>
          <w:szCs w:val="24"/>
        </w:rPr>
        <w:t>; if this is the case use the spaces in the proforma to allocate separate codes.</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MNCR code</w:t>
      </w:r>
      <w:r w:rsidRPr="00CE0548">
        <w:rPr>
          <w:rFonts w:ascii="Arial" w:hAnsi="Arial" w:cs="Arial"/>
          <w:sz w:val="24"/>
          <w:szCs w:val="24"/>
        </w:rPr>
        <w:t>: As above</w:t>
      </w:r>
    </w:p>
    <w:p w:rsidR="001878FB" w:rsidRPr="00D0712C" w:rsidRDefault="00CE0548" w:rsidP="001B7105">
      <w:pPr>
        <w:pStyle w:val="ListParagraph"/>
        <w:numPr>
          <w:ilvl w:val="0"/>
          <w:numId w:val="7"/>
        </w:numPr>
        <w:rPr>
          <w:rFonts w:ascii="Arial" w:hAnsi="Arial" w:cs="Arial"/>
          <w:b/>
          <w:sz w:val="24"/>
          <w:szCs w:val="24"/>
        </w:rPr>
      </w:pPr>
      <w:r w:rsidRPr="00CE0548">
        <w:rPr>
          <w:rFonts w:ascii="Arial" w:hAnsi="Arial" w:cs="Arial"/>
          <w:b/>
          <w:sz w:val="24"/>
          <w:szCs w:val="24"/>
        </w:rPr>
        <w:t>Classification</w:t>
      </w:r>
      <w:r w:rsidRPr="00CE0548">
        <w:rPr>
          <w:rFonts w:ascii="Arial" w:hAnsi="Arial" w:cs="Arial"/>
          <w:sz w:val="24"/>
          <w:szCs w:val="24"/>
        </w:rPr>
        <w:t>: Exact copy of MNCR descriptor.</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DeterminedBy</w:t>
      </w:r>
      <w:r w:rsidRPr="00CE0548">
        <w:rPr>
          <w:rFonts w:ascii="Arial" w:hAnsi="Arial" w:cs="Arial"/>
          <w:sz w:val="24"/>
          <w:szCs w:val="24"/>
        </w:rPr>
        <w:t>: Name of analyst for this video segment</w:t>
      </w:r>
    </w:p>
    <w:p w:rsidR="001878FB" w:rsidRPr="00D0712C"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Visual quality of sample</w:t>
      </w:r>
      <w:r w:rsidRPr="00CE0548">
        <w:rPr>
          <w:rFonts w:ascii="Arial" w:hAnsi="Arial" w:cs="Arial"/>
          <w:sz w:val="24"/>
          <w:szCs w:val="24"/>
        </w:rPr>
        <w:t xml:space="preserve">: E.g. </w:t>
      </w:r>
      <w:r w:rsidR="00B81D38">
        <w:rPr>
          <w:rFonts w:ascii="Arial" w:hAnsi="Arial" w:cs="Arial"/>
          <w:sz w:val="24"/>
          <w:szCs w:val="24"/>
        </w:rPr>
        <w:t xml:space="preserve">Excellent, </w:t>
      </w:r>
      <w:r w:rsidRPr="00CE0548">
        <w:rPr>
          <w:rFonts w:ascii="Arial" w:hAnsi="Arial" w:cs="Arial"/>
          <w:sz w:val="24"/>
          <w:szCs w:val="24"/>
        </w:rPr>
        <w:t>Good, adequate, poor</w:t>
      </w:r>
      <w:r w:rsidR="00B81D38">
        <w:rPr>
          <w:rFonts w:ascii="Arial" w:hAnsi="Arial" w:cs="Arial"/>
          <w:sz w:val="24"/>
          <w:szCs w:val="24"/>
        </w:rPr>
        <w:t xml:space="preserve"> etc. </w:t>
      </w:r>
    </w:p>
    <w:p w:rsidR="001878FB" w:rsidRPr="00584E40" w:rsidRDefault="00CE0548" w:rsidP="00B068E9">
      <w:pPr>
        <w:pStyle w:val="ListParagraph"/>
        <w:numPr>
          <w:ilvl w:val="0"/>
          <w:numId w:val="7"/>
        </w:numPr>
        <w:rPr>
          <w:rFonts w:ascii="Arial" w:hAnsi="Arial" w:cs="Arial"/>
          <w:b/>
          <w:sz w:val="24"/>
          <w:szCs w:val="24"/>
        </w:rPr>
      </w:pPr>
      <w:r w:rsidRPr="00CE0548">
        <w:rPr>
          <w:rFonts w:ascii="Arial" w:hAnsi="Arial" w:cs="Arial"/>
          <w:b/>
          <w:sz w:val="24"/>
          <w:szCs w:val="24"/>
        </w:rPr>
        <w:t>COMMENTS</w:t>
      </w:r>
      <w:r w:rsidRPr="00CE0548">
        <w:rPr>
          <w:rFonts w:ascii="Arial" w:hAnsi="Arial" w:cs="Arial"/>
          <w:sz w:val="24"/>
          <w:szCs w:val="24"/>
        </w:rPr>
        <w:t>: Any other information or comments about the video segment should be entered here. Especially any evidence of human activities seen on the video tow.</w:t>
      </w:r>
    </w:p>
    <w:p w:rsidR="00584E40" w:rsidRPr="00D0712C" w:rsidRDefault="00584E40" w:rsidP="00B068E9">
      <w:pPr>
        <w:pStyle w:val="ListParagraph"/>
        <w:numPr>
          <w:ilvl w:val="0"/>
          <w:numId w:val="7"/>
        </w:numPr>
        <w:rPr>
          <w:rFonts w:ascii="Arial" w:hAnsi="Arial" w:cs="Arial"/>
          <w:b/>
          <w:sz w:val="24"/>
          <w:szCs w:val="24"/>
        </w:rPr>
      </w:pPr>
      <w:r>
        <w:rPr>
          <w:rFonts w:ascii="Arial" w:hAnsi="Arial" w:cs="Arial"/>
          <w:b/>
          <w:sz w:val="24"/>
          <w:szCs w:val="24"/>
        </w:rPr>
        <w:t>Litter:</w:t>
      </w:r>
      <w:r>
        <w:rPr>
          <w:rFonts w:ascii="Arial" w:hAnsi="Arial" w:cs="Arial"/>
          <w:sz w:val="24"/>
          <w:szCs w:val="24"/>
        </w:rPr>
        <w:t xml:space="preserve"> Note any litter seen within the video segment</w:t>
      </w:r>
    </w:p>
    <w:p w:rsidR="007F4919" w:rsidRPr="00D0712C" w:rsidRDefault="00CE0548" w:rsidP="00B068E9">
      <w:pPr>
        <w:pStyle w:val="ListParagraph"/>
        <w:numPr>
          <w:ilvl w:val="0"/>
          <w:numId w:val="7"/>
        </w:numPr>
        <w:rPr>
          <w:rFonts w:ascii="Arial" w:hAnsi="Arial" w:cs="Arial"/>
          <w:sz w:val="24"/>
          <w:szCs w:val="24"/>
        </w:rPr>
      </w:pPr>
      <w:r w:rsidRPr="00CE0548">
        <w:rPr>
          <w:rFonts w:ascii="Arial" w:hAnsi="Arial" w:cs="Arial"/>
          <w:b/>
          <w:sz w:val="24"/>
          <w:szCs w:val="24"/>
        </w:rPr>
        <w:t>COMPLETED BY</w:t>
      </w:r>
      <w:r w:rsidRPr="00CE0548">
        <w:rPr>
          <w:rFonts w:ascii="Arial" w:hAnsi="Arial" w:cs="Arial"/>
          <w:sz w:val="24"/>
          <w:szCs w:val="24"/>
        </w:rPr>
        <w:t>: Name of person who completed the spreadsheet</w:t>
      </w:r>
    </w:p>
    <w:p w:rsidR="007F4919" w:rsidRPr="00D0712C" w:rsidRDefault="00CE0548">
      <w:pPr>
        <w:rPr>
          <w:rFonts w:ascii="Arial" w:hAnsi="Arial" w:cs="Arial"/>
          <w:sz w:val="24"/>
          <w:szCs w:val="24"/>
        </w:rPr>
      </w:pPr>
      <w:r w:rsidRPr="00CE0548">
        <w:rPr>
          <w:rFonts w:ascii="Arial" w:hAnsi="Arial" w:cs="Arial"/>
          <w:sz w:val="24"/>
          <w:szCs w:val="24"/>
        </w:rPr>
        <w:br w:type="page"/>
      </w:r>
    </w:p>
    <w:p w:rsidR="00D60DB0" w:rsidRPr="004C1375" w:rsidRDefault="00CE0548" w:rsidP="00847892">
      <w:pPr>
        <w:pStyle w:val="HeadingNolevel"/>
        <w:outlineLvl w:val="0"/>
      </w:pPr>
      <w:r w:rsidRPr="004C1375">
        <w:lastRenderedPageBreak/>
        <w:t>Stills Analysis Proforma</w:t>
      </w:r>
    </w:p>
    <w:p w:rsidR="00E356DB" w:rsidRPr="00D0712C" w:rsidRDefault="00E356DB" w:rsidP="00E356DB">
      <w:pPr>
        <w:rPr>
          <w:rFonts w:ascii="Arial" w:hAnsi="Arial" w:cs="Arial"/>
          <w:sz w:val="24"/>
          <w:szCs w:val="24"/>
        </w:rPr>
      </w:pPr>
      <w:r w:rsidRPr="00D0712C">
        <w:rPr>
          <w:rFonts w:ascii="Arial" w:hAnsi="Arial" w:cs="Arial"/>
          <w:sz w:val="24"/>
          <w:szCs w:val="24"/>
        </w:rPr>
        <w:t>The following is a detailed description of how to fill out the Stills Analysis P</w:t>
      </w:r>
      <w:r w:rsidR="001E5541" w:rsidRPr="00D0712C">
        <w:rPr>
          <w:rFonts w:ascii="Arial" w:hAnsi="Arial" w:cs="Arial"/>
          <w:sz w:val="24"/>
          <w:szCs w:val="24"/>
        </w:rPr>
        <w:t>roforma. The results for the stills analysis for each station</w:t>
      </w:r>
      <w:r w:rsidR="00CE0548" w:rsidRPr="00CE0548">
        <w:rPr>
          <w:rFonts w:ascii="Arial" w:hAnsi="Arial" w:cs="Arial"/>
          <w:sz w:val="24"/>
          <w:szCs w:val="24"/>
        </w:rPr>
        <w:t xml:space="preserve"> should be entered in separate tabs in the proforma.</w:t>
      </w:r>
    </w:p>
    <w:p w:rsidR="00FC6DC0" w:rsidRPr="00D0712C" w:rsidRDefault="00CE0548" w:rsidP="00FC6DC0">
      <w:pPr>
        <w:pStyle w:val="ListParagraph"/>
        <w:numPr>
          <w:ilvl w:val="0"/>
          <w:numId w:val="9"/>
        </w:numPr>
        <w:rPr>
          <w:rFonts w:ascii="Arial" w:hAnsi="Arial" w:cs="Arial"/>
          <w:sz w:val="24"/>
          <w:szCs w:val="24"/>
        </w:rPr>
      </w:pPr>
      <w:r w:rsidRPr="00CE0548">
        <w:rPr>
          <w:rFonts w:ascii="Arial" w:hAnsi="Arial" w:cs="Arial"/>
          <w:b/>
          <w:sz w:val="24"/>
          <w:szCs w:val="24"/>
        </w:rPr>
        <w:t>SURVEY NAME</w:t>
      </w:r>
      <w:r w:rsidRPr="00CE0548">
        <w:rPr>
          <w:rFonts w:ascii="Arial" w:hAnsi="Arial" w:cs="Arial"/>
          <w:sz w:val="24"/>
          <w:szCs w:val="24"/>
        </w:rPr>
        <w:t>: Enter the name of the rMCZ and the year of the survey</w:t>
      </w:r>
    </w:p>
    <w:p w:rsidR="00FC6DC0" w:rsidRPr="00D0712C" w:rsidRDefault="00CE0548" w:rsidP="00FC6DC0">
      <w:pPr>
        <w:pStyle w:val="ListParagraph"/>
        <w:numPr>
          <w:ilvl w:val="0"/>
          <w:numId w:val="9"/>
        </w:numPr>
        <w:rPr>
          <w:rFonts w:ascii="Arial" w:hAnsi="Arial" w:cs="Arial"/>
          <w:b/>
          <w:sz w:val="24"/>
          <w:szCs w:val="24"/>
        </w:rPr>
      </w:pPr>
      <w:r w:rsidRPr="00CE0548">
        <w:rPr>
          <w:rFonts w:ascii="Arial" w:hAnsi="Arial" w:cs="Arial"/>
          <w:b/>
          <w:sz w:val="24"/>
          <w:szCs w:val="24"/>
        </w:rPr>
        <w:t>Station code</w:t>
      </w:r>
      <w:r w:rsidRPr="00CE0548">
        <w:rPr>
          <w:rFonts w:ascii="Arial" w:hAnsi="Arial" w:cs="Arial"/>
          <w:sz w:val="24"/>
          <w:szCs w:val="24"/>
        </w:rPr>
        <w:t xml:space="preserve">: Enter the ‘parent’ / ‘segment’ code for the still being analysed. E.g. StnCode_S1 </w:t>
      </w:r>
    </w:p>
    <w:p w:rsidR="00FC6DC0" w:rsidRPr="00D0712C" w:rsidRDefault="00CE0548" w:rsidP="00FC6DC0">
      <w:pPr>
        <w:pStyle w:val="ListParagraph"/>
        <w:numPr>
          <w:ilvl w:val="0"/>
          <w:numId w:val="9"/>
        </w:numPr>
        <w:rPr>
          <w:rFonts w:ascii="Arial" w:hAnsi="Arial" w:cs="Arial"/>
          <w:b/>
          <w:sz w:val="24"/>
          <w:szCs w:val="24"/>
        </w:rPr>
      </w:pPr>
      <w:r w:rsidRPr="00CE0548">
        <w:rPr>
          <w:rFonts w:ascii="Arial" w:hAnsi="Arial" w:cs="Arial"/>
          <w:b/>
          <w:sz w:val="24"/>
          <w:szCs w:val="24"/>
        </w:rPr>
        <w:t>Date</w:t>
      </w:r>
      <w:r w:rsidRPr="00CE0548">
        <w:rPr>
          <w:rFonts w:ascii="Arial" w:hAnsi="Arial" w:cs="Arial"/>
          <w:sz w:val="24"/>
          <w:szCs w:val="24"/>
        </w:rPr>
        <w:t>: Enter the date the still was taken</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Still Sample Ref</w:t>
      </w:r>
      <w:r w:rsidRPr="00CE0548">
        <w:rPr>
          <w:rFonts w:ascii="Arial" w:hAnsi="Arial" w:cs="Arial"/>
          <w:sz w:val="24"/>
          <w:szCs w:val="24"/>
        </w:rPr>
        <w:t>: This should be the same as station code with the name of the still added. E.g. StnCode_S1_Img001.</w:t>
      </w:r>
    </w:p>
    <w:p w:rsidR="00BF1E37" w:rsidRPr="00D0712C" w:rsidRDefault="00CE0548" w:rsidP="00BF1E37">
      <w:pPr>
        <w:pStyle w:val="ListParagraph"/>
        <w:numPr>
          <w:ilvl w:val="0"/>
          <w:numId w:val="7"/>
        </w:numPr>
        <w:rPr>
          <w:rFonts w:ascii="Arial" w:hAnsi="Arial" w:cs="Arial"/>
          <w:b/>
          <w:sz w:val="24"/>
          <w:szCs w:val="24"/>
        </w:rPr>
      </w:pPr>
      <w:r w:rsidRPr="00CE0548">
        <w:rPr>
          <w:rFonts w:ascii="Arial" w:hAnsi="Arial" w:cs="Arial"/>
          <w:b/>
          <w:sz w:val="24"/>
          <w:szCs w:val="24"/>
        </w:rPr>
        <w:t>BriefHabitatDescription</w:t>
      </w:r>
      <w:r w:rsidRPr="00CE0548">
        <w:rPr>
          <w:rFonts w:ascii="Arial" w:hAnsi="Arial" w:cs="Arial"/>
          <w:sz w:val="24"/>
          <w:szCs w:val="24"/>
        </w:rPr>
        <w:t>: Give a brief description of the physical and biological features visible in the still.</w:t>
      </w:r>
    </w:p>
    <w:p w:rsidR="00CA621C" w:rsidRPr="00D0712C" w:rsidRDefault="00CE0548" w:rsidP="00CA621C">
      <w:pPr>
        <w:pStyle w:val="ListParagraph"/>
        <w:numPr>
          <w:ilvl w:val="0"/>
          <w:numId w:val="7"/>
        </w:numPr>
        <w:rPr>
          <w:rFonts w:ascii="Arial" w:hAnsi="Arial" w:cs="Arial"/>
          <w:b/>
          <w:sz w:val="24"/>
          <w:szCs w:val="24"/>
        </w:rPr>
      </w:pPr>
      <w:r w:rsidRPr="00CE0548">
        <w:rPr>
          <w:rFonts w:ascii="Arial" w:hAnsi="Arial" w:cs="Arial"/>
          <w:b/>
          <w:sz w:val="24"/>
          <w:szCs w:val="24"/>
        </w:rPr>
        <w:t>Method</w:t>
      </w:r>
      <w:r w:rsidRPr="00CE0548">
        <w:rPr>
          <w:rFonts w:ascii="Arial" w:hAnsi="Arial" w:cs="Arial"/>
          <w:sz w:val="24"/>
          <w:szCs w:val="24"/>
        </w:rPr>
        <w:t>: Enter drop camera or camera sledge depending on the gear used from drop-down menu</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Fix Time (hh:mm:ss)</w:t>
      </w:r>
      <w:r w:rsidRPr="00CE0548">
        <w:rPr>
          <w:rFonts w:ascii="Arial" w:hAnsi="Arial" w:cs="Arial"/>
          <w:sz w:val="24"/>
          <w:szCs w:val="24"/>
        </w:rPr>
        <w:t>: Enter the tim</w:t>
      </w:r>
      <w:bookmarkStart w:id="35" w:name="_GoBack"/>
      <w:bookmarkEnd w:id="35"/>
      <w:r w:rsidRPr="00CE0548">
        <w:rPr>
          <w:rFonts w:ascii="Arial" w:hAnsi="Arial" w:cs="Arial"/>
          <w:sz w:val="24"/>
          <w:szCs w:val="24"/>
        </w:rPr>
        <w:t>e the still was taken. This can either be taken from the video overlay or from metadata provided by Cefas.</w:t>
      </w:r>
    </w:p>
    <w:p w:rsidR="0093595A" w:rsidRPr="00D0712C" w:rsidRDefault="00CE0548" w:rsidP="0093595A">
      <w:pPr>
        <w:pStyle w:val="ListParagraph"/>
        <w:numPr>
          <w:ilvl w:val="0"/>
          <w:numId w:val="9"/>
        </w:numPr>
        <w:rPr>
          <w:rFonts w:ascii="Arial" w:hAnsi="Arial" w:cs="Arial"/>
          <w:b/>
          <w:sz w:val="24"/>
          <w:szCs w:val="24"/>
        </w:rPr>
      </w:pPr>
      <w:r w:rsidRPr="00CE0548">
        <w:rPr>
          <w:rFonts w:ascii="Arial" w:hAnsi="Arial" w:cs="Arial"/>
          <w:b/>
          <w:sz w:val="24"/>
          <w:szCs w:val="24"/>
        </w:rPr>
        <w:t>SurveyRunBy</w:t>
      </w:r>
      <w:r w:rsidRPr="00CE0548">
        <w:rPr>
          <w:rFonts w:ascii="Arial" w:hAnsi="Arial" w:cs="Arial"/>
          <w:sz w:val="24"/>
          <w:szCs w:val="24"/>
        </w:rPr>
        <w:t>: Enter the name of the company that undertook the survey (e.g. Cefas, EA etc)</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Latitude (DecDeg)</w:t>
      </w:r>
      <w:r w:rsidRPr="00CE0548">
        <w:rPr>
          <w:rFonts w:ascii="Arial" w:hAnsi="Arial" w:cs="Arial"/>
          <w:sz w:val="24"/>
          <w:szCs w:val="24"/>
        </w:rPr>
        <w:t xml:space="preserve">: This should be taken from metadata provided by Cefas. </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Longitude (DecDeg)</w:t>
      </w:r>
      <w:r w:rsidRPr="00CE0548">
        <w:rPr>
          <w:rFonts w:ascii="Arial" w:hAnsi="Arial" w:cs="Arial"/>
          <w:sz w:val="24"/>
          <w:szCs w:val="24"/>
        </w:rPr>
        <w:t>: This should be taken from metadata provided by Cefas. Note that longitudes west of the meridian are negative, e.g. -1.00 for 1° 00’ W</w:t>
      </w:r>
    </w:p>
    <w:p w:rsidR="00E356DB" w:rsidRPr="00147118"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SeaLevelUpper</w:t>
      </w:r>
      <w:r w:rsidRPr="00CE0548">
        <w:rPr>
          <w:rFonts w:ascii="Arial" w:hAnsi="Arial" w:cs="Arial"/>
          <w:sz w:val="24"/>
          <w:szCs w:val="24"/>
        </w:rPr>
        <w:t>: Enter the water depth</w:t>
      </w:r>
    </w:p>
    <w:p w:rsidR="00147118" w:rsidRPr="00D0712C" w:rsidRDefault="00147118" w:rsidP="00147118">
      <w:pPr>
        <w:pStyle w:val="ListParagraph"/>
        <w:numPr>
          <w:ilvl w:val="0"/>
          <w:numId w:val="9"/>
        </w:numPr>
        <w:rPr>
          <w:rFonts w:ascii="Arial" w:hAnsi="Arial" w:cs="Arial"/>
          <w:b/>
          <w:sz w:val="24"/>
          <w:szCs w:val="24"/>
        </w:rPr>
      </w:pPr>
      <w:r>
        <w:rPr>
          <w:rFonts w:ascii="Arial" w:hAnsi="Arial" w:cs="Arial"/>
          <w:b/>
          <w:sz w:val="24"/>
          <w:szCs w:val="24"/>
        </w:rPr>
        <w:t>Still surface area (m</w:t>
      </w:r>
      <w:r>
        <w:rPr>
          <w:rFonts w:ascii="Arial" w:hAnsi="Arial" w:cs="Arial"/>
          <w:b/>
          <w:sz w:val="24"/>
          <w:szCs w:val="24"/>
          <w:vertAlign w:val="superscript"/>
        </w:rPr>
        <w:t>2</w:t>
      </w:r>
      <w:r>
        <w:rPr>
          <w:rFonts w:ascii="Arial" w:hAnsi="Arial" w:cs="Arial"/>
          <w:b/>
          <w:sz w:val="24"/>
          <w:szCs w:val="24"/>
        </w:rPr>
        <w:t>)</w:t>
      </w:r>
      <w:r>
        <w:rPr>
          <w:rFonts w:ascii="Arial" w:hAnsi="Arial" w:cs="Arial"/>
          <w:sz w:val="24"/>
          <w:szCs w:val="24"/>
        </w:rPr>
        <w:t xml:space="preserve">: </w:t>
      </w:r>
      <w:r w:rsidRPr="00147118">
        <w:rPr>
          <w:rFonts w:ascii="Arial" w:hAnsi="Arial" w:cs="Arial"/>
          <w:sz w:val="24"/>
          <w:szCs w:val="24"/>
        </w:rPr>
        <w:t>Calculate the area (m</w:t>
      </w:r>
      <w:r w:rsidRPr="00682078">
        <w:rPr>
          <w:rFonts w:ascii="Arial" w:hAnsi="Arial" w:cs="Arial"/>
          <w:sz w:val="24"/>
          <w:szCs w:val="24"/>
          <w:vertAlign w:val="superscript"/>
        </w:rPr>
        <w:t>2</w:t>
      </w:r>
      <w:r w:rsidRPr="00147118">
        <w:rPr>
          <w:rFonts w:ascii="Arial" w:hAnsi="Arial" w:cs="Arial"/>
          <w:sz w:val="24"/>
          <w:szCs w:val="24"/>
        </w:rPr>
        <w:t>) of each still</w:t>
      </w:r>
      <w:r w:rsidR="004455B4">
        <w:rPr>
          <w:rFonts w:ascii="Arial" w:hAnsi="Arial" w:cs="Arial"/>
          <w:sz w:val="24"/>
          <w:szCs w:val="24"/>
        </w:rPr>
        <w:t>, where possible</w:t>
      </w:r>
      <w:r w:rsidRPr="00147118">
        <w:rPr>
          <w:rFonts w:ascii="Arial" w:hAnsi="Arial" w:cs="Arial"/>
          <w:sz w:val="24"/>
          <w:szCs w:val="24"/>
        </w:rPr>
        <w:t xml:space="preserve"> using the laser points for scale.</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Substratum%</w:t>
      </w:r>
      <w:r w:rsidRPr="00CE0548">
        <w:rPr>
          <w:rFonts w:ascii="Arial" w:hAnsi="Arial" w:cs="Arial"/>
          <w:sz w:val="24"/>
          <w:szCs w:val="24"/>
        </w:rPr>
        <w:t>: Under this section enter the % of each observed substrate. Make sure that when combined they add to 100%.</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Broadscale Habitat</w:t>
      </w:r>
      <w:r w:rsidRPr="00CE0548">
        <w:rPr>
          <w:rFonts w:ascii="Arial" w:hAnsi="Arial" w:cs="Arial"/>
          <w:sz w:val="24"/>
          <w:szCs w:val="24"/>
        </w:rPr>
        <w:t>: Enter the relevant broadscale habitat from the drop-down menu for each segment. For sediments, use the ‘Modified’ Folk trigon in Annex 2 to differentiate between Coarse Sediment, Sand, Mud, Mixed Sediment.</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Habitat FOCI</w:t>
      </w:r>
      <w:r w:rsidRPr="00CE0548">
        <w:rPr>
          <w:rFonts w:ascii="Arial" w:hAnsi="Arial" w:cs="Arial"/>
          <w:sz w:val="24"/>
          <w:szCs w:val="24"/>
        </w:rPr>
        <w:t>: Enter a Habitat FOCI from the drop-down menu for each segment if relevant (MCZ Only).</w:t>
      </w:r>
    </w:p>
    <w:p w:rsidR="00291C82" w:rsidRPr="00D0712C" w:rsidRDefault="00CE0548" w:rsidP="00291C82">
      <w:pPr>
        <w:pStyle w:val="ListParagraph"/>
        <w:numPr>
          <w:ilvl w:val="0"/>
          <w:numId w:val="9"/>
        </w:numPr>
        <w:rPr>
          <w:rFonts w:ascii="Arial" w:hAnsi="Arial" w:cs="Arial"/>
          <w:b/>
          <w:sz w:val="24"/>
          <w:szCs w:val="24"/>
        </w:rPr>
      </w:pPr>
      <w:r w:rsidRPr="00CE0548">
        <w:rPr>
          <w:rFonts w:ascii="Arial" w:hAnsi="Arial" w:cs="Arial"/>
          <w:b/>
          <w:sz w:val="24"/>
          <w:szCs w:val="24"/>
        </w:rPr>
        <w:t xml:space="preserve">Annex 1 Habitats: </w:t>
      </w:r>
      <w:r w:rsidRPr="00CE0548">
        <w:rPr>
          <w:rFonts w:ascii="Arial" w:hAnsi="Arial" w:cs="Arial"/>
          <w:sz w:val="24"/>
          <w:szCs w:val="24"/>
        </w:rPr>
        <w:t>Enter an Annex 1 habitat from the drop-down menu for each segment if relevant (SAC Only).</w:t>
      </w:r>
    </w:p>
    <w:p w:rsidR="00291C82" w:rsidRPr="00D0712C" w:rsidRDefault="00CE0548" w:rsidP="00291C82">
      <w:pPr>
        <w:pStyle w:val="ListParagraph"/>
        <w:numPr>
          <w:ilvl w:val="0"/>
          <w:numId w:val="9"/>
        </w:numPr>
        <w:rPr>
          <w:rFonts w:ascii="Arial" w:hAnsi="Arial" w:cs="Arial"/>
          <w:b/>
          <w:sz w:val="24"/>
          <w:szCs w:val="24"/>
        </w:rPr>
      </w:pPr>
      <w:r w:rsidRPr="00CE0548">
        <w:rPr>
          <w:rFonts w:ascii="Arial" w:hAnsi="Arial" w:cs="Arial"/>
          <w:b/>
          <w:sz w:val="24"/>
          <w:szCs w:val="24"/>
        </w:rPr>
        <w:t xml:space="preserve">Scottish MPA Search Features: </w:t>
      </w:r>
      <w:r w:rsidRPr="00CE0548">
        <w:rPr>
          <w:rFonts w:ascii="Arial" w:hAnsi="Arial" w:cs="Arial"/>
          <w:sz w:val="24"/>
          <w:szCs w:val="24"/>
        </w:rPr>
        <w:t>Enter a SMPA search feature from the drop-down menu for each segment if relevant (SMPA Only).</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EUNIS code</w:t>
      </w:r>
      <w:r w:rsidRPr="00CE0548">
        <w:rPr>
          <w:rFonts w:ascii="Arial" w:hAnsi="Arial" w:cs="Arial"/>
          <w:sz w:val="24"/>
          <w:szCs w:val="24"/>
        </w:rPr>
        <w:t>: This does not</w:t>
      </w:r>
      <w:r w:rsidR="005B40C5">
        <w:rPr>
          <w:rFonts w:ascii="Arial" w:hAnsi="Arial" w:cs="Arial"/>
          <w:sz w:val="24"/>
          <w:szCs w:val="24"/>
        </w:rPr>
        <w:t xml:space="preserve"> need to be the</w:t>
      </w:r>
      <w:r w:rsidRPr="00CE0548">
        <w:rPr>
          <w:rFonts w:ascii="Arial" w:hAnsi="Arial" w:cs="Arial"/>
          <w:sz w:val="24"/>
          <w:szCs w:val="24"/>
        </w:rPr>
        <w:t xml:space="preserve"> same as the parent segment</w:t>
      </w:r>
    </w:p>
    <w:p w:rsidR="00E356DB" w:rsidRPr="00D0712C" w:rsidRDefault="00CE0548" w:rsidP="00E356DB">
      <w:pPr>
        <w:pStyle w:val="ListParagraph"/>
        <w:numPr>
          <w:ilvl w:val="0"/>
          <w:numId w:val="9"/>
        </w:numPr>
        <w:rPr>
          <w:rFonts w:ascii="Arial" w:hAnsi="Arial" w:cs="Arial"/>
          <w:b/>
          <w:sz w:val="24"/>
          <w:szCs w:val="24"/>
        </w:rPr>
      </w:pPr>
      <w:r w:rsidRPr="00CE0548">
        <w:rPr>
          <w:rFonts w:ascii="Arial" w:hAnsi="Arial" w:cs="Arial"/>
          <w:b/>
          <w:sz w:val="24"/>
          <w:szCs w:val="24"/>
        </w:rPr>
        <w:t>MNCR code</w:t>
      </w:r>
      <w:r w:rsidR="005B40C5">
        <w:rPr>
          <w:rFonts w:ascii="Arial" w:hAnsi="Arial" w:cs="Arial"/>
          <w:sz w:val="24"/>
          <w:szCs w:val="24"/>
        </w:rPr>
        <w:t>: This does not need to be the</w:t>
      </w:r>
      <w:r w:rsidRPr="00CE0548">
        <w:rPr>
          <w:rFonts w:ascii="Arial" w:hAnsi="Arial" w:cs="Arial"/>
          <w:sz w:val="24"/>
          <w:szCs w:val="24"/>
        </w:rPr>
        <w:t xml:space="preserve"> same as the parent segment</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lastRenderedPageBreak/>
        <w:t>Classification</w:t>
      </w:r>
      <w:r w:rsidRPr="00CE0548">
        <w:rPr>
          <w:rFonts w:ascii="Arial" w:hAnsi="Arial" w:cs="Arial"/>
          <w:sz w:val="24"/>
          <w:szCs w:val="24"/>
        </w:rPr>
        <w:t>: Exact copy of MNCR descriptor.</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DeterminedBy</w:t>
      </w:r>
      <w:r w:rsidRPr="00CE0548">
        <w:rPr>
          <w:rFonts w:ascii="Arial" w:hAnsi="Arial" w:cs="Arial"/>
          <w:sz w:val="24"/>
          <w:szCs w:val="24"/>
        </w:rPr>
        <w:t>: Name of analyst for this video segment</w:t>
      </w:r>
    </w:p>
    <w:p w:rsidR="007822E1" w:rsidRPr="00D0712C"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Visual quality of sample</w:t>
      </w:r>
      <w:r w:rsidRPr="00CE0548">
        <w:rPr>
          <w:rFonts w:ascii="Arial" w:hAnsi="Arial" w:cs="Arial"/>
          <w:sz w:val="24"/>
          <w:szCs w:val="24"/>
        </w:rPr>
        <w:t xml:space="preserve">: </w:t>
      </w:r>
      <w:r w:rsidR="00B81D38" w:rsidRPr="00CE0548">
        <w:rPr>
          <w:rFonts w:ascii="Arial" w:hAnsi="Arial" w:cs="Arial"/>
          <w:sz w:val="24"/>
          <w:szCs w:val="24"/>
        </w:rPr>
        <w:t xml:space="preserve">E.g. </w:t>
      </w:r>
      <w:r w:rsidR="00B81D38">
        <w:rPr>
          <w:rFonts w:ascii="Arial" w:hAnsi="Arial" w:cs="Arial"/>
          <w:sz w:val="24"/>
          <w:szCs w:val="24"/>
        </w:rPr>
        <w:t xml:space="preserve">Excellent, </w:t>
      </w:r>
      <w:r w:rsidR="00B81D38" w:rsidRPr="00CE0548">
        <w:rPr>
          <w:rFonts w:ascii="Arial" w:hAnsi="Arial" w:cs="Arial"/>
          <w:sz w:val="24"/>
          <w:szCs w:val="24"/>
        </w:rPr>
        <w:t>Good, adequate, poor</w:t>
      </w:r>
      <w:r w:rsidR="00B81D38">
        <w:rPr>
          <w:rFonts w:ascii="Arial" w:hAnsi="Arial" w:cs="Arial"/>
          <w:sz w:val="24"/>
          <w:szCs w:val="24"/>
        </w:rPr>
        <w:t xml:space="preserve"> etc. </w:t>
      </w:r>
    </w:p>
    <w:p w:rsidR="007822E1" w:rsidRPr="00584E40" w:rsidRDefault="00CE0548" w:rsidP="007822E1">
      <w:pPr>
        <w:pStyle w:val="ListParagraph"/>
        <w:numPr>
          <w:ilvl w:val="0"/>
          <w:numId w:val="9"/>
        </w:numPr>
        <w:rPr>
          <w:rFonts w:ascii="Arial" w:hAnsi="Arial" w:cs="Arial"/>
          <w:b/>
          <w:sz w:val="24"/>
          <w:szCs w:val="24"/>
        </w:rPr>
      </w:pPr>
      <w:r w:rsidRPr="00CE0548">
        <w:rPr>
          <w:rFonts w:ascii="Arial" w:hAnsi="Arial" w:cs="Arial"/>
          <w:b/>
          <w:sz w:val="24"/>
          <w:szCs w:val="24"/>
        </w:rPr>
        <w:t>COMMENTS</w:t>
      </w:r>
      <w:r w:rsidRPr="00CE0548">
        <w:rPr>
          <w:rFonts w:ascii="Arial" w:hAnsi="Arial" w:cs="Arial"/>
          <w:sz w:val="24"/>
          <w:szCs w:val="24"/>
        </w:rPr>
        <w:t>: Any other information or comments about the video segment should be entered here.  Especially any evidence of human activities seen on the video tow.</w:t>
      </w:r>
    </w:p>
    <w:p w:rsidR="00584E40" w:rsidRPr="00584E40" w:rsidRDefault="00584E40" w:rsidP="00584E40">
      <w:pPr>
        <w:pStyle w:val="ListParagraph"/>
        <w:numPr>
          <w:ilvl w:val="0"/>
          <w:numId w:val="9"/>
        </w:numPr>
        <w:rPr>
          <w:rFonts w:ascii="Arial" w:hAnsi="Arial" w:cs="Arial"/>
          <w:b/>
          <w:sz w:val="24"/>
          <w:szCs w:val="24"/>
        </w:rPr>
      </w:pPr>
      <w:r>
        <w:rPr>
          <w:rFonts w:ascii="Arial" w:hAnsi="Arial" w:cs="Arial"/>
          <w:b/>
          <w:sz w:val="24"/>
          <w:szCs w:val="24"/>
        </w:rPr>
        <w:t>Litter:</w:t>
      </w:r>
      <w:r>
        <w:rPr>
          <w:rFonts w:ascii="Arial" w:hAnsi="Arial" w:cs="Arial"/>
          <w:sz w:val="24"/>
          <w:szCs w:val="24"/>
        </w:rPr>
        <w:t xml:space="preserve"> Note any litter seen on the still.</w:t>
      </w:r>
    </w:p>
    <w:p w:rsidR="007822E1" w:rsidRPr="00D0712C" w:rsidRDefault="00CE0548" w:rsidP="007822E1">
      <w:pPr>
        <w:pStyle w:val="ListParagraph"/>
        <w:numPr>
          <w:ilvl w:val="0"/>
          <w:numId w:val="9"/>
        </w:numPr>
        <w:rPr>
          <w:rFonts w:ascii="Arial" w:hAnsi="Arial" w:cs="Arial"/>
          <w:sz w:val="24"/>
          <w:szCs w:val="24"/>
        </w:rPr>
      </w:pPr>
      <w:r w:rsidRPr="00CE0548">
        <w:rPr>
          <w:rFonts w:ascii="Arial" w:hAnsi="Arial" w:cs="Arial"/>
          <w:b/>
          <w:sz w:val="24"/>
          <w:szCs w:val="24"/>
        </w:rPr>
        <w:t>COMPLETED BY</w:t>
      </w:r>
      <w:r w:rsidRPr="00CE0548">
        <w:rPr>
          <w:rFonts w:ascii="Arial" w:hAnsi="Arial" w:cs="Arial"/>
          <w:sz w:val="24"/>
          <w:szCs w:val="24"/>
        </w:rPr>
        <w:t>: Name of person who completed the spreadsheet</w:t>
      </w:r>
    </w:p>
    <w:p w:rsidR="00840CBF" w:rsidRDefault="00840CBF">
      <w:pPr>
        <w:rPr>
          <w:rFonts w:ascii="Arial" w:hAnsi="Arial" w:cs="Arial"/>
          <w:b/>
          <w:sz w:val="24"/>
          <w:szCs w:val="24"/>
        </w:rPr>
      </w:pPr>
      <w:r>
        <w:rPr>
          <w:rFonts w:ascii="Arial" w:hAnsi="Arial" w:cs="Arial"/>
          <w:b/>
          <w:sz w:val="24"/>
          <w:szCs w:val="24"/>
        </w:rPr>
        <w:br w:type="page"/>
      </w:r>
    </w:p>
    <w:p w:rsidR="00D2678C" w:rsidRPr="00F43F1E" w:rsidRDefault="00D2678C" w:rsidP="00885FB6">
      <w:pPr>
        <w:pStyle w:val="HeadingNolevel"/>
        <w:numPr>
          <w:ilvl w:val="0"/>
          <w:numId w:val="27"/>
        </w:numPr>
        <w:rPr>
          <w:sz w:val="28"/>
          <w:szCs w:val="28"/>
        </w:rPr>
      </w:pPr>
      <w:bookmarkStart w:id="36" w:name="_Toc409779554"/>
      <w:r w:rsidRPr="00F43F1E">
        <w:rPr>
          <w:sz w:val="28"/>
          <w:szCs w:val="28"/>
        </w:rPr>
        <w:lastRenderedPageBreak/>
        <w:t>References</w:t>
      </w:r>
      <w:bookmarkEnd w:id="36"/>
    </w:p>
    <w:p w:rsidR="00D2678C" w:rsidRPr="00F5052B" w:rsidRDefault="00D2678C" w:rsidP="00D2678C">
      <w:pPr>
        <w:pStyle w:val="NormalWeb"/>
        <w:rPr>
          <w:rFonts w:ascii="Arial" w:hAnsi="Arial" w:cs="Arial"/>
          <w:noProof/>
          <w:sz w:val="22"/>
        </w:rPr>
      </w:pPr>
      <w:r w:rsidRPr="00F5052B">
        <w:rPr>
          <w:rFonts w:ascii="Arial" w:hAnsi="Arial" w:cs="Arial"/>
          <w:noProof/>
          <w:sz w:val="22"/>
        </w:rPr>
        <w:t xml:space="preserve">BELL, J.J. &amp; BARNES, D.K.A. 2001. Sponge morphological diversity: a qualitative predictor of species diversity? </w:t>
      </w:r>
      <w:r w:rsidRPr="00F5052B">
        <w:rPr>
          <w:rFonts w:ascii="Arial" w:hAnsi="Arial" w:cs="Arial"/>
          <w:i/>
          <w:iCs/>
          <w:noProof/>
          <w:sz w:val="22"/>
        </w:rPr>
        <w:t>Aquatic Conservation: Marine and Freshwater Ecosystems</w:t>
      </w:r>
      <w:r w:rsidRPr="00F5052B">
        <w:rPr>
          <w:rFonts w:ascii="Arial" w:hAnsi="Arial" w:cs="Arial"/>
          <w:noProof/>
          <w:sz w:val="22"/>
        </w:rPr>
        <w:t xml:space="preserve">, </w:t>
      </w:r>
      <w:r w:rsidRPr="00F5052B">
        <w:rPr>
          <w:rFonts w:ascii="Arial" w:hAnsi="Arial" w:cs="Arial"/>
          <w:b/>
          <w:noProof/>
          <w:sz w:val="22"/>
        </w:rPr>
        <w:t>11</w:t>
      </w:r>
      <w:r w:rsidRPr="00F5052B">
        <w:rPr>
          <w:rFonts w:ascii="Arial" w:hAnsi="Arial" w:cs="Arial"/>
          <w:noProof/>
          <w:sz w:val="22"/>
        </w:rPr>
        <w:t xml:space="preserve">(2): 109–121. </w:t>
      </w:r>
    </w:p>
    <w:p w:rsidR="00D2678C" w:rsidRPr="00F5052B" w:rsidRDefault="00D2678C" w:rsidP="00D2678C">
      <w:pPr>
        <w:pStyle w:val="NormalWeb"/>
        <w:rPr>
          <w:rFonts w:ascii="Arial" w:hAnsi="Arial" w:cs="Arial"/>
          <w:noProof/>
          <w:sz w:val="22"/>
        </w:rPr>
      </w:pPr>
      <w:r w:rsidRPr="00F5052B">
        <w:rPr>
          <w:rFonts w:ascii="Arial" w:eastAsia="Times New Roman" w:hAnsi="Arial" w:cs="Arial"/>
          <w:sz w:val="22"/>
          <w:szCs w:val="22"/>
        </w:rPr>
        <w:t>BELL, J. J., BURTON, M., BULLIMORE, B., NEWMAN, P., &amp; LOCK, K.</w:t>
      </w:r>
      <w:r w:rsidRPr="00F5052B">
        <w:rPr>
          <w:rFonts w:ascii="Arial" w:eastAsia="Times New Roman" w:hAnsi="Arial" w:cs="Arial"/>
        </w:rPr>
        <w:t xml:space="preserve"> </w:t>
      </w:r>
      <w:r w:rsidRPr="00F5052B">
        <w:rPr>
          <w:rFonts w:ascii="Arial" w:hAnsi="Arial" w:cs="Arial"/>
          <w:noProof/>
          <w:sz w:val="22"/>
        </w:rPr>
        <w:t xml:space="preserve">2006. Morphological monitoring of subtidal sponge assemblages. </w:t>
      </w:r>
      <w:r w:rsidRPr="00F5052B">
        <w:rPr>
          <w:rFonts w:ascii="Arial" w:hAnsi="Arial" w:cs="Arial"/>
          <w:i/>
          <w:iCs/>
          <w:noProof/>
          <w:sz w:val="22"/>
        </w:rPr>
        <w:t>Marine Ecology Progress Series</w:t>
      </w:r>
      <w:r w:rsidRPr="00F5052B">
        <w:rPr>
          <w:rFonts w:ascii="Arial" w:hAnsi="Arial" w:cs="Arial"/>
          <w:noProof/>
          <w:sz w:val="22"/>
        </w:rPr>
        <w:t xml:space="preserve">, </w:t>
      </w:r>
      <w:r w:rsidRPr="00F5052B">
        <w:rPr>
          <w:rFonts w:ascii="Arial" w:hAnsi="Arial" w:cs="Arial"/>
          <w:b/>
          <w:noProof/>
          <w:sz w:val="22"/>
        </w:rPr>
        <w:t xml:space="preserve">311: </w:t>
      </w:r>
      <w:r w:rsidRPr="00F5052B">
        <w:rPr>
          <w:rFonts w:ascii="Arial" w:hAnsi="Arial" w:cs="Arial"/>
          <w:noProof/>
          <w:sz w:val="22"/>
        </w:rPr>
        <w:t xml:space="preserve">79–91. </w:t>
      </w:r>
    </w:p>
    <w:p w:rsidR="00D2678C" w:rsidRPr="00F5052B" w:rsidRDefault="00D2678C" w:rsidP="00D2678C">
      <w:pPr>
        <w:rPr>
          <w:rFonts w:ascii="Arial" w:hAnsi="Arial" w:cs="Arial"/>
          <w:noProof/>
        </w:rPr>
      </w:pPr>
      <w:r w:rsidRPr="00F5052B">
        <w:rPr>
          <w:rFonts w:ascii="Arial" w:hAnsi="Arial" w:cs="Arial"/>
        </w:rPr>
        <w:t xml:space="preserve">BERMAN, J., BURTON, M., GIBBS, R., LOCK, K., NEWMAN, P., JONES, J., &amp; BELL, J. J. </w:t>
      </w:r>
      <w:r w:rsidRPr="00F5052B">
        <w:rPr>
          <w:rFonts w:ascii="Arial" w:hAnsi="Arial" w:cs="Arial"/>
          <w:noProof/>
        </w:rPr>
        <w:t xml:space="preserve">2013. Testing the suitability of a morphological monitoring approach for identifying temporal variability in a temperate sponge assemblage. </w:t>
      </w:r>
      <w:r w:rsidRPr="00F5052B">
        <w:rPr>
          <w:rFonts w:ascii="Arial" w:hAnsi="Arial" w:cs="Arial"/>
          <w:i/>
          <w:iCs/>
          <w:noProof/>
        </w:rPr>
        <w:t>Journal for Nature Conservation</w:t>
      </w:r>
      <w:r w:rsidRPr="00F5052B">
        <w:rPr>
          <w:rFonts w:ascii="Arial" w:hAnsi="Arial" w:cs="Arial"/>
          <w:noProof/>
        </w:rPr>
        <w:t xml:space="preserve">, </w:t>
      </w:r>
      <w:r w:rsidRPr="00F5052B">
        <w:rPr>
          <w:rFonts w:ascii="Arial" w:hAnsi="Arial" w:cs="Arial"/>
          <w:b/>
          <w:noProof/>
        </w:rPr>
        <w:t>21</w:t>
      </w:r>
      <w:r w:rsidRPr="00F5052B">
        <w:rPr>
          <w:rFonts w:ascii="Arial" w:hAnsi="Arial" w:cs="Arial"/>
          <w:noProof/>
        </w:rPr>
        <w:t xml:space="preserve">(3): 173-182. </w:t>
      </w:r>
    </w:p>
    <w:p w:rsidR="00E14591" w:rsidRPr="00F5052B" w:rsidRDefault="00E14591" w:rsidP="00E14591">
      <w:pPr>
        <w:rPr>
          <w:rFonts w:ascii="Arial" w:hAnsi="Arial" w:cs="Arial"/>
        </w:rPr>
      </w:pPr>
      <w:r w:rsidRPr="00F5052B">
        <w:rPr>
          <w:rFonts w:ascii="Arial" w:hAnsi="Arial" w:cs="Arial"/>
        </w:rPr>
        <w:t>BOURY-ESNAULT, N. &amp; RUTZLER, K. 1997</w:t>
      </w:r>
      <w:r w:rsidR="0029506C">
        <w:rPr>
          <w:rFonts w:ascii="Arial" w:hAnsi="Arial" w:cs="Arial"/>
        </w:rPr>
        <w:t>.</w:t>
      </w:r>
      <w:r w:rsidRPr="00F5052B">
        <w:rPr>
          <w:rFonts w:ascii="Arial" w:hAnsi="Arial" w:cs="Arial"/>
        </w:rPr>
        <w:t xml:space="preserve"> Thesaurus of sponge morphology. Smithsonian contributions to zoology 596. Smithsonian Institute Press, Washington, DC</w:t>
      </w:r>
    </w:p>
    <w:p w:rsidR="0029506C" w:rsidRPr="0029506C" w:rsidRDefault="0029506C" w:rsidP="0029506C">
      <w:pPr>
        <w:pStyle w:val="Title"/>
        <w:rPr>
          <w:rFonts w:eastAsiaTheme="minorHAnsi" w:cs="Arial"/>
          <w:b w:val="0"/>
          <w:spacing w:val="0"/>
          <w:kern w:val="0"/>
          <w:sz w:val="22"/>
          <w:szCs w:val="22"/>
        </w:rPr>
      </w:pPr>
      <w:r w:rsidRPr="002E03FC">
        <w:rPr>
          <w:rFonts w:cs="Arial"/>
          <w:b w:val="0"/>
          <w:sz w:val="22"/>
          <w:szCs w:val="22"/>
        </w:rPr>
        <w:t xml:space="preserve">PARRY, M.E.V. 2015. </w:t>
      </w:r>
      <w:r w:rsidRPr="0029506C">
        <w:rPr>
          <w:rFonts w:eastAsiaTheme="minorHAnsi" w:cs="Arial"/>
          <w:b w:val="0"/>
          <w:spacing w:val="0"/>
          <w:kern w:val="0"/>
          <w:sz w:val="22"/>
          <w:szCs w:val="22"/>
        </w:rPr>
        <w:t>Guidance on Assigning Benthic Biotopes using EUNIS or the Marine Habitat Classification of Britain and Ireland JNCC report No. 546</w:t>
      </w:r>
    </w:p>
    <w:p w:rsidR="00840CBF" w:rsidRDefault="00840CBF" w:rsidP="00157543">
      <w:pPr>
        <w:pStyle w:val="BodyText"/>
        <w:rPr>
          <w:rFonts w:cs="Arial"/>
        </w:rPr>
      </w:pPr>
    </w:p>
    <w:p w:rsidR="00840CBF" w:rsidRDefault="00840CBF">
      <w:pPr>
        <w:rPr>
          <w:rFonts w:ascii="Arial" w:eastAsia="Times New Roman" w:hAnsi="Arial" w:cs="Arial"/>
          <w:sz w:val="24"/>
          <w:szCs w:val="24"/>
        </w:rPr>
      </w:pPr>
      <w:r>
        <w:rPr>
          <w:rFonts w:cs="Arial"/>
        </w:rPr>
        <w:br w:type="page"/>
      </w:r>
    </w:p>
    <w:p w:rsidR="00840CBF" w:rsidRPr="00D0712C" w:rsidRDefault="00840CBF" w:rsidP="00157543">
      <w:pPr>
        <w:pStyle w:val="BodyText"/>
        <w:rPr>
          <w:rFonts w:cs="Arial"/>
        </w:rPr>
        <w:sectPr w:rsidR="00840CBF" w:rsidRPr="00D0712C" w:rsidSect="008358A0">
          <w:headerReference w:type="default" r:id="rId15"/>
          <w:footerReference w:type="default" r:id="rId16"/>
          <w:pgSz w:w="11906" w:h="16838"/>
          <w:pgMar w:top="1440" w:right="1440" w:bottom="1440" w:left="1440" w:header="708" w:footer="708" w:gutter="0"/>
          <w:cols w:space="708"/>
          <w:docGrid w:linePitch="360"/>
        </w:sectPr>
      </w:pPr>
    </w:p>
    <w:p w:rsidR="00F83E49" w:rsidRDefault="00CE0548" w:rsidP="00847892">
      <w:pPr>
        <w:pStyle w:val="Heading1"/>
        <w:rPr>
          <w:rFonts w:ascii="Arial" w:eastAsia="Times New Roman" w:hAnsi="Arial" w:cs="Arial"/>
          <w:color w:val="auto"/>
        </w:rPr>
      </w:pPr>
      <w:r w:rsidRPr="00F43F1E">
        <w:rPr>
          <w:rFonts w:ascii="Arial" w:eastAsia="Times New Roman" w:hAnsi="Arial" w:cs="Arial"/>
          <w:color w:val="auto"/>
        </w:rPr>
        <w:lastRenderedPageBreak/>
        <w:t xml:space="preserve">Annex 1. </w:t>
      </w:r>
      <w:r w:rsidR="00F83E49">
        <w:rPr>
          <w:rFonts w:ascii="Arial" w:eastAsia="Times New Roman" w:hAnsi="Arial" w:cs="Arial"/>
          <w:color w:val="auto"/>
        </w:rPr>
        <w:t>Determining Organism Abundance</w:t>
      </w:r>
    </w:p>
    <w:p w:rsidR="00F83E49" w:rsidRPr="005118E9" w:rsidRDefault="00F83E49" w:rsidP="00F83E49">
      <w:pPr>
        <w:spacing w:before="100" w:beforeAutospacing="1" w:after="100" w:afterAutospacing="1" w:line="240" w:lineRule="auto"/>
        <w:jc w:val="both"/>
        <w:rPr>
          <w:rFonts w:ascii="Arial" w:eastAsia="Times New Roman" w:hAnsi="Arial" w:cs="Times New Roman"/>
          <w:sz w:val="24"/>
          <w:szCs w:val="24"/>
        </w:rPr>
      </w:pPr>
      <w:r w:rsidRPr="005118E9">
        <w:rPr>
          <w:rFonts w:ascii="Arial" w:eastAsia="Times New Roman" w:hAnsi="Arial" w:cs="Times New Roman"/>
          <w:sz w:val="24"/>
          <w:szCs w:val="24"/>
        </w:rPr>
        <w:t xml:space="preserve">It is recommended that quantitative data are collected where possible. This enables analyses of abundance, diversity and population structure with some degree of statistical significance. Quantitative data should be more widely used in the future, in order to make comparisons. However, it is acknowledged that, for some surveys a semi-quantitative or qualitative study may be acceptable, especially if the video is of lower quality. </w:t>
      </w:r>
    </w:p>
    <w:p w:rsidR="00F83E49" w:rsidRPr="005118E9" w:rsidRDefault="00F83E49" w:rsidP="00F83E49">
      <w:pPr>
        <w:spacing w:before="100" w:beforeAutospacing="1" w:after="100" w:afterAutospacing="1" w:line="240" w:lineRule="auto"/>
        <w:jc w:val="both"/>
        <w:rPr>
          <w:rFonts w:ascii="Arial" w:eastAsia="Times New Roman" w:hAnsi="Arial" w:cs="Times New Roman"/>
          <w:sz w:val="24"/>
          <w:szCs w:val="24"/>
        </w:rPr>
      </w:pPr>
      <w:r w:rsidRPr="005118E9">
        <w:rPr>
          <w:rFonts w:ascii="Arial" w:eastAsia="Times New Roman" w:hAnsi="Arial" w:cs="Times New Roman"/>
          <w:sz w:val="24"/>
          <w:szCs w:val="24"/>
        </w:rPr>
        <w:t>There are several ways that organism presence and abundance may be recorded, either quantitatively or qualitatively. The options that the analyst has may depend on the equipment set-up, analyst time and also the quality of the footage, as detailed below.  Options for organism records are detailed below, in order of increasing information:</w:t>
      </w:r>
    </w:p>
    <w:p w:rsidR="00F83E49" w:rsidRPr="00680A75" w:rsidRDefault="00F83E49" w:rsidP="00680A75">
      <w:pPr>
        <w:rPr>
          <w:rFonts w:ascii="Arial" w:eastAsia="Times New Roman" w:hAnsi="Arial" w:cs="Arial"/>
          <w:b/>
          <w:lang w:eastAsia="en-US"/>
        </w:rPr>
      </w:pPr>
      <w:r w:rsidRPr="00680A75">
        <w:rPr>
          <w:rFonts w:ascii="Arial" w:eastAsia="Times New Roman" w:hAnsi="Arial" w:cs="Arial"/>
          <w:b/>
          <w:lang w:eastAsia="en-US"/>
        </w:rPr>
        <w:t xml:space="preserve">Presence / Absence  </w:t>
      </w:r>
    </w:p>
    <w:p w:rsidR="00F83E49" w:rsidRPr="005118E9" w:rsidRDefault="00F83E49" w:rsidP="00F83E49">
      <w:pPr>
        <w:spacing w:before="120" w:line="240" w:lineRule="auto"/>
        <w:jc w:val="both"/>
        <w:rPr>
          <w:rFonts w:ascii="Arial" w:eastAsia="Times New Roman" w:hAnsi="Arial" w:cs="Times New Roman"/>
          <w:spacing w:val="-3"/>
          <w:sz w:val="24"/>
          <w:szCs w:val="24"/>
          <w:lang w:eastAsia="en-US"/>
        </w:rPr>
      </w:pPr>
      <w:r w:rsidRPr="005118E9">
        <w:rPr>
          <w:rFonts w:ascii="Arial" w:eastAsia="Times New Roman" w:hAnsi="Arial" w:cs="Times New Roman"/>
          <w:spacing w:val="-3"/>
          <w:sz w:val="24"/>
          <w:szCs w:val="24"/>
          <w:lang w:eastAsia="en-US"/>
        </w:rPr>
        <w:t>Note whether a taxon is present along a particular tow.  Quick but offers few options for statistical analysis. The power to detect change in community structure is reduced as no information is recorded about the relative abundance of each taxon. However this option does offer a quick method which to analyse data.  Errors in the dataset are also likely to be few in number when compared to other methods of analysis although there will still be issues with regards to cryptic and hard to identify taxa.</w:t>
      </w:r>
    </w:p>
    <w:p w:rsidR="00F83E49" w:rsidRPr="00680A75" w:rsidRDefault="00F83E49" w:rsidP="00680A75">
      <w:pPr>
        <w:rPr>
          <w:rFonts w:ascii="Arial" w:eastAsia="Times New Roman" w:hAnsi="Arial" w:cs="Arial"/>
          <w:b/>
          <w:lang w:eastAsia="en-US"/>
        </w:rPr>
      </w:pPr>
      <w:r w:rsidRPr="00680A75">
        <w:rPr>
          <w:rFonts w:ascii="Arial" w:eastAsia="Times New Roman" w:hAnsi="Arial" w:cs="Arial"/>
          <w:b/>
          <w:lang w:eastAsia="en-US"/>
        </w:rPr>
        <w:t xml:space="preserve">Counts  </w:t>
      </w:r>
    </w:p>
    <w:p w:rsidR="00497C2E" w:rsidRDefault="00F83E49" w:rsidP="005118E9">
      <w:pPr>
        <w:spacing w:before="120" w:after="240" w:line="240" w:lineRule="auto"/>
        <w:jc w:val="both"/>
        <w:rPr>
          <w:rFonts w:ascii="Arial" w:eastAsia="Times New Roman" w:hAnsi="Arial" w:cs="Times New Roman"/>
        </w:rPr>
      </w:pPr>
      <w:r w:rsidRPr="00F83E49">
        <w:rPr>
          <w:rFonts w:ascii="Arial" w:eastAsia="Times New Roman" w:hAnsi="Arial" w:cs="Times New Roman"/>
          <w:szCs w:val="24"/>
          <w:lang w:val="en-US"/>
        </w:rPr>
        <w:t xml:space="preserve">Actual numbers of organisms allow for the greatest variety of statistical analyses to be conducted on the data as well as providing increased certainty in results. </w:t>
      </w:r>
      <w:r w:rsidRPr="00F83E49">
        <w:rPr>
          <w:rFonts w:ascii="Arial" w:eastAsia="Times New Roman" w:hAnsi="Arial" w:cs="Times New Roman"/>
        </w:rPr>
        <w:t xml:space="preserve">For quantitative analyses countable organisms </w:t>
      </w:r>
      <w:r w:rsidRPr="00F83E49">
        <w:rPr>
          <w:rFonts w:ascii="Arial" w:eastAsia="Times New Roman" w:hAnsi="Arial" w:cs="Times New Roman"/>
          <w:b/>
        </w:rPr>
        <w:t>must</w:t>
      </w:r>
      <w:r w:rsidRPr="00F83E49">
        <w:rPr>
          <w:rFonts w:ascii="Arial" w:eastAsia="Times New Roman" w:hAnsi="Arial" w:cs="Times New Roman"/>
        </w:rPr>
        <w:t xml:space="preserve"> be counted by viewing the video and consistently recording each identifiable organism according to the analysis schedule being used. The raw count can be converted into density (individuals / m</w:t>
      </w:r>
      <w:r w:rsidRPr="00F83E49">
        <w:rPr>
          <w:rFonts w:ascii="Arial" w:eastAsia="Times New Roman" w:hAnsi="Arial" w:cs="Times New Roman"/>
          <w:vertAlign w:val="superscript"/>
        </w:rPr>
        <w:t>2</w:t>
      </w:r>
      <w:r w:rsidRPr="00F83E49">
        <w:rPr>
          <w:rFonts w:ascii="Arial" w:eastAsia="Times New Roman" w:hAnsi="Arial" w:cs="Times New Roman"/>
        </w:rPr>
        <w:t xml:space="preserve">) by dividing the count by the calculated area sampled using the length of the video tow and the field of view of the camera.  It should be noted that colonial and encrusting organisms are often recorded as percentage (%) cover, this is detailed further in section </w:t>
      </w:r>
      <w:r w:rsidR="00E53FBD" w:rsidRPr="00F83E49">
        <w:rPr>
          <w:rFonts w:ascii="Arial" w:eastAsia="Times New Roman" w:hAnsi="Arial" w:cs="Times New Roman"/>
        </w:rPr>
        <w:fldChar w:fldCharType="begin"/>
      </w:r>
      <w:r w:rsidRPr="00F83E49">
        <w:rPr>
          <w:rFonts w:ascii="Arial" w:eastAsia="Times New Roman" w:hAnsi="Arial" w:cs="Times New Roman"/>
        </w:rPr>
        <w:instrText xml:space="preserve"> REF _Ref416267438 \r \h </w:instrText>
      </w:r>
      <w:r w:rsidR="00E53FBD" w:rsidRPr="00F83E49">
        <w:rPr>
          <w:rFonts w:ascii="Arial" w:eastAsia="Times New Roman" w:hAnsi="Arial" w:cs="Times New Roman"/>
        </w:rPr>
      </w:r>
      <w:r w:rsidR="00E53FBD" w:rsidRPr="00F83E49">
        <w:rPr>
          <w:rFonts w:ascii="Arial" w:eastAsia="Times New Roman" w:hAnsi="Arial" w:cs="Times New Roman"/>
        </w:rPr>
        <w:fldChar w:fldCharType="separate"/>
      </w:r>
      <w:r w:rsidRPr="00F83E49">
        <w:rPr>
          <w:rFonts w:ascii="Arial" w:eastAsia="Times New Roman" w:hAnsi="Arial" w:cs="Times New Roman"/>
        </w:rPr>
        <w:t>4.2</w:t>
      </w:r>
      <w:r w:rsidR="00E53FBD" w:rsidRPr="00F83E49">
        <w:rPr>
          <w:rFonts w:ascii="Arial" w:eastAsia="Times New Roman" w:hAnsi="Arial" w:cs="Times New Roman"/>
        </w:rPr>
        <w:fldChar w:fldCharType="end"/>
      </w:r>
      <w:r w:rsidRPr="00F83E49">
        <w:rPr>
          <w:rFonts w:ascii="Arial" w:eastAsia="Times New Roman" w:hAnsi="Arial" w:cs="Times New Roman"/>
        </w:rPr>
        <w:t xml:space="preserve">. </w:t>
      </w:r>
      <w:r w:rsidRPr="00F83E49">
        <w:rPr>
          <w:rFonts w:ascii="Arial" w:eastAsia="Times New Roman" w:hAnsi="Arial" w:cs="Times New Roman"/>
          <w:szCs w:val="24"/>
          <w:lang w:val="en-US"/>
        </w:rPr>
        <w:t xml:space="preserve">Percentage cover </w:t>
      </w:r>
      <w:r w:rsidRPr="00F83E49">
        <w:rPr>
          <w:rFonts w:ascii="Arial" w:eastAsia="Times New Roman" w:hAnsi="Arial" w:cs="Times New Roman"/>
          <w:b/>
          <w:szCs w:val="24"/>
          <w:lang w:val="en-US"/>
        </w:rPr>
        <w:t>should</w:t>
      </w:r>
      <w:r w:rsidRPr="00F83E49">
        <w:rPr>
          <w:rFonts w:ascii="Arial" w:eastAsia="Times New Roman" w:hAnsi="Arial" w:cs="Times New Roman"/>
          <w:szCs w:val="24"/>
          <w:lang w:val="en-US"/>
        </w:rPr>
        <w:t xml:space="preserve"> be used for imagery where one organism covers a considerable proportion of the survey area (e.g. barnacles covering rock, where it would take too long to count each barnacle, </w:t>
      </w:r>
      <w:r w:rsidRPr="00F83E49">
        <w:rPr>
          <w:rFonts w:ascii="Arial" w:eastAsia="Times New Roman" w:hAnsi="Arial" w:cs="Times New Roman"/>
        </w:rPr>
        <w:t>this is detailed below.</w:t>
      </w:r>
    </w:p>
    <w:p w:rsidR="00F83E49" w:rsidRPr="00680A75" w:rsidRDefault="00F83E49" w:rsidP="00783711">
      <w:pPr>
        <w:keepNext/>
        <w:spacing w:after="0"/>
        <w:rPr>
          <w:rFonts w:ascii="Arial" w:eastAsia="Times New Roman" w:hAnsi="Arial" w:cs="Arial"/>
          <w:b/>
          <w:lang w:eastAsia="en-US"/>
        </w:rPr>
      </w:pPr>
      <w:r w:rsidRPr="00680A75">
        <w:rPr>
          <w:rFonts w:ascii="Arial" w:eastAsia="Times New Roman" w:hAnsi="Arial" w:cs="Arial"/>
          <w:b/>
          <w:lang w:eastAsia="en-US"/>
        </w:rPr>
        <w:t>SACFOR</w:t>
      </w:r>
      <w:r w:rsidR="00497C2E" w:rsidRPr="00680A75">
        <w:rPr>
          <w:rFonts w:ascii="Arial" w:eastAsia="Times New Roman" w:hAnsi="Arial" w:cs="Arial"/>
          <w:b/>
          <w:lang w:eastAsia="en-US"/>
        </w:rPr>
        <w:t xml:space="preserve"> </w:t>
      </w:r>
    </w:p>
    <w:p w:rsidR="00F83E49" w:rsidRPr="005118E9" w:rsidRDefault="00F83E49" w:rsidP="005118E9">
      <w:pPr>
        <w:spacing w:before="120" w:after="120" w:line="240" w:lineRule="auto"/>
        <w:jc w:val="both"/>
        <w:rPr>
          <w:rFonts w:ascii="Arial" w:eastAsia="Times New Roman" w:hAnsi="Arial" w:cs="Times New Roman"/>
          <w:szCs w:val="24"/>
          <w:lang w:val="en-US"/>
        </w:rPr>
      </w:pPr>
      <w:r w:rsidRPr="00F83E49">
        <w:rPr>
          <w:rFonts w:ascii="Arial" w:eastAsia="Times New Roman" w:hAnsi="Arial" w:cs="Times New Roman"/>
        </w:rPr>
        <w:t xml:space="preserve">A </w:t>
      </w:r>
      <w:r w:rsidRPr="00F83E49">
        <w:rPr>
          <w:rFonts w:ascii="Arial" w:eastAsia="Times New Roman" w:hAnsi="Arial" w:cs="Times New Roman"/>
          <w:szCs w:val="24"/>
          <w:lang w:val="en-US"/>
        </w:rPr>
        <w:t xml:space="preserve">scale that can be used to produce semi-quantitative estimates of abundance. This provides a useful guide for qualitative studies and can give an idea of the composition of species assemblages, and the relative abundance of species within an assemblage. With experience, the scale </w:t>
      </w:r>
      <w:r w:rsidRPr="00F83E49">
        <w:rPr>
          <w:rFonts w:ascii="Arial" w:eastAsia="Times New Roman" w:hAnsi="Arial" w:cs="Times New Roman"/>
          <w:szCs w:val="24"/>
          <w:lang w:val="en-US"/>
        </w:rPr>
        <w:lastRenderedPageBreak/>
        <w:t xml:space="preserve">can be used to make useful broad comparisons between different sites. The SACFOR scale is often used in the process to determine biotopes.  Details can be found on the </w:t>
      </w:r>
      <w:hyperlink r:id="rId17" w:history="1">
        <w:r w:rsidRPr="00F83E49">
          <w:rPr>
            <w:rFonts w:ascii="Arial" w:eastAsia="Times New Roman" w:hAnsi="Arial" w:cs="Times New Roman"/>
            <w:color w:val="0000FF" w:themeColor="hyperlink"/>
            <w:szCs w:val="24"/>
            <w:u w:val="single"/>
            <w:lang w:val="en-US"/>
          </w:rPr>
          <w:t>JNCC website</w:t>
        </w:r>
      </w:hyperlink>
      <w:r w:rsidRPr="00F83E49">
        <w:rPr>
          <w:rFonts w:ascii="Arial" w:eastAsia="Times New Roman" w:hAnsi="Arial" w:cs="Times New Roman"/>
          <w:szCs w:val="24"/>
          <w:lang w:val="en-US"/>
        </w:rPr>
        <w:t xml:space="preserve">. </w:t>
      </w:r>
    </w:p>
    <w:p w:rsidR="00C61F4B" w:rsidRPr="00680A75" w:rsidRDefault="00CE0548" w:rsidP="00783711">
      <w:pPr>
        <w:keepNext/>
        <w:spacing w:after="0"/>
        <w:rPr>
          <w:rFonts w:ascii="Arial" w:eastAsia="Times New Roman" w:hAnsi="Arial" w:cs="Arial"/>
          <w:b/>
          <w:lang w:eastAsia="en-US"/>
        </w:rPr>
      </w:pPr>
      <w:r w:rsidRPr="00680A75">
        <w:rPr>
          <w:rFonts w:ascii="Arial" w:eastAsia="Times New Roman" w:hAnsi="Arial" w:cs="Arial"/>
          <w:b/>
          <w:lang w:eastAsia="en-US"/>
        </w:rPr>
        <w:t>SACFOR</w:t>
      </w:r>
    </w:p>
    <w:tbl>
      <w:tblPr>
        <w:tblW w:w="14507" w:type="dxa"/>
        <w:tblInd w:w="108" w:type="dxa"/>
        <w:tblLook w:val="04A0" w:firstRow="1" w:lastRow="0" w:firstColumn="1" w:lastColumn="0" w:noHBand="0" w:noVBand="1"/>
      </w:tblPr>
      <w:tblGrid>
        <w:gridCol w:w="1134"/>
        <w:gridCol w:w="1108"/>
        <w:gridCol w:w="950"/>
        <w:gridCol w:w="976"/>
        <w:gridCol w:w="976"/>
        <w:gridCol w:w="976"/>
        <w:gridCol w:w="976"/>
        <w:gridCol w:w="1693"/>
        <w:gridCol w:w="1559"/>
        <w:gridCol w:w="992"/>
        <w:gridCol w:w="993"/>
        <w:gridCol w:w="1198"/>
        <w:gridCol w:w="976"/>
      </w:tblGrid>
      <w:tr w:rsidR="008A1471" w:rsidRPr="00D0712C" w:rsidTr="005118E9">
        <w:trPr>
          <w:trHeight w:val="480"/>
        </w:trPr>
        <w:tc>
          <w:tcPr>
            <w:tcW w:w="1134" w:type="dxa"/>
            <w:tcBorders>
              <w:top w:val="nil"/>
              <w:left w:val="nil"/>
              <w:bottom w:val="single" w:sz="4" w:space="0" w:color="auto"/>
              <w:right w:val="nil"/>
            </w:tcBorders>
            <w:shd w:val="clear" w:color="auto" w:fill="auto"/>
            <w:noWrap/>
            <w:vAlign w:val="bottom"/>
            <w:hideMark/>
          </w:tcPr>
          <w:p w:rsidR="008A1471" w:rsidRPr="00D0712C" w:rsidRDefault="008A1471" w:rsidP="008A1471">
            <w:pPr>
              <w:spacing w:after="0" w:line="240" w:lineRule="auto"/>
              <w:rPr>
                <w:rFonts w:ascii="Arial" w:hAnsi="Arial" w:cs="Arial"/>
              </w:rPr>
            </w:pPr>
            <w:r w:rsidRPr="00D0712C">
              <w:rPr>
                <w:rFonts w:ascii="Arial" w:eastAsia="Times New Roman" w:hAnsi="Arial" w:cs="Arial"/>
                <w:sz w:val="20"/>
                <w:szCs w:val="20"/>
              </w:rPr>
              <w:t> </w:t>
            </w:r>
          </w:p>
        </w:tc>
        <w:tc>
          <w:tcPr>
            <w:tcW w:w="2058" w:type="dxa"/>
            <w:gridSpan w:val="2"/>
            <w:tcBorders>
              <w:top w:val="nil"/>
              <w:left w:val="single" w:sz="8" w:space="0" w:color="auto"/>
              <w:bottom w:val="single" w:sz="4" w:space="0" w:color="auto"/>
              <w:right w:val="nil"/>
            </w:tcBorders>
            <w:shd w:val="clear" w:color="auto" w:fill="auto"/>
            <w:noWrap/>
            <w:vAlign w:val="bottom"/>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Growth form</w:t>
            </w:r>
          </w:p>
        </w:tc>
        <w:tc>
          <w:tcPr>
            <w:tcW w:w="3904" w:type="dxa"/>
            <w:gridSpan w:val="4"/>
            <w:tcBorders>
              <w:top w:val="nil"/>
              <w:left w:val="single" w:sz="8" w:space="0" w:color="auto"/>
              <w:bottom w:val="single" w:sz="4" w:space="0" w:color="auto"/>
              <w:right w:val="single" w:sz="8" w:space="0" w:color="000000"/>
            </w:tcBorders>
            <w:shd w:val="clear" w:color="auto" w:fill="auto"/>
            <w:noWrap/>
            <w:vAlign w:val="bottom"/>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Size of indiv</w:t>
            </w:r>
            <w:r w:rsidR="00CE0548" w:rsidRPr="00CE0548">
              <w:rPr>
                <w:rFonts w:ascii="Arial" w:eastAsia="Times New Roman" w:hAnsi="Arial" w:cs="Arial"/>
                <w:b/>
                <w:bCs/>
                <w:sz w:val="20"/>
                <w:szCs w:val="20"/>
              </w:rPr>
              <w:t>iduals or colonies</w:t>
            </w:r>
          </w:p>
        </w:tc>
        <w:tc>
          <w:tcPr>
            <w:tcW w:w="7411" w:type="dxa"/>
            <w:gridSpan w:val="6"/>
            <w:tcBorders>
              <w:top w:val="nil"/>
              <w:left w:val="nil"/>
              <w:bottom w:val="single" w:sz="4" w:space="0" w:color="auto"/>
              <w:right w:val="nil"/>
            </w:tcBorders>
            <w:shd w:val="clear" w:color="auto" w:fill="auto"/>
            <w:noWrap/>
            <w:vAlign w:val="bottom"/>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Density measures</w:t>
            </w:r>
          </w:p>
        </w:tc>
      </w:tr>
      <w:tr w:rsidR="008A1471" w:rsidRPr="00D0712C" w:rsidTr="005118E9">
        <w:trPr>
          <w:trHeight w:val="780"/>
        </w:trPr>
        <w:tc>
          <w:tcPr>
            <w:tcW w:w="1134" w:type="dxa"/>
            <w:tcBorders>
              <w:top w:val="nil"/>
              <w:left w:val="nil"/>
              <w:bottom w:val="single" w:sz="8" w:space="0" w:color="auto"/>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 cover</w:t>
            </w:r>
          </w:p>
        </w:tc>
        <w:tc>
          <w:tcPr>
            <w:tcW w:w="1108" w:type="dxa"/>
            <w:tcBorders>
              <w:top w:val="nil"/>
              <w:left w:val="single" w:sz="8" w:space="0" w:color="auto"/>
              <w:bottom w:val="single" w:sz="8" w:space="0" w:color="auto"/>
              <w:right w:val="nil"/>
            </w:tcBorders>
            <w:shd w:val="clear" w:color="auto" w:fill="auto"/>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Crust or</w:t>
            </w:r>
            <w:r w:rsidRPr="00D0712C">
              <w:rPr>
                <w:rFonts w:ascii="Arial" w:eastAsia="Times New Roman" w:hAnsi="Arial" w:cs="Arial"/>
                <w:sz w:val="20"/>
                <w:szCs w:val="20"/>
              </w:rPr>
              <w:br/>
              <w:t>Meadow</w:t>
            </w:r>
          </w:p>
        </w:tc>
        <w:tc>
          <w:tcPr>
            <w:tcW w:w="950"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Massive</w:t>
            </w:r>
            <w:r w:rsidRPr="00CE0548">
              <w:rPr>
                <w:rFonts w:ascii="Arial" w:eastAsia="Times New Roman" w:hAnsi="Arial" w:cs="Arial"/>
                <w:sz w:val="20"/>
                <w:szCs w:val="20"/>
              </w:rPr>
              <w:br/>
              <w:t>or Turf</w:t>
            </w:r>
          </w:p>
        </w:tc>
        <w:tc>
          <w:tcPr>
            <w:tcW w:w="976" w:type="dxa"/>
            <w:tcBorders>
              <w:top w:val="nil"/>
              <w:left w:val="single" w:sz="8" w:space="0" w:color="auto"/>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&lt;1cm</w:t>
            </w:r>
          </w:p>
        </w:tc>
        <w:tc>
          <w:tcPr>
            <w:tcW w:w="976"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1-3 cm</w:t>
            </w:r>
          </w:p>
        </w:tc>
        <w:tc>
          <w:tcPr>
            <w:tcW w:w="976"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3-15 cm</w:t>
            </w:r>
          </w:p>
        </w:tc>
        <w:tc>
          <w:tcPr>
            <w:tcW w:w="976" w:type="dxa"/>
            <w:tcBorders>
              <w:top w:val="nil"/>
              <w:left w:val="nil"/>
              <w:bottom w:val="single" w:sz="8" w:space="0" w:color="auto"/>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&gt;15 cm</w:t>
            </w:r>
          </w:p>
        </w:tc>
        <w:tc>
          <w:tcPr>
            <w:tcW w:w="1693"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 per unit area</w:t>
            </w:r>
          </w:p>
        </w:tc>
        <w:tc>
          <w:tcPr>
            <w:tcW w:w="1559" w:type="dxa"/>
            <w:tcBorders>
              <w:top w:val="nil"/>
              <w:left w:val="nil"/>
              <w:bottom w:val="single" w:sz="8" w:space="0" w:color="auto"/>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 m²</w:t>
            </w:r>
          </w:p>
        </w:tc>
        <w:tc>
          <w:tcPr>
            <w:tcW w:w="992"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0.5m² image</w:t>
            </w:r>
          </w:p>
        </w:tc>
        <w:tc>
          <w:tcPr>
            <w:tcW w:w="993"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0.4m² image</w:t>
            </w:r>
          </w:p>
        </w:tc>
        <w:tc>
          <w:tcPr>
            <w:tcW w:w="1198"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0.3m² image</w:t>
            </w:r>
          </w:p>
        </w:tc>
        <w:tc>
          <w:tcPr>
            <w:tcW w:w="976" w:type="dxa"/>
            <w:tcBorders>
              <w:top w:val="nil"/>
              <w:left w:val="nil"/>
              <w:bottom w:val="single" w:sz="8" w:space="0" w:color="auto"/>
              <w:right w:val="nil"/>
            </w:tcBorders>
            <w:shd w:val="clear" w:color="auto" w:fill="auto"/>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Nos per</w:t>
            </w:r>
            <w:r w:rsidRPr="00CE0548">
              <w:rPr>
                <w:rFonts w:ascii="Arial" w:eastAsia="Times New Roman" w:hAnsi="Arial" w:cs="Arial"/>
                <w:sz w:val="20"/>
                <w:szCs w:val="20"/>
              </w:rPr>
              <w:br/>
              <w:t>0.2m² image</w:t>
            </w:r>
          </w:p>
        </w:tc>
      </w:tr>
      <w:tr w:rsidR="008A1471" w:rsidRPr="00D0712C" w:rsidTr="005118E9">
        <w:trPr>
          <w:trHeight w:val="600"/>
        </w:trPr>
        <w:tc>
          <w:tcPr>
            <w:tcW w:w="1134"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&gt;80%</w:t>
            </w: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S</w:t>
            </w:r>
          </w:p>
        </w:tc>
        <w:tc>
          <w:tcPr>
            <w:tcW w:w="950"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&gt;1/ 0.001 m2</w:t>
            </w:r>
          </w:p>
        </w:tc>
        <w:tc>
          <w:tcPr>
            <w:tcW w:w="1559"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&gt;10,000 / 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50,000</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40,000</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20,000</w:t>
            </w:r>
          </w:p>
        </w:tc>
      </w:tr>
      <w:tr w:rsidR="008A1471" w:rsidRPr="00D0712C" w:rsidTr="005118E9">
        <w:trPr>
          <w:trHeight w:val="600"/>
        </w:trPr>
        <w:tc>
          <w:tcPr>
            <w:tcW w:w="1134"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40-79%</w:t>
            </w: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A</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0.001 m2</w:t>
            </w:r>
            <w:r w:rsidRPr="00CE0548">
              <w:rPr>
                <w:rFonts w:ascii="Arial" w:eastAsia="Times New Roman" w:hAnsi="Arial" w:cs="Arial"/>
                <w:sz w:val="20"/>
                <w:szCs w:val="20"/>
              </w:rPr>
              <w:br/>
              <w:t>(1x1 cm)</w:t>
            </w:r>
          </w:p>
        </w:tc>
        <w:tc>
          <w:tcPr>
            <w:tcW w:w="1559"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1000-999 / 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5,000</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4,000</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2,000</w:t>
            </w:r>
          </w:p>
        </w:tc>
      </w:tr>
      <w:tr w:rsidR="008A1471" w:rsidRPr="00D0712C" w:rsidTr="005118E9">
        <w:trPr>
          <w:trHeight w:val="600"/>
        </w:trPr>
        <w:tc>
          <w:tcPr>
            <w:tcW w:w="1134"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20-39%</w:t>
            </w: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C</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0.01 m2</w:t>
            </w:r>
            <w:r w:rsidRPr="00CE0548">
              <w:rPr>
                <w:rFonts w:ascii="Arial" w:eastAsia="Times New Roman" w:hAnsi="Arial" w:cs="Arial"/>
                <w:sz w:val="20"/>
                <w:szCs w:val="20"/>
              </w:rPr>
              <w:br/>
              <w:t>(10 x 10 cm)</w:t>
            </w:r>
          </w:p>
        </w:tc>
        <w:tc>
          <w:tcPr>
            <w:tcW w:w="1559"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100-999 /m²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500</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400</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200</w:t>
            </w:r>
          </w:p>
        </w:tc>
      </w:tr>
      <w:tr w:rsidR="008A1471" w:rsidRPr="00D0712C" w:rsidTr="005118E9">
        <w:trPr>
          <w:trHeight w:val="600"/>
        </w:trPr>
        <w:tc>
          <w:tcPr>
            <w:tcW w:w="1134"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10-19%</w:t>
            </w: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F</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S</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0.1 m2</w:t>
            </w:r>
            <w:r w:rsidRPr="00CE0548">
              <w:rPr>
                <w:rFonts w:ascii="Arial" w:eastAsia="Times New Roman" w:hAnsi="Arial" w:cs="Arial"/>
                <w:sz w:val="20"/>
                <w:szCs w:val="20"/>
              </w:rPr>
              <w:br/>
              <w:t>(0.316 x 0.316 m)</w:t>
            </w:r>
          </w:p>
        </w:tc>
        <w:tc>
          <w:tcPr>
            <w:tcW w:w="1559"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10-99 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50</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40</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30</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20</w:t>
            </w:r>
          </w:p>
        </w:tc>
      </w:tr>
      <w:tr w:rsidR="008A1471" w:rsidRPr="00D0712C" w:rsidTr="005118E9">
        <w:trPr>
          <w:trHeight w:val="600"/>
        </w:trPr>
        <w:tc>
          <w:tcPr>
            <w:tcW w:w="1134"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5-9%</w:t>
            </w: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O</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A</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m2</w:t>
            </w:r>
            <w:r w:rsidRPr="00CE0548">
              <w:rPr>
                <w:rFonts w:ascii="Arial" w:eastAsia="Times New Roman" w:hAnsi="Arial" w:cs="Arial"/>
                <w:sz w:val="20"/>
                <w:szCs w:val="20"/>
              </w:rPr>
              <w:br/>
              <w:t>(1 x 1 m)</w:t>
            </w:r>
          </w:p>
        </w:tc>
        <w:tc>
          <w:tcPr>
            <w:tcW w:w="1559"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5</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4</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2</w:t>
            </w:r>
          </w:p>
        </w:tc>
      </w:tr>
      <w:tr w:rsidR="008A1471" w:rsidRPr="00D0712C" w:rsidTr="005118E9">
        <w:trPr>
          <w:trHeight w:val="600"/>
        </w:trPr>
        <w:tc>
          <w:tcPr>
            <w:tcW w:w="1134"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1-5% or density</w:t>
            </w: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R</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C</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10m2</w:t>
            </w:r>
            <w:r w:rsidRPr="00CE0548">
              <w:rPr>
                <w:rFonts w:ascii="Arial" w:eastAsia="Times New Roman" w:hAnsi="Arial" w:cs="Arial"/>
                <w:sz w:val="20"/>
                <w:szCs w:val="20"/>
              </w:rPr>
              <w:br/>
              <w:t>(3.16 x 3.16 m)</w:t>
            </w:r>
          </w:p>
        </w:tc>
        <w:tc>
          <w:tcPr>
            <w:tcW w:w="1559"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1</w:t>
            </w:r>
          </w:p>
        </w:tc>
      </w:tr>
      <w:tr w:rsidR="008A1471" w:rsidRPr="00D0712C" w:rsidTr="005118E9">
        <w:trPr>
          <w:trHeight w:val="600"/>
        </w:trPr>
        <w:tc>
          <w:tcPr>
            <w:tcW w:w="1134"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sz w:val="20"/>
                <w:szCs w:val="20"/>
              </w:rPr>
            </w:pPr>
            <w:r w:rsidRPr="00D0712C">
              <w:rPr>
                <w:rFonts w:ascii="Arial" w:eastAsia="Times New Roman" w:hAnsi="Arial" w:cs="Arial"/>
                <w:sz w:val="20"/>
                <w:szCs w:val="20"/>
              </w:rPr>
              <w:t>&lt;1% or density</w:t>
            </w: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 </w:t>
            </w:r>
          </w:p>
        </w:tc>
        <w:tc>
          <w:tcPr>
            <w:tcW w:w="950"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F</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100m2</w:t>
            </w:r>
            <w:r w:rsidRPr="00CE0548">
              <w:rPr>
                <w:rFonts w:ascii="Arial" w:eastAsia="Times New Roman" w:hAnsi="Arial" w:cs="Arial"/>
                <w:sz w:val="20"/>
                <w:szCs w:val="20"/>
              </w:rPr>
              <w:br/>
              <w:t>(10 x 10 m)</w:t>
            </w:r>
          </w:p>
        </w:tc>
        <w:tc>
          <w:tcPr>
            <w:tcW w:w="1559"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r>
      <w:tr w:rsidR="008A1471" w:rsidRPr="00D0712C" w:rsidTr="005118E9">
        <w:trPr>
          <w:trHeight w:val="600"/>
        </w:trPr>
        <w:tc>
          <w:tcPr>
            <w:tcW w:w="1134" w:type="dxa"/>
            <w:tcBorders>
              <w:top w:val="nil"/>
              <w:left w:val="nil"/>
              <w:bottom w:val="nil"/>
              <w:right w:val="nil"/>
            </w:tcBorders>
            <w:shd w:val="clear" w:color="auto" w:fill="auto"/>
            <w:noWrap/>
            <w:vAlign w:val="bottom"/>
            <w:hideMark/>
          </w:tcPr>
          <w:p w:rsidR="008A1471" w:rsidRPr="00D0712C" w:rsidRDefault="008A1471" w:rsidP="008A1471">
            <w:pPr>
              <w:spacing w:after="0" w:line="240" w:lineRule="auto"/>
              <w:rPr>
                <w:rFonts w:ascii="Arial" w:eastAsia="Times New Roman" w:hAnsi="Arial" w:cs="Arial"/>
                <w:sz w:val="20"/>
                <w:szCs w:val="20"/>
              </w:rPr>
            </w:pP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 </w:t>
            </w:r>
          </w:p>
        </w:tc>
        <w:tc>
          <w:tcPr>
            <w:tcW w:w="950"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O</w:t>
            </w:r>
          </w:p>
        </w:tc>
        <w:tc>
          <w:tcPr>
            <w:tcW w:w="1693"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1000m2</w:t>
            </w:r>
            <w:r w:rsidRPr="00CE0548">
              <w:rPr>
                <w:rFonts w:ascii="Arial" w:eastAsia="Times New Roman" w:hAnsi="Arial" w:cs="Arial"/>
                <w:sz w:val="20"/>
                <w:szCs w:val="20"/>
              </w:rPr>
              <w:br/>
              <w:t>(31.6 x 31.6 m)</w:t>
            </w:r>
          </w:p>
        </w:tc>
        <w:tc>
          <w:tcPr>
            <w:tcW w:w="1559" w:type="dxa"/>
            <w:tcBorders>
              <w:top w:val="nil"/>
              <w:left w:val="nil"/>
              <w:bottom w:val="nil"/>
              <w:right w:val="nil"/>
            </w:tcBorders>
            <w:shd w:val="clear" w:color="auto" w:fill="auto"/>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1-9 / 1000m²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r>
      <w:tr w:rsidR="008A1471" w:rsidRPr="00D0712C" w:rsidTr="005118E9">
        <w:trPr>
          <w:trHeight w:val="600"/>
        </w:trPr>
        <w:tc>
          <w:tcPr>
            <w:tcW w:w="1134" w:type="dxa"/>
            <w:tcBorders>
              <w:top w:val="nil"/>
              <w:left w:val="nil"/>
              <w:bottom w:val="nil"/>
              <w:right w:val="nil"/>
            </w:tcBorders>
            <w:shd w:val="clear" w:color="auto" w:fill="auto"/>
            <w:noWrap/>
            <w:vAlign w:val="bottom"/>
            <w:hideMark/>
          </w:tcPr>
          <w:p w:rsidR="008A1471" w:rsidRPr="00D0712C" w:rsidRDefault="008A1471" w:rsidP="008A1471">
            <w:pPr>
              <w:spacing w:after="0" w:line="240" w:lineRule="auto"/>
              <w:rPr>
                <w:rFonts w:ascii="Arial" w:eastAsia="Times New Roman" w:hAnsi="Arial" w:cs="Arial"/>
                <w:sz w:val="20"/>
                <w:szCs w:val="20"/>
              </w:rPr>
            </w:pPr>
          </w:p>
        </w:tc>
        <w:tc>
          <w:tcPr>
            <w:tcW w:w="1108" w:type="dxa"/>
            <w:tcBorders>
              <w:top w:val="nil"/>
              <w:left w:val="single" w:sz="8" w:space="0" w:color="auto"/>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r w:rsidRPr="00D0712C">
              <w:rPr>
                <w:rFonts w:ascii="Arial" w:eastAsia="Times New Roman" w:hAnsi="Arial" w:cs="Arial"/>
                <w:b/>
                <w:bCs/>
                <w:sz w:val="20"/>
                <w:szCs w:val="20"/>
              </w:rPr>
              <w:t> </w:t>
            </w:r>
          </w:p>
        </w:tc>
        <w:tc>
          <w:tcPr>
            <w:tcW w:w="950"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single" w:sz="8" w:space="0" w:color="auto"/>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 </w:t>
            </w: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nil"/>
            </w:tcBorders>
            <w:shd w:val="clear" w:color="auto" w:fill="auto"/>
            <w:noWrap/>
            <w:vAlign w:val="center"/>
            <w:hideMark/>
          </w:tcPr>
          <w:p w:rsidR="008A1471" w:rsidRPr="00D0712C" w:rsidRDefault="008A1471" w:rsidP="008A1471">
            <w:pPr>
              <w:spacing w:after="0" w:line="240" w:lineRule="auto"/>
              <w:jc w:val="center"/>
              <w:rPr>
                <w:rFonts w:ascii="Arial" w:eastAsia="Times New Roman" w:hAnsi="Arial" w:cs="Arial"/>
                <w:b/>
                <w:bCs/>
                <w:sz w:val="20"/>
                <w:szCs w:val="20"/>
              </w:rPr>
            </w:pPr>
          </w:p>
        </w:tc>
        <w:tc>
          <w:tcPr>
            <w:tcW w:w="976" w:type="dxa"/>
            <w:tcBorders>
              <w:top w:val="nil"/>
              <w:left w:val="nil"/>
              <w:bottom w:val="nil"/>
              <w:right w:val="single" w:sz="8" w:space="0" w:color="auto"/>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b/>
                <w:bCs/>
                <w:sz w:val="20"/>
                <w:szCs w:val="20"/>
              </w:rPr>
            </w:pPr>
            <w:r w:rsidRPr="00CE0548">
              <w:rPr>
                <w:rFonts w:ascii="Arial" w:eastAsia="Times New Roman" w:hAnsi="Arial" w:cs="Arial"/>
                <w:b/>
                <w:bCs/>
                <w:sz w:val="20"/>
                <w:szCs w:val="20"/>
              </w:rPr>
              <w:t>R</w:t>
            </w:r>
          </w:p>
        </w:tc>
        <w:tc>
          <w:tcPr>
            <w:tcW w:w="16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1&lt;1/1000 m2</w:t>
            </w:r>
          </w:p>
        </w:tc>
        <w:tc>
          <w:tcPr>
            <w:tcW w:w="1559"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ind w:firstLineChars="100" w:firstLine="200"/>
              <w:rPr>
                <w:rFonts w:ascii="Arial" w:eastAsia="Times New Roman" w:hAnsi="Arial" w:cs="Arial"/>
                <w:sz w:val="20"/>
                <w:szCs w:val="20"/>
              </w:rPr>
            </w:pPr>
            <w:r w:rsidRPr="00CE0548">
              <w:rPr>
                <w:rFonts w:ascii="Arial" w:eastAsia="Times New Roman" w:hAnsi="Arial" w:cs="Arial"/>
                <w:sz w:val="20"/>
                <w:szCs w:val="20"/>
              </w:rPr>
              <w:t>1&lt;1/1000 m²</w:t>
            </w:r>
          </w:p>
        </w:tc>
        <w:tc>
          <w:tcPr>
            <w:tcW w:w="992"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93"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1198"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c>
          <w:tcPr>
            <w:tcW w:w="976" w:type="dxa"/>
            <w:tcBorders>
              <w:top w:val="nil"/>
              <w:left w:val="nil"/>
              <w:bottom w:val="nil"/>
              <w:right w:val="nil"/>
            </w:tcBorders>
            <w:shd w:val="clear" w:color="auto" w:fill="auto"/>
            <w:noWrap/>
            <w:vAlign w:val="center"/>
            <w:hideMark/>
          </w:tcPr>
          <w:p w:rsidR="008A1471" w:rsidRPr="00D0712C" w:rsidRDefault="00CE0548" w:rsidP="008A1471">
            <w:pPr>
              <w:spacing w:after="0" w:line="240" w:lineRule="auto"/>
              <w:jc w:val="center"/>
              <w:rPr>
                <w:rFonts w:ascii="Arial" w:eastAsia="Times New Roman" w:hAnsi="Arial" w:cs="Arial"/>
                <w:sz w:val="20"/>
                <w:szCs w:val="20"/>
              </w:rPr>
            </w:pPr>
            <w:r w:rsidRPr="00CE0548">
              <w:rPr>
                <w:rFonts w:ascii="Arial" w:eastAsia="Times New Roman" w:hAnsi="Arial" w:cs="Arial"/>
                <w:sz w:val="20"/>
                <w:szCs w:val="20"/>
              </w:rPr>
              <w:t>-</w:t>
            </w:r>
          </w:p>
        </w:tc>
      </w:tr>
    </w:tbl>
    <w:p w:rsidR="008A1471" w:rsidRPr="00D0712C" w:rsidRDefault="008A1471" w:rsidP="00783711">
      <w:pPr>
        <w:keepNext/>
        <w:rPr>
          <w:rFonts w:ascii="Arial" w:hAnsi="Arial" w:cs="Arial"/>
          <w:b/>
          <w:sz w:val="24"/>
        </w:rPr>
      </w:pPr>
      <w:r w:rsidRPr="00D0712C">
        <w:rPr>
          <w:rFonts w:ascii="Arial" w:hAnsi="Arial" w:cs="Arial"/>
          <w:b/>
          <w:sz w:val="24"/>
        </w:rPr>
        <w:lastRenderedPageBreak/>
        <w:t>MNCR Notes</w:t>
      </w:r>
    </w:p>
    <w:p w:rsidR="008A1471" w:rsidRPr="00D0712C" w:rsidRDefault="008A1471" w:rsidP="008A1471">
      <w:pPr>
        <w:pStyle w:val="ListParagraph"/>
        <w:numPr>
          <w:ilvl w:val="0"/>
          <w:numId w:val="3"/>
        </w:numPr>
        <w:rPr>
          <w:rFonts w:ascii="Arial" w:hAnsi="Arial" w:cs="Arial"/>
          <w:sz w:val="24"/>
        </w:rPr>
      </w:pPr>
      <w:r w:rsidRPr="00D0712C">
        <w:rPr>
          <w:rFonts w:ascii="Arial" w:hAnsi="Arial" w:cs="Arial"/>
          <w:sz w:val="24"/>
        </w:rPr>
        <w:t>Whenever an attached species covers the substratum and percentage cover can be estimated, that scale should be used in preference to the density scale.</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Use the massive/turf percentage cover scale for all species, excepting those given under crust/meadow.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Where two or more layers exist, for instance foliose algae overgrowing crustose algae, total percentage cover can be over 100% and abundance grade will reflect this</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Percentage cover of littoral species, particularly the fucoid algae, must be estimated when the tide is out.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Use quadrats as reference frames for counting, particularly when density is borderline between two of the scale.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Some extrapolation of the scales may be necessary to estimate abundance for restricted habitats such as </w:t>
      </w:r>
      <w:r w:rsidR="005B40C5" w:rsidRPr="00CE0548">
        <w:rPr>
          <w:rFonts w:ascii="Arial" w:hAnsi="Arial" w:cs="Arial"/>
          <w:sz w:val="24"/>
        </w:rPr>
        <w:t>rock pools</w:t>
      </w:r>
      <w:r w:rsidRPr="00CE0548">
        <w:rPr>
          <w:rFonts w:ascii="Arial" w:hAnsi="Arial" w:cs="Arial"/>
          <w:sz w:val="24"/>
        </w:rPr>
        <w:t xml:space="preserve">.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 xml:space="preserve">The species (as listed above) take precedence over their actual size in deciding which scale to use. </w:t>
      </w:r>
    </w:p>
    <w:p w:rsidR="008A1471" w:rsidRPr="00D0712C" w:rsidRDefault="00CE0548" w:rsidP="008A1471">
      <w:pPr>
        <w:pStyle w:val="ListParagraph"/>
        <w:numPr>
          <w:ilvl w:val="0"/>
          <w:numId w:val="3"/>
        </w:numPr>
        <w:rPr>
          <w:rFonts w:ascii="Arial" w:hAnsi="Arial" w:cs="Arial"/>
          <w:sz w:val="24"/>
        </w:rPr>
      </w:pPr>
      <w:r w:rsidRPr="00CE0548">
        <w:rPr>
          <w:rFonts w:ascii="Arial" w:hAnsi="Arial" w:cs="Arial"/>
          <w:sz w:val="24"/>
        </w:rPr>
        <w:t>When species (such as those associated with algae, hydroid and bryozoan turf or on rocks and shells) are incidentally collected (i.e. collected with other species that were superficially collected for identification) and no meaningful abundance can be assigned to them, they should be noted as present (P)</w:t>
      </w:r>
    </w:p>
    <w:p w:rsidR="008A1471" w:rsidRPr="00D0712C" w:rsidRDefault="00CE0548" w:rsidP="00847892">
      <w:pPr>
        <w:outlineLvl w:val="0"/>
        <w:rPr>
          <w:rFonts w:ascii="Arial" w:hAnsi="Arial" w:cs="Arial"/>
          <w:b/>
          <w:sz w:val="24"/>
        </w:rPr>
      </w:pPr>
      <w:r w:rsidRPr="00CE0548">
        <w:rPr>
          <w:rFonts w:ascii="Arial" w:hAnsi="Arial" w:cs="Arial"/>
          <w:b/>
          <w:sz w:val="24"/>
        </w:rPr>
        <w:t>Cefas notes</w:t>
      </w:r>
    </w:p>
    <w:p w:rsidR="008A1471" w:rsidRPr="00D0712C" w:rsidRDefault="00CE0548" w:rsidP="008A1471">
      <w:pPr>
        <w:pStyle w:val="ListParagraph"/>
        <w:numPr>
          <w:ilvl w:val="0"/>
          <w:numId w:val="4"/>
        </w:numPr>
        <w:rPr>
          <w:rFonts w:ascii="Arial" w:hAnsi="Arial" w:cs="Arial"/>
          <w:sz w:val="24"/>
        </w:rPr>
      </w:pPr>
      <w:r w:rsidRPr="00CE0548">
        <w:rPr>
          <w:rFonts w:ascii="Arial" w:hAnsi="Arial" w:cs="Arial"/>
          <w:sz w:val="24"/>
        </w:rPr>
        <w:t>As the count for individual taxa can never be less than 1 per photo, those in size range &gt;15 cm (e.g. Asterias) can never be scored less than Common in a photo.</w:t>
      </w:r>
    </w:p>
    <w:p w:rsidR="00AC201E" w:rsidRPr="00D0712C" w:rsidRDefault="00CE0548" w:rsidP="008A1471">
      <w:pPr>
        <w:pStyle w:val="ListParagraph"/>
        <w:numPr>
          <w:ilvl w:val="0"/>
          <w:numId w:val="4"/>
        </w:numPr>
        <w:rPr>
          <w:rFonts w:ascii="Arial" w:hAnsi="Arial" w:cs="Arial"/>
          <w:sz w:val="24"/>
        </w:rPr>
        <w:sectPr w:rsidR="00AC201E" w:rsidRPr="00D0712C" w:rsidSect="000B0397">
          <w:pgSz w:w="16838" w:h="11906" w:orient="landscape"/>
          <w:pgMar w:top="1440" w:right="1440" w:bottom="1440" w:left="1440" w:header="708" w:footer="708" w:gutter="0"/>
          <w:cols w:space="708"/>
          <w:docGrid w:linePitch="360"/>
        </w:sectPr>
      </w:pPr>
      <w:r w:rsidRPr="00CE0548">
        <w:rPr>
          <w:rFonts w:ascii="Arial" w:hAnsi="Arial" w:cs="Arial"/>
          <w:sz w:val="24"/>
        </w:rPr>
        <w:t xml:space="preserve">Similarly, size range 3-15 cm (e.g. Echinus) can never be scored less than Frequent and size range 1-3 cm (e.g. Ebalia) </w:t>
      </w:r>
      <w:r w:rsidR="005B40C5" w:rsidRPr="00CE0548">
        <w:rPr>
          <w:rFonts w:ascii="Arial" w:hAnsi="Arial" w:cs="Arial"/>
          <w:sz w:val="24"/>
        </w:rPr>
        <w:t>cannot</w:t>
      </w:r>
      <w:r w:rsidRPr="00CE0548">
        <w:rPr>
          <w:rFonts w:ascii="Arial" w:hAnsi="Arial" w:cs="Arial"/>
          <w:sz w:val="24"/>
        </w:rPr>
        <w:t xml:space="preserve"> be scored less than Occasional.</w:t>
      </w:r>
    </w:p>
    <w:p w:rsidR="00497C2E" w:rsidRDefault="00BC0C3D" w:rsidP="00DC7084">
      <w:pPr>
        <w:ind w:left="-993"/>
        <w:rPr>
          <w:rFonts w:ascii="Arial" w:hAnsi="Arial" w:cs="Arial"/>
        </w:rPr>
      </w:pPr>
      <w:r>
        <w:rPr>
          <w:rFonts w:ascii="Arial" w:hAnsi="Arial" w:cs="Arial"/>
          <w:noProof/>
          <w:sz w:val="24"/>
        </w:rPr>
        <w:lastRenderedPageBreak/>
        <w:drawing>
          <wp:inline distT="0" distB="0" distL="0" distR="0">
            <wp:extent cx="6877050" cy="991552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6877050" cy="9915525"/>
                    </a:xfrm>
                    <a:prstGeom prst="rect">
                      <a:avLst/>
                    </a:prstGeom>
                    <a:noFill/>
                    <a:ln w="1">
                      <a:noFill/>
                      <a:miter lim="800000"/>
                      <a:headEnd/>
                      <a:tailEnd/>
                    </a:ln>
                    <a:effectLst/>
                  </pic:spPr>
                </pic:pic>
              </a:graphicData>
            </a:graphic>
          </wp:inline>
        </w:drawing>
      </w:r>
    </w:p>
    <w:p w:rsidR="00497C2E" w:rsidRPr="001A5082" w:rsidRDefault="00497C2E" w:rsidP="00497C2E">
      <w:pPr>
        <w:pStyle w:val="HeadingNolevel"/>
        <w:jc w:val="both"/>
        <w:rPr>
          <w:sz w:val="22"/>
          <w:szCs w:val="22"/>
          <w:lang w:val="en-US"/>
        </w:rPr>
      </w:pPr>
      <w:r w:rsidRPr="00AF64E8">
        <w:rPr>
          <w:sz w:val="22"/>
          <w:szCs w:val="22"/>
          <w:lang w:val="en-US"/>
        </w:rPr>
        <w:lastRenderedPageBreak/>
        <w:t xml:space="preserve">Percentage cover </w:t>
      </w:r>
      <w:r>
        <w:rPr>
          <w:sz w:val="22"/>
          <w:szCs w:val="22"/>
          <w:lang w:val="en-US"/>
        </w:rPr>
        <w:t xml:space="preserve">- </w:t>
      </w:r>
      <w:r w:rsidRPr="001A5082">
        <w:rPr>
          <w:b w:val="0"/>
          <w:sz w:val="22"/>
          <w:lang w:val="en-US"/>
        </w:rPr>
        <w:t xml:space="preserve">Some organisms (e.g. sponges) have individuals that vary enormously in size whereas </w:t>
      </w:r>
      <w:r>
        <w:rPr>
          <w:b w:val="0"/>
          <w:sz w:val="22"/>
          <w:lang w:val="en-US"/>
        </w:rPr>
        <w:t>for</w:t>
      </w:r>
      <w:r w:rsidRPr="001A5082">
        <w:rPr>
          <w:b w:val="0"/>
          <w:sz w:val="22"/>
          <w:lang w:val="en-US"/>
        </w:rPr>
        <w:t xml:space="preserve"> others (e.g. colonial ascidians or zoanthids) the extent of a single individual is not obvious. In these situations, abundance should be </w:t>
      </w:r>
      <w:r>
        <w:rPr>
          <w:b w:val="0"/>
          <w:sz w:val="22"/>
          <w:lang w:val="en-US"/>
        </w:rPr>
        <w:t>recorded</w:t>
      </w:r>
      <w:r w:rsidRPr="001A5082">
        <w:rPr>
          <w:b w:val="0"/>
          <w:sz w:val="22"/>
          <w:lang w:val="en-US"/>
        </w:rPr>
        <w:t xml:space="preserve"> using percent</w:t>
      </w:r>
      <w:r>
        <w:rPr>
          <w:b w:val="0"/>
          <w:sz w:val="22"/>
          <w:lang w:val="en-US"/>
        </w:rPr>
        <w:t>age</w:t>
      </w:r>
      <w:r w:rsidRPr="001A5082">
        <w:rPr>
          <w:b w:val="0"/>
          <w:sz w:val="22"/>
          <w:lang w:val="en-US"/>
        </w:rPr>
        <w:t xml:space="preserve"> cover</w:t>
      </w:r>
      <w:r>
        <w:rPr>
          <w:b w:val="0"/>
          <w:sz w:val="22"/>
          <w:lang w:val="en-US"/>
        </w:rPr>
        <w:t>.</w:t>
      </w:r>
      <w:r w:rsidRPr="001A5082">
        <w:rPr>
          <w:b w:val="0"/>
          <w:sz w:val="22"/>
          <w:lang w:val="en-US"/>
        </w:rPr>
        <w:t xml:space="preserve"> </w:t>
      </w:r>
      <w:r>
        <w:rPr>
          <w:b w:val="0"/>
          <w:sz w:val="22"/>
          <w:lang w:val="en-US"/>
        </w:rPr>
        <w:t>The most common methods are</w:t>
      </w:r>
      <w:r w:rsidRPr="001A5082">
        <w:rPr>
          <w:b w:val="0"/>
          <w:sz w:val="22"/>
          <w:lang w:val="en-US"/>
        </w:rPr>
        <w:t>:</w:t>
      </w:r>
      <w:r w:rsidRPr="001A5082">
        <w:rPr>
          <w:sz w:val="22"/>
          <w:lang w:val="en-US"/>
        </w:rPr>
        <w:t xml:space="preserve"> </w:t>
      </w:r>
    </w:p>
    <w:p w:rsidR="00497C2E" w:rsidRDefault="00497C2E" w:rsidP="00497C2E">
      <w:pPr>
        <w:pStyle w:val="BulletPoints"/>
        <w:tabs>
          <w:tab w:val="clear" w:pos="329"/>
          <w:tab w:val="left" w:pos="426"/>
        </w:tabs>
        <w:ind w:left="426" w:hanging="426"/>
        <w:jc w:val="both"/>
        <w:rPr>
          <w:lang w:val="en-US"/>
        </w:rPr>
      </w:pPr>
      <w:r w:rsidRPr="007D6822">
        <w:rPr>
          <w:b/>
          <w:lang w:val="en-US"/>
        </w:rPr>
        <w:t>Visual estimation</w:t>
      </w:r>
      <w:r>
        <w:rPr>
          <w:lang w:val="en-US"/>
        </w:rPr>
        <w:t>, where a</w:t>
      </w:r>
      <w:r w:rsidRPr="009B7CF2">
        <w:rPr>
          <w:lang w:val="en-US"/>
        </w:rPr>
        <w:t xml:space="preserve"> quadrat is overlain on a video frame or </w:t>
      </w:r>
      <w:r w:rsidRPr="006E6784">
        <w:rPr>
          <w:lang w:val="en-US"/>
        </w:rPr>
        <w:t>still</w:t>
      </w:r>
      <w:r w:rsidRPr="009B7CF2">
        <w:rPr>
          <w:lang w:val="en-US"/>
        </w:rPr>
        <w:t xml:space="preserve"> image and the percentage cover recorded. This is the simplest procedure to undertake, but is inherently the least accurate.</w:t>
      </w:r>
      <w:r>
        <w:rPr>
          <w:lang w:val="en-US"/>
        </w:rPr>
        <w:t xml:space="preserve">  </w:t>
      </w:r>
      <w:r w:rsidR="00307DC2">
        <w:fldChar w:fldCharType="begin"/>
      </w:r>
      <w:r w:rsidR="00307DC2">
        <w:instrText xml:space="preserve"> REF _Ref422824444 \h  \* MERGEFORMAT </w:instrText>
      </w:r>
      <w:r w:rsidR="00307DC2">
        <w:fldChar w:fldCharType="separate"/>
      </w:r>
      <w:r w:rsidRPr="00247979">
        <w:t>Figure 2</w:t>
      </w:r>
      <w:r w:rsidR="00307DC2">
        <w:fldChar w:fldCharType="end"/>
      </w:r>
      <w:r>
        <w:rPr>
          <w:lang w:val="en-US"/>
        </w:rPr>
        <w:t xml:space="preserve"> provides further assistance with estimating percentage cover.</w:t>
      </w:r>
    </w:p>
    <w:p w:rsidR="00497C2E" w:rsidRDefault="00497C2E" w:rsidP="00497C2E">
      <w:pPr>
        <w:pStyle w:val="BulletPoints"/>
        <w:numPr>
          <w:ilvl w:val="0"/>
          <w:numId w:val="0"/>
        </w:numPr>
        <w:tabs>
          <w:tab w:val="clear" w:pos="329"/>
          <w:tab w:val="left" w:pos="426"/>
        </w:tabs>
        <w:ind w:left="426"/>
        <w:jc w:val="both"/>
        <w:rPr>
          <w:lang w:val="en-US"/>
        </w:rPr>
      </w:pPr>
    </w:p>
    <w:p w:rsidR="00497C2E" w:rsidRPr="00497C2E" w:rsidRDefault="00497C2E" w:rsidP="00497C2E">
      <w:pPr>
        <w:pStyle w:val="BulletPoints"/>
        <w:tabs>
          <w:tab w:val="clear" w:pos="329"/>
          <w:tab w:val="left" w:pos="426"/>
        </w:tabs>
        <w:ind w:left="426" w:hanging="426"/>
        <w:jc w:val="both"/>
        <w:rPr>
          <w:lang w:val="en-US"/>
        </w:rPr>
      </w:pPr>
      <w:r w:rsidRPr="007D6822">
        <w:rPr>
          <w:b/>
          <w:szCs w:val="22"/>
          <w:lang w:val="en-US"/>
        </w:rPr>
        <w:t>Point counts</w:t>
      </w:r>
      <w:r w:rsidRPr="007D6822">
        <w:rPr>
          <w:szCs w:val="22"/>
          <w:lang w:val="en-US"/>
        </w:rPr>
        <w:t>, where a quadrat with a pre-determined number of points (usually 50 or 100), is overlain on a video frame grab or still image</w:t>
      </w:r>
      <w:r>
        <w:rPr>
          <w:szCs w:val="22"/>
          <w:lang w:val="en-US"/>
        </w:rPr>
        <w:t>.  Points can be</w:t>
      </w:r>
      <w:r w:rsidRPr="007D6822">
        <w:rPr>
          <w:szCs w:val="22"/>
          <w:lang w:val="en-US"/>
        </w:rPr>
        <w:t xml:space="preserve"> either randomly or evenly spaced, and the percentage of those points which contain the organism in question is recorded. </w:t>
      </w:r>
      <w:r>
        <w:rPr>
          <w:szCs w:val="22"/>
          <w:lang w:val="en-US"/>
        </w:rPr>
        <w:t>Points</w:t>
      </w:r>
      <w:r w:rsidRPr="007D6822">
        <w:rPr>
          <w:szCs w:val="22"/>
          <w:lang w:val="en-US"/>
        </w:rPr>
        <w:t xml:space="preserve"> could also be stratified if two or more clear habitats were in all quadrats. Point counts </w:t>
      </w:r>
      <w:r>
        <w:rPr>
          <w:szCs w:val="22"/>
          <w:lang w:val="en-US"/>
        </w:rPr>
        <w:t>can be</w:t>
      </w:r>
      <w:r w:rsidRPr="007D6822">
        <w:rPr>
          <w:szCs w:val="22"/>
          <w:lang w:val="en-US"/>
        </w:rPr>
        <w:t xml:space="preserve"> sensitive to change</w:t>
      </w:r>
      <w:r>
        <w:rPr>
          <w:szCs w:val="22"/>
          <w:lang w:val="en-US"/>
        </w:rPr>
        <w:t xml:space="preserve"> </w:t>
      </w:r>
      <w:r w:rsidRPr="007D6822">
        <w:rPr>
          <w:szCs w:val="22"/>
          <w:lang w:val="en-US"/>
        </w:rPr>
        <w:t xml:space="preserve">if a statistically valid number of points </w:t>
      </w:r>
      <w:r>
        <w:rPr>
          <w:szCs w:val="22"/>
          <w:lang w:val="en-US"/>
        </w:rPr>
        <w:t>is</w:t>
      </w:r>
      <w:r w:rsidRPr="005B40C5">
        <w:rPr>
          <w:szCs w:val="22"/>
        </w:rPr>
        <w:t xml:space="preserve"> analysed</w:t>
      </w:r>
      <w:r w:rsidRPr="007D6822">
        <w:rPr>
          <w:szCs w:val="22"/>
          <w:lang w:val="en-US"/>
        </w:rPr>
        <w:t>,</w:t>
      </w:r>
      <w:r>
        <w:rPr>
          <w:szCs w:val="22"/>
          <w:lang w:val="en-US"/>
        </w:rPr>
        <w:t xml:space="preserve"> </w:t>
      </w:r>
      <w:r w:rsidRPr="007D6822">
        <w:rPr>
          <w:szCs w:val="22"/>
          <w:lang w:val="en-US"/>
        </w:rPr>
        <w:t xml:space="preserve">but can result in </w:t>
      </w:r>
      <w:r>
        <w:rPr>
          <w:szCs w:val="22"/>
          <w:lang w:val="en-US"/>
        </w:rPr>
        <w:t>the failure to record</w:t>
      </w:r>
      <w:r w:rsidRPr="007D6822">
        <w:rPr>
          <w:szCs w:val="22"/>
          <w:lang w:val="en-US"/>
        </w:rPr>
        <w:t xml:space="preserve"> rare organisms</w:t>
      </w:r>
      <w:r>
        <w:rPr>
          <w:szCs w:val="22"/>
          <w:lang w:val="en-US"/>
        </w:rPr>
        <w:t>,</w:t>
      </w:r>
      <w:r w:rsidRPr="007D6822">
        <w:rPr>
          <w:szCs w:val="22"/>
          <w:lang w:val="en-US"/>
        </w:rPr>
        <w:t xml:space="preserve"> </w:t>
      </w:r>
      <w:r>
        <w:rPr>
          <w:szCs w:val="22"/>
          <w:lang w:val="en-US"/>
        </w:rPr>
        <w:t>thus</w:t>
      </w:r>
      <w:r w:rsidRPr="007D6822">
        <w:rPr>
          <w:szCs w:val="22"/>
          <w:lang w:val="en-US"/>
        </w:rPr>
        <w:t xml:space="preserve"> underestimat</w:t>
      </w:r>
      <w:r>
        <w:rPr>
          <w:szCs w:val="22"/>
          <w:lang w:val="en-US"/>
        </w:rPr>
        <w:t>e</w:t>
      </w:r>
      <w:r w:rsidRPr="007D6822">
        <w:rPr>
          <w:szCs w:val="22"/>
          <w:lang w:val="en-US"/>
        </w:rPr>
        <w:t xml:space="preserve"> species richness. </w:t>
      </w:r>
    </w:p>
    <w:p w:rsidR="00497C2E" w:rsidRDefault="00497C2E" w:rsidP="005118E9">
      <w:pPr>
        <w:pStyle w:val="BulletPoints"/>
        <w:numPr>
          <w:ilvl w:val="0"/>
          <w:numId w:val="0"/>
        </w:numPr>
        <w:tabs>
          <w:tab w:val="clear" w:pos="329"/>
          <w:tab w:val="left" w:pos="426"/>
        </w:tabs>
        <w:ind w:left="426"/>
        <w:jc w:val="both"/>
        <w:rPr>
          <w:rFonts w:asciiTheme="minorHAnsi" w:eastAsiaTheme="minorEastAsia" w:hAnsiTheme="minorHAnsi" w:cstheme="minorBidi"/>
          <w:iCs w:val="0"/>
          <w:szCs w:val="22"/>
          <w:lang w:val="en-US" w:eastAsia="en-GB"/>
        </w:rPr>
      </w:pPr>
    </w:p>
    <w:p w:rsidR="00497C2E" w:rsidRPr="00247979" w:rsidRDefault="00497C2E" w:rsidP="005118E9">
      <w:pPr>
        <w:pStyle w:val="BulletPoints"/>
        <w:numPr>
          <w:ilvl w:val="0"/>
          <w:numId w:val="0"/>
        </w:numPr>
        <w:tabs>
          <w:tab w:val="clear" w:pos="329"/>
          <w:tab w:val="left" w:pos="426"/>
        </w:tabs>
        <w:jc w:val="both"/>
        <w:rPr>
          <w:lang w:val="en-US"/>
        </w:rPr>
      </w:pP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t>50% cover</w:t>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r>
      <w:r>
        <w:rPr>
          <w:rFonts w:asciiTheme="minorHAnsi" w:eastAsiaTheme="minorEastAsia" w:hAnsiTheme="minorHAnsi" w:cstheme="minorBidi"/>
          <w:iCs w:val="0"/>
          <w:szCs w:val="22"/>
          <w:lang w:val="en-US" w:eastAsia="en-GB"/>
        </w:rPr>
        <w:tab/>
        <w:t>25% cover</w:t>
      </w:r>
    </w:p>
    <w:p w:rsidR="00497C2E" w:rsidRDefault="00497C2E" w:rsidP="005118E9">
      <w:pPr>
        <w:rPr>
          <w:rFonts w:ascii="Arial" w:hAnsi="Arial" w:cs="Arial"/>
        </w:rPr>
      </w:pPr>
      <w:r>
        <w:rPr>
          <w:rFonts w:ascii="Gill Sans MT" w:hAnsi="Gill Sans MT"/>
          <w:noProof/>
        </w:rPr>
        <w:t xml:space="preserve"> </w:t>
      </w:r>
      <w:r w:rsidRPr="002149F5">
        <w:rPr>
          <w:rFonts w:ascii="Gill Sans MT" w:hAnsi="Gill Sans MT"/>
          <w:noProof/>
        </w:rPr>
        <w:drawing>
          <wp:inline distT="0" distB="0" distL="0" distR="0">
            <wp:extent cx="2105739" cy="2114550"/>
            <wp:effectExtent l="0" t="0" r="8890" b="0"/>
            <wp:docPr id="74" name="Picture 2" descr="fi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fty"/>
                    <pic:cNvPicPr>
                      <a:picLocks noChangeAspect="1" noChangeArrowheads="1"/>
                    </pic:cNvPicPr>
                  </pic:nvPicPr>
                  <pic:blipFill>
                    <a:blip r:embed="rId19" cstate="print"/>
                    <a:srcRect/>
                    <a:stretch>
                      <a:fillRect/>
                    </a:stretch>
                  </pic:blipFill>
                  <pic:spPr bwMode="auto">
                    <a:xfrm>
                      <a:off x="0" y="0"/>
                      <a:ext cx="2110911" cy="2119743"/>
                    </a:xfrm>
                    <a:prstGeom prst="rect">
                      <a:avLst/>
                    </a:prstGeom>
                    <a:noFill/>
                    <a:ln w="9525">
                      <a:noFill/>
                      <a:miter lim="800000"/>
                      <a:headEnd/>
                      <a:tailEnd/>
                    </a:ln>
                  </pic:spPr>
                </pic:pic>
              </a:graphicData>
            </a:graphic>
          </wp:inline>
        </w:drawing>
      </w:r>
      <w:r>
        <w:rPr>
          <w:rFonts w:ascii="Gill Sans MT" w:hAnsi="Gill Sans MT"/>
          <w:noProof/>
        </w:rPr>
        <w:t xml:space="preserve">        </w:t>
      </w:r>
      <w:r w:rsidRPr="002149F5">
        <w:rPr>
          <w:rFonts w:ascii="Gill Sans MT" w:hAnsi="Gill Sans MT"/>
          <w:noProof/>
        </w:rPr>
        <w:drawing>
          <wp:inline distT="0" distB="0" distL="0" distR="0">
            <wp:extent cx="2109324" cy="2124075"/>
            <wp:effectExtent l="0" t="0" r="5715" b="0"/>
            <wp:docPr id="75" name="Picture 3" descr="twenty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ntyfive"/>
                    <pic:cNvPicPr>
                      <a:picLocks noChangeAspect="1" noChangeArrowheads="1"/>
                    </pic:cNvPicPr>
                  </pic:nvPicPr>
                  <pic:blipFill>
                    <a:blip r:embed="rId20" cstate="print"/>
                    <a:srcRect/>
                    <a:stretch>
                      <a:fillRect/>
                    </a:stretch>
                  </pic:blipFill>
                  <pic:spPr bwMode="auto">
                    <a:xfrm>
                      <a:off x="0" y="0"/>
                      <a:ext cx="2108064" cy="2122806"/>
                    </a:xfrm>
                    <a:prstGeom prst="rect">
                      <a:avLst/>
                    </a:prstGeom>
                    <a:noFill/>
                    <a:ln w="9525">
                      <a:noFill/>
                      <a:miter lim="800000"/>
                      <a:headEnd/>
                      <a:tailEnd/>
                    </a:ln>
                  </pic:spPr>
                </pic:pic>
              </a:graphicData>
            </a:graphic>
          </wp:inline>
        </w:drawing>
      </w:r>
    </w:p>
    <w:p w:rsidR="00497C2E" w:rsidRDefault="00497C2E" w:rsidP="005118E9">
      <w:pPr>
        <w:ind w:left="720" w:firstLine="720"/>
        <w:rPr>
          <w:rFonts w:ascii="Arial" w:hAnsi="Arial" w:cs="Arial"/>
        </w:rPr>
      </w:pPr>
      <w:r>
        <w:rPr>
          <w:rFonts w:ascii="Arial" w:hAnsi="Arial" w:cs="Arial"/>
        </w:rPr>
        <w:t>10% cover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cover</w:t>
      </w:r>
    </w:p>
    <w:p w:rsidR="00497C2E" w:rsidRDefault="00497C2E" w:rsidP="005118E9">
      <w:pPr>
        <w:rPr>
          <w:rFonts w:ascii="Arial" w:hAnsi="Arial" w:cs="Arial"/>
        </w:rPr>
      </w:pPr>
      <w:r>
        <w:rPr>
          <w:rFonts w:ascii="Gill Sans MT" w:hAnsi="Gill Sans MT"/>
          <w:noProof/>
        </w:rPr>
        <w:t xml:space="preserve"> </w:t>
      </w:r>
      <w:r w:rsidRPr="002149F5">
        <w:rPr>
          <w:rFonts w:ascii="Gill Sans MT" w:hAnsi="Gill Sans MT"/>
          <w:noProof/>
        </w:rPr>
        <w:drawing>
          <wp:inline distT="0" distB="0" distL="0" distR="0">
            <wp:extent cx="2162175" cy="2162175"/>
            <wp:effectExtent l="0" t="0" r="9525" b="9525"/>
            <wp:docPr id="76" name="Picture 4" desc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
                    <pic:cNvPicPr>
                      <a:picLocks noChangeAspect="1" noChangeArrowheads="1"/>
                    </pic:cNvPicPr>
                  </pic:nvPicPr>
                  <pic:blipFill>
                    <a:blip r:embed="rId21" cstate="print"/>
                    <a:srcRect/>
                    <a:stretch>
                      <a:fillRect/>
                    </a:stretch>
                  </pic:blipFill>
                  <pic:spPr bwMode="auto">
                    <a:xfrm>
                      <a:off x="0" y="0"/>
                      <a:ext cx="2158751" cy="2158751"/>
                    </a:xfrm>
                    <a:prstGeom prst="rect">
                      <a:avLst/>
                    </a:prstGeom>
                    <a:noFill/>
                    <a:ln w="9525">
                      <a:noFill/>
                      <a:miter lim="800000"/>
                      <a:headEnd/>
                      <a:tailEnd/>
                    </a:ln>
                  </pic:spPr>
                </pic:pic>
              </a:graphicData>
            </a:graphic>
          </wp:inline>
        </w:drawing>
      </w:r>
      <w:r>
        <w:rPr>
          <w:rFonts w:ascii="Gill Sans MT" w:hAnsi="Gill Sans MT"/>
          <w:noProof/>
        </w:rPr>
        <w:t xml:space="preserve">       </w:t>
      </w:r>
      <w:r w:rsidRPr="002149F5">
        <w:rPr>
          <w:rFonts w:ascii="Gill Sans MT" w:hAnsi="Gill Sans MT"/>
          <w:noProof/>
        </w:rPr>
        <w:drawing>
          <wp:inline distT="0" distB="0" distL="0" distR="0">
            <wp:extent cx="2143125" cy="2168601"/>
            <wp:effectExtent l="0" t="0" r="0" b="3175"/>
            <wp:docPr id="77" name="Picture 6"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ve"/>
                    <pic:cNvPicPr>
                      <a:picLocks noChangeAspect="1" noChangeArrowheads="1"/>
                    </pic:cNvPicPr>
                  </pic:nvPicPr>
                  <pic:blipFill>
                    <a:blip r:embed="rId22" cstate="print"/>
                    <a:srcRect/>
                    <a:stretch>
                      <a:fillRect/>
                    </a:stretch>
                  </pic:blipFill>
                  <pic:spPr bwMode="auto">
                    <a:xfrm>
                      <a:off x="0" y="0"/>
                      <a:ext cx="2152714" cy="2178304"/>
                    </a:xfrm>
                    <a:prstGeom prst="rect">
                      <a:avLst/>
                    </a:prstGeom>
                    <a:noFill/>
                    <a:ln w="9525">
                      <a:noFill/>
                      <a:miter lim="800000"/>
                      <a:headEnd/>
                      <a:tailEnd/>
                    </a:ln>
                  </pic:spPr>
                </pic:pic>
              </a:graphicData>
            </a:graphic>
          </wp:inline>
        </w:drawing>
      </w:r>
    </w:p>
    <w:p w:rsidR="00497C2E" w:rsidRDefault="00497C2E" w:rsidP="00497C2E">
      <w:pPr>
        <w:pStyle w:val="BulletPoints"/>
        <w:numPr>
          <w:ilvl w:val="0"/>
          <w:numId w:val="0"/>
        </w:numPr>
        <w:tabs>
          <w:tab w:val="clear" w:pos="329"/>
          <w:tab w:val="left" w:pos="426"/>
        </w:tabs>
        <w:jc w:val="both"/>
      </w:pPr>
      <w:bookmarkStart w:id="37" w:name="_Ref422824444"/>
      <w:r w:rsidRPr="00247979">
        <w:rPr>
          <w:b/>
        </w:rPr>
        <w:t xml:space="preserve">Figure </w:t>
      </w:r>
      <w:r w:rsidR="00E53FBD" w:rsidRPr="00247979">
        <w:rPr>
          <w:b/>
        </w:rPr>
        <w:fldChar w:fldCharType="begin"/>
      </w:r>
      <w:r w:rsidRPr="00247979">
        <w:rPr>
          <w:b/>
        </w:rPr>
        <w:instrText xml:space="preserve"> SEQ Figure \* ARABIC </w:instrText>
      </w:r>
      <w:r w:rsidR="00E53FBD" w:rsidRPr="00247979">
        <w:rPr>
          <w:b/>
        </w:rPr>
        <w:fldChar w:fldCharType="separate"/>
      </w:r>
      <w:r>
        <w:rPr>
          <w:b/>
          <w:noProof/>
        </w:rPr>
        <w:t>2</w:t>
      </w:r>
      <w:r w:rsidR="00E53FBD" w:rsidRPr="00247979">
        <w:rPr>
          <w:b/>
        </w:rPr>
        <w:fldChar w:fldCharType="end"/>
      </w:r>
      <w:bookmarkEnd w:id="37"/>
      <w:r w:rsidRPr="00247979">
        <w:rPr>
          <w:b/>
        </w:rPr>
        <w:t>.</w:t>
      </w:r>
      <w:r>
        <w:t xml:space="preserve"> Graphical illustrations to assist with estimation of percentage cover (from Envision 2010, video ring test analysis tools).</w:t>
      </w:r>
    </w:p>
    <w:p w:rsidR="00497C2E" w:rsidRPr="00D0712C" w:rsidRDefault="00497C2E" w:rsidP="005118E9">
      <w:pPr>
        <w:rPr>
          <w:rFonts w:ascii="Arial" w:hAnsi="Arial" w:cs="Arial"/>
        </w:rPr>
        <w:sectPr w:rsidR="00497C2E" w:rsidRPr="00D0712C" w:rsidSect="00AC201E">
          <w:pgSz w:w="11906" w:h="16838"/>
          <w:pgMar w:top="568" w:right="1440" w:bottom="284" w:left="1440" w:header="708" w:footer="708" w:gutter="0"/>
          <w:cols w:space="708"/>
          <w:docGrid w:linePitch="360"/>
        </w:sectPr>
      </w:pPr>
    </w:p>
    <w:p w:rsidR="008A1471" w:rsidRPr="00F43F1E" w:rsidRDefault="00CE0548" w:rsidP="00847892">
      <w:pPr>
        <w:pStyle w:val="Heading1"/>
        <w:rPr>
          <w:rFonts w:ascii="Arial" w:hAnsi="Arial" w:cs="Arial"/>
          <w:color w:val="auto"/>
        </w:rPr>
      </w:pPr>
      <w:r w:rsidRPr="00F43F1E">
        <w:rPr>
          <w:rFonts w:ascii="Arial" w:hAnsi="Arial" w:cs="Arial"/>
          <w:color w:val="auto"/>
        </w:rPr>
        <w:lastRenderedPageBreak/>
        <w:t>Annex 2. ‘Modified’ Folk Trigon</w:t>
      </w:r>
    </w:p>
    <w:p w:rsidR="00240821" w:rsidRPr="00D0712C" w:rsidRDefault="00BC0C3D" w:rsidP="00240821">
      <w:pPr>
        <w:rPr>
          <w:rFonts w:ascii="Arial" w:hAnsi="Arial" w:cs="Arial"/>
        </w:rPr>
      </w:pPr>
      <w:r>
        <w:rPr>
          <w:rFonts w:ascii="Arial" w:hAnsi="Arial" w:cs="Arial"/>
          <w:noProof/>
        </w:rPr>
        <w:drawing>
          <wp:inline distT="0" distB="0" distL="0" distR="0">
            <wp:extent cx="9925050" cy="5090221"/>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9933643" cy="5094628"/>
                    </a:xfrm>
                    <a:prstGeom prst="rect">
                      <a:avLst/>
                    </a:prstGeom>
                    <a:noFill/>
                  </pic:spPr>
                </pic:pic>
              </a:graphicData>
            </a:graphic>
          </wp:inline>
        </w:drawing>
      </w:r>
    </w:p>
    <w:p w:rsidR="00EE7092" w:rsidRPr="00D0712C" w:rsidRDefault="00D9300F" w:rsidP="00DC7084">
      <w:pPr>
        <w:pStyle w:val="ListParagraph"/>
        <w:numPr>
          <w:ilvl w:val="0"/>
          <w:numId w:val="5"/>
        </w:numPr>
        <w:rPr>
          <w:rFonts w:ascii="Arial" w:hAnsi="Arial" w:cs="Arial"/>
          <w:sz w:val="24"/>
          <w:szCs w:val="24"/>
        </w:rPr>
        <w:sectPr w:rsidR="00EE7092" w:rsidRPr="00D0712C" w:rsidSect="00DC7084">
          <w:pgSz w:w="16838" w:h="11906" w:orient="landscape"/>
          <w:pgMar w:top="567" w:right="568" w:bottom="1440" w:left="284" w:header="708" w:footer="708" w:gutter="0"/>
          <w:cols w:space="708"/>
          <w:docGrid w:linePitch="360"/>
        </w:sectPr>
      </w:pPr>
      <w:r w:rsidRPr="00D0712C">
        <w:rPr>
          <w:rFonts w:ascii="Arial" w:hAnsi="Arial" w:cs="Arial"/>
          <w:sz w:val="24"/>
          <w:szCs w:val="24"/>
        </w:rPr>
        <w:lastRenderedPageBreak/>
        <w:t xml:space="preserve">‘Modified’ </w:t>
      </w:r>
      <w:r w:rsidR="00DC7084" w:rsidRPr="00D0712C">
        <w:rPr>
          <w:rFonts w:ascii="Arial" w:hAnsi="Arial" w:cs="Arial"/>
          <w:sz w:val="24"/>
          <w:szCs w:val="24"/>
        </w:rPr>
        <w:t>Folk trigon (left) showing the classification used by the UK SeaMap and MESH projects to assign Folk sediment classes to the four broader sediment classes used in the EUNIS habitat classification scheme  (after Long, 2006)</w:t>
      </w:r>
    </w:p>
    <w:p w:rsidR="00EE7092" w:rsidRPr="00F43F1E" w:rsidRDefault="00CE0548" w:rsidP="00847892">
      <w:pPr>
        <w:pStyle w:val="Heading1"/>
        <w:rPr>
          <w:rFonts w:ascii="Arial" w:hAnsi="Arial" w:cs="Arial"/>
          <w:color w:val="auto"/>
        </w:rPr>
      </w:pPr>
      <w:bookmarkStart w:id="38" w:name="_Toc332122739"/>
      <w:bookmarkStart w:id="39" w:name="_Toc332458689"/>
      <w:r w:rsidRPr="00F43F1E">
        <w:rPr>
          <w:rFonts w:ascii="Arial" w:hAnsi="Arial" w:cs="Arial"/>
          <w:color w:val="auto"/>
        </w:rPr>
        <w:lastRenderedPageBreak/>
        <w:t>Annex 3.  Broadscale habitat features listed in the ENG.</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7033"/>
        <w:gridCol w:w="2209"/>
      </w:tblGrid>
      <w:tr w:rsidR="00EE7092" w:rsidRPr="00D0712C" w:rsidTr="00E81AC3">
        <w:tc>
          <w:tcPr>
            <w:tcW w:w="7033" w:type="dxa"/>
            <w:tcBorders>
              <w:right w:val="single" w:sz="4" w:space="0" w:color="auto"/>
            </w:tcBorders>
            <w:shd w:val="clear" w:color="auto" w:fill="C6D9F1" w:themeFill="text2" w:themeFillTint="33"/>
          </w:tcPr>
          <w:p w:rsidR="00EE7092" w:rsidRPr="00D0712C" w:rsidRDefault="00EE7092" w:rsidP="00E81AC3">
            <w:pPr>
              <w:pStyle w:val="Tabletext"/>
              <w:rPr>
                <w:rFonts w:cs="Arial"/>
                <w:b/>
              </w:rPr>
            </w:pPr>
            <w:r w:rsidRPr="00D0712C">
              <w:rPr>
                <w:rFonts w:cs="Arial"/>
                <w:b/>
              </w:rPr>
              <w:t>Broadscale Habitat Type</w:t>
            </w:r>
          </w:p>
        </w:tc>
        <w:tc>
          <w:tcPr>
            <w:tcW w:w="2209" w:type="dxa"/>
            <w:tcBorders>
              <w:left w:val="single" w:sz="4" w:space="0" w:color="auto"/>
            </w:tcBorders>
            <w:shd w:val="clear" w:color="auto" w:fill="C6D9F1" w:themeFill="text2" w:themeFillTint="33"/>
          </w:tcPr>
          <w:p w:rsidR="00EE7092" w:rsidRPr="00D0712C" w:rsidRDefault="00EE7092" w:rsidP="00E81AC3">
            <w:pPr>
              <w:pStyle w:val="Tabletext"/>
              <w:jc w:val="center"/>
              <w:rPr>
                <w:rFonts w:cs="Arial"/>
                <w:b/>
              </w:rPr>
            </w:pPr>
            <w:r w:rsidRPr="00D0712C">
              <w:rPr>
                <w:rFonts w:cs="Arial"/>
                <w:b/>
              </w:rPr>
              <w:t>EUNIS Level 3 Code</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High Energy Intertidal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A1.1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Moderate Energy Intertidal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A1.2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Low Energy Intertidal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A1.3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Coarse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Sand and Muddy Sand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Mud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Mixed Sediments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A2.4</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Coastal Saltmarshes and Saline Reed Beds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A2.5</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Sediments Dominated by Aquatic Angiosperms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A2.6</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Intertidal Biogenic Reefs</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A2.7</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High Energy Infralittoral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A3.1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Moderate Energy Infralittoral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A3.2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Low Energy Infralittoral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A3.3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High Energy Circalittoral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A4.1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Moderate Energy Circalittoral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A4.2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Low Energy Circalittoral Rock**</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A4.3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Coarse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A5.1</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Sand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A5.2</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Mud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A5.3</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Mixed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A5.4</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Macrophyte Dominated Sediment</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A5.5</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Subtidal Biogenic Reef</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A5.6</w:t>
            </w:r>
          </w:p>
        </w:tc>
      </w:tr>
      <w:tr w:rsidR="00EE7092" w:rsidRPr="00D0712C" w:rsidTr="00E81AC3">
        <w:tc>
          <w:tcPr>
            <w:tcW w:w="7033" w:type="dxa"/>
            <w:tcBorders>
              <w:right w:val="single" w:sz="4" w:space="0" w:color="auto"/>
            </w:tcBorders>
          </w:tcPr>
          <w:p w:rsidR="00EE7092" w:rsidRPr="00D0712C" w:rsidRDefault="00EE7092" w:rsidP="00E81AC3">
            <w:pPr>
              <w:pStyle w:val="Tabletext"/>
              <w:rPr>
                <w:rFonts w:cs="Arial"/>
              </w:rPr>
            </w:pPr>
            <w:r w:rsidRPr="00D0712C">
              <w:rPr>
                <w:rFonts w:cs="Arial"/>
              </w:rPr>
              <w:t>Deep Seabed***</w:t>
            </w:r>
          </w:p>
        </w:tc>
        <w:tc>
          <w:tcPr>
            <w:tcW w:w="2209" w:type="dxa"/>
            <w:tcBorders>
              <w:left w:val="single" w:sz="4" w:space="0" w:color="auto"/>
            </w:tcBorders>
          </w:tcPr>
          <w:p w:rsidR="00EE7092" w:rsidRPr="00D0712C" w:rsidRDefault="00EE7092" w:rsidP="00E81AC3">
            <w:pPr>
              <w:pStyle w:val="Tabletext"/>
              <w:ind w:left="764"/>
              <w:rPr>
                <w:rFonts w:cs="Arial"/>
              </w:rPr>
            </w:pPr>
            <w:r w:rsidRPr="00D0712C">
              <w:rPr>
                <w:rFonts w:cs="Arial"/>
              </w:rPr>
              <w:t>A6</w:t>
            </w:r>
          </w:p>
        </w:tc>
      </w:tr>
    </w:tbl>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*Infralittoral rock includes habitats of bedrock, boulders and cobble which occur in the shallow subtidal zone and typically support seaweed communities</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**Circalittoral rock includes habitats of bedrock, boulders and cobble characterised by animal dominated communities, rather than seaweed dominated communities</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***The deep seabed broadscale habitat encompasses several different habitat sub-types, all of which should be protected within the MPA network.  The broadscale habitat deep seabed habitat is found only in the southwest of the MCZ project area and MCZs identified for this broadscale habitat should seek to protect the variety of sub-types known to occur in the region.</w:t>
      </w:r>
    </w:p>
    <w:p w:rsidR="00EE7092" w:rsidRPr="00D0712C" w:rsidRDefault="00CE0548">
      <w:pPr>
        <w:rPr>
          <w:rFonts w:ascii="Arial" w:eastAsiaTheme="majorEastAsia" w:hAnsi="Arial" w:cs="Arial"/>
          <w:b/>
          <w:bCs/>
          <w:color w:val="365F91" w:themeColor="accent1" w:themeShade="BF"/>
          <w:sz w:val="28"/>
          <w:szCs w:val="28"/>
        </w:rPr>
      </w:pPr>
      <w:bookmarkStart w:id="40" w:name="_Toc332122740"/>
      <w:bookmarkStart w:id="41" w:name="_Toc332458690"/>
      <w:r w:rsidRPr="00CE0548">
        <w:rPr>
          <w:rFonts w:ascii="Arial" w:hAnsi="Arial" w:cs="Arial"/>
        </w:rPr>
        <w:br w:type="page"/>
      </w:r>
    </w:p>
    <w:p w:rsidR="00EE7092" w:rsidRPr="00F43F1E" w:rsidRDefault="00CE0548" w:rsidP="00847892">
      <w:pPr>
        <w:pStyle w:val="Heading1"/>
        <w:rPr>
          <w:rFonts w:ascii="Arial" w:hAnsi="Arial" w:cs="Arial"/>
          <w:color w:val="auto"/>
        </w:rPr>
      </w:pPr>
      <w:r w:rsidRPr="00F43F1E">
        <w:rPr>
          <w:rFonts w:ascii="Arial" w:hAnsi="Arial" w:cs="Arial"/>
          <w:color w:val="auto"/>
        </w:rPr>
        <w:lastRenderedPageBreak/>
        <w:t>Annex 4.  Habitat FOCI listed in the ENG.</w:t>
      </w:r>
      <w:bookmarkEnd w:id="40"/>
      <w:bookmarkEnd w:id="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E7092" w:rsidRPr="00D0712C" w:rsidTr="00E81AC3">
        <w:tc>
          <w:tcPr>
            <w:tcW w:w="9322" w:type="dxa"/>
            <w:shd w:val="clear" w:color="auto" w:fill="C6D9F1" w:themeFill="text2" w:themeFillTint="33"/>
          </w:tcPr>
          <w:p w:rsidR="00EE7092" w:rsidRPr="00D0712C" w:rsidRDefault="00EE7092" w:rsidP="00E81AC3">
            <w:pPr>
              <w:pStyle w:val="Tabletext"/>
              <w:rPr>
                <w:rFonts w:cs="Arial"/>
                <w:b/>
              </w:rPr>
            </w:pPr>
            <w:r w:rsidRPr="00D0712C">
              <w:rPr>
                <w:rFonts w:cs="Arial"/>
                <w:b/>
              </w:rPr>
              <w:t>Habitat Features of Conservation Importance (FOCI)</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Blue Mussel Beds (including intertidal beds on mixed and sandy sediments)**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Coldwater Coral Reefs ***</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Coral Gardens***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Deepsea Sponge Aggregations***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Estuarine Rocky Habitats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File Shell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Fragile Sponge and Anthozoan Communities on Subtidal Rocky Habitats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Intertidal Underboulder Communities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Littoral Chalk Communities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Maerl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Horse Mussel (</w:t>
            </w:r>
            <w:r w:rsidRPr="00D0712C">
              <w:rPr>
                <w:rFonts w:cs="Arial"/>
                <w:i/>
              </w:rPr>
              <w:t>Modiolus modiolus</w:t>
            </w:r>
            <w:r w:rsidRPr="00D0712C">
              <w:rPr>
                <w:rFonts w:cs="Arial"/>
              </w:rPr>
              <w:t>)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Mud Habitats in Deepwater</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Sea Pen and Burrowing Megafauna Communities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Native Oyster (</w:t>
            </w:r>
            <w:r w:rsidRPr="00D0712C">
              <w:rPr>
                <w:rFonts w:cs="Arial"/>
                <w:i/>
              </w:rPr>
              <w:t>Ostrea edulis</w:t>
            </w:r>
            <w:r w:rsidRPr="00D0712C">
              <w:rPr>
                <w:rFonts w:cs="Arial"/>
              </w:rPr>
              <w:t>)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Peat and Clay Exposures</w:t>
            </w:r>
          </w:p>
        </w:tc>
      </w:tr>
      <w:tr w:rsidR="00EE7092" w:rsidRPr="00D0712C" w:rsidTr="00E81AC3">
        <w:tc>
          <w:tcPr>
            <w:tcW w:w="9322" w:type="dxa"/>
          </w:tcPr>
          <w:p w:rsidR="00EE7092" w:rsidRPr="00D0712C" w:rsidRDefault="00EE7092" w:rsidP="00E81AC3">
            <w:pPr>
              <w:pStyle w:val="Tabletext"/>
              <w:rPr>
                <w:rFonts w:cs="Arial"/>
                <w:lang w:val="es-ES_tradnl"/>
              </w:rPr>
            </w:pPr>
            <w:r w:rsidRPr="00D0712C">
              <w:rPr>
                <w:rFonts w:cs="Arial"/>
                <w:lang w:val="es-ES_tradnl"/>
              </w:rPr>
              <w:t>Honeycomb Worm (</w:t>
            </w:r>
            <w:r w:rsidRPr="00D0712C">
              <w:rPr>
                <w:rFonts w:cs="Arial"/>
                <w:i/>
                <w:lang w:val="es-ES_tradnl"/>
              </w:rPr>
              <w:t>Sabellaria alveolata</w:t>
            </w:r>
            <w:r w:rsidRPr="00D0712C">
              <w:rPr>
                <w:rFonts w:cs="Arial"/>
                <w:lang w:val="es-ES_tradnl"/>
              </w:rPr>
              <w:t>) reefs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Ross Worm (</w:t>
            </w:r>
            <w:r w:rsidRPr="00D0712C">
              <w:rPr>
                <w:rFonts w:cs="Arial"/>
                <w:i/>
              </w:rPr>
              <w:t>Sabellaria spinulosa</w:t>
            </w:r>
            <w:r w:rsidR="00CE0548" w:rsidRPr="00CE0548">
              <w:rPr>
                <w:rFonts w:cs="Arial"/>
              </w:rPr>
              <w:t>) reefs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Seagrass Beds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Sheltered Muddy Gravels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Subtidal Chalk</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Subtidal Sands and Gravels</w:t>
            </w:r>
          </w:p>
        </w:tc>
      </w:tr>
      <w:tr w:rsidR="00EE7092" w:rsidRPr="00D0712C" w:rsidTr="00E81AC3">
        <w:tc>
          <w:tcPr>
            <w:tcW w:w="9322" w:type="dxa"/>
          </w:tcPr>
          <w:p w:rsidR="00EE7092" w:rsidRPr="00D0712C" w:rsidRDefault="00EE7092" w:rsidP="00E81AC3">
            <w:pPr>
              <w:pStyle w:val="Tabletext"/>
              <w:rPr>
                <w:rFonts w:cs="Arial"/>
              </w:rPr>
            </w:pPr>
            <w:r w:rsidRPr="00D0712C">
              <w:rPr>
                <w:rFonts w:cs="Arial"/>
              </w:rPr>
              <w:t>Tide-Swept Channels</w:t>
            </w:r>
          </w:p>
        </w:tc>
      </w:tr>
    </w:tbl>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 Habitat FOCI have been identified from the ‘OSPAR List of Threatened and/or Declining Species and Habitats’ and the ‘UK List of Priority Species and Habitats (UK BAP)’.</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**Only includes ‘natural’ beds on a variety of sediment types.  Excludes artificially created mussel beds and those which occur on rocks and boulders.</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***Coldwater coral reefs, coral gardens, deep sea sponge aggregations and file shell beds currently do not have distributional data which demonstrate their presence within the MCZ project area.</w:t>
      </w:r>
    </w:p>
    <w:p w:rsidR="00EE7092" w:rsidRPr="00D0712C" w:rsidRDefault="00CE0548">
      <w:pPr>
        <w:rPr>
          <w:rFonts w:ascii="Arial" w:hAnsi="Arial" w:cs="Arial"/>
        </w:rPr>
      </w:pPr>
      <w:bookmarkStart w:id="42" w:name="_Toc332122741"/>
      <w:bookmarkStart w:id="43" w:name="_Toc332458691"/>
      <w:r w:rsidRPr="00CE0548">
        <w:rPr>
          <w:rFonts w:ascii="Arial" w:hAnsi="Arial" w:cs="Arial"/>
        </w:rPr>
        <w:br w:type="page"/>
      </w:r>
    </w:p>
    <w:p w:rsidR="00FC2605" w:rsidRPr="00F43F1E" w:rsidRDefault="00CE0548" w:rsidP="00847892">
      <w:pPr>
        <w:pStyle w:val="Heading1"/>
        <w:rPr>
          <w:rFonts w:ascii="Arial" w:hAnsi="Arial" w:cs="Arial"/>
          <w:color w:val="auto"/>
        </w:rPr>
      </w:pPr>
      <w:r w:rsidRPr="00F43F1E">
        <w:rPr>
          <w:rFonts w:ascii="Arial" w:hAnsi="Arial" w:cs="Arial"/>
          <w:color w:val="auto"/>
        </w:rPr>
        <w:lastRenderedPageBreak/>
        <w:t>Annex 5.  Annex I Habitats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BD1A6F" w:rsidRPr="00D0712C" w:rsidTr="00BD1A6F">
        <w:tc>
          <w:tcPr>
            <w:tcW w:w="9464" w:type="dxa"/>
            <w:shd w:val="clear" w:color="auto" w:fill="C6D9F1" w:themeFill="text2" w:themeFillTint="33"/>
          </w:tcPr>
          <w:p w:rsidR="00BD1A6F" w:rsidRPr="00D0712C" w:rsidRDefault="00BD1A6F" w:rsidP="00FC2605">
            <w:pPr>
              <w:pStyle w:val="Tabletext"/>
              <w:rPr>
                <w:rFonts w:cs="Arial"/>
                <w:b/>
              </w:rPr>
            </w:pPr>
            <w:r w:rsidRPr="00D0712C">
              <w:rPr>
                <w:rFonts w:cs="Arial"/>
                <w:b/>
              </w:rPr>
              <w:t>Annex I Habitats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Atlantic salt meadows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Estuaries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Lagoons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Large shallow inlets and bays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Mediterranean and thermo-Atlantic halophilious scrubs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Mudflats and sandflats not covered by seawater at low tide</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Reefs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Salicornia and other annuals colonising mud and sand</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Sandbanks which are slightly covered by seawater all the time</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Spartina swards</w:t>
            </w:r>
          </w:p>
        </w:tc>
      </w:tr>
      <w:tr w:rsidR="00BD1A6F" w:rsidRPr="00D0712C" w:rsidTr="00BD1A6F">
        <w:tc>
          <w:tcPr>
            <w:tcW w:w="9464" w:type="dxa"/>
          </w:tcPr>
          <w:p w:rsidR="00BD1A6F" w:rsidRPr="00D0712C" w:rsidRDefault="00BD1A6F" w:rsidP="00FC2605">
            <w:pPr>
              <w:pStyle w:val="Tabletext"/>
              <w:rPr>
                <w:rFonts w:cs="Arial"/>
              </w:rPr>
            </w:pPr>
            <w:r w:rsidRPr="00D0712C">
              <w:rPr>
                <w:rFonts w:cs="Arial"/>
              </w:rPr>
              <w:t>Submerged or partially submerged caves</w:t>
            </w:r>
          </w:p>
        </w:tc>
      </w:tr>
    </w:tbl>
    <w:p w:rsidR="00FC2605" w:rsidRPr="00D0712C" w:rsidRDefault="00FC2605" w:rsidP="00FC2605">
      <w:pPr>
        <w:rPr>
          <w:rFonts w:ascii="Arial" w:hAnsi="Arial" w:cs="Arial"/>
        </w:rPr>
      </w:pPr>
    </w:p>
    <w:p w:rsidR="00FC2605" w:rsidRPr="00D0712C" w:rsidRDefault="00CE0548">
      <w:pPr>
        <w:rPr>
          <w:rFonts w:ascii="Arial" w:hAnsi="Arial" w:cs="Arial"/>
        </w:rPr>
      </w:pPr>
      <w:r w:rsidRPr="00CE0548">
        <w:rPr>
          <w:rFonts w:ascii="Arial" w:hAnsi="Arial" w:cs="Arial"/>
        </w:rPr>
        <w:br w:type="page"/>
      </w:r>
    </w:p>
    <w:p w:rsidR="00261670" w:rsidRDefault="00CE0548" w:rsidP="00847892">
      <w:pPr>
        <w:pStyle w:val="Heading1"/>
        <w:rPr>
          <w:rFonts w:ascii="Arial" w:hAnsi="Arial" w:cs="Arial"/>
          <w:color w:val="auto"/>
        </w:rPr>
      </w:pPr>
      <w:r w:rsidRPr="00F43F1E">
        <w:rPr>
          <w:rFonts w:ascii="Arial" w:hAnsi="Arial" w:cs="Arial"/>
          <w:color w:val="auto"/>
        </w:rPr>
        <w:lastRenderedPageBreak/>
        <w:t xml:space="preserve">Annex 6: </w:t>
      </w:r>
      <w:r w:rsidR="00261670">
        <w:rPr>
          <w:rFonts w:ascii="Arial" w:hAnsi="Arial" w:cs="Arial"/>
          <w:color w:val="auto"/>
        </w:rPr>
        <w:t xml:space="preserve">MSFD </w:t>
      </w:r>
      <w:r w:rsidR="005B40C5">
        <w:rPr>
          <w:rFonts w:ascii="Arial" w:hAnsi="Arial" w:cs="Arial"/>
          <w:color w:val="auto"/>
        </w:rPr>
        <w:t>Indicator -</w:t>
      </w:r>
      <w:r w:rsidR="00261670">
        <w:rPr>
          <w:rFonts w:ascii="Arial" w:hAnsi="Arial" w:cs="Arial"/>
          <w:color w:val="auto"/>
        </w:rPr>
        <w:t xml:space="preserve"> additional analysis methodologies.</w:t>
      </w:r>
    </w:p>
    <w:p w:rsidR="00261670" w:rsidRDefault="00261670" w:rsidP="00261670"/>
    <w:p w:rsidR="00261670" w:rsidRPr="005118E9" w:rsidRDefault="00261670" w:rsidP="005278FA">
      <w:pPr>
        <w:pStyle w:val="BodyText"/>
        <w:numPr>
          <w:ilvl w:val="2"/>
          <w:numId w:val="20"/>
        </w:numPr>
        <w:spacing w:before="0" w:after="0"/>
        <w:ind w:left="851" w:hanging="284"/>
        <w:rPr>
          <w:rFonts w:cs="Arial"/>
          <w:b/>
        </w:rPr>
      </w:pPr>
      <w:r w:rsidRPr="005118E9">
        <w:rPr>
          <w:rFonts w:cs="Arial"/>
          <w:b/>
        </w:rPr>
        <w:t>Shallow/ shelf sub-littoral rock – sponge morphological diversity.</w:t>
      </w:r>
    </w:p>
    <w:p w:rsidR="00261670" w:rsidRDefault="00261670" w:rsidP="00261670">
      <w:pPr>
        <w:pStyle w:val="BodyText"/>
        <w:spacing w:before="0" w:after="0"/>
        <w:ind w:left="567"/>
        <w:rPr>
          <w:rFonts w:cs="Arial"/>
        </w:rPr>
      </w:pPr>
    </w:p>
    <w:p w:rsidR="00261670" w:rsidRDefault="00261670" w:rsidP="00261670">
      <w:pPr>
        <w:pStyle w:val="BodyText"/>
        <w:ind w:left="567"/>
      </w:pPr>
      <w:r>
        <w:t>In addition to taxon ID, sponge m</w:t>
      </w:r>
      <w:r w:rsidRPr="00A25EBB">
        <w:t xml:space="preserve">orphologies </w:t>
      </w:r>
      <w:r>
        <w:t>should be</w:t>
      </w:r>
      <w:r w:rsidRPr="00A25EBB">
        <w:t xml:space="preserve"> divided into appropriate pre-defined categories</w:t>
      </w:r>
      <w:r>
        <w:t xml:space="preserve"> (Figure 2) i.e. </w:t>
      </w:r>
      <w:r w:rsidRPr="00A25EBB">
        <w:t xml:space="preserve">Arborescent, Encrusting, Flabellate, Globular, Massive, Papillate, Pedunculate, Repent, and Tubular, following </w:t>
      </w:r>
      <w:r w:rsidR="00E53FBD" w:rsidRPr="00A25EBB">
        <w:fldChar w:fldCharType="begin" w:fldLock="1"/>
      </w:r>
      <w:r w:rsidRPr="00A25EBB">
        <w:instrText>ADDIN CSL_CITATION { "citationItems" : [ { "id" : "ITEM-1", "itemData" : { "DOI" : "10.1002/aqc.436", "ISSN" : "1099-0755", "author" : [ { "dropping-particle" : "", "family" : "Bell", "given" : "James. J.", "non-dropping-particle" : "", "parse-names" : false, "suffix" : "" }, { "dropping-particle" : "", "family" : "Barnes", "given" : "David. K.A.", "non-dropping-particle" : "", "parse-names" : false, "suffix" : "" } ], "container-title" : "Aquatic Conservation: Marine and Freshwater Ecosystems", "id" : "ITEM-1", "issue" : "2", "issued" : { "date-parts" : [ [ "2001" ] ] }, "page" : "109-121", "publisher" : "John Wiley &amp; Sons, Ltd.", "title" : "Sponge morphological diversity: a qualitative predictor of species diversity?", "type" : "article-journal", "volume" : "11" }, "uris" : [ "http://www.mendeley.com/documents/?uuid=af56434a-290f-402f-96c6-24a92771d689" ] } ], "mendeley" : { "manualFormatting" : "Bell &amp; Barnes (2001", "previouslyFormattedCitation" : "(Bell &amp; Barnes 2001)" }, "properties" : { "noteIndex" : 0 }, "schema" : "https://github.com/citation-style-language/schema/raw/master/csl-citation.json" }</w:instrText>
      </w:r>
      <w:r w:rsidR="00E53FBD" w:rsidRPr="00A25EBB">
        <w:fldChar w:fldCharType="separate"/>
      </w:r>
      <w:r w:rsidRPr="00A25EBB">
        <w:rPr>
          <w:noProof/>
        </w:rPr>
        <w:t>Bell &amp; Barnes, (</w:t>
      </w:r>
      <w:hyperlink r:id="rId24" w:history="1">
        <w:r w:rsidRPr="00A25EBB">
          <w:rPr>
            <w:rStyle w:val="Hyperlink"/>
            <w:noProof/>
          </w:rPr>
          <w:t>2001</w:t>
        </w:r>
      </w:hyperlink>
      <w:r w:rsidR="00E53FBD" w:rsidRPr="00A25EBB">
        <w:fldChar w:fldCharType="end"/>
      </w:r>
      <w:r w:rsidRPr="00A25EBB">
        <w:t>)</w:t>
      </w:r>
      <w:r>
        <w:t>. Sponges should be captured</w:t>
      </w:r>
      <w:r w:rsidRPr="00AD1286">
        <w:t xml:space="preserve"> </w:t>
      </w:r>
      <w:r>
        <w:t>u</w:t>
      </w:r>
      <w:r w:rsidRPr="00AD1286">
        <w:t>sing counts for erect, percentage cover for colonial/encrusting and SACFOR for both.</w:t>
      </w:r>
    </w:p>
    <w:p w:rsidR="00261670" w:rsidRPr="00E14591" w:rsidRDefault="00261670" w:rsidP="00261670">
      <w:pPr>
        <w:pStyle w:val="BodyText"/>
        <w:ind w:left="567"/>
      </w:pPr>
      <w:r w:rsidRPr="00E14591">
        <w:t xml:space="preserve">If any difficulties distinguishing between types are found, a set method should be followed based on the Thesaurus of Sponge Morphology (Boury-Esnault and Rutzler 1997). For example, massive and encrusting sponges should be determined based on elevation from substrate. </w:t>
      </w:r>
    </w:p>
    <w:p w:rsidR="00261670" w:rsidRPr="00E14591" w:rsidRDefault="00261670" w:rsidP="00261670">
      <w:pPr>
        <w:pStyle w:val="BodyText"/>
        <w:ind w:left="567"/>
      </w:pPr>
      <w:r w:rsidRPr="00E14591">
        <w:t xml:space="preserve">Please note that some sponge species can display plasticity (i.e. have multiple morphology types).  For example, some adults species are likely to show environmental induced morphological variation such as the </w:t>
      </w:r>
      <w:r w:rsidRPr="00E14591">
        <w:rPr>
          <w:i/>
        </w:rPr>
        <w:t>Haliclona</w:t>
      </w:r>
      <w:r w:rsidRPr="00E14591">
        <w:t xml:space="preserve"> species (e.g. from cushions to fistulae) and </w:t>
      </w:r>
      <w:r w:rsidRPr="00E14591">
        <w:rPr>
          <w:i/>
        </w:rPr>
        <w:t>Halichondria</w:t>
      </w:r>
      <w:r w:rsidRPr="00E14591">
        <w:t xml:space="preserve"> species (from cushions to fistulate seasonally) (see Bell and Barnes, 2001). </w:t>
      </w:r>
    </w:p>
    <w:p w:rsidR="00261670" w:rsidRPr="00952B4A" w:rsidRDefault="00261670" w:rsidP="00261670">
      <w:pPr>
        <w:pStyle w:val="BodyText"/>
        <w:ind w:left="567"/>
      </w:pPr>
      <w:r w:rsidRPr="005118E9">
        <w:t>When assigning morphologies, a note should be made of species showing morphological variation where possible.</w:t>
      </w:r>
      <w:r w:rsidRPr="00952B4A">
        <w:t xml:space="preserve"> </w:t>
      </w:r>
    </w:p>
    <w:p w:rsidR="00261670" w:rsidRDefault="00261670" w:rsidP="00261670">
      <w:pPr>
        <w:pStyle w:val="BodyText"/>
        <w:spacing w:before="0" w:after="0"/>
        <w:ind w:left="567"/>
        <w:rPr>
          <w:rFonts w:cs="Arial"/>
        </w:rPr>
      </w:pPr>
    </w:p>
    <w:p w:rsidR="00261670" w:rsidRDefault="00261670" w:rsidP="00261670">
      <w:pPr>
        <w:pStyle w:val="BodyText"/>
        <w:spacing w:before="0" w:after="0"/>
        <w:ind w:left="567"/>
        <w:rPr>
          <w:rFonts w:cs="Arial"/>
        </w:rPr>
      </w:pPr>
      <w:r w:rsidRPr="00AD1286">
        <w:rPr>
          <w:rFonts w:cs="Arial"/>
          <w:noProof/>
        </w:rPr>
        <w:drawing>
          <wp:inline distT="0" distB="0" distL="0" distR="0">
            <wp:extent cx="4130040" cy="3108960"/>
            <wp:effectExtent l="19050" t="0" r="3810" b="0"/>
            <wp:docPr id="3" name="Picture 10" descr="Bermanetal_Morph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anetal_Morphotypes.jpg"/>
                    <pic:cNvPicPr/>
                  </pic:nvPicPr>
                  <pic:blipFill>
                    <a:blip r:embed="rId25" cstate="print"/>
                    <a:srcRect l="15222" t="12161" r="13096" b="49672"/>
                    <a:stretch>
                      <a:fillRect/>
                    </a:stretch>
                  </pic:blipFill>
                  <pic:spPr>
                    <a:xfrm>
                      <a:off x="0" y="0"/>
                      <a:ext cx="4130040" cy="3108960"/>
                    </a:xfrm>
                    <a:prstGeom prst="rect">
                      <a:avLst/>
                    </a:prstGeom>
                  </pic:spPr>
                </pic:pic>
              </a:graphicData>
            </a:graphic>
          </wp:inline>
        </w:drawing>
      </w:r>
    </w:p>
    <w:p w:rsidR="00261670" w:rsidRDefault="00261670" w:rsidP="00261670">
      <w:pPr>
        <w:pStyle w:val="BodyText"/>
        <w:spacing w:before="0" w:after="0"/>
        <w:ind w:left="567"/>
        <w:rPr>
          <w:rFonts w:cs="Arial"/>
        </w:rPr>
      </w:pPr>
    </w:p>
    <w:p w:rsidR="00261670" w:rsidRDefault="00261670" w:rsidP="00261670">
      <w:pPr>
        <w:pStyle w:val="BodyText"/>
        <w:spacing w:before="0" w:after="0"/>
        <w:ind w:left="567"/>
        <w:rPr>
          <w:rFonts w:cs="Arial"/>
        </w:rPr>
      </w:pPr>
    </w:p>
    <w:p w:rsidR="00261670" w:rsidRDefault="00261670" w:rsidP="00261670">
      <w:pPr>
        <w:pStyle w:val="BodyText"/>
        <w:spacing w:before="0" w:after="0"/>
        <w:ind w:left="567"/>
        <w:rPr>
          <w:rFonts w:cs="Arial"/>
        </w:rPr>
      </w:pPr>
    </w:p>
    <w:p w:rsidR="00261670" w:rsidRDefault="00261670" w:rsidP="00261670">
      <w:pPr>
        <w:pStyle w:val="BodyText"/>
        <w:spacing w:before="0" w:after="0"/>
        <w:ind w:left="567"/>
        <w:rPr>
          <w:rFonts w:cs="Arial"/>
        </w:rPr>
      </w:pPr>
    </w:p>
    <w:p w:rsidR="00261670" w:rsidRDefault="00261670" w:rsidP="00261670">
      <w:pPr>
        <w:pStyle w:val="BodyText"/>
        <w:spacing w:before="0" w:after="0"/>
        <w:ind w:left="567"/>
        <w:rPr>
          <w:rFonts w:cs="Arial"/>
        </w:rPr>
      </w:pPr>
    </w:p>
    <w:p w:rsidR="00261670" w:rsidRPr="00BB10E8" w:rsidRDefault="00261670" w:rsidP="00261670">
      <w:pPr>
        <w:pStyle w:val="BodyText"/>
        <w:spacing w:before="0" w:after="0"/>
        <w:ind w:left="567"/>
        <w:rPr>
          <w:rFonts w:cs="Arial"/>
        </w:rPr>
      </w:pPr>
    </w:p>
    <w:p w:rsidR="00261670" w:rsidRDefault="00261670" w:rsidP="005278FA">
      <w:pPr>
        <w:pStyle w:val="BodyText"/>
        <w:spacing w:before="0" w:after="0"/>
        <w:rPr>
          <w:rFonts w:cs="Arial"/>
        </w:rPr>
      </w:pPr>
    </w:p>
    <w:p w:rsidR="00261670" w:rsidRPr="005118E9" w:rsidRDefault="00261670" w:rsidP="00261670">
      <w:pPr>
        <w:pStyle w:val="BodyText"/>
        <w:numPr>
          <w:ilvl w:val="2"/>
          <w:numId w:val="20"/>
        </w:numPr>
        <w:spacing w:before="0" w:after="0"/>
        <w:ind w:left="567" w:hanging="284"/>
        <w:rPr>
          <w:rFonts w:cs="Arial"/>
          <w:b/>
        </w:rPr>
      </w:pPr>
      <w:r w:rsidRPr="005118E9">
        <w:rPr>
          <w:rFonts w:cs="Arial"/>
          <w:b/>
        </w:rPr>
        <w:t>Biogenic structures – Subtidal Sabellaria reef</w:t>
      </w:r>
    </w:p>
    <w:p w:rsidR="00261670" w:rsidRDefault="00261670" w:rsidP="00261670">
      <w:pPr>
        <w:spacing w:after="0"/>
        <w:rPr>
          <w:b/>
        </w:rPr>
      </w:pPr>
    </w:p>
    <w:p w:rsidR="00261670" w:rsidRPr="00DC00D5" w:rsidRDefault="00261670" w:rsidP="00DF76D5">
      <w:pPr>
        <w:spacing w:after="0"/>
        <w:ind w:left="284"/>
        <w:rPr>
          <w:rFonts w:ascii="Arial" w:hAnsi="Arial" w:cs="Arial"/>
          <w:sz w:val="24"/>
          <w:szCs w:val="24"/>
        </w:rPr>
      </w:pPr>
      <w:r w:rsidRPr="00DC00D5">
        <w:rPr>
          <w:rFonts w:ascii="Arial" w:hAnsi="Arial" w:cs="Arial"/>
          <w:sz w:val="24"/>
          <w:szCs w:val="24"/>
        </w:rPr>
        <w:t xml:space="preserve">When </w:t>
      </w:r>
      <w:r w:rsidRPr="00DF76D5">
        <w:rPr>
          <w:rFonts w:ascii="Arial" w:hAnsi="Arial" w:cs="Arial"/>
          <w:i/>
          <w:sz w:val="24"/>
          <w:szCs w:val="24"/>
        </w:rPr>
        <w:t>Sabellaria</w:t>
      </w:r>
      <w:r w:rsidRPr="00DC00D5">
        <w:rPr>
          <w:rFonts w:ascii="Arial" w:hAnsi="Arial" w:cs="Arial"/>
          <w:sz w:val="24"/>
          <w:szCs w:val="24"/>
        </w:rPr>
        <w:t xml:space="preserve"> reef is </w:t>
      </w:r>
      <w:r w:rsidR="00DF76D5" w:rsidRPr="00DC00D5">
        <w:rPr>
          <w:rFonts w:ascii="Arial" w:hAnsi="Arial" w:cs="Arial"/>
          <w:sz w:val="24"/>
          <w:szCs w:val="24"/>
        </w:rPr>
        <w:t>encountered, a</w:t>
      </w:r>
      <w:r w:rsidRPr="00DC00D5">
        <w:rPr>
          <w:rFonts w:ascii="Arial" w:hAnsi="Arial" w:cs="Arial"/>
          <w:sz w:val="24"/>
          <w:szCs w:val="24"/>
        </w:rPr>
        <w:t xml:space="preserve"> reefiness assessment must be carried out on all </w:t>
      </w:r>
      <w:r w:rsidRPr="00DC00D5">
        <w:rPr>
          <w:rFonts w:ascii="Arial" w:hAnsi="Arial" w:cs="Arial"/>
          <w:i/>
          <w:sz w:val="24"/>
          <w:szCs w:val="24"/>
        </w:rPr>
        <w:t>Sabellaria</w:t>
      </w:r>
      <w:r w:rsidRPr="00DC00D5">
        <w:rPr>
          <w:rFonts w:ascii="Arial" w:hAnsi="Arial" w:cs="Arial"/>
          <w:sz w:val="24"/>
          <w:szCs w:val="24"/>
        </w:rPr>
        <w:t xml:space="preserve"> reef encountered following the criteria below:</w:t>
      </w:r>
    </w:p>
    <w:p w:rsidR="00261670" w:rsidRPr="00DC00D5" w:rsidRDefault="00261670" w:rsidP="00261670">
      <w:pPr>
        <w:spacing w:after="0"/>
        <w:rPr>
          <w:rFonts w:ascii="Arial" w:hAnsi="Arial" w:cs="Arial"/>
          <w:sz w:val="24"/>
          <w:szCs w:val="24"/>
        </w:rPr>
      </w:pPr>
    </w:p>
    <w:p w:rsidR="00261670" w:rsidRPr="00DC00D5" w:rsidRDefault="00261670" w:rsidP="00DF76D5">
      <w:pPr>
        <w:ind w:left="284"/>
        <w:rPr>
          <w:rFonts w:ascii="Arial" w:eastAsia="Times New Roman" w:hAnsi="Arial" w:cs="Arial"/>
          <w:b/>
          <w:color w:val="31849B"/>
          <w:sz w:val="20"/>
          <w:szCs w:val="20"/>
        </w:rPr>
      </w:pPr>
      <w:r w:rsidRPr="00DC00D5">
        <w:rPr>
          <w:rFonts w:ascii="Arial" w:eastAsia="Times New Roman" w:hAnsi="Arial" w:cs="Arial"/>
          <w:b/>
          <w:color w:val="31849B"/>
          <w:sz w:val="24"/>
          <w:szCs w:val="24"/>
        </w:rPr>
        <w:t>Table 1 Summary of reefiness scoring criteria (adapted from Gubbay, 2007 and Hendrick &amp; Foster-Smith, 2006).</w:t>
      </w:r>
    </w:p>
    <w:tbl>
      <w:tblPr>
        <w:tblW w:w="5000" w:type="pct"/>
        <w:tblBorders>
          <w:bottom w:val="single" w:sz="8" w:space="0" w:color="auto"/>
        </w:tblBorders>
        <w:tblLayout w:type="fixed"/>
        <w:tblLook w:val="04A0" w:firstRow="1" w:lastRow="0" w:firstColumn="1" w:lastColumn="0" w:noHBand="0" w:noVBand="1"/>
      </w:tblPr>
      <w:tblGrid>
        <w:gridCol w:w="1306"/>
        <w:gridCol w:w="2371"/>
        <w:gridCol w:w="967"/>
        <w:gridCol w:w="1311"/>
        <w:gridCol w:w="2092"/>
        <w:gridCol w:w="2068"/>
      </w:tblGrid>
      <w:tr w:rsidR="00261670" w:rsidRPr="00DC00D5" w:rsidTr="000250E2">
        <w:trPr>
          <w:trHeight w:val="300"/>
        </w:trPr>
        <w:tc>
          <w:tcPr>
            <w:tcW w:w="646" w:type="pct"/>
            <w:tcBorders>
              <w:top w:val="single" w:sz="8" w:space="0" w:color="auto"/>
              <w:left w:val="nil"/>
              <w:bottom w:val="single" w:sz="8" w:space="0" w:color="auto"/>
              <w:right w:val="nil"/>
            </w:tcBorders>
            <w:noWrap/>
          </w:tcPr>
          <w:p w:rsidR="00261670" w:rsidRPr="00DC00D5" w:rsidRDefault="00261670" w:rsidP="000250E2">
            <w:pPr>
              <w:spacing w:before="120" w:after="120" w:line="240" w:lineRule="auto"/>
              <w:rPr>
                <w:rFonts w:ascii="Arial" w:eastAsia="Times New Roman" w:hAnsi="Arial" w:cs="Arial"/>
                <w:b/>
                <w:bCs/>
                <w:color w:val="000000"/>
                <w:sz w:val="20"/>
                <w:szCs w:val="20"/>
              </w:rPr>
            </w:pPr>
          </w:p>
        </w:tc>
        <w:tc>
          <w:tcPr>
            <w:tcW w:w="1172" w:type="pct"/>
            <w:tcBorders>
              <w:top w:val="single" w:sz="8" w:space="0" w:color="auto"/>
              <w:left w:val="nil"/>
              <w:bottom w:val="single" w:sz="8" w:space="0" w:color="auto"/>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Definition</w:t>
            </w:r>
          </w:p>
        </w:tc>
        <w:tc>
          <w:tcPr>
            <w:tcW w:w="478" w:type="pct"/>
            <w:tcBorders>
              <w:top w:val="single" w:sz="8" w:space="0" w:color="auto"/>
              <w:left w:val="nil"/>
              <w:bottom w:val="single" w:sz="8" w:space="0" w:color="auto"/>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Not a reef</w:t>
            </w:r>
          </w:p>
        </w:tc>
        <w:tc>
          <w:tcPr>
            <w:tcW w:w="648" w:type="pct"/>
            <w:tcBorders>
              <w:top w:val="single" w:sz="8" w:space="0" w:color="auto"/>
              <w:left w:val="nil"/>
              <w:bottom w:val="single" w:sz="8" w:space="0" w:color="auto"/>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Low</w:t>
            </w:r>
          </w:p>
        </w:tc>
        <w:tc>
          <w:tcPr>
            <w:tcW w:w="1034" w:type="pct"/>
            <w:tcBorders>
              <w:top w:val="single" w:sz="8" w:space="0" w:color="auto"/>
              <w:left w:val="nil"/>
              <w:bottom w:val="single" w:sz="8" w:space="0" w:color="auto"/>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Medium</w:t>
            </w:r>
          </w:p>
        </w:tc>
        <w:tc>
          <w:tcPr>
            <w:tcW w:w="1023" w:type="pct"/>
            <w:tcBorders>
              <w:top w:val="single" w:sz="8" w:space="0" w:color="auto"/>
              <w:left w:val="nil"/>
              <w:bottom w:val="single" w:sz="8" w:space="0" w:color="auto"/>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High</w:t>
            </w:r>
          </w:p>
        </w:tc>
      </w:tr>
      <w:tr w:rsidR="00261670" w:rsidRPr="00DC00D5" w:rsidTr="000250E2">
        <w:trPr>
          <w:trHeight w:val="330"/>
        </w:trPr>
        <w:tc>
          <w:tcPr>
            <w:tcW w:w="646"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A. Elevation</w:t>
            </w:r>
          </w:p>
        </w:tc>
        <w:tc>
          <w:tcPr>
            <w:tcW w:w="1172"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Maximum tube height</w:t>
            </w:r>
          </w:p>
        </w:tc>
        <w:tc>
          <w:tcPr>
            <w:tcW w:w="478"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&lt;2</w:t>
            </w:r>
          </w:p>
        </w:tc>
        <w:tc>
          <w:tcPr>
            <w:tcW w:w="648"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2-5</w:t>
            </w:r>
          </w:p>
        </w:tc>
        <w:tc>
          <w:tcPr>
            <w:tcW w:w="1034"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5-10</w:t>
            </w:r>
          </w:p>
        </w:tc>
        <w:tc>
          <w:tcPr>
            <w:tcW w:w="1023"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 &gt;10</w:t>
            </w:r>
          </w:p>
        </w:tc>
      </w:tr>
      <w:tr w:rsidR="00261670" w:rsidRPr="00DC00D5" w:rsidTr="000250E2">
        <w:trPr>
          <w:trHeight w:val="980"/>
        </w:trPr>
        <w:tc>
          <w:tcPr>
            <w:tcW w:w="646"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B. Consolidation</w:t>
            </w:r>
          </w:p>
        </w:tc>
        <w:tc>
          <w:tcPr>
            <w:tcW w:w="1172" w:type="pct"/>
            <w:tcBorders>
              <w:top w:val="nil"/>
              <w:left w:val="nil"/>
              <w:bottom w:val="nil"/>
              <w:right w:val="nil"/>
            </w:tcBorders>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Percentage cover of substratum by consolidated </w:t>
            </w:r>
            <w:r w:rsidRPr="00DC00D5">
              <w:rPr>
                <w:rFonts w:ascii="Arial" w:eastAsia="Times New Roman" w:hAnsi="Arial" w:cs="Arial"/>
                <w:i/>
                <w:color w:val="000000"/>
                <w:sz w:val="20"/>
                <w:szCs w:val="20"/>
              </w:rPr>
              <w:t>S. spinulosa</w:t>
            </w:r>
            <w:r w:rsidRPr="00DC00D5">
              <w:rPr>
                <w:rFonts w:ascii="Arial" w:eastAsia="Times New Roman" w:hAnsi="Arial" w:cs="Arial"/>
                <w:color w:val="000000"/>
                <w:sz w:val="20"/>
                <w:szCs w:val="20"/>
              </w:rPr>
              <w:t xml:space="preserve"> tubes</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Degree of consolidation</w:t>
            </w:r>
          </w:p>
        </w:tc>
        <w:tc>
          <w:tcPr>
            <w:tcW w:w="478"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&lt;10</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rubble</w:t>
            </w:r>
          </w:p>
        </w:tc>
        <w:tc>
          <w:tcPr>
            <w:tcW w:w="648"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10-20</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veneers, crusts</w:t>
            </w:r>
          </w:p>
        </w:tc>
        <w:tc>
          <w:tcPr>
            <w:tcW w:w="1034"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20-30</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upright tubes, some concretion</w:t>
            </w:r>
          </w:p>
        </w:tc>
        <w:tc>
          <w:tcPr>
            <w:tcW w:w="1023"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&gt;30</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Matrix of well-developed tubes</w:t>
            </w:r>
          </w:p>
        </w:tc>
      </w:tr>
      <w:tr w:rsidR="00261670" w:rsidRPr="00DC00D5" w:rsidTr="000250E2">
        <w:trPr>
          <w:trHeight w:val="345"/>
        </w:trPr>
        <w:tc>
          <w:tcPr>
            <w:tcW w:w="646"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C. Area (km</w:t>
            </w:r>
            <w:r w:rsidRPr="00DC00D5">
              <w:rPr>
                <w:rFonts w:ascii="Arial" w:eastAsia="Times New Roman" w:hAnsi="Arial" w:cs="Arial"/>
                <w:b/>
                <w:bCs/>
                <w:color w:val="000000"/>
                <w:sz w:val="20"/>
                <w:szCs w:val="20"/>
                <w:vertAlign w:val="superscript"/>
              </w:rPr>
              <w:t>2</w:t>
            </w:r>
            <w:r w:rsidRPr="00DC00D5">
              <w:rPr>
                <w:rFonts w:ascii="Arial" w:eastAsia="Times New Roman" w:hAnsi="Arial" w:cs="Arial"/>
                <w:b/>
                <w:bCs/>
                <w:color w:val="000000"/>
                <w:sz w:val="20"/>
                <w:szCs w:val="20"/>
              </w:rPr>
              <w:t>)</w:t>
            </w:r>
          </w:p>
        </w:tc>
        <w:tc>
          <w:tcPr>
            <w:tcW w:w="1172"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Extent of total area</w:t>
            </w:r>
          </w:p>
        </w:tc>
        <w:tc>
          <w:tcPr>
            <w:tcW w:w="478"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&lt;0.025</w:t>
            </w:r>
          </w:p>
        </w:tc>
        <w:tc>
          <w:tcPr>
            <w:tcW w:w="648"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0.025-0.1</w:t>
            </w:r>
          </w:p>
        </w:tc>
        <w:tc>
          <w:tcPr>
            <w:tcW w:w="1034"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0.1-1</w:t>
            </w:r>
          </w:p>
        </w:tc>
        <w:tc>
          <w:tcPr>
            <w:tcW w:w="1023"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&gt; 1</w:t>
            </w:r>
          </w:p>
        </w:tc>
      </w:tr>
      <w:tr w:rsidR="00261670" w:rsidRPr="00DC00D5" w:rsidTr="000250E2">
        <w:trPr>
          <w:trHeight w:val="900"/>
        </w:trPr>
        <w:tc>
          <w:tcPr>
            <w:tcW w:w="646"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D. Patchiness</w:t>
            </w:r>
          </w:p>
        </w:tc>
        <w:tc>
          <w:tcPr>
            <w:tcW w:w="1172" w:type="pct"/>
            <w:tcBorders>
              <w:top w:val="nil"/>
              <w:left w:val="nil"/>
              <w:bottom w:val="nil"/>
              <w:right w:val="nil"/>
            </w:tcBorders>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Percentage cover of consolidated </w:t>
            </w:r>
            <w:r w:rsidRPr="00DC00D5">
              <w:rPr>
                <w:rFonts w:ascii="Arial" w:eastAsia="Times New Roman" w:hAnsi="Arial" w:cs="Arial"/>
                <w:i/>
                <w:color w:val="000000"/>
                <w:sz w:val="20"/>
                <w:szCs w:val="20"/>
              </w:rPr>
              <w:t>S. spinulosa</w:t>
            </w:r>
            <w:r w:rsidRPr="00DC00D5">
              <w:rPr>
                <w:rFonts w:ascii="Arial" w:eastAsia="Times New Roman" w:hAnsi="Arial" w:cs="Arial"/>
                <w:color w:val="000000"/>
                <w:sz w:val="20"/>
                <w:szCs w:val="20"/>
              </w:rPr>
              <w:t xml:space="preserve"> within overall spatial extent of the reef</w:t>
            </w:r>
          </w:p>
        </w:tc>
        <w:tc>
          <w:tcPr>
            <w:tcW w:w="478" w:type="pct"/>
            <w:tcBorders>
              <w:top w:val="nil"/>
              <w:left w:val="nil"/>
              <w:bottom w:val="nil"/>
              <w:right w:val="nil"/>
            </w:tcBorders>
            <w:noWrap/>
          </w:tcPr>
          <w:p w:rsidR="00261670" w:rsidRPr="00DC00D5" w:rsidRDefault="00261670" w:rsidP="000250E2">
            <w:pPr>
              <w:spacing w:line="240" w:lineRule="auto"/>
              <w:rPr>
                <w:rFonts w:ascii="Arial" w:eastAsia="Times New Roman" w:hAnsi="Arial" w:cs="Arial"/>
                <w:color w:val="000000"/>
                <w:sz w:val="20"/>
                <w:szCs w:val="20"/>
              </w:rPr>
            </w:pPr>
          </w:p>
        </w:tc>
        <w:tc>
          <w:tcPr>
            <w:tcW w:w="648"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10-20</w:t>
            </w:r>
          </w:p>
        </w:tc>
        <w:tc>
          <w:tcPr>
            <w:tcW w:w="1034"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20-30</w:t>
            </w:r>
          </w:p>
        </w:tc>
        <w:tc>
          <w:tcPr>
            <w:tcW w:w="1023"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&gt;30</w:t>
            </w:r>
          </w:p>
        </w:tc>
      </w:tr>
      <w:tr w:rsidR="00261670" w:rsidRPr="00DC00D5" w:rsidTr="000250E2">
        <w:trPr>
          <w:trHeight w:val="345"/>
        </w:trPr>
        <w:tc>
          <w:tcPr>
            <w:tcW w:w="646"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E. Density</w:t>
            </w:r>
          </w:p>
        </w:tc>
        <w:tc>
          <w:tcPr>
            <w:tcW w:w="1172"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 xml:space="preserve">Average density of </w:t>
            </w:r>
            <w:r w:rsidRPr="00DC00D5">
              <w:rPr>
                <w:rFonts w:ascii="Arial" w:eastAsia="Times New Roman" w:hAnsi="Arial" w:cs="Arial"/>
                <w:i/>
                <w:color w:val="000000"/>
                <w:sz w:val="20"/>
                <w:szCs w:val="20"/>
              </w:rPr>
              <w:t>S. spinulosa</w:t>
            </w:r>
            <w:r w:rsidRPr="00DC00D5">
              <w:rPr>
                <w:rFonts w:ascii="Arial" w:eastAsia="Times New Roman" w:hAnsi="Arial" w:cs="Arial"/>
                <w:color w:val="000000"/>
                <w:sz w:val="20"/>
                <w:szCs w:val="20"/>
              </w:rPr>
              <w:t xml:space="preserve"> m</w:t>
            </w:r>
            <w:r w:rsidRPr="00DC00D5">
              <w:rPr>
                <w:rFonts w:ascii="Arial" w:eastAsia="Times New Roman" w:hAnsi="Arial" w:cs="Arial"/>
                <w:color w:val="000000"/>
                <w:sz w:val="20"/>
                <w:szCs w:val="20"/>
                <w:vertAlign w:val="superscript"/>
              </w:rPr>
              <w:t>-2</w:t>
            </w:r>
          </w:p>
        </w:tc>
        <w:tc>
          <w:tcPr>
            <w:tcW w:w="478" w:type="pct"/>
            <w:tcBorders>
              <w:top w:val="nil"/>
              <w:left w:val="nil"/>
              <w:bottom w:val="nil"/>
              <w:right w:val="nil"/>
            </w:tcBorders>
            <w:shd w:val="clear" w:color="auto" w:fill="EDEDED"/>
            <w:noWrap/>
          </w:tcPr>
          <w:p w:rsidR="00261670" w:rsidRPr="00DC00D5" w:rsidRDefault="00261670" w:rsidP="000250E2">
            <w:pPr>
              <w:spacing w:line="240" w:lineRule="auto"/>
              <w:rPr>
                <w:rFonts w:ascii="Arial" w:eastAsia="Times New Roman" w:hAnsi="Arial" w:cs="Arial"/>
                <w:color w:val="000000"/>
                <w:sz w:val="20"/>
                <w:szCs w:val="20"/>
              </w:rPr>
            </w:pPr>
          </w:p>
        </w:tc>
        <w:tc>
          <w:tcPr>
            <w:tcW w:w="648"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~800</w:t>
            </w:r>
          </w:p>
        </w:tc>
        <w:tc>
          <w:tcPr>
            <w:tcW w:w="1034"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~1500</w:t>
            </w:r>
          </w:p>
        </w:tc>
        <w:tc>
          <w:tcPr>
            <w:tcW w:w="1023" w:type="pct"/>
            <w:tcBorders>
              <w:top w:val="nil"/>
              <w:left w:val="nil"/>
              <w:bottom w:val="nil"/>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~3000</w:t>
            </w:r>
          </w:p>
        </w:tc>
      </w:tr>
      <w:tr w:rsidR="00261670" w:rsidRPr="00DC00D5" w:rsidTr="000250E2">
        <w:trPr>
          <w:trHeight w:val="678"/>
        </w:trPr>
        <w:tc>
          <w:tcPr>
            <w:tcW w:w="646"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F. Biodiversity</w:t>
            </w:r>
          </w:p>
        </w:tc>
        <w:tc>
          <w:tcPr>
            <w:tcW w:w="1172"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Margalef's species richness</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Shannon diversity index</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Simpson's diversity index</w:t>
            </w:r>
          </w:p>
        </w:tc>
        <w:tc>
          <w:tcPr>
            <w:tcW w:w="478" w:type="pct"/>
            <w:tcBorders>
              <w:top w:val="nil"/>
              <w:left w:val="nil"/>
              <w:bottom w:val="nil"/>
              <w:right w:val="nil"/>
            </w:tcBorders>
            <w:noWrap/>
          </w:tcPr>
          <w:p w:rsidR="00261670" w:rsidRPr="00DC00D5" w:rsidRDefault="00261670" w:rsidP="000250E2">
            <w:pPr>
              <w:spacing w:line="240" w:lineRule="auto"/>
              <w:rPr>
                <w:rFonts w:ascii="Arial" w:eastAsia="Times New Roman" w:hAnsi="Arial" w:cs="Arial"/>
                <w:color w:val="000000"/>
                <w:sz w:val="20"/>
                <w:szCs w:val="20"/>
              </w:rPr>
            </w:pPr>
          </w:p>
        </w:tc>
        <w:tc>
          <w:tcPr>
            <w:tcW w:w="648"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~5.0</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~2.5</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~0.85</w:t>
            </w:r>
          </w:p>
        </w:tc>
        <w:tc>
          <w:tcPr>
            <w:tcW w:w="1034"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~6.5</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~2.7</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~0.87</w:t>
            </w:r>
          </w:p>
        </w:tc>
        <w:tc>
          <w:tcPr>
            <w:tcW w:w="1023" w:type="pct"/>
            <w:tcBorders>
              <w:top w:val="nil"/>
              <w:left w:val="nil"/>
              <w:bottom w:val="nil"/>
              <w:right w:val="nil"/>
            </w:tcBorders>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~8.0</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~3.0</w:t>
            </w:r>
          </w:p>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~0.90</w:t>
            </w:r>
          </w:p>
        </w:tc>
      </w:tr>
      <w:tr w:rsidR="00261670" w:rsidRPr="00DC00D5" w:rsidTr="000250E2">
        <w:trPr>
          <w:trHeight w:val="600"/>
        </w:trPr>
        <w:tc>
          <w:tcPr>
            <w:tcW w:w="646" w:type="pct"/>
            <w:tcBorders>
              <w:top w:val="nil"/>
              <w:left w:val="nil"/>
              <w:bottom w:val="single" w:sz="8" w:space="0" w:color="auto"/>
              <w:right w:val="nil"/>
            </w:tcBorders>
            <w:shd w:val="clear" w:color="auto" w:fill="EDEDED"/>
            <w:noWrap/>
            <w:hideMark/>
          </w:tcPr>
          <w:p w:rsidR="00261670" w:rsidRPr="00DC00D5" w:rsidRDefault="00261670" w:rsidP="000250E2">
            <w:pPr>
              <w:spacing w:line="240" w:lineRule="auto"/>
              <w:rPr>
                <w:rFonts w:ascii="Arial" w:eastAsia="Times New Roman" w:hAnsi="Arial" w:cs="Arial"/>
                <w:b/>
                <w:bCs/>
                <w:color w:val="000000"/>
                <w:sz w:val="20"/>
                <w:szCs w:val="20"/>
              </w:rPr>
            </w:pPr>
            <w:r w:rsidRPr="00DC00D5">
              <w:rPr>
                <w:rFonts w:ascii="Arial" w:eastAsia="Times New Roman" w:hAnsi="Arial" w:cs="Arial"/>
                <w:b/>
                <w:bCs/>
                <w:color w:val="000000"/>
                <w:sz w:val="20"/>
                <w:szCs w:val="20"/>
              </w:rPr>
              <w:t>G. Biotope</w:t>
            </w:r>
          </w:p>
        </w:tc>
        <w:tc>
          <w:tcPr>
            <w:tcW w:w="1172" w:type="pct"/>
            <w:tcBorders>
              <w:top w:val="nil"/>
              <w:left w:val="nil"/>
              <w:bottom w:val="single" w:sz="8" w:space="0" w:color="auto"/>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MNCR biotope code</w:t>
            </w:r>
          </w:p>
        </w:tc>
        <w:tc>
          <w:tcPr>
            <w:tcW w:w="478" w:type="pct"/>
            <w:tcBorders>
              <w:top w:val="nil"/>
              <w:left w:val="nil"/>
              <w:bottom w:val="single" w:sz="8" w:space="0" w:color="auto"/>
              <w:right w:val="nil"/>
            </w:tcBorders>
            <w:shd w:val="clear" w:color="auto" w:fill="EDEDED"/>
            <w:noWrap/>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Other</w:t>
            </w:r>
          </w:p>
        </w:tc>
        <w:tc>
          <w:tcPr>
            <w:tcW w:w="648" w:type="pct"/>
            <w:tcBorders>
              <w:top w:val="nil"/>
              <w:left w:val="nil"/>
              <w:bottom w:val="single" w:sz="8" w:space="0" w:color="auto"/>
              <w:right w:val="nil"/>
            </w:tcBorders>
            <w:shd w:val="clear" w:color="auto" w:fill="EDEDED"/>
            <w:hideMark/>
          </w:tcPr>
          <w:p w:rsidR="00261670" w:rsidRPr="00DC00D5" w:rsidRDefault="00261670" w:rsidP="000250E2">
            <w:pPr>
              <w:spacing w:line="240" w:lineRule="auto"/>
              <w:rPr>
                <w:rFonts w:ascii="Arial" w:eastAsia="Times New Roman" w:hAnsi="Arial" w:cs="Arial"/>
                <w:color w:val="000000"/>
                <w:sz w:val="20"/>
                <w:szCs w:val="20"/>
              </w:rPr>
            </w:pPr>
            <w:r w:rsidRPr="00DC00D5">
              <w:rPr>
                <w:rFonts w:ascii="Arial" w:eastAsia="Times New Roman" w:hAnsi="Arial" w:cs="Arial"/>
                <w:color w:val="000000"/>
                <w:sz w:val="20"/>
                <w:szCs w:val="20"/>
              </w:rPr>
              <w:t>CR.MCR.Csab.Sspi</w:t>
            </w:r>
          </w:p>
        </w:tc>
        <w:tc>
          <w:tcPr>
            <w:tcW w:w="2057" w:type="pct"/>
            <w:gridSpan w:val="2"/>
            <w:tcBorders>
              <w:top w:val="nil"/>
              <w:left w:val="nil"/>
              <w:bottom w:val="single" w:sz="8" w:space="0" w:color="auto"/>
              <w:right w:val="nil"/>
            </w:tcBorders>
            <w:shd w:val="clear" w:color="auto" w:fill="EDEDED"/>
            <w:hideMark/>
          </w:tcPr>
          <w:p w:rsidR="00261670" w:rsidRPr="00DC00D5" w:rsidRDefault="00261670" w:rsidP="000250E2">
            <w:pPr>
              <w:spacing w:line="240" w:lineRule="auto"/>
              <w:ind w:hanging="271"/>
              <w:jc w:val="both"/>
              <w:rPr>
                <w:rFonts w:ascii="Arial" w:eastAsia="Times New Roman" w:hAnsi="Arial" w:cs="Arial"/>
                <w:color w:val="000000"/>
                <w:sz w:val="20"/>
                <w:szCs w:val="20"/>
              </w:rPr>
            </w:pPr>
            <w:r w:rsidRPr="00DC00D5">
              <w:rPr>
                <w:rFonts w:ascii="Arial" w:eastAsia="Times New Roman" w:hAnsi="Arial" w:cs="Arial"/>
                <w:color w:val="000000"/>
                <w:sz w:val="20"/>
                <w:szCs w:val="20"/>
              </w:rPr>
              <w:t>S    S.SBR.PoR.SspiMX</w:t>
            </w:r>
          </w:p>
        </w:tc>
      </w:tr>
    </w:tbl>
    <w:p w:rsidR="00261670" w:rsidRPr="00DC00D5" w:rsidRDefault="00261670" w:rsidP="00261670">
      <w:pPr>
        <w:rPr>
          <w:rFonts w:ascii="Arial" w:eastAsia="Times New Roman" w:hAnsi="Arial" w:cs="Arial"/>
          <w:sz w:val="24"/>
          <w:szCs w:val="24"/>
          <w:lang w:eastAsia="en-US"/>
        </w:rPr>
      </w:pPr>
    </w:p>
    <w:p w:rsidR="00261670" w:rsidRPr="00DC00D5" w:rsidRDefault="00261670" w:rsidP="00DF76D5">
      <w:pPr>
        <w:spacing w:after="0"/>
        <w:ind w:left="284"/>
        <w:rPr>
          <w:rFonts w:ascii="Arial" w:hAnsi="Arial" w:cs="Arial"/>
          <w:sz w:val="24"/>
          <w:szCs w:val="24"/>
        </w:rPr>
      </w:pPr>
      <w:r w:rsidRPr="00DC00D5">
        <w:rPr>
          <w:rFonts w:ascii="Arial" w:hAnsi="Arial" w:cs="Arial"/>
          <w:sz w:val="24"/>
          <w:szCs w:val="24"/>
        </w:rPr>
        <w:t xml:space="preserve">The refines assessment must be undertaken on all stills and segments of video where Sabellaria is identified, and this must be accompanied by a full assessment of associated species in accordance with the standard methodologies identified in this document – so that community composition metrics can be tested against refines score. </w:t>
      </w:r>
    </w:p>
    <w:p w:rsidR="00261670" w:rsidRPr="00DC00D5" w:rsidRDefault="00261670" w:rsidP="00261670">
      <w:pPr>
        <w:spacing w:after="0"/>
        <w:rPr>
          <w:rFonts w:ascii="Arial" w:hAnsi="Arial" w:cs="Arial"/>
          <w:sz w:val="24"/>
          <w:szCs w:val="24"/>
        </w:rPr>
      </w:pPr>
    </w:p>
    <w:p w:rsidR="00261670" w:rsidRDefault="00261670">
      <w:pPr>
        <w:rPr>
          <w:rFonts w:ascii="Arial" w:eastAsiaTheme="majorEastAsia" w:hAnsi="Arial" w:cs="Arial"/>
          <w:b/>
          <w:bCs/>
          <w:sz w:val="28"/>
          <w:szCs w:val="28"/>
        </w:rPr>
      </w:pPr>
      <w:r w:rsidRPr="005278FA">
        <w:t>I</w:t>
      </w:r>
      <w:r w:rsidRPr="007748F7">
        <w:rPr>
          <w:rFonts w:ascii="Arial" w:hAnsi="Arial" w:cs="Arial"/>
          <w:sz w:val="24"/>
          <w:szCs w:val="24"/>
        </w:rPr>
        <w:t>n addition to the above the MSFD indicator suggest that tube occupancy counts (from HD stills)</w:t>
      </w:r>
      <w:r w:rsidR="005278FA" w:rsidRPr="007748F7">
        <w:rPr>
          <w:rFonts w:ascii="Arial" w:hAnsi="Arial" w:cs="Arial"/>
          <w:sz w:val="24"/>
          <w:szCs w:val="24"/>
        </w:rPr>
        <w:t xml:space="preserve"> </w:t>
      </w:r>
      <w:r w:rsidRPr="007748F7">
        <w:rPr>
          <w:rFonts w:ascii="Arial" w:hAnsi="Arial" w:cs="Arial"/>
          <w:sz w:val="24"/>
          <w:szCs w:val="24"/>
        </w:rPr>
        <w:t>are attempted alongside the overall density counts identified in the methodology above. NE would like this step to be tested, and evaluated for practical operability</w:t>
      </w:r>
      <w:r w:rsidR="005278FA" w:rsidRPr="007748F7">
        <w:rPr>
          <w:rFonts w:ascii="Arial" w:hAnsi="Arial" w:cs="Arial"/>
          <w:sz w:val="24"/>
          <w:szCs w:val="24"/>
        </w:rPr>
        <w:t>.</w:t>
      </w:r>
      <w:r>
        <w:rPr>
          <w:rFonts w:ascii="Arial" w:hAnsi="Arial" w:cs="Arial"/>
        </w:rPr>
        <w:br w:type="page"/>
      </w:r>
    </w:p>
    <w:p w:rsidR="00EE7092" w:rsidRPr="00F43F1E" w:rsidRDefault="00CE0548" w:rsidP="00847892">
      <w:pPr>
        <w:pStyle w:val="Heading1"/>
        <w:rPr>
          <w:rFonts w:ascii="Arial" w:hAnsi="Arial" w:cs="Arial"/>
          <w:color w:val="auto"/>
        </w:rPr>
      </w:pPr>
      <w:r w:rsidRPr="00F43F1E">
        <w:rPr>
          <w:rFonts w:ascii="Arial" w:hAnsi="Arial" w:cs="Arial"/>
          <w:color w:val="auto"/>
        </w:rPr>
        <w:lastRenderedPageBreak/>
        <w:t>Annex 7.  Low or limited mobility species FOCI listed in the ENG.</w:t>
      </w:r>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852"/>
        <w:gridCol w:w="3277"/>
        <w:gridCol w:w="3113"/>
      </w:tblGrid>
      <w:tr w:rsidR="00EE7092" w:rsidRPr="00D0712C" w:rsidTr="00E81AC3">
        <w:tc>
          <w:tcPr>
            <w:tcW w:w="2852" w:type="dxa"/>
            <w:tcBorders>
              <w:right w:val="single" w:sz="4" w:space="0" w:color="auto"/>
            </w:tcBorders>
            <w:shd w:val="clear" w:color="auto" w:fill="C6D9F1" w:themeFill="text2" w:themeFillTint="33"/>
          </w:tcPr>
          <w:p w:rsidR="00EE7092" w:rsidRPr="00D0712C" w:rsidRDefault="00EE7092" w:rsidP="00E81AC3">
            <w:pPr>
              <w:pStyle w:val="Tabletext"/>
              <w:rPr>
                <w:rFonts w:cs="Arial"/>
                <w:b/>
              </w:rPr>
            </w:pPr>
            <w:r w:rsidRPr="00D0712C">
              <w:rPr>
                <w:rFonts w:cs="Arial"/>
                <w:b/>
              </w:rPr>
              <w:t>Group</w:t>
            </w:r>
          </w:p>
        </w:tc>
        <w:tc>
          <w:tcPr>
            <w:tcW w:w="3277" w:type="dxa"/>
            <w:tcBorders>
              <w:left w:val="single" w:sz="4" w:space="0" w:color="auto"/>
              <w:right w:val="single" w:sz="4" w:space="0" w:color="auto"/>
            </w:tcBorders>
            <w:shd w:val="clear" w:color="auto" w:fill="C6D9F1" w:themeFill="text2" w:themeFillTint="33"/>
          </w:tcPr>
          <w:p w:rsidR="00EE7092" w:rsidRPr="00D0712C" w:rsidRDefault="00EE7092" w:rsidP="00E81AC3">
            <w:pPr>
              <w:pStyle w:val="Tabletext"/>
              <w:rPr>
                <w:rFonts w:cs="Arial"/>
                <w:b/>
              </w:rPr>
            </w:pPr>
            <w:r w:rsidRPr="00D0712C">
              <w:rPr>
                <w:rFonts w:cs="Arial"/>
                <w:b/>
              </w:rPr>
              <w:t>Scientific name</w:t>
            </w:r>
          </w:p>
        </w:tc>
        <w:tc>
          <w:tcPr>
            <w:tcW w:w="3113" w:type="dxa"/>
            <w:tcBorders>
              <w:left w:val="single" w:sz="4" w:space="0" w:color="auto"/>
            </w:tcBorders>
            <w:shd w:val="clear" w:color="auto" w:fill="C6D9F1" w:themeFill="text2" w:themeFillTint="33"/>
          </w:tcPr>
          <w:p w:rsidR="00EE7092" w:rsidRPr="00D0712C" w:rsidRDefault="00CE0548" w:rsidP="00E81AC3">
            <w:pPr>
              <w:pStyle w:val="Tabletext"/>
              <w:rPr>
                <w:rFonts w:cs="Arial"/>
                <w:b/>
              </w:rPr>
            </w:pPr>
            <w:r w:rsidRPr="00CE0548">
              <w:rPr>
                <w:rFonts w:cs="Arial"/>
                <w:b/>
              </w:rPr>
              <w:t>Common Name</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Brown Algae</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Padina pavonica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Peacock’s Tail</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Red Algae</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Cruoria cruoriaeformis</w:t>
            </w:r>
          </w:p>
          <w:p w:rsidR="00EE7092" w:rsidRPr="00D0712C" w:rsidRDefault="00CE0548" w:rsidP="00E81AC3">
            <w:pPr>
              <w:pStyle w:val="Tabletext"/>
              <w:rPr>
                <w:rFonts w:cs="Arial"/>
                <w:i/>
              </w:rPr>
            </w:pPr>
            <w:r w:rsidRPr="00CE0548">
              <w:rPr>
                <w:rFonts w:cs="Arial"/>
                <w:i/>
              </w:rPr>
              <w:t>Grateloupia montagnei</w:t>
            </w:r>
          </w:p>
          <w:p w:rsidR="00EE7092" w:rsidRPr="00D0712C" w:rsidRDefault="00CE0548" w:rsidP="00E81AC3">
            <w:pPr>
              <w:pStyle w:val="Tabletext"/>
              <w:rPr>
                <w:rFonts w:cs="Arial"/>
                <w:i/>
              </w:rPr>
            </w:pPr>
            <w:r w:rsidRPr="00CE0548">
              <w:rPr>
                <w:rFonts w:cs="Arial"/>
                <w:i/>
              </w:rPr>
              <w:t>Lithothamnion corallioides</w:t>
            </w:r>
          </w:p>
          <w:p w:rsidR="00EE7092" w:rsidRPr="00D0712C" w:rsidRDefault="00CE0548" w:rsidP="00E81AC3">
            <w:pPr>
              <w:pStyle w:val="Tabletext"/>
              <w:rPr>
                <w:rFonts w:cs="Arial"/>
                <w:i/>
              </w:rPr>
            </w:pPr>
            <w:r w:rsidRPr="00CE0548">
              <w:rPr>
                <w:rFonts w:cs="Arial"/>
                <w:i/>
              </w:rPr>
              <w:t>Phymatolithon calcareum</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Burgundy Maerl Paint Weed</w:t>
            </w:r>
          </w:p>
          <w:p w:rsidR="00EE7092" w:rsidRPr="00D0712C" w:rsidRDefault="00CE0548" w:rsidP="00E81AC3">
            <w:pPr>
              <w:pStyle w:val="Tabletext"/>
              <w:rPr>
                <w:rFonts w:cs="Arial"/>
              </w:rPr>
            </w:pPr>
            <w:r w:rsidRPr="00CE0548">
              <w:rPr>
                <w:rFonts w:cs="Arial"/>
              </w:rPr>
              <w:t>Grateloup’s little-Lobed Weed</w:t>
            </w:r>
          </w:p>
          <w:p w:rsidR="00EE7092" w:rsidRPr="00D0712C" w:rsidRDefault="00CE0548" w:rsidP="00E81AC3">
            <w:pPr>
              <w:pStyle w:val="Tabletext"/>
              <w:rPr>
                <w:rFonts w:cs="Arial"/>
              </w:rPr>
            </w:pPr>
            <w:r w:rsidRPr="00CE0548">
              <w:rPr>
                <w:rFonts w:cs="Arial"/>
              </w:rPr>
              <w:t>Coral Maerl</w:t>
            </w:r>
          </w:p>
          <w:p w:rsidR="00EE7092" w:rsidRPr="00D0712C" w:rsidRDefault="00CE0548" w:rsidP="00E81AC3">
            <w:pPr>
              <w:pStyle w:val="Tabletext"/>
              <w:rPr>
                <w:rFonts w:cs="Arial"/>
              </w:rPr>
            </w:pPr>
            <w:r w:rsidRPr="00CE0548">
              <w:rPr>
                <w:rFonts w:cs="Arial"/>
              </w:rPr>
              <w:t>Common Maerl</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Annelida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Alkmaria romijni**</w:t>
            </w:r>
          </w:p>
          <w:p w:rsidR="00EE7092" w:rsidRPr="00D0712C" w:rsidRDefault="00CE0548" w:rsidP="00E81AC3">
            <w:pPr>
              <w:pStyle w:val="Tabletext"/>
              <w:rPr>
                <w:rFonts w:cs="Arial"/>
                <w:i/>
              </w:rPr>
            </w:pPr>
            <w:r w:rsidRPr="00CE0548">
              <w:rPr>
                <w:rFonts w:cs="Arial"/>
                <w:i/>
              </w:rPr>
              <w:t>Armandia cirrhosa**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Tentacled Lagoon Worm**</w:t>
            </w:r>
          </w:p>
          <w:p w:rsidR="00EE7092" w:rsidRPr="00D0712C" w:rsidRDefault="00CE0548" w:rsidP="00E81AC3">
            <w:pPr>
              <w:pStyle w:val="Tabletext"/>
              <w:rPr>
                <w:rFonts w:cs="Arial"/>
              </w:rPr>
            </w:pPr>
            <w:r w:rsidRPr="00CE0548">
              <w:rPr>
                <w:rFonts w:cs="Arial"/>
              </w:rPr>
              <w:t>Lagoon Sand Worm**</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Teleostei</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Gobius cobitis</w:t>
            </w:r>
          </w:p>
          <w:p w:rsidR="00EE7092" w:rsidRPr="00D0712C" w:rsidRDefault="00CE0548" w:rsidP="00E81AC3">
            <w:pPr>
              <w:pStyle w:val="Tabletext"/>
              <w:rPr>
                <w:rFonts w:cs="Arial"/>
                <w:i/>
              </w:rPr>
            </w:pPr>
            <w:r w:rsidRPr="00CE0548">
              <w:rPr>
                <w:rFonts w:cs="Arial"/>
                <w:i/>
              </w:rPr>
              <w:t>Gobius couchi</w:t>
            </w:r>
          </w:p>
          <w:p w:rsidR="00EE7092" w:rsidRPr="00D0712C" w:rsidRDefault="00CE0548" w:rsidP="00E81AC3">
            <w:pPr>
              <w:pStyle w:val="Tabletext"/>
              <w:rPr>
                <w:rFonts w:cs="Arial"/>
                <w:i/>
              </w:rPr>
            </w:pPr>
            <w:r w:rsidRPr="00CE0548">
              <w:rPr>
                <w:rFonts w:cs="Arial"/>
                <w:i/>
              </w:rPr>
              <w:t>Hippocampus guttulatus</w:t>
            </w:r>
          </w:p>
          <w:p w:rsidR="00EE7092" w:rsidRPr="00D0712C" w:rsidRDefault="00CE0548" w:rsidP="00E81AC3">
            <w:pPr>
              <w:pStyle w:val="Tabletext"/>
              <w:rPr>
                <w:rFonts w:cs="Arial"/>
                <w:i/>
              </w:rPr>
            </w:pPr>
            <w:r w:rsidRPr="00CE0548">
              <w:rPr>
                <w:rFonts w:cs="Arial"/>
                <w:i/>
              </w:rPr>
              <w:t>Hippocampus</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Giant Goby</w:t>
            </w:r>
          </w:p>
          <w:p w:rsidR="00EE7092" w:rsidRPr="00D0712C" w:rsidRDefault="00CE0548" w:rsidP="00E81AC3">
            <w:pPr>
              <w:pStyle w:val="Tabletext"/>
              <w:rPr>
                <w:rFonts w:cs="Arial"/>
              </w:rPr>
            </w:pPr>
            <w:r w:rsidRPr="00CE0548">
              <w:rPr>
                <w:rFonts w:cs="Arial"/>
              </w:rPr>
              <w:t>Couch’s Goby</w:t>
            </w:r>
          </w:p>
          <w:p w:rsidR="00EE7092" w:rsidRPr="00D0712C" w:rsidRDefault="00CE0548" w:rsidP="00E81AC3">
            <w:pPr>
              <w:pStyle w:val="Tabletext"/>
              <w:rPr>
                <w:rFonts w:cs="Arial"/>
              </w:rPr>
            </w:pPr>
            <w:r w:rsidRPr="00CE0548">
              <w:rPr>
                <w:rFonts w:cs="Arial"/>
              </w:rPr>
              <w:t>Long Snouted Seahorse</w:t>
            </w:r>
          </w:p>
          <w:p w:rsidR="00EE7092" w:rsidRPr="00D0712C" w:rsidRDefault="00CE0548" w:rsidP="00E81AC3">
            <w:pPr>
              <w:pStyle w:val="Tabletext"/>
              <w:rPr>
                <w:rFonts w:cs="Arial"/>
              </w:rPr>
            </w:pPr>
            <w:r w:rsidRPr="00CE0548">
              <w:rPr>
                <w:rFonts w:cs="Arial"/>
              </w:rPr>
              <w:t>Short Snouted Seahorse</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Bryozoa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Victorella pavida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Trembling Sea Mat</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Cnidaria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lang w:val="es-ES_tradnl"/>
              </w:rPr>
            </w:pPr>
            <w:r w:rsidRPr="00D0712C">
              <w:rPr>
                <w:rFonts w:cs="Arial"/>
                <w:i/>
                <w:lang w:val="es-ES_tradnl"/>
              </w:rPr>
              <w:t>Amphianthus do</w:t>
            </w:r>
            <w:r w:rsidR="00CE0548" w:rsidRPr="00CE0548">
              <w:rPr>
                <w:rFonts w:cs="Arial"/>
                <w:i/>
                <w:lang w:val="es-ES_tradnl"/>
              </w:rPr>
              <w:t>hrnii</w:t>
            </w:r>
          </w:p>
          <w:p w:rsidR="00EE7092" w:rsidRPr="00D0712C" w:rsidRDefault="00CE0548" w:rsidP="00E81AC3">
            <w:pPr>
              <w:pStyle w:val="Tabletext"/>
              <w:rPr>
                <w:rFonts w:cs="Arial"/>
                <w:i/>
                <w:lang w:val="es-ES_tradnl"/>
              </w:rPr>
            </w:pPr>
            <w:r w:rsidRPr="00CE0548">
              <w:rPr>
                <w:rFonts w:cs="Arial"/>
                <w:i/>
                <w:lang w:val="es-ES_tradnl"/>
              </w:rPr>
              <w:t>Eunicella verrucosa</w:t>
            </w:r>
          </w:p>
          <w:p w:rsidR="00EE7092" w:rsidRPr="00D0712C" w:rsidRDefault="00CE0548" w:rsidP="00E81AC3">
            <w:pPr>
              <w:pStyle w:val="Tabletext"/>
              <w:rPr>
                <w:rFonts w:cs="Arial"/>
                <w:i/>
                <w:lang w:val="es-ES_tradnl"/>
              </w:rPr>
            </w:pPr>
            <w:r w:rsidRPr="00CE0548">
              <w:rPr>
                <w:rFonts w:cs="Arial"/>
                <w:i/>
                <w:lang w:val="es-ES_tradnl"/>
              </w:rPr>
              <w:t>Haliclystus auricular</w:t>
            </w:r>
          </w:p>
          <w:p w:rsidR="00EE7092" w:rsidRPr="00D0712C" w:rsidRDefault="00CE0548" w:rsidP="00E81AC3">
            <w:pPr>
              <w:pStyle w:val="Tabletext"/>
              <w:rPr>
                <w:rFonts w:cs="Arial"/>
                <w:i/>
                <w:lang w:val="es-ES_tradnl"/>
              </w:rPr>
            </w:pPr>
            <w:r w:rsidRPr="00CE0548">
              <w:rPr>
                <w:rFonts w:cs="Arial"/>
                <w:i/>
                <w:lang w:val="es-ES_tradnl"/>
              </w:rPr>
              <w:t>Leptosammia pruvoti</w:t>
            </w:r>
          </w:p>
          <w:p w:rsidR="00EE7092" w:rsidRPr="00D0712C" w:rsidRDefault="00CE0548" w:rsidP="00E81AC3">
            <w:pPr>
              <w:pStyle w:val="Tabletext"/>
              <w:rPr>
                <w:rFonts w:cs="Arial"/>
                <w:i/>
                <w:lang w:val="es-ES_tradnl"/>
              </w:rPr>
            </w:pPr>
            <w:r w:rsidRPr="00CE0548">
              <w:rPr>
                <w:rFonts w:cs="Arial"/>
                <w:i/>
                <w:lang w:val="es-ES_tradnl"/>
              </w:rPr>
              <w:t>Lucernariopsis campanulata</w:t>
            </w:r>
          </w:p>
          <w:p w:rsidR="00EE7092" w:rsidRPr="00D0712C" w:rsidRDefault="00CE0548" w:rsidP="00E81AC3">
            <w:pPr>
              <w:pStyle w:val="Tabletext"/>
              <w:rPr>
                <w:rFonts w:cs="Arial"/>
                <w:i/>
                <w:lang w:val="es-ES_tradnl"/>
              </w:rPr>
            </w:pPr>
            <w:r w:rsidRPr="00CE0548">
              <w:rPr>
                <w:rFonts w:cs="Arial"/>
                <w:i/>
                <w:lang w:val="es-ES_tradnl"/>
              </w:rPr>
              <w:t>Lucernariopsis cruxmelitensis</w:t>
            </w:r>
          </w:p>
          <w:p w:rsidR="00EE7092" w:rsidRPr="00D0712C" w:rsidRDefault="00CE0548" w:rsidP="00E81AC3">
            <w:pPr>
              <w:pStyle w:val="Tabletext"/>
              <w:rPr>
                <w:rFonts w:cs="Arial"/>
                <w:i/>
              </w:rPr>
            </w:pPr>
            <w:r w:rsidRPr="00CE0548">
              <w:rPr>
                <w:rFonts w:cs="Arial"/>
                <w:i/>
              </w:rPr>
              <w:t>Nematostella vectensis</w:t>
            </w:r>
          </w:p>
        </w:tc>
        <w:tc>
          <w:tcPr>
            <w:tcW w:w="3113" w:type="dxa"/>
            <w:tcBorders>
              <w:left w:val="single" w:sz="4" w:space="0" w:color="auto"/>
            </w:tcBorders>
          </w:tcPr>
          <w:p w:rsidR="00EE7092" w:rsidRPr="00D0712C" w:rsidRDefault="00CE0548" w:rsidP="00E81AC3">
            <w:pPr>
              <w:pStyle w:val="Tabletext"/>
              <w:rPr>
                <w:rFonts w:cs="Arial"/>
                <w:lang w:val="es-ES_tradnl"/>
              </w:rPr>
            </w:pPr>
            <w:r w:rsidRPr="00CE0548">
              <w:rPr>
                <w:rFonts w:cs="Arial"/>
                <w:lang w:val="es-ES_tradnl"/>
              </w:rPr>
              <w:t>Sea Fan Anemone</w:t>
            </w:r>
          </w:p>
          <w:p w:rsidR="00EE7092" w:rsidRPr="00D0712C" w:rsidRDefault="00CE0548" w:rsidP="00E81AC3">
            <w:pPr>
              <w:pStyle w:val="Tabletext"/>
              <w:rPr>
                <w:rFonts w:cs="Arial"/>
                <w:lang w:val="es-ES_tradnl"/>
              </w:rPr>
            </w:pPr>
            <w:r w:rsidRPr="00CE0548">
              <w:rPr>
                <w:rFonts w:cs="Arial"/>
                <w:lang w:val="es-ES_tradnl"/>
              </w:rPr>
              <w:t>Pink Sea Fan</w:t>
            </w:r>
          </w:p>
          <w:p w:rsidR="00EE7092" w:rsidRPr="00D0712C" w:rsidRDefault="00CE0548" w:rsidP="00E81AC3">
            <w:pPr>
              <w:pStyle w:val="Tabletext"/>
              <w:rPr>
                <w:rFonts w:cs="Arial"/>
              </w:rPr>
            </w:pPr>
            <w:r w:rsidRPr="00CE0548">
              <w:rPr>
                <w:rFonts w:cs="Arial"/>
              </w:rPr>
              <w:t>Stalked jellyfish</w:t>
            </w:r>
          </w:p>
          <w:p w:rsidR="00EE7092" w:rsidRPr="00D0712C" w:rsidRDefault="00CE0548" w:rsidP="00E81AC3">
            <w:pPr>
              <w:pStyle w:val="Tabletext"/>
              <w:rPr>
                <w:rFonts w:cs="Arial"/>
              </w:rPr>
            </w:pPr>
            <w:r w:rsidRPr="00CE0548">
              <w:rPr>
                <w:rFonts w:cs="Arial"/>
              </w:rPr>
              <w:t>Sunset Cup Coral</w:t>
            </w:r>
          </w:p>
          <w:p w:rsidR="00EE7092" w:rsidRPr="00D0712C" w:rsidRDefault="00CE0548" w:rsidP="00E81AC3">
            <w:pPr>
              <w:pStyle w:val="Tabletext"/>
              <w:rPr>
                <w:rFonts w:cs="Arial"/>
              </w:rPr>
            </w:pPr>
            <w:r w:rsidRPr="00CE0548">
              <w:rPr>
                <w:rFonts w:cs="Arial"/>
              </w:rPr>
              <w:t>Stalked Jellyfish</w:t>
            </w:r>
          </w:p>
          <w:p w:rsidR="00EE7092" w:rsidRPr="00D0712C" w:rsidRDefault="00CE0548" w:rsidP="00E81AC3">
            <w:pPr>
              <w:pStyle w:val="Tabletext"/>
              <w:rPr>
                <w:rFonts w:cs="Arial"/>
              </w:rPr>
            </w:pPr>
            <w:r w:rsidRPr="00CE0548">
              <w:rPr>
                <w:rFonts w:cs="Arial"/>
              </w:rPr>
              <w:t>Stalked Jellyfish</w:t>
            </w:r>
          </w:p>
          <w:p w:rsidR="00EE7092" w:rsidRPr="00D0712C" w:rsidRDefault="00CE0548" w:rsidP="00E81AC3">
            <w:pPr>
              <w:pStyle w:val="Tabletext"/>
              <w:rPr>
                <w:rFonts w:cs="Arial"/>
              </w:rPr>
            </w:pPr>
            <w:r w:rsidRPr="00CE0548">
              <w:rPr>
                <w:rFonts w:cs="Arial"/>
              </w:rPr>
              <w:t>Starlet Sea Anemone</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Crustacea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rPr>
            </w:pPr>
            <w:r w:rsidRPr="00D0712C">
              <w:rPr>
                <w:rFonts w:cs="Arial"/>
                <w:i/>
              </w:rPr>
              <w:t>Gammarus insensibilis**</w:t>
            </w:r>
          </w:p>
          <w:p w:rsidR="00EE7092" w:rsidRPr="00D0712C" w:rsidRDefault="00CE0548" w:rsidP="00E81AC3">
            <w:pPr>
              <w:pStyle w:val="Tabletext"/>
              <w:rPr>
                <w:rFonts w:cs="Arial"/>
                <w:i/>
              </w:rPr>
            </w:pPr>
            <w:r w:rsidRPr="00CE0548">
              <w:rPr>
                <w:rFonts w:cs="Arial"/>
                <w:i/>
              </w:rPr>
              <w:t>Gitanopsis bispinosa</w:t>
            </w:r>
          </w:p>
          <w:p w:rsidR="00EE7092" w:rsidRPr="00D0712C" w:rsidRDefault="00CE0548" w:rsidP="00E81AC3">
            <w:pPr>
              <w:pStyle w:val="Tabletext"/>
              <w:rPr>
                <w:rFonts w:cs="Arial"/>
                <w:i/>
              </w:rPr>
            </w:pPr>
            <w:r w:rsidRPr="00CE0548">
              <w:rPr>
                <w:rFonts w:cs="Arial"/>
                <w:i/>
              </w:rPr>
              <w:t>Pollicipes</w:t>
            </w:r>
          </w:p>
          <w:p w:rsidR="00EE7092" w:rsidRPr="00D0712C" w:rsidRDefault="00CE0548" w:rsidP="00E81AC3">
            <w:pPr>
              <w:pStyle w:val="Tabletext"/>
              <w:rPr>
                <w:rFonts w:cs="Arial"/>
                <w:i/>
              </w:rPr>
            </w:pPr>
            <w:r w:rsidRPr="00CE0548">
              <w:rPr>
                <w:rFonts w:cs="Arial"/>
                <w:i/>
              </w:rPr>
              <w:t>Palinurus elephas</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Lagoon Sand Shrimp**</w:t>
            </w:r>
          </w:p>
          <w:p w:rsidR="00EE7092" w:rsidRPr="00D0712C" w:rsidRDefault="00CE0548" w:rsidP="00E81AC3">
            <w:pPr>
              <w:pStyle w:val="Tabletext"/>
              <w:rPr>
                <w:rFonts w:cs="Arial"/>
              </w:rPr>
            </w:pPr>
            <w:r w:rsidRPr="00CE0548">
              <w:rPr>
                <w:rFonts w:cs="Arial"/>
              </w:rPr>
              <w:t>Amphipod</w:t>
            </w:r>
          </w:p>
          <w:p w:rsidR="00EE7092" w:rsidRPr="00D0712C" w:rsidRDefault="00CE0548" w:rsidP="00E81AC3">
            <w:pPr>
              <w:pStyle w:val="Tabletext"/>
              <w:rPr>
                <w:rFonts w:cs="Arial"/>
              </w:rPr>
            </w:pPr>
            <w:r w:rsidRPr="00CE0548">
              <w:rPr>
                <w:rFonts w:cs="Arial"/>
              </w:rPr>
              <w:t>Gooseneck Barnacle</w:t>
            </w:r>
          </w:p>
          <w:p w:rsidR="00EE7092" w:rsidRPr="00D0712C" w:rsidRDefault="00CE0548" w:rsidP="00E81AC3">
            <w:pPr>
              <w:pStyle w:val="Tabletext"/>
              <w:rPr>
                <w:rFonts w:cs="Arial"/>
              </w:rPr>
            </w:pPr>
            <w:r w:rsidRPr="00CE0548">
              <w:rPr>
                <w:rFonts w:cs="Arial"/>
              </w:rPr>
              <w:t>Spiny Lobster</w:t>
            </w:r>
          </w:p>
        </w:tc>
      </w:tr>
      <w:tr w:rsidR="00EE7092" w:rsidRPr="00D0712C" w:rsidTr="00E81AC3">
        <w:tc>
          <w:tcPr>
            <w:tcW w:w="2852" w:type="dxa"/>
            <w:tcBorders>
              <w:right w:val="single" w:sz="4" w:space="0" w:color="auto"/>
            </w:tcBorders>
          </w:tcPr>
          <w:p w:rsidR="00EE7092" w:rsidRPr="00D0712C" w:rsidRDefault="00EE7092" w:rsidP="00E81AC3">
            <w:pPr>
              <w:pStyle w:val="Tabletext"/>
              <w:rPr>
                <w:rFonts w:cs="Arial"/>
              </w:rPr>
            </w:pPr>
            <w:r w:rsidRPr="00D0712C">
              <w:rPr>
                <w:rFonts w:cs="Arial"/>
              </w:rPr>
              <w:t>Mollusca</w:t>
            </w:r>
          </w:p>
        </w:tc>
        <w:tc>
          <w:tcPr>
            <w:tcW w:w="3277" w:type="dxa"/>
            <w:tcBorders>
              <w:left w:val="single" w:sz="4" w:space="0" w:color="auto"/>
              <w:right w:val="single" w:sz="4" w:space="0" w:color="auto"/>
            </w:tcBorders>
          </w:tcPr>
          <w:p w:rsidR="00EE7092" w:rsidRPr="00D0712C" w:rsidRDefault="00EE7092" w:rsidP="00E81AC3">
            <w:pPr>
              <w:pStyle w:val="Tabletext"/>
              <w:rPr>
                <w:rFonts w:cs="Arial"/>
                <w:i/>
                <w:lang w:val="es-ES_tradnl"/>
              </w:rPr>
            </w:pPr>
            <w:r w:rsidRPr="00D0712C">
              <w:rPr>
                <w:rFonts w:cs="Arial"/>
                <w:i/>
                <w:lang w:val="es-ES_tradnl"/>
              </w:rPr>
              <w:t>Arctica islandica</w:t>
            </w:r>
          </w:p>
          <w:p w:rsidR="00EE7092" w:rsidRPr="00D0712C" w:rsidRDefault="00CE0548" w:rsidP="00E81AC3">
            <w:pPr>
              <w:pStyle w:val="Tabletext"/>
              <w:rPr>
                <w:rFonts w:cs="Arial"/>
                <w:i/>
                <w:lang w:val="es-ES_tradnl"/>
              </w:rPr>
            </w:pPr>
            <w:r w:rsidRPr="00CE0548">
              <w:rPr>
                <w:rFonts w:cs="Arial"/>
                <w:i/>
                <w:lang w:val="es-ES_tradnl"/>
              </w:rPr>
              <w:t>Atrina pectinata</w:t>
            </w:r>
          </w:p>
          <w:p w:rsidR="00EE7092" w:rsidRPr="00D0712C" w:rsidRDefault="00CE0548" w:rsidP="00E81AC3">
            <w:pPr>
              <w:pStyle w:val="Tabletext"/>
              <w:rPr>
                <w:rFonts w:cs="Arial"/>
                <w:i/>
                <w:lang w:val="es-ES_tradnl"/>
              </w:rPr>
            </w:pPr>
            <w:r w:rsidRPr="00CE0548">
              <w:rPr>
                <w:rFonts w:cs="Arial"/>
                <w:i/>
                <w:lang w:val="es-ES_tradnl"/>
              </w:rPr>
              <w:t>Caecum armoricum**</w:t>
            </w:r>
          </w:p>
          <w:p w:rsidR="00EE7092" w:rsidRPr="00D0712C" w:rsidRDefault="00CE0548" w:rsidP="00E81AC3">
            <w:pPr>
              <w:pStyle w:val="Tabletext"/>
              <w:rPr>
                <w:rFonts w:cs="Arial"/>
                <w:i/>
                <w:lang w:val="es-ES_tradnl"/>
              </w:rPr>
            </w:pPr>
            <w:r w:rsidRPr="00CE0548">
              <w:rPr>
                <w:rFonts w:cs="Arial"/>
                <w:i/>
                <w:lang w:val="es-ES_tradnl"/>
              </w:rPr>
              <w:t>Ostrea edulis</w:t>
            </w:r>
          </w:p>
          <w:p w:rsidR="00EE7092" w:rsidRPr="00D0712C" w:rsidRDefault="00CE0548" w:rsidP="00E81AC3">
            <w:pPr>
              <w:pStyle w:val="Tabletext"/>
              <w:rPr>
                <w:rFonts w:cs="Arial"/>
                <w:i/>
                <w:lang w:val="es-ES_tradnl"/>
              </w:rPr>
            </w:pPr>
            <w:r w:rsidRPr="00CE0548">
              <w:rPr>
                <w:rFonts w:cs="Arial"/>
                <w:i/>
                <w:lang w:val="es-ES_tradnl"/>
              </w:rPr>
              <w:t>Paludinella littorina</w:t>
            </w:r>
          </w:p>
          <w:p w:rsidR="00EE7092" w:rsidRPr="00D0712C" w:rsidRDefault="00CE0548" w:rsidP="00E81AC3">
            <w:pPr>
              <w:pStyle w:val="Tabletext"/>
              <w:rPr>
                <w:rFonts w:cs="Arial"/>
                <w:i/>
                <w:lang w:val="es-ES_tradnl"/>
              </w:rPr>
            </w:pPr>
            <w:r w:rsidRPr="00CE0548">
              <w:rPr>
                <w:rFonts w:cs="Arial"/>
                <w:i/>
                <w:lang w:val="es-ES_tradnl"/>
              </w:rPr>
              <w:t>Tenellia adspersa**</w:t>
            </w:r>
          </w:p>
        </w:tc>
        <w:tc>
          <w:tcPr>
            <w:tcW w:w="3113" w:type="dxa"/>
            <w:tcBorders>
              <w:left w:val="single" w:sz="4" w:space="0" w:color="auto"/>
            </w:tcBorders>
          </w:tcPr>
          <w:p w:rsidR="00EE7092" w:rsidRPr="00D0712C" w:rsidRDefault="00CE0548" w:rsidP="00E81AC3">
            <w:pPr>
              <w:pStyle w:val="Tabletext"/>
              <w:rPr>
                <w:rFonts w:cs="Arial"/>
              </w:rPr>
            </w:pPr>
            <w:r w:rsidRPr="00CE0548">
              <w:rPr>
                <w:rFonts w:cs="Arial"/>
              </w:rPr>
              <w:t>Ocean Quahog</w:t>
            </w:r>
          </w:p>
          <w:p w:rsidR="00EE7092" w:rsidRPr="00D0712C" w:rsidRDefault="00CE0548" w:rsidP="00E81AC3">
            <w:pPr>
              <w:pStyle w:val="Tabletext"/>
              <w:rPr>
                <w:rFonts w:cs="Arial"/>
              </w:rPr>
            </w:pPr>
            <w:r w:rsidRPr="00CE0548">
              <w:rPr>
                <w:rFonts w:cs="Arial"/>
              </w:rPr>
              <w:t>Fan Mussel</w:t>
            </w:r>
          </w:p>
          <w:p w:rsidR="00EE7092" w:rsidRPr="00D0712C" w:rsidRDefault="00CE0548" w:rsidP="00E81AC3">
            <w:pPr>
              <w:pStyle w:val="Tabletext"/>
              <w:rPr>
                <w:rFonts w:cs="Arial"/>
              </w:rPr>
            </w:pPr>
            <w:r w:rsidRPr="00CE0548">
              <w:rPr>
                <w:rFonts w:cs="Arial"/>
              </w:rPr>
              <w:t>Defolin’s Lagoon Snail**</w:t>
            </w:r>
          </w:p>
          <w:p w:rsidR="00EE7092" w:rsidRPr="00D0712C" w:rsidRDefault="00CE0548" w:rsidP="00E81AC3">
            <w:pPr>
              <w:pStyle w:val="Tabletext"/>
              <w:rPr>
                <w:rFonts w:cs="Arial"/>
              </w:rPr>
            </w:pPr>
            <w:r w:rsidRPr="00CE0548">
              <w:rPr>
                <w:rFonts w:cs="Arial"/>
              </w:rPr>
              <w:t>Native Oyster</w:t>
            </w:r>
          </w:p>
          <w:p w:rsidR="00EE7092" w:rsidRPr="00D0712C" w:rsidRDefault="00CE0548" w:rsidP="00E81AC3">
            <w:pPr>
              <w:pStyle w:val="Tabletext"/>
              <w:rPr>
                <w:rFonts w:cs="Arial"/>
              </w:rPr>
            </w:pPr>
            <w:r w:rsidRPr="00CE0548">
              <w:rPr>
                <w:rFonts w:cs="Arial"/>
              </w:rPr>
              <w:t>Sea Snail</w:t>
            </w:r>
          </w:p>
          <w:p w:rsidR="00EE7092" w:rsidRPr="00D0712C" w:rsidRDefault="00CE0548" w:rsidP="00E81AC3">
            <w:pPr>
              <w:pStyle w:val="Tabletext"/>
              <w:rPr>
                <w:rFonts w:cs="Arial"/>
              </w:rPr>
            </w:pPr>
            <w:r w:rsidRPr="00CE0548">
              <w:rPr>
                <w:rFonts w:cs="Arial"/>
              </w:rPr>
              <w:t>Lagoon Sea Slug**</w:t>
            </w:r>
          </w:p>
        </w:tc>
      </w:tr>
    </w:tbl>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*Species FOCI have been identified from the ‘OSPAR List of Threatened and/or Declining Species and Habitats’, the ‘UK List of Priority Species and Habitats (UK BAP)’ and Schedule 5 of the Wildlife and Countryside Act.</w:t>
      </w:r>
    </w:p>
    <w:p w:rsidR="00EE7092" w:rsidRPr="00D0712C" w:rsidRDefault="00CE0548" w:rsidP="00EE7092">
      <w:pPr>
        <w:pStyle w:val="ListParagraph"/>
        <w:numPr>
          <w:ilvl w:val="0"/>
          <w:numId w:val="5"/>
        </w:numPr>
        <w:rPr>
          <w:rStyle w:val="Emphasis"/>
          <w:rFonts w:ascii="Arial" w:hAnsi="Arial" w:cs="Arial"/>
        </w:rPr>
      </w:pPr>
      <w:r w:rsidRPr="00CE0548">
        <w:rPr>
          <w:rStyle w:val="Emphasis"/>
          <w:rFonts w:ascii="Arial" w:hAnsi="Arial" w:cs="Arial"/>
        </w:rPr>
        <w:t>**Those lagoonal species FOCI may be afforded sufficient protection through coastal lagoons designated as SACs under the EC Habitats Directive.  However, this needs to be assessed by individual regional projects.</w:t>
      </w:r>
    </w:p>
    <w:p w:rsidR="00DC7084" w:rsidRPr="00D0712C" w:rsidRDefault="00DC7084" w:rsidP="00EE7092">
      <w:pPr>
        <w:rPr>
          <w:rFonts w:ascii="Arial" w:hAnsi="Arial" w:cs="Arial"/>
          <w:sz w:val="24"/>
          <w:szCs w:val="24"/>
        </w:rPr>
      </w:pPr>
    </w:p>
    <w:p w:rsidR="009D2C3A" w:rsidRPr="00D0712C" w:rsidRDefault="009D2C3A">
      <w:pPr>
        <w:rPr>
          <w:rFonts w:ascii="Arial" w:hAnsi="Arial" w:cs="Arial"/>
          <w:sz w:val="24"/>
          <w:szCs w:val="24"/>
        </w:rPr>
      </w:pPr>
      <w:r w:rsidRPr="00D0712C">
        <w:rPr>
          <w:rFonts w:ascii="Arial" w:hAnsi="Arial" w:cs="Arial"/>
          <w:sz w:val="24"/>
          <w:szCs w:val="24"/>
        </w:rPr>
        <w:br w:type="page"/>
      </w:r>
    </w:p>
    <w:p w:rsidR="00EE7092" w:rsidRPr="00F43F1E" w:rsidRDefault="00CE0548" w:rsidP="00847892">
      <w:pPr>
        <w:pStyle w:val="Heading1"/>
        <w:rPr>
          <w:rFonts w:ascii="Arial" w:hAnsi="Arial" w:cs="Arial"/>
          <w:color w:val="auto"/>
        </w:rPr>
      </w:pPr>
      <w:r w:rsidRPr="00F43F1E">
        <w:rPr>
          <w:rFonts w:ascii="Arial" w:hAnsi="Arial" w:cs="Arial"/>
          <w:color w:val="auto"/>
        </w:rPr>
        <w:lastRenderedPageBreak/>
        <w:t>Annex 8. Life Form list</w:t>
      </w:r>
    </w:p>
    <w:p w:rsidR="009D2C3A" w:rsidRPr="00D0712C" w:rsidRDefault="001022CC" w:rsidP="00294DC5">
      <w:pPr>
        <w:pStyle w:val="Tabletext"/>
        <w:rPr>
          <w:rFonts w:cs="Arial"/>
        </w:rPr>
      </w:pPr>
      <w:r>
        <w:rPr>
          <w:rFonts w:cs="Arial"/>
        </w:rPr>
        <w:t>Algal</w:t>
      </w:r>
      <w:r w:rsidR="009D2C3A" w:rsidRPr="00D0712C">
        <w:rPr>
          <w:rFonts w:cs="Arial"/>
        </w:rPr>
        <w:t>_Turf</w:t>
      </w:r>
    </w:p>
    <w:p w:rsidR="009D2C3A" w:rsidRPr="00D0712C" w:rsidRDefault="009D2C3A" w:rsidP="009D2C3A">
      <w:pPr>
        <w:pStyle w:val="Tabletext"/>
        <w:rPr>
          <w:rFonts w:cs="Arial"/>
        </w:rPr>
      </w:pPr>
      <w:r w:rsidRPr="00D0712C">
        <w:rPr>
          <w:rFonts w:cs="Arial"/>
        </w:rPr>
        <w:t>U. brown algae_filamentous</w:t>
      </w:r>
    </w:p>
    <w:p w:rsidR="009D2C3A" w:rsidRDefault="00CE0548" w:rsidP="009D2C3A">
      <w:pPr>
        <w:pStyle w:val="Tabletext"/>
        <w:rPr>
          <w:rFonts w:cs="Arial"/>
        </w:rPr>
      </w:pPr>
      <w:r w:rsidRPr="00CE0548">
        <w:rPr>
          <w:rFonts w:cs="Arial"/>
        </w:rPr>
        <w:t>U. brown algae_foliose</w:t>
      </w:r>
    </w:p>
    <w:p w:rsidR="009D2C3A" w:rsidRPr="00D0712C" w:rsidRDefault="001022CC" w:rsidP="009D2C3A">
      <w:pPr>
        <w:pStyle w:val="Tabletext"/>
        <w:rPr>
          <w:rFonts w:cs="Arial"/>
        </w:rPr>
      </w:pPr>
      <w:r w:rsidRPr="00CE0548">
        <w:rPr>
          <w:rFonts w:cs="Arial"/>
        </w:rPr>
        <w:t>U. brown algae_</w:t>
      </w:r>
      <w:r>
        <w:rPr>
          <w:rFonts w:cs="Arial"/>
        </w:rPr>
        <w:t>kelp</w:t>
      </w:r>
      <w:r w:rsidR="00CE0548" w:rsidRPr="00CE0548">
        <w:rPr>
          <w:rFonts w:cs="Arial"/>
        </w:rPr>
        <w:t>U. green algae_filamentous</w:t>
      </w:r>
    </w:p>
    <w:p w:rsidR="009D2C3A" w:rsidRPr="00D0712C" w:rsidRDefault="00CE0548" w:rsidP="009D2C3A">
      <w:pPr>
        <w:pStyle w:val="Tabletext"/>
        <w:rPr>
          <w:rFonts w:cs="Arial"/>
        </w:rPr>
      </w:pPr>
      <w:r w:rsidRPr="00CE0548">
        <w:rPr>
          <w:rFonts w:cs="Arial"/>
        </w:rPr>
        <w:t>U. green algae_foliose</w:t>
      </w:r>
    </w:p>
    <w:p w:rsidR="009D2C3A" w:rsidRDefault="00CE0548" w:rsidP="009D2C3A">
      <w:pPr>
        <w:pStyle w:val="Tabletext"/>
        <w:rPr>
          <w:rFonts w:cs="Arial"/>
        </w:rPr>
      </w:pPr>
      <w:r w:rsidRPr="00CE0548">
        <w:rPr>
          <w:rFonts w:cs="Arial"/>
        </w:rPr>
        <w:t>U. red algae_encrusting</w:t>
      </w:r>
    </w:p>
    <w:p w:rsidR="001022CC" w:rsidRPr="00D0712C" w:rsidRDefault="001022CC" w:rsidP="009D2C3A">
      <w:pPr>
        <w:pStyle w:val="Tabletext"/>
        <w:rPr>
          <w:rFonts w:cs="Arial"/>
        </w:rPr>
      </w:pPr>
      <w:r>
        <w:rPr>
          <w:rFonts w:cs="Arial"/>
        </w:rPr>
        <w:t xml:space="preserve">U </w:t>
      </w:r>
      <w:r w:rsidRPr="00CE0548">
        <w:rPr>
          <w:rFonts w:cs="Arial"/>
        </w:rPr>
        <w:t>. red algae</w:t>
      </w:r>
      <w:r>
        <w:rPr>
          <w:rFonts w:cs="Arial"/>
        </w:rPr>
        <w:t>_mearl</w:t>
      </w:r>
    </w:p>
    <w:p w:rsidR="009D2C3A" w:rsidRPr="00D0712C" w:rsidRDefault="00CE0548" w:rsidP="009D2C3A">
      <w:pPr>
        <w:pStyle w:val="Tabletext"/>
        <w:rPr>
          <w:rFonts w:cs="Arial"/>
        </w:rPr>
      </w:pPr>
      <w:r w:rsidRPr="00CE0548">
        <w:rPr>
          <w:rFonts w:cs="Arial"/>
        </w:rPr>
        <w:t>U. red algae_foliose</w:t>
      </w:r>
    </w:p>
    <w:p w:rsidR="009D2C3A" w:rsidRPr="00D0712C" w:rsidRDefault="00CE0548" w:rsidP="009D2C3A">
      <w:pPr>
        <w:pStyle w:val="Tabletext"/>
        <w:rPr>
          <w:rFonts w:cs="Arial"/>
        </w:rPr>
      </w:pPr>
      <w:r w:rsidRPr="00CE0548">
        <w:rPr>
          <w:rFonts w:cs="Arial"/>
        </w:rPr>
        <w:t>U. red algae_filamentous</w:t>
      </w:r>
    </w:p>
    <w:p w:rsidR="009D2C3A" w:rsidRPr="00D0712C" w:rsidRDefault="00CE0548" w:rsidP="009D2C3A">
      <w:pPr>
        <w:pStyle w:val="Tabletext"/>
        <w:rPr>
          <w:rFonts w:cs="Arial"/>
        </w:rPr>
      </w:pPr>
      <w:r w:rsidRPr="00CE0548">
        <w:rPr>
          <w:rFonts w:cs="Arial"/>
        </w:rPr>
        <w:t>U. anemone</w:t>
      </w:r>
    </w:p>
    <w:p w:rsidR="009D2C3A" w:rsidRDefault="00CE0548" w:rsidP="009D2C3A">
      <w:pPr>
        <w:pStyle w:val="Tabletext"/>
        <w:rPr>
          <w:rFonts w:cs="Arial"/>
        </w:rPr>
      </w:pPr>
      <w:r w:rsidRPr="00CE0548">
        <w:rPr>
          <w:rFonts w:cs="Arial"/>
        </w:rPr>
        <w:t>U. anemone_white</w:t>
      </w:r>
    </w:p>
    <w:p w:rsidR="001022CC" w:rsidRPr="00D0712C" w:rsidRDefault="001022CC" w:rsidP="009D2C3A">
      <w:pPr>
        <w:pStyle w:val="Tabletext"/>
        <w:rPr>
          <w:rFonts w:cs="Arial"/>
        </w:rPr>
      </w:pPr>
      <w:r>
        <w:rPr>
          <w:rFonts w:cs="Arial"/>
        </w:rPr>
        <w:t>U. anthozoa</w:t>
      </w:r>
    </w:p>
    <w:p w:rsidR="009D2C3A" w:rsidRPr="00D0712C" w:rsidRDefault="00CE0548" w:rsidP="009D2C3A">
      <w:pPr>
        <w:pStyle w:val="Tabletext"/>
        <w:rPr>
          <w:rFonts w:cs="Arial"/>
        </w:rPr>
      </w:pPr>
      <w:r w:rsidRPr="00CE0548">
        <w:rPr>
          <w:rFonts w:cs="Arial"/>
        </w:rPr>
        <w:t>U. ascidian_solitary</w:t>
      </w:r>
    </w:p>
    <w:p w:rsidR="009D2C3A" w:rsidRPr="00D0712C" w:rsidRDefault="00CE0548" w:rsidP="009D2C3A">
      <w:pPr>
        <w:pStyle w:val="Tabletext"/>
        <w:rPr>
          <w:rFonts w:cs="Arial"/>
        </w:rPr>
      </w:pPr>
      <w:r w:rsidRPr="00CE0548">
        <w:rPr>
          <w:rFonts w:cs="Arial"/>
        </w:rPr>
        <w:t>U. ascidian_colonial</w:t>
      </w:r>
    </w:p>
    <w:p w:rsidR="009D2C3A" w:rsidRPr="00D0712C" w:rsidRDefault="00CE0548" w:rsidP="009D2C3A">
      <w:pPr>
        <w:pStyle w:val="Tabletext"/>
        <w:rPr>
          <w:rFonts w:cs="Arial"/>
        </w:rPr>
      </w:pPr>
      <w:r w:rsidRPr="00CE0548">
        <w:rPr>
          <w:rFonts w:cs="Arial"/>
        </w:rPr>
        <w:t>U. bryozoan_encrusting</w:t>
      </w:r>
    </w:p>
    <w:p w:rsidR="009D2C3A" w:rsidRPr="00D0712C" w:rsidRDefault="00CE0548" w:rsidP="009D2C3A">
      <w:pPr>
        <w:pStyle w:val="Tabletext"/>
        <w:rPr>
          <w:rFonts w:cs="Arial"/>
        </w:rPr>
      </w:pPr>
      <w:r w:rsidRPr="00CE0548">
        <w:rPr>
          <w:rFonts w:cs="Arial"/>
        </w:rPr>
        <w:t>U. bryozoan_massive</w:t>
      </w:r>
    </w:p>
    <w:p w:rsidR="009D2C3A" w:rsidRPr="00D0712C" w:rsidRDefault="00CE0548" w:rsidP="009D2C3A">
      <w:pPr>
        <w:pStyle w:val="Tabletext"/>
        <w:rPr>
          <w:rFonts w:cs="Arial"/>
        </w:rPr>
      </w:pPr>
      <w:r w:rsidRPr="00CE0548">
        <w:rPr>
          <w:rFonts w:cs="Arial"/>
        </w:rPr>
        <w:t>U. bryozoan_foliaceous</w:t>
      </w:r>
    </w:p>
    <w:p w:rsidR="009D2C3A" w:rsidRPr="00D0712C" w:rsidRDefault="00CE0548" w:rsidP="009D2C3A">
      <w:pPr>
        <w:pStyle w:val="Tabletext"/>
        <w:rPr>
          <w:rFonts w:cs="Arial"/>
        </w:rPr>
      </w:pPr>
      <w:r w:rsidRPr="00CE0548">
        <w:rPr>
          <w:rFonts w:cs="Arial"/>
        </w:rPr>
        <w:t>U. bryozoan_dendroid</w:t>
      </w:r>
    </w:p>
    <w:p w:rsidR="009D2C3A" w:rsidRPr="00D0712C" w:rsidRDefault="00CE0548" w:rsidP="009D2C3A">
      <w:pPr>
        <w:pStyle w:val="Tabletext"/>
        <w:rPr>
          <w:rFonts w:cs="Arial"/>
        </w:rPr>
      </w:pPr>
      <w:r w:rsidRPr="00CE0548">
        <w:rPr>
          <w:rFonts w:cs="Arial"/>
        </w:rPr>
        <w:t>U. bryozoan_fenestrate</w:t>
      </w:r>
    </w:p>
    <w:p w:rsidR="009D2C3A" w:rsidRPr="00D0712C" w:rsidRDefault="00CE0548" w:rsidP="009D2C3A">
      <w:pPr>
        <w:pStyle w:val="Tabletext"/>
        <w:rPr>
          <w:rFonts w:cs="Arial"/>
        </w:rPr>
      </w:pPr>
      <w:r w:rsidRPr="00CE0548">
        <w:rPr>
          <w:rFonts w:cs="Arial"/>
        </w:rPr>
        <w:t>U. bryozoan_plumose</w:t>
      </w:r>
    </w:p>
    <w:p w:rsidR="009D2C3A" w:rsidRPr="00D0712C" w:rsidRDefault="00CE0548" w:rsidP="009D2C3A">
      <w:pPr>
        <w:pStyle w:val="Tabletext"/>
        <w:rPr>
          <w:rFonts w:cs="Arial"/>
        </w:rPr>
      </w:pPr>
      <w:r w:rsidRPr="00CE0548">
        <w:rPr>
          <w:rFonts w:cs="Arial"/>
        </w:rPr>
        <w:t>U. faunal turf</w:t>
      </w:r>
    </w:p>
    <w:p w:rsidR="009D2C3A" w:rsidRPr="00D0712C" w:rsidRDefault="00CE0548" w:rsidP="009D2C3A">
      <w:pPr>
        <w:pStyle w:val="Tabletext"/>
        <w:rPr>
          <w:rFonts w:cs="Arial"/>
        </w:rPr>
      </w:pPr>
      <w:r w:rsidRPr="00CE0548">
        <w:rPr>
          <w:rFonts w:cs="Arial"/>
        </w:rPr>
        <w:t>U. holothurian_burrowing</w:t>
      </w:r>
    </w:p>
    <w:p w:rsidR="009D2C3A" w:rsidRPr="00D0712C" w:rsidRDefault="00CE0548" w:rsidP="009D2C3A">
      <w:pPr>
        <w:pStyle w:val="Tabletext"/>
        <w:rPr>
          <w:rFonts w:cs="Arial"/>
        </w:rPr>
      </w:pPr>
      <w:r w:rsidRPr="00CE0548">
        <w:rPr>
          <w:rFonts w:cs="Arial"/>
        </w:rPr>
        <w:t>U. hydroid</w:t>
      </w:r>
    </w:p>
    <w:p w:rsidR="009D2C3A" w:rsidRPr="00D0712C" w:rsidRDefault="00CE0548" w:rsidP="009D2C3A">
      <w:pPr>
        <w:pStyle w:val="Tabletext"/>
        <w:rPr>
          <w:rFonts w:cs="Arial"/>
        </w:rPr>
      </w:pPr>
      <w:r w:rsidRPr="00CE0548">
        <w:rPr>
          <w:rFonts w:cs="Arial"/>
        </w:rPr>
        <w:t>U. hydroid turf</w:t>
      </w:r>
    </w:p>
    <w:p w:rsidR="009D2C3A" w:rsidRPr="00D0712C" w:rsidRDefault="00CE0548" w:rsidP="009D2C3A">
      <w:pPr>
        <w:pStyle w:val="Tabletext"/>
        <w:rPr>
          <w:rFonts w:cs="Arial"/>
        </w:rPr>
      </w:pPr>
      <w:r w:rsidRPr="00CE0548">
        <w:rPr>
          <w:rFonts w:cs="Arial"/>
        </w:rPr>
        <w:t>U. hydroid crust</w:t>
      </w:r>
    </w:p>
    <w:p w:rsidR="009D2C3A" w:rsidRDefault="00CE0548" w:rsidP="009D2C3A">
      <w:pPr>
        <w:pStyle w:val="Tabletext"/>
        <w:rPr>
          <w:rFonts w:cs="Arial"/>
        </w:rPr>
      </w:pPr>
      <w:r w:rsidRPr="00CE0548">
        <w:rPr>
          <w:rFonts w:cs="Arial"/>
        </w:rPr>
        <w:t>U. gastropod</w:t>
      </w:r>
    </w:p>
    <w:p w:rsidR="001022CC" w:rsidRPr="00D0712C" w:rsidRDefault="001022CC" w:rsidP="009D2C3A">
      <w:pPr>
        <w:pStyle w:val="Tabletext"/>
        <w:rPr>
          <w:rFonts w:cs="Arial"/>
        </w:rPr>
      </w:pPr>
      <w:r>
        <w:rPr>
          <w:rFonts w:cs="Arial"/>
        </w:rPr>
        <w:t>U. sediment with life apparent</w:t>
      </w:r>
    </w:p>
    <w:p w:rsidR="009D2C3A" w:rsidRPr="00D0712C" w:rsidRDefault="00CE0548" w:rsidP="009D2C3A">
      <w:pPr>
        <w:pStyle w:val="Tabletext"/>
        <w:rPr>
          <w:rFonts w:cs="Arial"/>
        </w:rPr>
      </w:pPr>
      <w:r w:rsidRPr="00CE0548">
        <w:rPr>
          <w:rFonts w:cs="Arial"/>
        </w:rPr>
        <w:t>U. sponge_encrusting</w:t>
      </w:r>
    </w:p>
    <w:p w:rsidR="009D2C3A" w:rsidRPr="00D0712C" w:rsidRDefault="00CE0548" w:rsidP="009D2C3A">
      <w:pPr>
        <w:pStyle w:val="Tabletext"/>
        <w:rPr>
          <w:rFonts w:cs="Arial"/>
        </w:rPr>
      </w:pPr>
      <w:r w:rsidRPr="00CE0548">
        <w:rPr>
          <w:rFonts w:cs="Arial"/>
        </w:rPr>
        <w:t>U. sponge_cushion</w:t>
      </w:r>
    </w:p>
    <w:p w:rsidR="009D2C3A" w:rsidRPr="00D0712C" w:rsidRDefault="00CE0548" w:rsidP="009D2C3A">
      <w:pPr>
        <w:pStyle w:val="Tabletext"/>
        <w:rPr>
          <w:rFonts w:cs="Arial"/>
        </w:rPr>
      </w:pPr>
      <w:r w:rsidRPr="00CE0548">
        <w:rPr>
          <w:rFonts w:cs="Arial"/>
        </w:rPr>
        <w:t>U. sponge_massive</w:t>
      </w:r>
    </w:p>
    <w:p w:rsidR="009D2C3A" w:rsidRPr="00D0712C" w:rsidRDefault="00CE0548" w:rsidP="009D2C3A">
      <w:pPr>
        <w:pStyle w:val="Tabletext"/>
        <w:rPr>
          <w:rFonts w:cs="Arial"/>
        </w:rPr>
      </w:pPr>
      <w:r w:rsidRPr="00CE0548">
        <w:rPr>
          <w:rFonts w:cs="Arial"/>
        </w:rPr>
        <w:t>U. sponge_globular</w:t>
      </w:r>
    </w:p>
    <w:p w:rsidR="009D2C3A" w:rsidRPr="00D0712C" w:rsidRDefault="00CE0548" w:rsidP="009D2C3A">
      <w:pPr>
        <w:pStyle w:val="Tabletext"/>
        <w:rPr>
          <w:rFonts w:cs="Arial"/>
        </w:rPr>
      </w:pPr>
      <w:r w:rsidRPr="00CE0548">
        <w:rPr>
          <w:rFonts w:cs="Arial"/>
        </w:rPr>
        <w:t>U. sponge_pedunculate</w:t>
      </w:r>
    </w:p>
    <w:p w:rsidR="009D2C3A" w:rsidRPr="00D0712C" w:rsidRDefault="00CE0548" w:rsidP="009D2C3A">
      <w:pPr>
        <w:pStyle w:val="Tabletext"/>
        <w:rPr>
          <w:rFonts w:cs="Arial"/>
        </w:rPr>
      </w:pPr>
      <w:r w:rsidRPr="00CE0548">
        <w:rPr>
          <w:rFonts w:cs="Arial"/>
        </w:rPr>
        <w:t>U. sponge_papillate</w:t>
      </w:r>
    </w:p>
    <w:p w:rsidR="009D2C3A" w:rsidRPr="00D0712C" w:rsidRDefault="00CE0548" w:rsidP="009D2C3A">
      <w:pPr>
        <w:pStyle w:val="Tabletext"/>
        <w:rPr>
          <w:rFonts w:cs="Arial"/>
        </w:rPr>
      </w:pPr>
      <w:r w:rsidRPr="00CE0548">
        <w:rPr>
          <w:rFonts w:cs="Arial"/>
        </w:rPr>
        <w:t>U. sponge_flabellate</w:t>
      </w:r>
    </w:p>
    <w:p w:rsidR="009D2C3A" w:rsidRPr="00D0712C" w:rsidRDefault="00CE0548" w:rsidP="009D2C3A">
      <w:pPr>
        <w:pStyle w:val="Tabletext"/>
        <w:rPr>
          <w:rFonts w:cs="Arial"/>
        </w:rPr>
      </w:pPr>
      <w:r w:rsidRPr="00CE0548">
        <w:rPr>
          <w:rFonts w:cs="Arial"/>
        </w:rPr>
        <w:t>U. sponge_arborescent</w:t>
      </w:r>
    </w:p>
    <w:p w:rsidR="009D2C3A" w:rsidRPr="00D0712C" w:rsidRDefault="00CE0548" w:rsidP="009D2C3A">
      <w:pPr>
        <w:pStyle w:val="Tabletext"/>
        <w:rPr>
          <w:rFonts w:cs="Arial"/>
        </w:rPr>
      </w:pPr>
      <w:r w:rsidRPr="00CE0548">
        <w:rPr>
          <w:rFonts w:cs="Arial"/>
        </w:rPr>
        <w:t>U. sponge_cuplike</w:t>
      </w:r>
    </w:p>
    <w:p w:rsidR="009D2C3A" w:rsidRDefault="00CE0548" w:rsidP="009D2C3A">
      <w:pPr>
        <w:pStyle w:val="Tabletext"/>
        <w:rPr>
          <w:rFonts w:cs="Arial"/>
        </w:rPr>
      </w:pPr>
      <w:r w:rsidRPr="00CE0548">
        <w:rPr>
          <w:rFonts w:cs="Arial"/>
        </w:rPr>
        <w:t>U. sponge_columnar</w:t>
      </w:r>
    </w:p>
    <w:p w:rsidR="00F3652F" w:rsidRDefault="00F3652F">
      <w:pPr>
        <w:rPr>
          <w:rFonts w:ascii="Arial" w:eastAsia="Times New Roman" w:hAnsi="Arial" w:cs="Arial"/>
          <w:sz w:val="20"/>
        </w:rPr>
      </w:pPr>
      <w:r>
        <w:rPr>
          <w:rFonts w:cs="Arial"/>
        </w:rPr>
        <w:br w:type="page"/>
      </w:r>
    </w:p>
    <w:p w:rsidR="005367A9" w:rsidRPr="005367A9" w:rsidRDefault="005367A9" w:rsidP="00847892">
      <w:pPr>
        <w:pStyle w:val="Heading1"/>
        <w:rPr>
          <w:rFonts w:ascii="Arial" w:hAnsi="Arial" w:cs="Arial"/>
          <w:color w:val="auto"/>
        </w:rPr>
      </w:pPr>
      <w:r w:rsidRPr="005367A9">
        <w:rPr>
          <w:rFonts w:ascii="Arial" w:hAnsi="Arial" w:cs="Arial"/>
          <w:color w:val="auto"/>
        </w:rPr>
        <w:lastRenderedPageBreak/>
        <w:t xml:space="preserve">Annex 9. Video </w:t>
      </w:r>
      <w:r w:rsidR="00557EC8">
        <w:rPr>
          <w:rFonts w:ascii="Arial" w:hAnsi="Arial" w:cs="Arial"/>
          <w:color w:val="auto"/>
        </w:rPr>
        <w:t xml:space="preserve">and still </w:t>
      </w:r>
      <w:r w:rsidRPr="005367A9">
        <w:rPr>
          <w:rFonts w:ascii="Arial" w:hAnsi="Arial" w:cs="Arial"/>
          <w:color w:val="auto"/>
        </w:rPr>
        <w:t>Quality Guidance</w:t>
      </w:r>
    </w:p>
    <w:p w:rsidR="005367A9" w:rsidRDefault="005367A9" w:rsidP="009D2C3A">
      <w:pPr>
        <w:pStyle w:val="Tabletext"/>
        <w:rPr>
          <w:rFonts w:cs="Arial"/>
          <w:b/>
        </w:rPr>
      </w:pPr>
    </w:p>
    <w:p w:rsidR="005367A9" w:rsidRDefault="005367A9" w:rsidP="005367A9">
      <w:pPr>
        <w:pStyle w:val="BodyText"/>
        <w:numPr>
          <w:ilvl w:val="1"/>
          <w:numId w:val="24"/>
        </w:numPr>
        <w:spacing w:before="0" w:after="0"/>
        <w:jc w:val="both"/>
        <w:rPr>
          <w:sz w:val="22"/>
          <w:szCs w:val="22"/>
        </w:rPr>
      </w:pPr>
      <w:r>
        <w:rPr>
          <w:sz w:val="22"/>
          <w:szCs w:val="22"/>
        </w:rPr>
        <w:t>A number of criteria can be used to determine video quality including:</w:t>
      </w:r>
    </w:p>
    <w:p w:rsidR="005367A9" w:rsidRDefault="005367A9" w:rsidP="005367A9">
      <w:pPr>
        <w:pStyle w:val="BodyText"/>
        <w:numPr>
          <w:ilvl w:val="2"/>
          <w:numId w:val="24"/>
        </w:numPr>
        <w:spacing w:before="0" w:after="0"/>
        <w:jc w:val="both"/>
        <w:rPr>
          <w:sz w:val="22"/>
          <w:szCs w:val="22"/>
        </w:rPr>
      </w:pPr>
      <w:r>
        <w:rPr>
          <w:sz w:val="22"/>
          <w:szCs w:val="22"/>
        </w:rPr>
        <w:t>Camera distance to seabed</w:t>
      </w:r>
    </w:p>
    <w:p w:rsidR="005367A9" w:rsidRDefault="005367A9" w:rsidP="005367A9">
      <w:pPr>
        <w:pStyle w:val="BodyText"/>
        <w:numPr>
          <w:ilvl w:val="2"/>
          <w:numId w:val="24"/>
        </w:numPr>
        <w:spacing w:before="0" w:after="0"/>
        <w:jc w:val="both"/>
        <w:rPr>
          <w:sz w:val="22"/>
          <w:szCs w:val="22"/>
        </w:rPr>
      </w:pPr>
      <w:r>
        <w:rPr>
          <w:sz w:val="22"/>
          <w:szCs w:val="22"/>
        </w:rPr>
        <w:t>Angle of the field of view of the camera</w:t>
      </w:r>
    </w:p>
    <w:p w:rsidR="005367A9" w:rsidRDefault="005367A9" w:rsidP="005367A9">
      <w:pPr>
        <w:pStyle w:val="BodyText"/>
        <w:numPr>
          <w:ilvl w:val="2"/>
          <w:numId w:val="24"/>
        </w:numPr>
        <w:spacing w:before="0" w:after="0"/>
        <w:jc w:val="both"/>
        <w:rPr>
          <w:sz w:val="22"/>
          <w:szCs w:val="22"/>
        </w:rPr>
      </w:pPr>
      <w:r>
        <w:rPr>
          <w:sz w:val="22"/>
          <w:szCs w:val="22"/>
        </w:rPr>
        <w:t>Speed of camera over ground</w:t>
      </w:r>
    </w:p>
    <w:p w:rsidR="005367A9" w:rsidRDefault="005367A9" w:rsidP="005367A9">
      <w:pPr>
        <w:pStyle w:val="BodyText"/>
        <w:numPr>
          <w:ilvl w:val="2"/>
          <w:numId w:val="24"/>
        </w:numPr>
        <w:spacing w:before="0" w:after="0"/>
        <w:jc w:val="both"/>
        <w:rPr>
          <w:sz w:val="22"/>
          <w:szCs w:val="22"/>
        </w:rPr>
      </w:pPr>
      <w:r>
        <w:rPr>
          <w:sz w:val="22"/>
          <w:szCs w:val="22"/>
        </w:rPr>
        <w:t>Level of turbidity</w:t>
      </w:r>
    </w:p>
    <w:p w:rsidR="005367A9" w:rsidRDefault="005367A9" w:rsidP="005367A9">
      <w:pPr>
        <w:pStyle w:val="BodyText"/>
        <w:numPr>
          <w:ilvl w:val="2"/>
          <w:numId w:val="24"/>
        </w:numPr>
        <w:spacing w:before="0" w:after="0"/>
        <w:jc w:val="both"/>
        <w:rPr>
          <w:sz w:val="22"/>
          <w:szCs w:val="22"/>
        </w:rPr>
      </w:pPr>
      <w:r>
        <w:rPr>
          <w:sz w:val="22"/>
          <w:szCs w:val="22"/>
        </w:rPr>
        <w:t>Presence or absence of scale</w:t>
      </w:r>
    </w:p>
    <w:p w:rsidR="005367A9" w:rsidRDefault="005367A9" w:rsidP="005367A9">
      <w:pPr>
        <w:pStyle w:val="BodyText"/>
        <w:numPr>
          <w:ilvl w:val="2"/>
          <w:numId w:val="24"/>
        </w:numPr>
        <w:spacing w:before="0" w:after="0"/>
        <w:jc w:val="both"/>
        <w:rPr>
          <w:sz w:val="22"/>
          <w:szCs w:val="22"/>
        </w:rPr>
      </w:pPr>
      <w:r>
        <w:rPr>
          <w:sz w:val="22"/>
          <w:szCs w:val="22"/>
        </w:rPr>
        <w:t>Lighting quality</w:t>
      </w:r>
    </w:p>
    <w:p w:rsidR="005367A9" w:rsidRDefault="005367A9" w:rsidP="005367A9">
      <w:pPr>
        <w:pStyle w:val="BodyText"/>
        <w:ind w:left="2160"/>
        <w:jc w:val="both"/>
        <w:rPr>
          <w:sz w:val="22"/>
          <w:szCs w:val="22"/>
        </w:rPr>
      </w:pPr>
    </w:p>
    <w:p w:rsidR="005367A9" w:rsidRDefault="005367A9" w:rsidP="005367A9">
      <w:pPr>
        <w:pStyle w:val="BodyText"/>
        <w:numPr>
          <w:ilvl w:val="1"/>
          <w:numId w:val="24"/>
        </w:numPr>
        <w:spacing w:before="0" w:after="0"/>
        <w:jc w:val="both"/>
        <w:rPr>
          <w:sz w:val="22"/>
          <w:szCs w:val="22"/>
        </w:rPr>
      </w:pPr>
      <w:r>
        <w:rPr>
          <w:sz w:val="22"/>
          <w:szCs w:val="22"/>
        </w:rPr>
        <w:t>Example categories can include:</w:t>
      </w: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Excellent</w:t>
      </w:r>
      <w:r>
        <w:rPr>
          <w:color w:val="000000"/>
          <w:sz w:val="22"/>
          <w:szCs w:val="22"/>
        </w:rPr>
        <w:t xml:space="preserve"> - </w:t>
      </w:r>
      <w:r>
        <w:rPr>
          <w:sz w:val="22"/>
          <w:szCs w:val="22"/>
        </w:rPr>
        <w:t xml:space="preserve">Water is clear, perfect illumination, colour is excellent, camera moving at ideal speed and at a constant angle, sea bed is visible at all times.  </w:t>
      </w:r>
      <w:r>
        <w:rPr>
          <w:color w:val="000000"/>
          <w:sz w:val="22"/>
          <w:szCs w:val="22"/>
        </w:rPr>
        <w:t xml:space="preserve">There may be very occasional issues with viewing the seabed but these </w:t>
      </w:r>
      <w:r w:rsidR="005B40C5">
        <w:rPr>
          <w:color w:val="000000"/>
          <w:sz w:val="22"/>
          <w:szCs w:val="22"/>
        </w:rPr>
        <w:t>occurrences</w:t>
      </w:r>
      <w:r>
        <w:rPr>
          <w:color w:val="000000"/>
          <w:sz w:val="22"/>
          <w:szCs w:val="22"/>
        </w:rPr>
        <w:t xml:space="preserve"> last for &lt;5% of the tow. </w:t>
      </w:r>
      <w:r>
        <w:rPr>
          <w:sz w:val="22"/>
          <w:szCs w:val="22"/>
        </w:rPr>
        <w:t>All levels of analysis are expected to be possible;</w:t>
      </w:r>
    </w:p>
    <w:p w:rsidR="00885FB6" w:rsidRDefault="00885FB6" w:rsidP="00885FB6">
      <w:pPr>
        <w:pStyle w:val="BodyText"/>
        <w:spacing w:before="0" w:after="0"/>
        <w:ind w:left="216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Good </w:t>
      </w:r>
      <w:r>
        <w:rPr>
          <w:color w:val="000000"/>
          <w:sz w:val="22"/>
          <w:szCs w:val="22"/>
        </w:rPr>
        <w:t xml:space="preserve">- Seabed easily observed, small amounts of suspended matter but this does not </w:t>
      </w:r>
      <w:r w:rsidR="005B40C5">
        <w:rPr>
          <w:color w:val="000000"/>
          <w:sz w:val="22"/>
          <w:szCs w:val="22"/>
        </w:rPr>
        <w:t>affect</w:t>
      </w:r>
      <w:r>
        <w:rPr>
          <w:color w:val="000000"/>
          <w:sz w:val="22"/>
          <w:szCs w:val="22"/>
        </w:rPr>
        <w:t xml:space="preserve"> the visibility, speed may occasionally vary, lighting is sufficient to appropriately illuminate organisms.  There may be occasional issues with viewing the seabed but these </w:t>
      </w:r>
      <w:r w:rsidR="005B40C5">
        <w:rPr>
          <w:color w:val="000000"/>
          <w:sz w:val="22"/>
          <w:szCs w:val="22"/>
        </w:rPr>
        <w:t>occurrences</w:t>
      </w:r>
      <w:r>
        <w:rPr>
          <w:color w:val="000000"/>
          <w:sz w:val="22"/>
          <w:szCs w:val="22"/>
        </w:rPr>
        <w:t xml:space="preserve"> last for 5-20% of the tow. This level of quality is not expected to affect analysis; </w:t>
      </w:r>
    </w:p>
    <w:p w:rsidR="00885FB6" w:rsidRDefault="00885FB6" w:rsidP="00885FB6">
      <w:pPr>
        <w:pStyle w:val="BodyText"/>
        <w:spacing w:before="0" w:after="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Poor </w:t>
      </w:r>
      <w:r>
        <w:rPr>
          <w:color w:val="000000"/>
          <w:sz w:val="22"/>
          <w:szCs w:val="22"/>
        </w:rPr>
        <w:t xml:space="preserve">- Suspended matter, dense fauna or flora (e.g. Kelp beds) or disturbed sediment results in a partially obscured view of the seabed. Camera speed and distance to the seabed is consistently variable throughout the tow.   The constant stop-start, particularly in the case of sledge systems on sediments, can often result in reduced visibility.  Uncertain if all target objects can be accounted for. These problems are present for 20-50% of the tow.  High level taxonomic identification will be difficult from this point.  Quantification of organisms may still be possible but it is recommended that a qualitative assessment of abundance is used.  Broadscale habitat mapping (EUNIS Level 3) is still possible; </w:t>
      </w:r>
    </w:p>
    <w:p w:rsidR="00885FB6" w:rsidRDefault="00885FB6" w:rsidP="00885FB6">
      <w:pPr>
        <w:pStyle w:val="BodyText"/>
        <w:spacing w:before="0" w:after="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Very Poor </w:t>
      </w:r>
      <w:r>
        <w:rPr>
          <w:color w:val="000000"/>
          <w:sz w:val="22"/>
          <w:szCs w:val="22"/>
        </w:rPr>
        <w:t xml:space="preserve">- Suspended matter, dense fauna or flora (e.g. Kelp beds) or disturbed sediment obscures most of the seabed.  Camera is often moving too fast resulting in constant blurring of organisms.  Camera often moves too far from the seabed resulting in a lack of illumination and visibility.  These problems are likely to be present for 50-80% of the tow.  Quantitative or qualitative estimates of abundance of organisms is not recommended.  It may still be possible to determine broadscale habitats; </w:t>
      </w:r>
    </w:p>
    <w:p w:rsidR="00885FB6" w:rsidRDefault="00885FB6" w:rsidP="00885FB6">
      <w:pPr>
        <w:pStyle w:val="BodyText"/>
        <w:spacing w:before="0" w:after="0"/>
        <w:jc w:val="both"/>
        <w:rPr>
          <w:sz w:val="20"/>
          <w:szCs w:val="20"/>
        </w:rPr>
      </w:pPr>
    </w:p>
    <w:p w:rsidR="005367A9" w:rsidRPr="00885FB6" w:rsidRDefault="005367A9" w:rsidP="005367A9">
      <w:pPr>
        <w:pStyle w:val="BodyText"/>
        <w:numPr>
          <w:ilvl w:val="2"/>
          <w:numId w:val="24"/>
        </w:numPr>
        <w:spacing w:before="0" w:after="0"/>
        <w:jc w:val="both"/>
        <w:rPr>
          <w:sz w:val="20"/>
          <w:szCs w:val="20"/>
        </w:rPr>
      </w:pPr>
      <w:r>
        <w:rPr>
          <w:i/>
          <w:iCs/>
          <w:color w:val="000000"/>
          <w:sz w:val="22"/>
          <w:szCs w:val="22"/>
        </w:rPr>
        <w:t xml:space="preserve">Zero </w:t>
      </w:r>
      <w:r>
        <w:rPr>
          <w:color w:val="000000"/>
          <w:sz w:val="22"/>
          <w:szCs w:val="22"/>
        </w:rPr>
        <w:t xml:space="preserve">- For whatever reason (camera too far from the seabed, camera moving too quickly, lack of illumination, sediment disturbance, dense gathering of fauna or flora (e.g. Kelp beds), </w:t>
      </w:r>
      <w:r w:rsidR="005B40C5">
        <w:rPr>
          <w:color w:val="000000"/>
          <w:sz w:val="22"/>
          <w:szCs w:val="22"/>
        </w:rPr>
        <w:t>etc.</w:t>
      </w:r>
      <w:r>
        <w:rPr>
          <w:color w:val="000000"/>
          <w:sz w:val="22"/>
          <w:szCs w:val="22"/>
        </w:rPr>
        <w:t>) there is no view of the seabed at all for &gt;80% of the tow. Data is not usable.</w:t>
      </w:r>
    </w:p>
    <w:p w:rsidR="00885FB6" w:rsidRDefault="00885FB6" w:rsidP="00885FB6">
      <w:pPr>
        <w:pStyle w:val="BodyText"/>
        <w:spacing w:before="0" w:after="0"/>
        <w:jc w:val="both"/>
        <w:rPr>
          <w:sz w:val="20"/>
          <w:szCs w:val="20"/>
        </w:rPr>
      </w:pPr>
    </w:p>
    <w:p w:rsidR="009E7934" w:rsidRPr="005118E9" w:rsidRDefault="005367A9" w:rsidP="009E7934">
      <w:pPr>
        <w:pStyle w:val="BodyText"/>
        <w:numPr>
          <w:ilvl w:val="1"/>
          <w:numId w:val="25"/>
        </w:numPr>
        <w:spacing w:before="0" w:after="0"/>
        <w:jc w:val="both"/>
        <w:rPr>
          <w:spacing w:val="-3"/>
          <w:lang w:eastAsia="en-US"/>
        </w:rPr>
      </w:pPr>
      <w:r>
        <w:rPr>
          <w:sz w:val="22"/>
          <w:szCs w:val="22"/>
        </w:rPr>
        <w:t xml:space="preserve">If the quality is deemed very poor or zero then it is recommended that the video </w:t>
      </w:r>
      <w:r>
        <w:rPr>
          <w:b/>
          <w:bCs/>
          <w:sz w:val="22"/>
          <w:szCs w:val="22"/>
        </w:rPr>
        <w:t>should</w:t>
      </w:r>
      <w:r>
        <w:rPr>
          <w:sz w:val="22"/>
          <w:szCs w:val="22"/>
        </w:rPr>
        <w:t xml:space="preserve"> not be analysed further, or in cases where it is necessary for it to be analysed, that caveats are placed on the data. </w:t>
      </w:r>
    </w:p>
    <w:p w:rsidR="005367A9" w:rsidRDefault="009E7934" w:rsidP="009D2C3A">
      <w:pPr>
        <w:pStyle w:val="BodyText"/>
        <w:numPr>
          <w:ilvl w:val="1"/>
          <w:numId w:val="25"/>
        </w:numPr>
        <w:spacing w:before="0" w:after="0"/>
        <w:jc w:val="both"/>
        <w:rPr>
          <w:spacing w:val="-3"/>
          <w:lang w:eastAsia="en-US"/>
        </w:rPr>
      </w:pPr>
      <w:r w:rsidRPr="009E7934">
        <w:rPr>
          <w:spacing w:val="-3"/>
          <w:lang w:eastAsia="en-US"/>
        </w:rPr>
        <w:lastRenderedPageBreak/>
        <w:t>In some cases the quality of footage may significantly deteriorate / improve du</w:t>
      </w:r>
      <w:r>
        <w:rPr>
          <w:spacing w:val="-3"/>
          <w:lang w:eastAsia="en-US"/>
        </w:rPr>
        <w:t>ring a video tow.  In this case,</w:t>
      </w:r>
      <w:r w:rsidRPr="009E7934">
        <w:rPr>
          <w:spacing w:val="-3"/>
          <w:lang w:eastAsia="en-US"/>
        </w:rPr>
        <w:t xml:space="preserve"> the video </w:t>
      </w:r>
      <w:r>
        <w:rPr>
          <w:spacing w:val="-3"/>
          <w:lang w:eastAsia="en-US"/>
        </w:rPr>
        <w:t xml:space="preserve">should be segmented </w:t>
      </w:r>
      <w:r w:rsidRPr="009E7934">
        <w:rPr>
          <w:spacing w:val="-3"/>
          <w:lang w:eastAsia="en-US"/>
        </w:rPr>
        <w:t xml:space="preserve">into </w:t>
      </w:r>
      <w:r>
        <w:rPr>
          <w:spacing w:val="-3"/>
          <w:lang w:eastAsia="en-US"/>
        </w:rPr>
        <w:t xml:space="preserve">subsection which fall in to the </w:t>
      </w:r>
      <w:r w:rsidRPr="009E7934">
        <w:rPr>
          <w:spacing w:val="-3"/>
          <w:lang w:eastAsia="en-US"/>
        </w:rPr>
        <w:t xml:space="preserve">differing quality categories.  </w:t>
      </w:r>
    </w:p>
    <w:p w:rsidR="00F82506" w:rsidRDefault="00F82506" w:rsidP="00F82506">
      <w:pPr>
        <w:pStyle w:val="BodyText"/>
        <w:spacing w:before="0" w:after="0"/>
        <w:ind w:left="1440"/>
        <w:jc w:val="both"/>
        <w:rPr>
          <w:spacing w:val="-3"/>
          <w:lang w:eastAsia="en-US"/>
        </w:rPr>
      </w:pPr>
    </w:p>
    <w:tbl>
      <w:tblPr>
        <w:tblStyle w:val="TableGrid"/>
        <w:tblW w:w="0" w:type="auto"/>
        <w:tblLook w:val="04A0" w:firstRow="1" w:lastRow="0" w:firstColumn="1" w:lastColumn="0" w:noHBand="0" w:noVBand="1"/>
      </w:tblPr>
      <w:tblGrid>
        <w:gridCol w:w="1809"/>
        <w:gridCol w:w="8306"/>
      </w:tblGrid>
      <w:tr w:rsidR="00F82506" w:rsidTr="00F82506">
        <w:tc>
          <w:tcPr>
            <w:tcW w:w="1809" w:type="dxa"/>
          </w:tcPr>
          <w:p w:rsidR="00F82506" w:rsidRDefault="00F82506" w:rsidP="00F82506">
            <w:pPr>
              <w:pStyle w:val="BodyText"/>
              <w:spacing w:before="0"/>
              <w:jc w:val="both"/>
              <w:rPr>
                <w:spacing w:val="-3"/>
                <w:lang w:eastAsia="en-US"/>
              </w:rPr>
            </w:pPr>
            <w:r>
              <w:rPr>
                <w:spacing w:val="-3"/>
                <w:lang w:eastAsia="en-US"/>
              </w:rPr>
              <w:t>Excellent</w:t>
            </w:r>
          </w:p>
        </w:tc>
        <w:tc>
          <w:tcPr>
            <w:tcW w:w="8306" w:type="dxa"/>
          </w:tcPr>
          <w:p w:rsidR="00F82506" w:rsidRDefault="006B52C4" w:rsidP="006B52C4">
            <w:pPr>
              <w:pStyle w:val="BodyText"/>
              <w:spacing w:before="0"/>
              <w:jc w:val="center"/>
              <w:rPr>
                <w:spacing w:val="-3"/>
                <w:lang w:eastAsia="en-US"/>
              </w:rPr>
            </w:pPr>
            <w:r>
              <w:rPr>
                <w:noProof/>
                <w:spacing w:val="-3"/>
              </w:rPr>
              <w:drawing>
                <wp:inline distT="0" distB="0" distL="0" distR="0">
                  <wp:extent cx="4320215" cy="288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215" cy="2880000"/>
                          </a:xfrm>
                          <a:prstGeom prst="rect">
                            <a:avLst/>
                          </a:prstGeom>
                        </pic:spPr>
                      </pic:pic>
                    </a:graphicData>
                  </a:graphic>
                </wp:inline>
              </w:drawing>
            </w:r>
          </w:p>
        </w:tc>
      </w:tr>
      <w:tr w:rsidR="00F82506" w:rsidTr="00F82506">
        <w:tc>
          <w:tcPr>
            <w:tcW w:w="1809" w:type="dxa"/>
          </w:tcPr>
          <w:p w:rsidR="00F82506" w:rsidRDefault="00F82506" w:rsidP="00F82506">
            <w:pPr>
              <w:pStyle w:val="BodyText"/>
              <w:spacing w:before="0"/>
              <w:jc w:val="both"/>
              <w:rPr>
                <w:spacing w:val="-3"/>
                <w:lang w:eastAsia="en-US"/>
              </w:rPr>
            </w:pPr>
            <w:r>
              <w:rPr>
                <w:spacing w:val="-3"/>
                <w:lang w:eastAsia="en-US"/>
              </w:rPr>
              <w:t>Good</w:t>
            </w:r>
          </w:p>
        </w:tc>
        <w:tc>
          <w:tcPr>
            <w:tcW w:w="8306" w:type="dxa"/>
          </w:tcPr>
          <w:p w:rsidR="00F82506" w:rsidRDefault="006B52C4" w:rsidP="006B52C4">
            <w:pPr>
              <w:pStyle w:val="BodyText"/>
              <w:spacing w:before="0"/>
              <w:jc w:val="center"/>
              <w:rPr>
                <w:spacing w:val="-3"/>
                <w:lang w:eastAsia="en-US"/>
              </w:rPr>
            </w:pPr>
            <w:r>
              <w:rPr>
                <w:noProof/>
                <w:spacing w:val="-3"/>
              </w:rPr>
              <w:drawing>
                <wp:inline distT="0" distB="0" distL="0" distR="0" wp14:anchorId="459C51FA" wp14:editId="1901B4BF">
                  <wp:extent cx="3840000" cy="2880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tc>
      </w:tr>
      <w:tr w:rsidR="00F82506" w:rsidTr="00F82506">
        <w:tc>
          <w:tcPr>
            <w:tcW w:w="1809" w:type="dxa"/>
          </w:tcPr>
          <w:p w:rsidR="00F82506" w:rsidRDefault="00F82506" w:rsidP="00F82506">
            <w:pPr>
              <w:pStyle w:val="BodyText"/>
              <w:spacing w:before="0"/>
              <w:jc w:val="both"/>
              <w:rPr>
                <w:spacing w:val="-3"/>
                <w:lang w:eastAsia="en-US"/>
              </w:rPr>
            </w:pPr>
            <w:r>
              <w:rPr>
                <w:spacing w:val="-3"/>
                <w:lang w:eastAsia="en-US"/>
              </w:rPr>
              <w:lastRenderedPageBreak/>
              <w:t>Poor</w:t>
            </w:r>
          </w:p>
        </w:tc>
        <w:tc>
          <w:tcPr>
            <w:tcW w:w="8306" w:type="dxa"/>
          </w:tcPr>
          <w:p w:rsidR="00F82506" w:rsidRDefault="00307DC2" w:rsidP="00B61475">
            <w:pPr>
              <w:pStyle w:val="BodyText"/>
              <w:spacing w:before="0"/>
              <w:jc w:val="center"/>
              <w:rPr>
                <w:spacing w:val="-3"/>
                <w:lang w:eastAsia="en-US"/>
              </w:rPr>
            </w:pPr>
            <w:r>
              <w:rPr>
                <w:noProof/>
                <w:spacing w:val="-3"/>
              </w:rPr>
              <w:drawing>
                <wp:inline distT="0" distB="0" distL="0" distR="0" wp14:anchorId="16A102FB" wp14:editId="39FC032B">
                  <wp:extent cx="3840000" cy="2880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tc>
      </w:tr>
      <w:tr w:rsidR="00F82506" w:rsidTr="00F82506">
        <w:tc>
          <w:tcPr>
            <w:tcW w:w="1809" w:type="dxa"/>
          </w:tcPr>
          <w:p w:rsidR="00F82506" w:rsidRDefault="00F82506" w:rsidP="00F82506">
            <w:pPr>
              <w:pStyle w:val="BodyText"/>
              <w:spacing w:before="0"/>
              <w:jc w:val="both"/>
              <w:rPr>
                <w:spacing w:val="-3"/>
                <w:lang w:eastAsia="en-US"/>
              </w:rPr>
            </w:pPr>
            <w:r>
              <w:rPr>
                <w:spacing w:val="-3"/>
                <w:lang w:eastAsia="en-US"/>
              </w:rPr>
              <w:t>Very poor</w:t>
            </w:r>
          </w:p>
        </w:tc>
        <w:tc>
          <w:tcPr>
            <w:tcW w:w="8306" w:type="dxa"/>
          </w:tcPr>
          <w:p w:rsidR="00F82506" w:rsidRDefault="00B61475" w:rsidP="006B52C4">
            <w:pPr>
              <w:pStyle w:val="BodyText"/>
              <w:spacing w:before="0"/>
              <w:jc w:val="center"/>
              <w:rPr>
                <w:spacing w:val="-3"/>
                <w:lang w:eastAsia="en-US"/>
              </w:rPr>
            </w:pPr>
            <w:r>
              <w:rPr>
                <w:noProof/>
                <w:spacing w:val="-3"/>
              </w:rPr>
              <w:drawing>
                <wp:inline distT="0" distB="0" distL="0" distR="0" wp14:anchorId="63C7E6D6" wp14:editId="06EF83B3">
                  <wp:extent cx="3892499" cy="2879090"/>
                  <wp:effectExtent l="0" t="0" r="0" b="0"/>
                  <wp:docPr id="18" name="Picture 18" descr="G:\OCTOBER 2015 Data Submission\CMBC\CMBC_2FGL04815_PROCESSED_stills\CMBC_2FGL40815_GT024_STN_001_A1\CMBC_2FGL40815_GT024_STN_001_A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CTOBER 2015 Data Submission\CMBC\CMBC_2FGL04815_PROCESSED_stills\CMBC_2FGL40815_GT024_STN_001_A1\CMBC_2FGL40815_GT024_STN_001_A1_0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132" r="2817"/>
                          <a:stretch/>
                        </pic:blipFill>
                        <pic:spPr bwMode="auto">
                          <a:xfrm>
                            <a:off x="0" y="0"/>
                            <a:ext cx="3893729"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2506" w:rsidTr="00F82506">
        <w:tc>
          <w:tcPr>
            <w:tcW w:w="1809" w:type="dxa"/>
          </w:tcPr>
          <w:p w:rsidR="00F82506" w:rsidRDefault="00F82506" w:rsidP="00F82506">
            <w:pPr>
              <w:pStyle w:val="BodyText"/>
              <w:spacing w:before="0"/>
              <w:jc w:val="both"/>
              <w:rPr>
                <w:spacing w:val="-3"/>
                <w:lang w:eastAsia="en-US"/>
              </w:rPr>
            </w:pPr>
            <w:r>
              <w:rPr>
                <w:spacing w:val="-3"/>
                <w:lang w:eastAsia="en-US"/>
              </w:rPr>
              <w:t>Zero</w:t>
            </w:r>
          </w:p>
        </w:tc>
        <w:tc>
          <w:tcPr>
            <w:tcW w:w="8306" w:type="dxa"/>
          </w:tcPr>
          <w:p w:rsidR="00F82506" w:rsidRDefault="006B52C4" w:rsidP="006B52C4">
            <w:pPr>
              <w:pStyle w:val="BodyText"/>
              <w:spacing w:before="0"/>
              <w:jc w:val="center"/>
              <w:rPr>
                <w:spacing w:val="-3"/>
                <w:lang w:eastAsia="en-US"/>
              </w:rPr>
            </w:pPr>
            <w:r>
              <w:rPr>
                <w:noProof/>
                <w:spacing w:val="-3"/>
              </w:rPr>
              <w:drawing>
                <wp:inline distT="0" distB="0" distL="0" distR="0">
                  <wp:extent cx="3840000" cy="2880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CB_2ENC30814_GT013_STN_005_A1_00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tc>
      </w:tr>
    </w:tbl>
    <w:p w:rsidR="00F82506" w:rsidRPr="00504144" w:rsidRDefault="00F82506" w:rsidP="005A5D24">
      <w:pPr>
        <w:pStyle w:val="BodyText"/>
        <w:spacing w:before="0" w:after="0"/>
        <w:jc w:val="both"/>
        <w:rPr>
          <w:spacing w:val="-3"/>
          <w:lang w:eastAsia="en-US"/>
        </w:rPr>
      </w:pPr>
    </w:p>
    <w:sectPr w:rsidR="00F82506" w:rsidRPr="00504144" w:rsidSect="00EE7092">
      <w:pgSz w:w="11906" w:h="16838"/>
      <w:pgMar w:top="568" w:right="1440" w:bottom="28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DDE" w:rsidRDefault="003B6DDE" w:rsidP="00C44917">
      <w:pPr>
        <w:spacing w:after="0" w:line="240" w:lineRule="auto"/>
      </w:pPr>
      <w:r>
        <w:separator/>
      </w:r>
    </w:p>
  </w:endnote>
  <w:endnote w:type="continuationSeparator" w:id="0">
    <w:p w:rsidR="003B6DDE" w:rsidRDefault="003B6DDE" w:rsidP="00C44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2539"/>
      <w:docPartObj>
        <w:docPartGallery w:val="Page Numbers (Bottom of Page)"/>
        <w:docPartUnique/>
      </w:docPartObj>
    </w:sdtPr>
    <w:sdtContent>
      <w:sdt>
        <w:sdtPr>
          <w:id w:val="565050523"/>
          <w:docPartObj>
            <w:docPartGallery w:val="Page Numbers (Top of Page)"/>
            <w:docPartUnique/>
          </w:docPartObj>
        </w:sdtPr>
        <w:sdtContent>
          <w:p w:rsidR="005B40C5" w:rsidRDefault="005B40C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6340D">
              <w:rPr>
                <w:b/>
                <w:noProof/>
              </w:rPr>
              <w:t>16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6340D">
              <w:rPr>
                <w:b/>
                <w:noProof/>
              </w:rPr>
              <w:t>35</w:t>
            </w:r>
            <w:r>
              <w:rPr>
                <w:b/>
                <w:sz w:val="24"/>
                <w:szCs w:val="24"/>
              </w:rPr>
              <w:fldChar w:fldCharType="end"/>
            </w:r>
          </w:p>
        </w:sdtContent>
      </w:sdt>
    </w:sdtContent>
  </w:sdt>
  <w:p w:rsidR="005B40C5" w:rsidRDefault="005B4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DDE" w:rsidRDefault="003B6DDE" w:rsidP="00C44917">
      <w:pPr>
        <w:spacing w:after="0" w:line="240" w:lineRule="auto"/>
      </w:pPr>
      <w:r>
        <w:separator/>
      </w:r>
    </w:p>
  </w:footnote>
  <w:footnote w:type="continuationSeparator" w:id="0">
    <w:p w:rsidR="003B6DDE" w:rsidRDefault="003B6DDE" w:rsidP="00C449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0C5" w:rsidRDefault="005B40C5" w:rsidP="00143953">
    <w:pPr>
      <w:pStyle w:val="Header"/>
      <w:rPr>
        <w:szCs w:val="18"/>
      </w:rPr>
    </w:pPr>
    <w:sdt>
      <w:sdtPr>
        <w:rPr>
          <w:szCs w:val="18"/>
        </w:rPr>
        <w:alias w:val="Title"/>
        <w:id w:val="154504502"/>
        <w:placeholder>
          <w:docPart w:val="3E7AC2FF25004A44B28E490BD0B9DAC6"/>
        </w:placeholder>
        <w:dataBinding w:prefixMappings="xmlns:ns0='http://purl.org/dc/elements/1.1/' xmlns:ns1='http://schemas.openxmlformats.org/package/2006/metadata/core-properties' " w:xpath="/ns1:coreProperties[1]/ns0:title[1]" w:storeItemID="{6C3C8BC8-F283-45AE-878A-BAB7291924A1}"/>
        <w:text/>
      </w:sdtPr>
      <w:sdtContent>
        <w:r>
          <w:rPr>
            <w:szCs w:val="18"/>
          </w:rPr>
          <w:t>Natural England /Cefas Partnership Video &amp; Stills Processing Protocol – analysis of video and stills data from 2014/15 MPA surveys undertaken on the Cefas Endeavour.</w:t>
        </w:r>
      </w:sdtContent>
    </w:sdt>
    <w:r>
      <w:rPr>
        <w:szCs w:val="18"/>
      </w:rPr>
      <w:t xml:space="preserve">                       </w:t>
    </w:r>
    <w:r w:rsidRPr="00846ADF">
      <w:rPr>
        <w:szCs w:val="18"/>
      </w:rPr>
      <w:t>Revised/Released</w:t>
    </w:r>
    <w:r w:rsidRPr="00FE3B34">
      <w:rPr>
        <w:szCs w:val="18"/>
      </w:rPr>
      <w:t xml:space="preserve"> </w:t>
    </w:r>
    <w:sdt>
      <w:sdtPr>
        <w:rPr>
          <w:szCs w:val="18"/>
        </w:rPr>
        <w:alias w:val="Publish Date"/>
        <w:id w:val="-1611735834"/>
        <w:dataBinding w:prefixMappings="xmlns:ns0='http://schemas.microsoft.com/office/2006/coverPageProps' " w:xpath="/ns0:CoverPageProperties[1]/ns0:PublishDate[1]" w:storeItemID="{55AF091B-3C7A-41E3-B477-F2FDAA23CFDA}"/>
        <w:date w:fullDate="2015-10-29T00:00:00Z">
          <w:dateFormat w:val="dd/MM/yyyy"/>
          <w:lid w:val="en-GB"/>
          <w:storeMappedDataAs w:val="dateTime"/>
          <w:calendar w:val="gregorian"/>
        </w:date>
      </w:sdtPr>
      <w:sdtContent>
        <w:r>
          <w:rPr>
            <w:szCs w:val="18"/>
          </w:rPr>
          <w:t>29/10/2015</w:t>
        </w:r>
      </w:sdtContent>
    </w:sdt>
  </w:p>
  <w:p w:rsidR="005B40C5" w:rsidRDefault="005B40C5" w:rsidP="00143953">
    <w:pPr>
      <w:pStyle w:val="Header"/>
      <w:rPr>
        <w:i/>
        <w:szCs w:val="18"/>
      </w:rPr>
    </w:pPr>
    <w:sdt>
      <w:sdtPr>
        <w:rPr>
          <w:i/>
          <w:szCs w:val="18"/>
        </w:rPr>
        <w:alias w:val="Status"/>
        <w:id w:val="-1027012773"/>
        <w:dataBinding w:prefixMappings="xmlns:ns0='http://purl.org/dc/elements/1.1/' xmlns:ns1='http://schemas.openxmlformats.org/package/2006/metadata/core-properties' " w:xpath="/ns1:coreProperties[1]/ns1:contentStatus[1]" w:storeItemID="{6C3C8BC8-F283-45AE-878A-BAB7291924A1}"/>
        <w:text/>
      </w:sdtPr>
      <w:sdtContent>
        <w:r>
          <w:rPr>
            <w:i/>
            <w:szCs w:val="18"/>
          </w:rPr>
          <w:t>Version 1</w:t>
        </w:r>
      </w:sdtContent>
    </w:sdt>
    <w:r>
      <w:rPr>
        <w:i/>
        <w:szCs w:val="18"/>
      </w:rPr>
      <w:t xml:space="preserve">                                                                                                        Lead Author:   </w:t>
    </w:r>
    <w:sdt>
      <w:sdtPr>
        <w:rPr>
          <w:i/>
          <w:szCs w:val="18"/>
        </w:rPr>
        <w:alias w:val="Author"/>
        <w:id w:val="1803728231"/>
        <w:dataBinding w:prefixMappings="xmlns:ns0='http://purl.org/dc/elements/1.1/' xmlns:ns1='http://schemas.openxmlformats.org/package/2006/metadata/core-properties' " w:xpath="/ns1:coreProperties[1]/ns0:creator[1]" w:storeItemID="{6C3C8BC8-F283-45AE-878A-BAB7291924A1}"/>
        <w:text/>
      </w:sdtPr>
      <w:sdtContent>
        <w:r>
          <w:rPr>
            <w:i/>
            <w:szCs w:val="18"/>
          </w:rPr>
          <w:t>Mike Young</w:t>
        </w:r>
      </w:sdtContent>
    </w:sdt>
  </w:p>
  <w:p w:rsidR="005B40C5" w:rsidRPr="00143953" w:rsidRDefault="005B40C5" w:rsidP="001439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6E5E"/>
    <w:multiLevelType w:val="hybridMultilevel"/>
    <w:tmpl w:val="696260E6"/>
    <w:lvl w:ilvl="0" w:tplc="C11609A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35B39"/>
    <w:multiLevelType w:val="hybridMultilevel"/>
    <w:tmpl w:val="B1F82A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5AC3CAB"/>
    <w:multiLevelType w:val="hybridMultilevel"/>
    <w:tmpl w:val="14569648"/>
    <w:lvl w:ilvl="0" w:tplc="5198BAAE">
      <w:start w:val="1"/>
      <w:numFmt w:val="decimal"/>
      <w:lvlText w:val="%1."/>
      <w:lvlJc w:val="left"/>
      <w:pPr>
        <w:ind w:left="502" w:hanging="360"/>
      </w:pPr>
      <w:rPr>
        <w:rFonts w:ascii="ArialMT" w:hAnsi="ArialMT" w:cs="ArialMT" w:hint="default"/>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 w15:restartNumberingAfterBreak="0">
    <w:nsid w:val="06FC17A0"/>
    <w:multiLevelType w:val="hybridMultilevel"/>
    <w:tmpl w:val="2FFAECF0"/>
    <w:lvl w:ilvl="0" w:tplc="08090003">
      <w:start w:val="1"/>
      <w:numFmt w:val="decimal"/>
      <w:lvlText w:val="%1."/>
      <w:lvlJc w:val="left"/>
      <w:pPr>
        <w:tabs>
          <w:tab w:val="num" w:pos="3600"/>
        </w:tabs>
        <w:ind w:left="36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32B66"/>
    <w:multiLevelType w:val="hybridMultilevel"/>
    <w:tmpl w:val="2C2E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8EF709F"/>
    <w:multiLevelType w:val="hybridMultilevel"/>
    <w:tmpl w:val="37C01488"/>
    <w:lvl w:ilvl="0" w:tplc="FCBC3FA6">
      <w:start w:val="1"/>
      <w:numFmt w:val="bullet"/>
      <w:pStyle w:val="BulletPoints"/>
      <w:lvlText w:val=""/>
      <w:lvlJc w:val="left"/>
      <w:pPr>
        <w:ind w:left="1160" w:hanging="360"/>
      </w:pPr>
      <w:rPr>
        <w:rFonts w:ascii="Symbol" w:hAnsi="Symbol" w:hint="default"/>
        <w:sz w:val="22"/>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6" w15:restartNumberingAfterBreak="0">
    <w:nsid w:val="0A8D764C"/>
    <w:multiLevelType w:val="hybridMultilevel"/>
    <w:tmpl w:val="0DB8AB3A"/>
    <w:lvl w:ilvl="0" w:tplc="0809000F">
      <w:start w:val="1"/>
      <w:numFmt w:val="decimal"/>
      <w:lvlText w:val="%1."/>
      <w:lvlJc w:val="left"/>
      <w:pPr>
        <w:ind w:left="720" w:hanging="360"/>
      </w:pPr>
    </w:lvl>
    <w:lvl w:ilvl="1" w:tplc="7A184C40">
      <w:start w:val="1"/>
      <w:numFmt w:val="lowerLetter"/>
      <w:lvlText w:val="%2."/>
      <w:lvlJc w:val="left"/>
      <w:pPr>
        <w:ind w:left="1440" w:hanging="360"/>
      </w:pPr>
      <w:rPr>
        <w:rFonts w:hint="default"/>
        <w:b w:val="0"/>
      </w:r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8432D0"/>
    <w:multiLevelType w:val="hybridMultilevel"/>
    <w:tmpl w:val="946A4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872E0C"/>
    <w:multiLevelType w:val="hybridMultilevel"/>
    <w:tmpl w:val="69F0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9B6542"/>
    <w:multiLevelType w:val="hybridMultilevel"/>
    <w:tmpl w:val="C2E0C55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6C95CFB"/>
    <w:multiLevelType w:val="hybridMultilevel"/>
    <w:tmpl w:val="972CF8A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EC17C21"/>
    <w:multiLevelType w:val="hybridMultilevel"/>
    <w:tmpl w:val="EC4E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E1560"/>
    <w:multiLevelType w:val="hybridMultilevel"/>
    <w:tmpl w:val="5B8A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0A26F6"/>
    <w:multiLevelType w:val="hybridMultilevel"/>
    <w:tmpl w:val="149027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6E3DBE"/>
    <w:multiLevelType w:val="hybridMultilevel"/>
    <w:tmpl w:val="30EC1F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800EC"/>
    <w:multiLevelType w:val="hybridMultilevel"/>
    <w:tmpl w:val="0778F87C"/>
    <w:lvl w:ilvl="0" w:tplc="08090003">
      <w:start w:val="1"/>
      <w:numFmt w:val="decimal"/>
      <w:lvlText w:val="%1."/>
      <w:lvlJc w:val="left"/>
      <w:pPr>
        <w:tabs>
          <w:tab w:val="num" w:pos="3600"/>
        </w:tabs>
        <w:ind w:left="36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0230E"/>
    <w:multiLevelType w:val="hybridMultilevel"/>
    <w:tmpl w:val="12D8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066C00"/>
    <w:multiLevelType w:val="hybridMultilevel"/>
    <w:tmpl w:val="7A8A62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F15ACE"/>
    <w:multiLevelType w:val="hybridMultilevel"/>
    <w:tmpl w:val="CEDA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01AB1"/>
    <w:multiLevelType w:val="hybridMultilevel"/>
    <w:tmpl w:val="42E0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2394E"/>
    <w:multiLevelType w:val="hybridMultilevel"/>
    <w:tmpl w:val="6D5866D4"/>
    <w:lvl w:ilvl="0" w:tplc="08090005">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51199B"/>
    <w:multiLevelType w:val="hybridMultilevel"/>
    <w:tmpl w:val="E900552C"/>
    <w:lvl w:ilvl="0" w:tplc="37F04FA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5177C2"/>
    <w:multiLevelType w:val="hybridMultilevel"/>
    <w:tmpl w:val="64BA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D929EF"/>
    <w:multiLevelType w:val="hybridMultilevel"/>
    <w:tmpl w:val="BBDEE25A"/>
    <w:lvl w:ilvl="0" w:tplc="37F04FA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E62C20"/>
    <w:multiLevelType w:val="hybridMultilevel"/>
    <w:tmpl w:val="F4C831DC"/>
    <w:lvl w:ilvl="0" w:tplc="655C1A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B8142D"/>
    <w:multiLevelType w:val="hybridMultilevel"/>
    <w:tmpl w:val="8632B3FE"/>
    <w:lvl w:ilvl="0" w:tplc="7A184C40">
      <w:start w:val="1"/>
      <w:numFmt w:val="lowerLetter"/>
      <w:lvlText w:val="%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85627F"/>
    <w:multiLevelType w:val="hybridMultilevel"/>
    <w:tmpl w:val="EC70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A5DDA"/>
    <w:multiLevelType w:val="hybridMultilevel"/>
    <w:tmpl w:val="7598BC48"/>
    <w:lvl w:ilvl="0" w:tplc="2A020C46">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AF46445"/>
    <w:multiLevelType w:val="hybridMultilevel"/>
    <w:tmpl w:val="C9741A3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F640C13"/>
    <w:multiLevelType w:val="hybridMultilevel"/>
    <w:tmpl w:val="E2D8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411935"/>
    <w:multiLevelType w:val="hybridMultilevel"/>
    <w:tmpl w:val="5AA27700"/>
    <w:lvl w:ilvl="0" w:tplc="0809000F">
      <w:numFmt w:val="bullet"/>
      <w:lvlText w:val="-"/>
      <w:lvlJc w:val="left"/>
      <w:pPr>
        <w:tabs>
          <w:tab w:val="num" w:pos="780"/>
        </w:tabs>
        <w:ind w:left="780" w:hanging="360"/>
      </w:pPr>
      <w:rPr>
        <w:rFonts w:ascii="Times New Roman" w:eastAsia="Times New Roman" w:hAnsi="Times New Roman" w:cs="Times New Roman" w:hint="default"/>
      </w:rPr>
    </w:lvl>
    <w:lvl w:ilvl="1" w:tplc="08090019" w:tentative="1">
      <w:start w:val="1"/>
      <w:numFmt w:val="bullet"/>
      <w:lvlText w:val="o"/>
      <w:lvlJc w:val="left"/>
      <w:pPr>
        <w:tabs>
          <w:tab w:val="num" w:pos="1500"/>
        </w:tabs>
        <w:ind w:left="1500" w:hanging="360"/>
      </w:pPr>
      <w:rPr>
        <w:rFonts w:ascii="Courier New" w:hAnsi="Courier New" w:cs="Symbol" w:hint="default"/>
      </w:rPr>
    </w:lvl>
    <w:lvl w:ilvl="2" w:tplc="0809001B" w:tentative="1">
      <w:start w:val="1"/>
      <w:numFmt w:val="bullet"/>
      <w:lvlText w:val=""/>
      <w:lvlJc w:val="left"/>
      <w:pPr>
        <w:tabs>
          <w:tab w:val="num" w:pos="2220"/>
        </w:tabs>
        <w:ind w:left="2220" w:hanging="360"/>
      </w:pPr>
      <w:rPr>
        <w:rFonts w:ascii="Wingdings" w:hAnsi="Wingdings" w:hint="default"/>
      </w:rPr>
    </w:lvl>
    <w:lvl w:ilvl="3" w:tplc="0809000F" w:tentative="1">
      <w:start w:val="1"/>
      <w:numFmt w:val="bullet"/>
      <w:lvlText w:val=""/>
      <w:lvlJc w:val="left"/>
      <w:pPr>
        <w:tabs>
          <w:tab w:val="num" w:pos="2940"/>
        </w:tabs>
        <w:ind w:left="2940" w:hanging="360"/>
      </w:pPr>
      <w:rPr>
        <w:rFonts w:ascii="Symbol" w:hAnsi="Symbol" w:hint="default"/>
      </w:rPr>
    </w:lvl>
    <w:lvl w:ilvl="4" w:tplc="08090019" w:tentative="1">
      <w:start w:val="1"/>
      <w:numFmt w:val="bullet"/>
      <w:lvlText w:val="o"/>
      <w:lvlJc w:val="left"/>
      <w:pPr>
        <w:tabs>
          <w:tab w:val="num" w:pos="3660"/>
        </w:tabs>
        <w:ind w:left="3660" w:hanging="360"/>
      </w:pPr>
      <w:rPr>
        <w:rFonts w:ascii="Courier New" w:hAnsi="Courier New" w:cs="Symbol" w:hint="default"/>
      </w:rPr>
    </w:lvl>
    <w:lvl w:ilvl="5" w:tplc="0809001B" w:tentative="1">
      <w:start w:val="1"/>
      <w:numFmt w:val="bullet"/>
      <w:lvlText w:val=""/>
      <w:lvlJc w:val="left"/>
      <w:pPr>
        <w:tabs>
          <w:tab w:val="num" w:pos="4380"/>
        </w:tabs>
        <w:ind w:left="4380" w:hanging="360"/>
      </w:pPr>
      <w:rPr>
        <w:rFonts w:ascii="Wingdings" w:hAnsi="Wingdings" w:hint="default"/>
      </w:rPr>
    </w:lvl>
    <w:lvl w:ilvl="6" w:tplc="0809000F" w:tentative="1">
      <w:start w:val="1"/>
      <w:numFmt w:val="bullet"/>
      <w:lvlText w:val=""/>
      <w:lvlJc w:val="left"/>
      <w:pPr>
        <w:tabs>
          <w:tab w:val="num" w:pos="5100"/>
        </w:tabs>
        <w:ind w:left="5100" w:hanging="360"/>
      </w:pPr>
      <w:rPr>
        <w:rFonts w:ascii="Symbol" w:hAnsi="Symbol" w:hint="default"/>
      </w:rPr>
    </w:lvl>
    <w:lvl w:ilvl="7" w:tplc="08090019" w:tentative="1">
      <w:start w:val="1"/>
      <w:numFmt w:val="bullet"/>
      <w:lvlText w:val="o"/>
      <w:lvlJc w:val="left"/>
      <w:pPr>
        <w:tabs>
          <w:tab w:val="num" w:pos="5820"/>
        </w:tabs>
        <w:ind w:left="5820" w:hanging="360"/>
      </w:pPr>
      <w:rPr>
        <w:rFonts w:ascii="Courier New" w:hAnsi="Courier New" w:cs="Symbol" w:hint="default"/>
      </w:rPr>
    </w:lvl>
    <w:lvl w:ilvl="8" w:tplc="0809001B"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71F80D9E"/>
    <w:multiLevelType w:val="hybridMultilevel"/>
    <w:tmpl w:val="462ED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875848"/>
    <w:multiLevelType w:val="hybridMultilevel"/>
    <w:tmpl w:val="74CC2F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E622ED"/>
    <w:multiLevelType w:val="hybridMultilevel"/>
    <w:tmpl w:val="74CC2F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F669AC"/>
    <w:multiLevelType w:val="hybridMultilevel"/>
    <w:tmpl w:val="7A92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950352"/>
    <w:multiLevelType w:val="hybridMultilevel"/>
    <w:tmpl w:val="19A401BA"/>
    <w:lvl w:ilvl="0" w:tplc="08090003">
      <w:start w:val="1"/>
      <w:numFmt w:val="decimal"/>
      <w:lvlText w:val="%1."/>
      <w:lvlJc w:val="left"/>
      <w:pPr>
        <w:tabs>
          <w:tab w:val="num" w:pos="3600"/>
        </w:tabs>
        <w:ind w:left="36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961825"/>
    <w:multiLevelType w:val="hybridMultilevel"/>
    <w:tmpl w:val="504C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D43F34"/>
    <w:multiLevelType w:val="hybridMultilevel"/>
    <w:tmpl w:val="931C06A2"/>
    <w:lvl w:ilvl="0" w:tplc="93F829EA">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11"/>
  </w:num>
  <w:num w:numId="4">
    <w:abstractNumId w:val="36"/>
  </w:num>
  <w:num w:numId="5">
    <w:abstractNumId w:val="19"/>
  </w:num>
  <w:num w:numId="6">
    <w:abstractNumId w:val="23"/>
  </w:num>
  <w:num w:numId="7">
    <w:abstractNumId w:val="26"/>
  </w:num>
  <w:num w:numId="8">
    <w:abstractNumId w:val="21"/>
  </w:num>
  <w:num w:numId="9">
    <w:abstractNumId w:val="18"/>
  </w:num>
  <w:num w:numId="10">
    <w:abstractNumId w:val="16"/>
  </w:num>
  <w:num w:numId="11">
    <w:abstractNumId w:val="10"/>
  </w:num>
  <w:num w:numId="12">
    <w:abstractNumId w:val="9"/>
  </w:num>
  <w:num w:numId="13">
    <w:abstractNumId w:val="13"/>
  </w:num>
  <w:num w:numId="14">
    <w:abstractNumId w:val="30"/>
  </w:num>
  <w:num w:numId="15">
    <w:abstractNumId w:val="27"/>
  </w:num>
  <w:num w:numId="16">
    <w:abstractNumId w:val="34"/>
  </w:num>
  <w:num w:numId="17">
    <w:abstractNumId w:val="22"/>
  </w:num>
  <w:num w:numId="18">
    <w:abstractNumId w:val="8"/>
  </w:num>
  <w:num w:numId="19">
    <w:abstractNumId w:val="7"/>
  </w:num>
  <w:num w:numId="20">
    <w:abstractNumId w:val="6"/>
  </w:num>
  <w:num w:numId="21">
    <w:abstractNumId w:val="32"/>
  </w:num>
  <w:num w:numId="22">
    <w:abstractNumId w:val="25"/>
  </w:num>
  <w:num w:numId="23">
    <w:abstractNumId w:val="20"/>
  </w:num>
  <w:num w:numId="24">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3"/>
  </w:num>
  <w:num w:numId="27">
    <w:abstractNumId w:val="37"/>
  </w:num>
  <w:num w:numId="28">
    <w:abstractNumId w:val="0"/>
  </w:num>
  <w:num w:numId="29">
    <w:abstractNumId w:val="24"/>
  </w:num>
  <w:num w:numId="30">
    <w:abstractNumId w:val="29"/>
  </w:num>
  <w:num w:numId="31">
    <w:abstractNumId w:val="5"/>
  </w:num>
  <w:num w:numId="32">
    <w:abstractNumId w:val="17"/>
  </w:num>
  <w:num w:numId="33">
    <w:abstractNumId w:val="3"/>
  </w:num>
  <w:num w:numId="34">
    <w:abstractNumId w:val="15"/>
  </w:num>
  <w:num w:numId="35">
    <w:abstractNumId w:val="35"/>
  </w:num>
  <w:num w:numId="36">
    <w:abstractNumId w:val="31"/>
  </w:num>
  <w:num w:numId="37">
    <w:abstractNumId w:val="1"/>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E0846"/>
    <w:rsid w:val="000250E2"/>
    <w:rsid w:val="00043A73"/>
    <w:rsid w:val="0005574F"/>
    <w:rsid w:val="0005661F"/>
    <w:rsid w:val="00080F82"/>
    <w:rsid w:val="00095B6A"/>
    <w:rsid w:val="000B0397"/>
    <w:rsid w:val="000B4106"/>
    <w:rsid w:val="000C27F9"/>
    <w:rsid w:val="000D2597"/>
    <w:rsid w:val="000E166B"/>
    <w:rsid w:val="000E2785"/>
    <w:rsid w:val="000F1776"/>
    <w:rsid w:val="001022CC"/>
    <w:rsid w:val="00104011"/>
    <w:rsid w:val="00107B4E"/>
    <w:rsid w:val="00113669"/>
    <w:rsid w:val="0011670D"/>
    <w:rsid w:val="0011704C"/>
    <w:rsid w:val="00121E9B"/>
    <w:rsid w:val="001245D7"/>
    <w:rsid w:val="00125F04"/>
    <w:rsid w:val="00137EBB"/>
    <w:rsid w:val="00143953"/>
    <w:rsid w:val="0014511C"/>
    <w:rsid w:val="00147037"/>
    <w:rsid w:val="00147118"/>
    <w:rsid w:val="001571CC"/>
    <w:rsid w:val="00157543"/>
    <w:rsid w:val="00157771"/>
    <w:rsid w:val="001647FF"/>
    <w:rsid w:val="001657CE"/>
    <w:rsid w:val="00184058"/>
    <w:rsid w:val="001878FB"/>
    <w:rsid w:val="001B7105"/>
    <w:rsid w:val="001C1945"/>
    <w:rsid w:val="001D2B42"/>
    <w:rsid w:val="001D5373"/>
    <w:rsid w:val="001E40B5"/>
    <w:rsid w:val="001E5541"/>
    <w:rsid w:val="001F4A81"/>
    <w:rsid w:val="001F7505"/>
    <w:rsid w:val="001F7A77"/>
    <w:rsid w:val="002058DB"/>
    <w:rsid w:val="00206F43"/>
    <w:rsid w:val="00240821"/>
    <w:rsid w:val="002460E4"/>
    <w:rsid w:val="0024657D"/>
    <w:rsid w:val="00261670"/>
    <w:rsid w:val="00264173"/>
    <w:rsid w:val="0026515E"/>
    <w:rsid w:val="00270DDE"/>
    <w:rsid w:val="002806DC"/>
    <w:rsid w:val="00282B3B"/>
    <w:rsid w:val="00291C82"/>
    <w:rsid w:val="0029404E"/>
    <w:rsid w:val="00294DC5"/>
    <w:rsid w:val="0029506C"/>
    <w:rsid w:val="002A4973"/>
    <w:rsid w:val="002B5FC9"/>
    <w:rsid w:val="002B7641"/>
    <w:rsid w:val="002D24E9"/>
    <w:rsid w:val="002F2268"/>
    <w:rsid w:val="002F4A18"/>
    <w:rsid w:val="00304BFC"/>
    <w:rsid w:val="00307DC2"/>
    <w:rsid w:val="00323004"/>
    <w:rsid w:val="00345C68"/>
    <w:rsid w:val="00347B04"/>
    <w:rsid w:val="00347DE1"/>
    <w:rsid w:val="00350BC4"/>
    <w:rsid w:val="00357570"/>
    <w:rsid w:val="003771EF"/>
    <w:rsid w:val="00381C36"/>
    <w:rsid w:val="00382DA3"/>
    <w:rsid w:val="00387081"/>
    <w:rsid w:val="0039056D"/>
    <w:rsid w:val="00390E11"/>
    <w:rsid w:val="003955B5"/>
    <w:rsid w:val="003B1DA6"/>
    <w:rsid w:val="003B383C"/>
    <w:rsid w:val="003B393C"/>
    <w:rsid w:val="003B6DDE"/>
    <w:rsid w:val="003C48CC"/>
    <w:rsid w:val="003D29EE"/>
    <w:rsid w:val="003D47C7"/>
    <w:rsid w:val="003E07A8"/>
    <w:rsid w:val="003E28F0"/>
    <w:rsid w:val="00400555"/>
    <w:rsid w:val="004224EC"/>
    <w:rsid w:val="00425B45"/>
    <w:rsid w:val="00441A34"/>
    <w:rsid w:val="0044509D"/>
    <w:rsid w:val="004455B4"/>
    <w:rsid w:val="0045102D"/>
    <w:rsid w:val="00451341"/>
    <w:rsid w:val="00451E23"/>
    <w:rsid w:val="00454729"/>
    <w:rsid w:val="004606D5"/>
    <w:rsid w:val="00495FF3"/>
    <w:rsid w:val="004975C9"/>
    <w:rsid w:val="00497C2E"/>
    <w:rsid w:val="004A4713"/>
    <w:rsid w:val="004B0CB0"/>
    <w:rsid w:val="004B6796"/>
    <w:rsid w:val="004C1375"/>
    <w:rsid w:val="004C4C11"/>
    <w:rsid w:val="004E25C8"/>
    <w:rsid w:val="004E7337"/>
    <w:rsid w:val="004F2BB2"/>
    <w:rsid w:val="00504144"/>
    <w:rsid w:val="00505A42"/>
    <w:rsid w:val="005118E9"/>
    <w:rsid w:val="0052308F"/>
    <w:rsid w:val="005278FA"/>
    <w:rsid w:val="00533927"/>
    <w:rsid w:val="005367A9"/>
    <w:rsid w:val="00541001"/>
    <w:rsid w:val="00557EC8"/>
    <w:rsid w:val="005645FD"/>
    <w:rsid w:val="00576CA8"/>
    <w:rsid w:val="00584E40"/>
    <w:rsid w:val="00591C36"/>
    <w:rsid w:val="005A27C3"/>
    <w:rsid w:val="005A5D24"/>
    <w:rsid w:val="005B2890"/>
    <w:rsid w:val="005B40C5"/>
    <w:rsid w:val="005B4BB7"/>
    <w:rsid w:val="005C0387"/>
    <w:rsid w:val="005C23DD"/>
    <w:rsid w:val="005C3843"/>
    <w:rsid w:val="005C4D14"/>
    <w:rsid w:val="005C7E2C"/>
    <w:rsid w:val="005D3C01"/>
    <w:rsid w:val="005D70AB"/>
    <w:rsid w:val="005F0777"/>
    <w:rsid w:val="005F08B2"/>
    <w:rsid w:val="005F402D"/>
    <w:rsid w:val="005F51B0"/>
    <w:rsid w:val="0061344E"/>
    <w:rsid w:val="00614AA3"/>
    <w:rsid w:val="00614E61"/>
    <w:rsid w:val="00622904"/>
    <w:rsid w:val="00644154"/>
    <w:rsid w:val="00656A64"/>
    <w:rsid w:val="006602E4"/>
    <w:rsid w:val="00680A75"/>
    <w:rsid w:val="0068176B"/>
    <w:rsid w:val="00682078"/>
    <w:rsid w:val="00685CE5"/>
    <w:rsid w:val="00690643"/>
    <w:rsid w:val="00695582"/>
    <w:rsid w:val="00695C73"/>
    <w:rsid w:val="006A089E"/>
    <w:rsid w:val="006B4AE3"/>
    <w:rsid w:val="006B4C07"/>
    <w:rsid w:val="006B52C4"/>
    <w:rsid w:val="006C6703"/>
    <w:rsid w:val="006E53B8"/>
    <w:rsid w:val="006E642E"/>
    <w:rsid w:val="006F0FA8"/>
    <w:rsid w:val="006F7DCF"/>
    <w:rsid w:val="00712526"/>
    <w:rsid w:val="0071553A"/>
    <w:rsid w:val="00723780"/>
    <w:rsid w:val="0076340D"/>
    <w:rsid w:val="00767CB1"/>
    <w:rsid w:val="007748F7"/>
    <w:rsid w:val="007822E1"/>
    <w:rsid w:val="00783711"/>
    <w:rsid w:val="00797779"/>
    <w:rsid w:val="007A02C6"/>
    <w:rsid w:val="007A52D0"/>
    <w:rsid w:val="007B6E45"/>
    <w:rsid w:val="007C4D9A"/>
    <w:rsid w:val="007C6EB3"/>
    <w:rsid w:val="007E0846"/>
    <w:rsid w:val="007F4919"/>
    <w:rsid w:val="00812482"/>
    <w:rsid w:val="00820C16"/>
    <w:rsid w:val="00821F99"/>
    <w:rsid w:val="00832749"/>
    <w:rsid w:val="008358A0"/>
    <w:rsid w:val="00836608"/>
    <w:rsid w:val="00840772"/>
    <w:rsid w:val="00840CBF"/>
    <w:rsid w:val="00847892"/>
    <w:rsid w:val="008605D3"/>
    <w:rsid w:val="008708C5"/>
    <w:rsid w:val="00874BC7"/>
    <w:rsid w:val="00885FB6"/>
    <w:rsid w:val="0088718F"/>
    <w:rsid w:val="00890DEA"/>
    <w:rsid w:val="0089482A"/>
    <w:rsid w:val="008968BA"/>
    <w:rsid w:val="008A1471"/>
    <w:rsid w:val="008A1FD5"/>
    <w:rsid w:val="008C1437"/>
    <w:rsid w:val="008C3DF2"/>
    <w:rsid w:val="008C559C"/>
    <w:rsid w:val="008C5FD3"/>
    <w:rsid w:val="008D2AE9"/>
    <w:rsid w:val="008D5A71"/>
    <w:rsid w:val="008E3293"/>
    <w:rsid w:val="008E39F5"/>
    <w:rsid w:val="008F1C9F"/>
    <w:rsid w:val="0091106C"/>
    <w:rsid w:val="00911C28"/>
    <w:rsid w:val="0092269B"/>
    <w:rsid w:val="00926D0E"/>
    <w:rsid w:val="00930E48"/>
    <w:rsid w:val="009349D0"/>
    <w:rsid w:val="0093595A"/>
    <w:rsid w:val="00937B4D"/>
    <w:rsid w:val="00946765"/>
    <w:rsid w:val="0094765E"/>
    <w:rsid w:val="009522AE"/>
    <w:rsid w:val="00952B4A"/>
    <w:rsid w:val="00954AC3"/>
    <w:rsid w:val="0097007E"/>
    <w:rsid w:val="00980EC3"/>
    <w:rsid w:val="009930C5"/>
    <w:rsid w:val="00994C1A"/>
    <w:rsid w:val="009C5FFB"/>
    <w:rsid w:val="009D137F"/>
    <w:rsid w:val="009D2C3A"/>
    <w:rsid w:val="009E3D78"/>
    <w:rsid w:val="009E6537"/>
    <w:rsid w:val="009E7934"/>
    <w:rsid w:val="009F5C9E"/>
    <w:rsid w:val="00A063D2"/>
    <w:rsid w:val="00A15E86"/>
    <w:rsid w:val="00A16C90"/>
    <w:rsid w:val="00A21E16"/>
    <w:rsid w:val="00A24EA1"/>
    <w:rsid w:val="00A632A1"/>
    <w:rsid w:val="00A93D7B"/>
    <w:rsid w:val="00A97983"/>
    <w:rsid w:val="00AB002E"/>
    <w:rsid w:val="00AC201E"/>
    <w:rsid w:val="00AD1286"/>
    <w:rsid w:val="00AD543A"/>
    <w:rsid w:val="00AD7F00"/>
    <w:rsid w:val="00AE1E87"/>
    <w:rsid w:val="00AE7EC5"/>
    <w:rsid w:val="00B068E9"/>
    <w:rsid w:val="00B375C7"/>
    <w:rsid w:val="00B5336A"/>
    <w:rsid w:val="00B61475"/>
    <w:rsid w:val="00B64C20"/>
    <w:rsid w:val="00B655D1"/>
    <w:rsid w:val="00B746CF"/>
    <w:rsid w:val="00B77C60"/>
    <w:rsid w:val="00B81D38"/>
    <w:rsid w:val="00B8247F"/>
    <w:rsid w:val="00B83D13"/>
    <w:rsid w:val="00BA1005"/>
    <w:rsid w:val="00BA1425"/>
    <w:rsid w:val="00BA3165"/>
    <w:rsid w:val="00BA4431"/>
    <w:rsid w:val="00BB10E8"/>
    <w:rsid w:val="00BB670D"/>
    <w:rsid w:val="00BC0C3D"/>
    <w:rsid w:val="00BC70C4"/>
    <w:rsid w:val="00BD1A6F"/>
    <w:rsid w:val="00BD6BA6"/>
    <w:rsid w:val="00BF0ACC"/>
    <w:rsid w:val="00BF1E37"/>
    <w:rsid w:val="00BF1FB0"/>
    <w:rsid w:val="00C0506C"/>
    <w:rsid w:val="00C2436F"/>
    <w:rsid w:val="00C24651"/>
    <w:rsid w:val="00C271D0"/>
    <w:rsid w:val="00C44917"/>
    <w:rsid w:val="00C60A89"/>
    <w:rsid w:val="00C617AF"/>
    <w:rsid w:val="00C61F4B"/>
    <w:rsid w:val="00C65DE1"/>
    <w:rsid w:val="00C7470E"/>
    <w:rsid w:val="00C80C36"/>
    <w:rsid w:val="00C91569"/>
    <w:rsid w:val="00C974CA"/>
    <w:rsid w:val="00CA621C"/>
    <w:rsid w:val="00CB4508"/>
    <w:rsid w:val="00CD227C"/>
    <w:rsid w:val="00CD42FE"/>
    <w:rsid w:val="00CD763B"/>
    <w:rsid w:val="00CE0548"/>
    <w:rsid w:val="00CE4151"/>
    <w:rsid w:val="00CE72B6"/>
    <w:rsid w:val="00CE7970"/>
    <w:rsid w:val="00D003A9"/>
    <w:rsid w:val="00D036AD"/>
    <w:rsid w:val="00D05C53"/>
    <w:rsid w:val="00D0712C"/>
    <w:rsid w:val="00D2678C"/>
    <w:rsid w:val="00D33146"/>
    <w:rsid w:val="00D60DB0"/>
    <w:rsid w:val="00D657C8"/>
    <w:rsid w:val="00D722FB"/>
    <w:rsid w:val="00D9300F"/>
    <w:rsid w:val="00DB13CB"/>
    <w:rsid w:val="00DB7365"/>
    <w:rsid w:val="00DC00D5"/>
    <w:rsid w:val="00DC7084"/>
    <w:rsid w:val="00DE5718"/>
    <w:rsid w:val="00DF16B5"/>
    <w:rsid w:val="00DF25A0"/>
    <w:rsid w:val="00DF69DA"/>
    <w:rsid w:val="00DF76D5"/>
    <w:rsid w:val="00E05CD2"/>
    <w:rsid w:val="00E123CC"/>
    <w:rsid w:val="00E13484"/>
    <w:rsid w:val="00E14591"/>
    <w:rsid w:val="00E21984"/>
    <w:rsid w:val="00E30618"/>
    <w:rsid w:val="00E33A2C"/>
    <w:rsid w:val="00E34019"/>
    <w:rsid w:val="00E356DB"/>
    <w:rsid w:val="00E42B60"/>
    <w:rsid w:val="00E46311"/>
    <w:rsid w:val="00E4670B"/>
    <w:rsid w:val="00E505D8"/>
    <w:rsid w:val="00E53FBD"/>
    <w:rsid w:val="00E54617"/>
    <w:rsid w:val="00E57A8C"/>
    <w:rsid w:val="00E81AC3"/>
    <w:rsid w:val="00E853B3"/>
    <w:rsid w:val="00E85AA9"/>
    <w:rsid w:val="00EB240A"/>
    <w:rsid w:val="00EB5DB5"/>
    <w:rsid w:val="00EC086A"/>
    <w:rsid w:val="00EC262A"/>
    <w:rsid w:val="00ED23E4"/>
    <w:rsid w:val="00ED55F0"/>
    <w:rsid w:val="00EE7092"/>
    <w:rsid w:val="00F11F38"/>
    <w:rsid w:val="00F126AA"/>
    <w:rsid w:val="00F21E50"/>
    <w:rsid w:val="00F26DB2"/>
    <w:rsid w:val="00F30804"/>
    <w:rsid w:val="00F3652F"/>
    <w:rsid w:val="00F43F1E"/>
    <w:rsid w:val="00F466F8"/>
    <w:rsid w:val="00F5052B"/>
    <w:rsid w:val="00F511EF"/>
    <w:rsid w:val="00F53CC7"/>
    <w:rsid w:val="00F60181"/>
    <w:rsid w:val="00F60A66"/>
    <w:rsid w:val="00F60D22"/>
    <w:rsid w:val="00F77F91"/>
    <w:rsid w:val="00F82117"/>
    <w:rsid w:val="00F82506"/>
    <w:rsid w:val="00F83E49"/>
    <w:rsid w:val="00FA0126"/>
    <w:rsid w:val="00FA680C"/>
    <w:rsid w:val="00FB298E"/>
    <w:rsid w:val="00FB42B5"/>
    <w:rsid w:val="00FB4C28"/>
    <w:rsid w:val="00FC04D9"/>
    <w:rsid w:val="00FC0A99"/>
    <w:rsid w:val="00FC2605"/>
    <w:rsid w:val="00FC6DC0"/>
    <w:rsid w:val="00FD6C5D"/>
    <w:rsid w:val="00FE3B34"/>
    <w:rsid w:val="00FE7ACD"/>
    <w:rsid w:val="00FF2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073C4D-F4F2-40F0-AA30-CADEA623B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670"/>
  </w:style>
  <w:style w:type="paragraph" w:styleId="Heading1">
    <w:name w:val="heading 1"/>
    <w:basedOn w:val="Normal"/>
    <w:next w:val="Normal"/>
    <w:link w:val="Heading1Char"/>
    <w:uiPriority w:val="9"/>
    <w:qFormat/>
    <w:rsid w:val="00495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5F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3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0846"/>
    <w:pPr>
      <w:spacing w:before="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7E0846"/>
    <w:rPr>
      <w:rFonts w:ascii="Arial" w:eastAsia="Times New Roman" w:hAnsi="Arial" w:cs="Times New Roman"/>
      <w:sz w:val="24"/>
      <w:szCs w:val="24"/>
    </w:rPr>
  </w:style>
  <w:style w:type="paragraph" w:customStyle="1" w:styleId="NumberlessH2">
    <w:name w:val="_Numberless H2"/>
    <w:basedOn w:val="Normal"/>
    <w:next w:val="BodyText"/>
    <w:qFormat/>
    <w:rsid w:val="007E0846"/>
    <w:pPr>
      <w:pageBreakBefore/>
      <w:spacing w:after="120" w:line="240" w:lineRule="auto"/>
      <w:outlineLvl w:val="1"/>
    </w:pPr>
    <w:rPr>
      <w:rFonts w:ascii="Arial" w:eastAsia="Times New Roman" w:hAnsi="Arial" w:cs="Times New Roman"/>
      <w:b/>
      <w:sz w:val="28"/>
      <w:szCs w:val="24"/>
    </w:rPr>
  </w:style>
  <w:style w:type="paragraph" w:styleId="DocumentMap">
    <w:name w:val="Document Map"/>
    <w:basedOn w:val="Normal"/>
    <w:link w:val="DocumentMapChar"/>
    <w:uiPriority w:val="99"/>
    <w:semiHidden/>
    <w:unhideWhenUsed/>
    <w:rsid w:val="007E084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0846"/>
    <w:rPr>
      <w:rFonts w:ascii="Tahoma" w:hAnsi="Tahoma" w:cs="Tahoma"/>
      <w:sz w:val="16"/>
      <w:szCs w:val="16"/>
    </w:rPr>
  </w:style>
  <w:style w:type="paragraph" w:styleId="BalloonText">
    <w:name w:val="Balloon Text"/>
    <w:basedOn w:val="Normal"/>
    <w:link w:val="BalloonTextChar"/>
    <w:uiPriority w:val="99"/>
    <w:semiHidden/>
    <w:unhideWhenUsed/>
    <w:rsid w:val="00911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06C"/>
    <w:rPr>
      <w:rFonts w:ascii="Tahoma" w:hAnsi="Tahoma" w:cs="Tahoma"/>
      <w:sz w:val="16"/>
      <w:szCs w:val="16"/>
    </w:rPr>
  </w:style>
  <w:style w:type="paragraph" w:styleId="ListParagraph">
    <w:name w:val="List Paragraph"/>
    <w:basedOn w:val="Normal"/>
    <w:uiPriority w:val="34"/>
    <w:qFormat/>
    <w:rsid w:val="008A1471"/>
    <w:pPr>
      <w:ind w:left="720"/>
      <w:contextualSpacing/>
    </w:pPr>
  </w:style>
  <w:style w:type="character" w:customStyle="1" w:styleId="Heading1Char">
    <w:name w:val="Heading 1 Char"/>
    <w:basedOn w:val="DefaultParagraphFont"/>
    <w:link w:val="Heading1"/>
    <w:uiPriority w:val="9"/>
    <w:rsid w:val="00495F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5FF3"/>
    <w:rPr>
      <w:rFonts w:asciiTheme="majorHAnsi" w:eastAsiaTheme="majorEastAsia" w:hAnsiTheme="majorHAnsi" w:cstheme="majorBidi"/>
      <w:b/>
      <w:bCs/>
      <w:color w:val="4F81BD" w:themeColor="accent1"/>
      <w:sz w:val="26"/>
      <w:szCs w:val="26"/>
    </w:rPr>
  </w:style>
  <w:style w:type="paragraph" w:customStyle="1" w:styleId="Tabletext">
    <w:name w:val="_Table text"/>
    <w:basedOn w:val="Normal"/>
    <w:qFormat/>
    <w:rsid w:val="00EE7092"/>
    <w:pPr>
      <w:spacing w:before="20" w:after="20" w:line="240" w:lineRule="auto"/>
    </w:pPr>
    <w:rPr>
      <w:rFonts w:ascii="Arial" w:eastAsia="Times New Roman" w:hAnsi="Arial" w:cs="Times New Roman"/>
      <w:sz w:val="20"/>
    </w:rPr>
  </w:style>
  <w:style w:type="character" w:styleId="Emphasis">
    <w:name w:val="Emphasis"/>
    <w:uiPriority w:val="20"/>
    <w:qFormat/>
    <w:rsid w:val="00EE7092"/>
    <w:rPr>
      <w:b/>
      <w:i/>
      <w:sz w:val="20"/>
      <w:szCs w:val="28"/>
    </w:rPr>
  </w:style>
  <w:style w:type="character" w:styleId="CommentReference">
    <w:name w:val="annotation reference"/>
    <w:basedOn w:val="DefaultParagraphFont"/>
    <w:uiPriority w:val="99"/>
    <w:semiHidden/>
    <w:unhideWhenUsed/>
    <w:rsid w:val="00C24651"/>
    <w:rPr>
      <w:sz w:val="16"/>
      <w:szCs w:val="16"/>
    </w:rPr>
  </w:style>
  <w:style w:type="paragraph" w:styleId="CommentText">
    <w:name w:val="annotation text"/>
    <w:basedOn w:val="Normal"/>
    <w:link w:val="CommentTextChar"/>
    <w:uiPriority w:val="99"/>
    <w:semiHidden/>
    <w:unhideWhenUsed/>
    <w:rsid w:val="00C24651"/>
    <w:pPr>
      <w:spacing w:line="240" w:lineRule="auto"/>
    </w:pPr>
    <w:rPr>
      <w:sz w:val="20"/>
      <w:szCs w:val="20"/>
    </w:rPr>
  </w:style>
  <w:style w:type="character" w:customStyle="1" w:styleId="CommentTextChar">
    <w:name w:val="Comment Text Char"/>
    <w:basedOn w:val="DefaultParagraphFont"/>
    <w:link w:val="CommentText"/>
    <w:uiPriority w:val="99"/>
    <w:semiHidden/>
    <w:rsid w:val="00C24651"/>
    <w:rPr>
      <w:sz w:val="20"/>
      <w:szCs w:val="20"/>
    </w:rPr>
  </w:style>
  <w:style w:type="paragraph" w:styleId="CommentSubject">
    <w:name w:val="annotation subject"/>
    <w:basedOn w:val="CommentText"/>
    <w:next w:val="CommentText"/>
    <w:link w:val="CommentSubjectChar"/>
    <w:uiPriority w:val="99"/>
    <w:semiHidden/>
    <w:unhideWhenUsed/>
    <w:rsid w:val="00C24651"/>
    <w:rPr>
      <w:b/>
      <w:bCs/>
    </w:rPr>
  </w:style>
  <w:style w:type="character" w:customStyle="1" w:styleId="CommentSubjectChar">
    <w:name w:val="Comment Subject Char"/>
    <w:basedOn w:val="CommentTextChar"/>
    <w:link w:val="CommentSubject"/>
    <w:uiPriority w:val="99"/>
    <w:semiHidden/>
    <w:rsid w:val="00C24651"/>
    <w:rPr>
      <w:b/>
      <w:bCs/>
      <w:sz w:val="20"/>
      <w:szCs w:val="20"/>
    </w:rPr>
  </w:style>
  <w:style w:type="paragraph" w:styleId="Revision">
    <w:name w:val="Revision"/>
    <w:hidden/>
    <w:uiPriority w:val="99"/>
    <w:semiHidden/>
    <w:rsid w:val="004F2BB2"/>
    <w:pPr>
      <w:spacing w:after="0" w:line="240" w:lineRule="auto"/>
    </w:pPr>
  </w:style>
  <w:style w:type="character" w:customStyle="1" w:styleId="Heading3Char">
    <w:name w:val="Heading 3 Char"/>
    <w:basedOn w:val="DefaultParagraphFont"/>
    <w:link w:val="Heading3"/>
    <w:uiPriority w:val="9"/>
    <w:semiHidden/>
    <w:rsid w:val="009930C5"/>
    <w:rPr>
      <w:rFonts w:asciiTheme="majorHAnsi" w:eastAsiaTheme="majorEastAsia" w:hAnsiTheme="majorHAnsi" w:cstheme="majorBidi"/>
      <w:b/>
      <w:bCs/>
      <w:color w:val="4F81BD" w:themeColor="accent1"/>
    </w:rPr>
  </w:style>
  <w:style w:type="character" w:styleId="Hyperlink">
    <w:name w:val="Hyperlink"/>
    <w:uiPriority w:val="99"/>
    <w:rsid w:val="009930C5"/>
    <w:rPr>
      <w:color w:val="000080"/>
      <w:u w:val="single"/>
    </w:rPr>
  </w:style>
  <w:style w:type="paragraph" w:customStyle="1" w:styleId="Style2">
    <w:name w:val="Style2"/>
    <w:basedOn w:val="Normal"/>
    <w:rsid w:val="009930C5"/>
    <w:pPr>
      <w:numPr>
        <w:numId w:val="15"/>
      </w:numPr>
      <w:spacing w:before="100" w:beforeAutospacing="1" w:after="100" w:afterAutospacing="1" w:line="240" w:lineRule="auto"/>
    </w:pPr>
    <w:rPr>
      <w:rFonts w:ascii="Arial" w:hAnsi="Arial" w:cs="Times New Roman"/>
      <w:szCs w:val="20"/>
    </w:rPr>
  </w:style>
  <w:style w:type="paragraph" w:styleId="FootnoteText">
    <w:name w:val="footnote text"/>
    <w:basedOn w:val="Normal"/>
    <w:link w:val="FootnoteTextChar"/>
    <w:uiPriority w:val="99"/>
    <w:unhideWhenUsed/>
    <w:qFormat/>
    <w:rsid w:val="00C44917"/>
    <w:pPr>
      <w:spacing w:before="100" w:beforeAutospacing="1" w:after="100" w:afterAutospacing="1" w:line="240" w:lineRule="auto"/>
    </w:pPr>
    <w:rPr>
      <w:rFonts w:ascii="Arial" w:hAnsi="Arial"/>
      <w:sz w:val="16"/>
      <w:szCs w:val="20"/>
    </w:rPr>
  </w:style>
  <w:style w:type="character" w:customStyle="1" w:styleId="FootnoteTextChar">
    <w:name w:val="Footnote Text Char"/>
    <w:basedOn w:val="DefaultParagraphFont"/>
    <w:link w:val="FootnoteText"/>
    <w:uiPriority w:val="99"/>
    <w:rsid w:val="00C44917"/>
    <w:rPr>
      <w:rFonts w:ascii="Arial" w:eastAsiaTheme="minorEastAsia" w:hAnsi="Arial"/>
      <w:sz w:val="16"/>
      <w:szCs w:val="20"/>
    </w:rPr>
  </w:style>
  <w:style w:type="character" w:styleId="FootnoteReference">
    <w:name w:val="footnote reference"/>
    <w:basedOn w:val="DefaultParagraphFont"/>
    <w:uiPriority w:val="99"/>
    <w:semiHidden/>
    <w:unhideWhenUsed/>
    <w:rsid w:val="00C44917"/>
    <w:rPr>
      <w:vertAlign w:val="superscript"/>
    </w:rPr>
  </w:style>
  <w:style w:type="paragraph" w:customStyle="1" w:styleId="HeadingNolevel">
    <w:name w:val="Heading (No level)"/>
    <w:basedOn w:val="Normal"/>
    <w:qFormat/>
    <w:rsid w:val="00143953"/>
    <w:pPr>
      <w:spacing w:before="100" w:beforeAutospacing="1" w:after="100" w:afterAutospacing="1" w:line="240" w:lineRule="auto"/>
    </w:pPr>
    <w:rPr>
      <w:rFonts w:ascii="Arial" w:eastAsia="Times New Roman" w:hAnsi="Arial" w:cs="Times New Roman"/>
      <w:b/>
      <w:sz w:val="24"/>
      <w:szCs w:val="24"/>
    </w:rPr>
  </w:style>
  <w:style w:type="table" w:styleId="TableGrid">
    <w:name w:val="Table Grid"/>
    <w:basedOn w:val="TableNormal"/>
    <w:uiPriority w:val="59"/>
    <w:rsid w:val="00143953"/>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43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53"/>
  </w:style>
  <w:style w:type="paragraph" w:styleId="Footer">
    <w:name w:val="footer"/>
    <w:basedOn w:val="Normal"/>
    <w:link w:val="FooterChar"/>
    <w:uiPriority w:val="99"/>
    <w:unhideWhenUsed/>
    <w:rsid w:val="00143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53"/>
  </w:style>
  <w:style w:type="character" w:styleId="PlaceholderText">
    <w:name w:val="Placeholder Text"/>
    <w:basedOn w:val="DefaultParagraphFont"/>
    <w:uiPriority w:val="99"/>
    <w:semiHidden/>
    <w:rsid w:val="00143953"/>
    <w:rPr>
      <w:color w:val="808080"/>
    </w:rPr>
  </w:style>
  <w:style w:type="paragraph" w:styleId="Caption">
    <w:name w:val="caption"/>
    <w:basedOn w:val="Normal"/>
    <w:next w:val="Normal"/>
    <w:uiPriority w:val="99"/>
    <w:unhideWhenUsed/>
    <w:qFormat/>
    <w:rsid w:val="00AD1286"/>
    <w:pPr>
      <w:keepNext/>
      <w:autoSpaceDE w:val="0"/>
      <w:autoSpaceDN w:val="0"/>
      <w:adjustRightInd w:val="0"/>
      <w:spacing w:before="480" w:after="120" w:line="240" w:lineRule="auto"/>
    </w:pPr>
    <w:rPr>
      <w:rFonts w:ascii="Arial" w:hAnsi="Arial"/>
      <w:b/>
      <w:bCs/>
      <w:sz w:val="18"/>
      <w:szCs w:val="18"/>
    </w:rPr>
  </w:style>
  <w:style w:type="paragraph" w:styleId="NormalWeb">
    <w:name w:val="Normal (Web)"/>
    <w:basedOn w:val="Normal"/>
    <w:uiPriority w:val="99"/>
    <w:rsid w:val="00D2678C"/>
    <w:pPr>
      <w:spacing w:before="100" w:beforeAutospacing="1" w:after="100" w:afterAutospacing="1" w:line="240" w:lineRule="auto"/>
    </w:pPr>
    <w:rPr>
      <w:rFonts w:ascii="Times New Roman" w:eastAsia="Calibri" w:hAnsi="Times New Roman" w:cs="Times New Roman"/>
      <w:sz w:val="24"/>
      <w:szCs w:val="24"/>
    </w:rPr>
  </w:style>
  <w:style w:type="paragraph" w:styleId="Title">
    <w:name w:val="Title"/>
    <w:basedOn w:val="Normal"/>
    <w:next w:val="Normal"/>
    <w:link w:val="TitleChar"/>
    <w:uiPriority w:val="10"/>
    <w:qFormat/>
    <w:rsid w:val="0029506C"/>
    <w:pPr>
      <w:keepNext/>
      <w:spacing w:after="0" w:line="240" w:lineRule="auto"/>
    </w:pPr>
    <w:rPr>
      <w:rFonts w:ascii="Arial" w:eastAsia="Times New Roman" w:hAnsi="Arial" w:cs="Times New Roman"/>
      <w:b/>
      <w:spacing w:val="5"/>
      <w:kern w:val="28"/>
      <w:sz w:val="36"/>
      <w:szCs w:val="52"/>
    </w:rPr>
  </w:style>
  <w:style w:type="character" w:customStyle="1" w:styleId="TitleChar">
    <w:name w:val="Title Char"/>
    <w:basedOn w:val="DefaultParagraphFont"/>
    <w:link w:val="Title"/>
    <w:uiPriority w:val="10"/>
    <w:rsid w:val="0029506C"/>
    <w:rPr>
      <w:rFonts w:ascii="Arial" w:eastAsia="Times New Roman" w:hAnsi="Arial" w:cs="Times New Roman"/>
      <w:b/>
      <w:spacing w:val="5"/>
      <w:kern w:val="28"/>
      <w:sz w:val="36"/>
      <w:szCs w:val="52"/>
    </w:rPr>
  </w:style>
  <w:style w:type="paragraph" w:customStyle="1" w:styleId="BulletPoints">
    <w:name w:val="Bullet Points"/>
    <w:basedOn w:val="Normal"/>
    <w:qFormat/>
    <w:rsid w:val="00497C2E"/>
    <w:pPr>
      <w:keepLines/>
      <w:numPr>
        <w:numId w:val="31"/>
      </w:numPr>
      <w:tabs>
        <w:tab w:val="left" w:pos="329"/>
      </w:tabs>
      <w:spacing w:before="100" w:beforeAutospacing="1" w:after="100" w:afterAutospacing="1" w:line="240" w:lineRule="auto"/>
      <w:contextualSpacing/>
    </w:pPr>
    <w:rPr>
      <w:rFonts w:ascii="Arial" w:eastAsiaTheme="minorHAnsi" w:hAnsi="Arial" w:cs="Times New Roman"/>
      <w:iC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5478">
      <w:bodyDiv w:val="1"/>
      <w:marLeft w:val="0"/>
      <w:marRight w:val="0"/>
      <w:marTop w:val="0"/>
      <w:marBottom w:val="0"/>
      <w:divBdr>
        <w:top w:val="none" w:sz="0" w:space="0" w:color="auto"/>
        <w:left w:val="none" w:sz="0" w:space="0" w:color="auto"/>
        <w:bottom w:val="none" w:sz="0" w:space="0" w:color="auto"/>
        <w:right w:val="none" w:sz="0" w:space="0" w:color="auto"/>
      </w:divBdr>
    </w:div>
    <w:div w:id="523401181">
      <w:bodyDiv w:val="1"/>
      <w:marLeft w:val="0"/>
      <w:marRight w:val="0"/>
      <w:marTop w:val="0"/>
      <w:marBottom w:val="0"/>
      <w:divBdr>
        <w:top w:val="none" w:sz="0" w:space="0" w:color="auto"/>
        <w:left w:val="none" w:sz="0" w:space="0" w:color="auto"/>
        <w:bottom w:val="none" w:sz="0" w:space="0" w:color="auto"/>
        <w:right w:val="none" w:sz="0" w:space="0" w:color="auto"/>
      </w:divBdr>
    </w:div>
    <w:div w:id="524909618">
      <w:bodyDiv w:val="1"/>
      <w:marLeft w:val="0"/>
      <w:marRight w:val="0"/>
      <w:marTop w:val="0"/>
      <w:marBottom w:val="0"/>
      <w:divBdr>
        <w:top w:val="none" w:sz="0" w:space="0" w:color="auto"/>
        <w:left w:val="none" w:sz="0" w:space="0" w:color="auto"/>
        <w:bottom w:val="none" w:sz="0" w:space="0" w:color="auto"/>
        <w:right w:val="none" w:sz="0" w:space="0" w:color="auto"/>
      </w:divBdr>
    </w:div>
    <w:div w:id="585966157">
      <w:bodyDiv w:val="1"/>
      <w:marLeft w:val="0"/>
      <w:marRight w:val="0"/>
      <w:marTop w:val="0"/>
      <w:marBottom w:val="0"/>
      <w:divBdr>
        <w:top w:val="none" w:sz="0" w:space="0" w:color="auto"/>
        <w:left w:val="none" w:sz="0" w:space="0" w:color="auto"/>
        <w:bottom w:val="none" w:sz="0" w:space="0" w:color="auto"/>
        <w:right w:val="none" w:sz="0" w:space="0" w:color="auto"/>
      </w:divBdr>
    </w:div>
    <w:div w:id="953252954">
      <w:bodyDiv w:val="1"/>
      <w:marLeft w:val="0"/>
      <w:marRight w:val="0"/>
      <w:marTop w:val="0"/>
      <w:marBottom w:val="0"/>
      <w:divBdr>
        <w:top w:val="none" w:sz="0" w:space="0" w:color="auto"/>
        <w:left w:val="none" w:sz="0" w:space="0" w:color="auto"/>
        <w:bottom w:val="none" w:sz="0" w:space="0" w:color="auto"/>
        <w:right w:val="none" w:sz="0" w:space="0" w:color="auto"/>
      </w:divBdr>
    </w:div>
    <w:div w:id="1070541984">
      <w:bodyDiv w:val="1"/>
      <w:marLeft w:val="0"/>
      <w:marRight w:val="0"/>
      <w:marTop w:val="0"/>
      <w:marBottom w:val="0"/>
      <w:divBdr>
        <w:top w:val="none" w:sz="0" w:space="0" w:color="auto"/>
        <w:left w:val="none" w:sz="0" w:space="0" w:color="auto"/>
        <w:bottom w:val="none" w:sz="0" w:space="0" w:color="auto"/>
        <w:right w:val="none" w:sz="0" w:space="0" w:color="auto"/>
      </w:divBdr>
    </w:div>
    <w:div w:id="1131557137">
      <w:bodyDiv w:val="1"/>
      <w:marLeft w:val="0"/>
      <w:marRight w:val="0"/>
      <w:marTop w:val="0"/>
      <w:marBottom w:val="0"/>
      <w:divBdr>
        <w:top w:val="none" w:sz="0" w:space="0" w:color="auto"/>
        <w:left w:val="none" w:sz="0" w:space="0" w:color="auto"/>
        <w:bottom w:val="none" w:sz="0" w:space="0" w:color="auto"/>
        <w:right w:val="none" w:sz="0" w:space="0" w:color="auto"/>
      </w:divBdr>
    </w:div>
    <w:div w:id="1497458072">
      <w:bodyDiv w:val="1"/>
      <w:marLeft w:val="0"/>
      <w:marRight w:val="0"/>
      <w:marTop w:val="0"/>
      <w:marBottom w:val="0"/>
      <w:divBdr>
        <w:top w:val="none" w:sz="0" w:space="0" w:color="auto"/>
        <w:left w:val="none" w:sz="0" w:space="0" w:color="auto"/>
        <w:bottom w:val="none" w:sz="0" w:space="0" w:color="auto"/>
        <w:right w:val="none" w:sz="0" w:space="0" w:color="auto"/>
      </w:divBdr>
    </w:div>
    <w:div w:id="1656454445">
      <w:bodyDiv w:val="1"/>
      <w:marLeft w:val="0"/>
      <w:marRight w:val="0"/>
      <w:marTop w:val="0"/>
      <w:marBottom w:val="0"/>
      <w:divBdr>
        <w:top w:val="none" w:sz="0" w:space="0" w:color="auto"/>
        <w:left w:val="none" w:sz="0" w:space="0" w:color="auto"/>
        <w:bottom w:val="none" w:sz="0" w:space="0" w:color="auto"/>
        <w:right w:val="none" w:sz="0" w:space="0" w:color="auto"/>
      </w:divBdr>
    </w:div>
    <w:div w:id="1771461292">
      <w:bodyDiv w:val="1"/>
      <w:marLeft w:val="0"/>
      <w:marRight w:val="0"/>
      <w:marTop w:val="0"/>
      <w:marBottom w:val="0"/>
      <w:divBdr>
        <w:top w:val="none" w:sz="0" w:space="0" w:color="auto"/>
        <w:left w:val="none" w:sz="0" w:space="0" w:color="auto"/>
        <w:bottom w:val="none" w:sz="0" w:space="0" w:color="auto"/>
        <w:right w:val="none" w:sz="0" w:space="0" w:color="auto"/>
      </w:divBdr>
    </w:div>
    <w:div w:id="1874541481">
      <w:bodyDiv w:val="1"/>
      <w:marLeft w:val="0"/>
      <w:marRight w:val="0"/>
      <w:marTop w:val="0"/>
      <w:marBottom w:val="0"/>
      <w:divBdr>
        <w:top w:val="none" w:sz="0" w:space="0" w:color="auto"/>
        <w:left w:val="none" w:sz="0" w:space="0" w:color="auto"/>
        <w:bottom w:val="none" w:sz="0" w:space="0" w:color="auto"/>
        <w:right w:val="none" w:sz="0" w:space="0" w:color="auto"/>
      </w:divBdr>
    </w:div>
    <w:div w:id="208086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jncc.defra.gov.uk/page-2684"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mbaqcs.org/scheme-components/invertebrates.aspx" TargetMode="External"/><Relationship Id="rId24" Type="http://schemas.openxmlformats.org/officeDocument/2006/relationships/hyperlink" Target="file:///\\jncc-corpfile\JNCC%20Corporate%20Data\Marine\Evidence\SurveyAndContracts\2014_10_Scotia_1714S_SolanBank\Planning\Papers\Bell&amp;Barnes_2001.pdf"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www.nmbaqcs.org/qa-standards.aspx"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7AC2FF25004A44B28E490BD0B9DAC6"/>
        <w:category>
          <w:name w:val="General"/>
          <w:gallery w:val="placeholder"/>
        </w:category>
        <w:types>
          <w:type w:val="bbPlcHdr"/>
        </w:types>
        <w:behaviors>
          <w:behavior w:val="content"/>
        </w:behaviors>
        <w:guid w:val="{EBD92DE9-0754-4B9E-8042-A82F390902CE}"/>
      </w:docPartPr>
      <w:docPartBody>
        <w:p w:rsidR="00815954" w:rsidRDefault="00815954" w:rsidP="00815954">
          <w:pPr>
            <w:pStyle w:val="3E7AC2FF25004A44B28E490BD0B9DAC6"/>
          </w:pPr>
          <w:r w:rsidRPr="006E38F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15954"/>
    <w:rsid w:val="00137D06"/>
    <w:rsid w:val="00195F45"/>
    <w:rsid w:val="001F1C59"/>
    <w:rsid w:val="0024689C"/>
    <w:rsid w:val="003A1A33"/>
    <w:rsid w:val="003A57F1"/>
    <w:rsid w:val="004A5F53"/>
    <w:rsid w:val="005C5B8E"/>
    <w:rsid w:val="0061626A"/>
    <w:rsid w:val="0070157A"/>
    <w:rsid w:val="007205B2"/>
    <w:rsid w:val="00744B49"/>
    <w:rsid w:val="00791117"/>
    <w:rsid w:val="00807A8D"/>
    <w:rsid w:val="00815954"/>
    <w:rsid w:val="008438F2"/>
    <w:rsid w:val="00877161"/>
    <w:rsid w:val="008C2031"/>
    <w:rsid w:val="009F7616"/>
    <w:rsid w:val="00A45A84"/>
    <w:rsid w:val="00A676FF"/>
    <w:rsid w:val="00CD3EBD"/>
    <w:rsid w:val="00CF0736"/>
    <w:rsid w:val="00D030DC"/>
    <w:rsid w:val="00DB7C5F"/>
    <w:rsid w:val="00E77482"/>
    <w:rsid w:val="00F502DE"/>
    <w:rsid w:val="00F65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E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23BE2160EA4660A5ED7974FCC535BA">
    <w:name w:val="2023BE2160EA4660A5ED7974FCC535BA"/>
    <w:rsid w:val="00815954"/>
  </w:style>
  <w:style w:type="character" w:styleId="PlaceholderText">
    <w:name w:val="Placeholder Text"/>
    <w:basedOn w:val="DefaultParagraphFont"/>
    <w:uiPriority w:val="99"/>
    <w:semiHidden/>
    <w:rsid w:val="0070157A"/>
    <w:rPr>
      <w:color w:val="808080"/>
    </w:rPr>
  </w:style>
  <w:style w:type="paragraph" w:customStyle="1" w:styleId="DC7D80BA23C74E31AF87558400E1F7E1">
    <w:name w:val="DC7D80BA23C74E31AF87558400E1F7E1"/>
    <w:rsid w:val="00815954"/>
  </w:style>
  <w:style w:type="paragraph" w:customStyle="1" w:styleId="3E7AC2FF25004A44B28E490BD0B9DAC6">
    <w:name w:val="3E7AC2FF25004A44B28E490BD0B9DAC6"/>
    <w:rsid w:val="00815954"/>
  </w:style>
  <w:style w:type="paragraph" w:customStyle="1" w:styleId="1B7E7A39169A4FD399F92114FBF7F36E">
    <w:name w:val="1B7E7A39169A4FD399F92114FBF7F36E"/>
    <w:rsid w:val="00CF0736"/>
  </w:style>
  <w:style w:type="paragraph" w:customStyle="1" w:styleId="A27484F29FF44524AD11A4E24684AFA3">
    <w:name w:val="A27484F29FF44524AD11A4E24684AFA3"/>
    <w:rsid w:val="00CF0736"/>
  </w:style>
  <w:style w:type="paragraph" w:customStyle="1" w:styleId="DB553B1C65AD40A6B753B2301BFDED94">
    <w:name w:val="DB553B1C65AD40A6B753B2301BFDED94"/>
    <w:rsid w:val="0070157A"/>
  </w:style>
  <w:style w:type="paragraph" w:customStyle="1" w:styleId="3EB7E13235E14FE58AC579C549C273CD">
    <w:name w:val="3EB7E13235E14FE58AC579C549C273CD"/>
    <w:rsid w:val="0070157A"/>
  </w:style>
  <w:style w:type="paragraph" w:customStyle="1" w:styleId="8D48C817B7D5492BA14854EE73931833">
    <w:name w:val="8D48C817B7D5492BA14854EE73931833"/>
    <w:rsid w:val="0070157A"/>
  </w:style>
  <w:style w:type="paragraph" w:customStyle="1" w:styleId="FDD117D3EA9348E9B20E07573244D504">
    <w:name w:val="FDD117D3EA9348E9B20E07573244D504"/>
    <w:rsid w:val="0070157A"/>
  </w:style>
  <w:style w:type="paragraph" w:customStyle="1" w:styleId="44A29D977D9E457AA00BF9723596844B">
    <w:name w:val="44A29D977D9E457AA00BF9723596844B"/>
    <w:rsid w:val="00701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187B0A-0A7D-48FC-AA3D-4F7F57AE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35</Pages>
  <Words>7026</Words>
  <Characters>40049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Natural England /Cefas Partnership Video &amp; Stills Processing Protocol – analysis of video and stills data from 2014/15 MPA surveys undertaken on the Cefas Endeavour.</vt:lpstr>
    </vt:vector>
  </TitlesOfParts>
  <Company>CEFAS</Company>
  <LinksUpToDate>false</LinksUpToDate>
  <CharactersWithSpaces>46982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England /Cefas Partnership Video &amp; Stills Processing Protocol – analysis of video and stills data from 2014/15 MPA surveys undertaken on the Cefas Endeavour.</dc:title>
  <dc:creator>Mike Young</dc:creator>
  <cp:lastModifiedBy>Matthew Curtis (Cefas)</cp:lastModifiedBy>
  <cp:revision>45</cp:revision>
  <dcterms:created xsi:type="dcterms:W3CDTF">2015-10-23T08:29:00Z</dcterms:created>
  <dcterms:modified xsi:type="dcterms:W3CDTF">2015-12-03T11:43:00Z</dcterms:modified>
  <cp:contentStatus>Version 1</cp:contentStatus>
</cp:coreProperties>
</file>