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BBD" w:rsidRPr="00873BBD" w:rsidRDefault="00AF5E1E" w:rsidP="00873BBD">
      <w:pPr>
        <w:pStyle w:val="Heading1"/>
        <w:rPr>
          <w:rFonts w:asciiTheme="majorHAnsi" w:hAnsiTheme="majorHAnsi" w:cstheme="majorHAnsi"/>
          <w:color w:val="2E74B5" w:themeColor="accent1" w:themeShade="BF"/>
          <w:sz w:val="32"/>
          <w:szCs w:val="32"/>
        </w:rPr>
      </w:pPr>
      <w:r w:rsidRPr="00873BBD">
        <w:rPr>
          <w:rFonts w:asciiTheme="majorHAnsi" w:hAnsiTheme="majorHAnsi" w:cstheme="majorHAnsi"/>
          <w:color w:val="2E74B5" w:themeColor="accent1" w:themeShade="BF"/>
          <w:sz w:val="32"/>
          <w:szCs w:val="32"/>
        </w:rPr>
        <w:t>University of Plymouth</w:t>
      </w:r>
    </w:p>
    <w:p w:rsidR="00AF5E1E" w:rsidRPr="00873BBD" w:rsidRDefault="00AF5E1E" w:rsidP="00873BBD">
      <w:pPr>
        <w:pStyle w:val="Heading1"/>
        <w:rPr>
          <w:rFonts w:asciiTheme="majorHAnsi" w:hAnsiTheme="majorHAnsi" w:cstheme="majorHAnsi"/>
          <w:color w:val="2E74B5" w:themeColor="accent1" w:themeShade="BF"/>
          <w:sz w:val="32"/>
          <w:szCs w:val="32"/>
        </w:rPr>
      </w:pPr>
      <w:r w:rsidRPr="00873BBD">
        <w:rPr>
          <w:rFonts w:asciiTheme="majorHAnsi" w:hAnsiTheme="majorHAnsi" w:cstheme="majorHAnsi"/>
          <w:color w:val="2E74B5" w:themeColor="accent1" w:themeShade="BF"/>
          <w:sz w:val="32"/>
          <w:szCs w:val="32"/>
        </w:rPr>
        <w:t>Tender Specification for Biol</w:t>
      </w:r>
      <w:r w:rsidR="00132882" w:rsidRPr="00873BBD">
        <w:rPr>
          <w:rFonts w:asciiTheme="majorHAnsi" w:hAnsiTheme="majorHAnsi" w:cstheme="majorHAnsi"/>
          <w:color w:val="2E74B5" w:themeColor="accent1" w:themeShade="BF"/>
          <w:sz w:val="32"/>
          <w:szCs w:val="32"/>
        </w:rPr>
        <w:t>ogical Safety Advisor Consultancy</w:t>
      </w:r>
      <w:r w:rsidRPr="00873BBD">
        <w:rPr>
          <w:rFonts w:asciiTheme="majorHAnsi" w:hAnsiTheme="majorHAnsi" w:cstheme="majorHAnsi"/>
          <w:color w:val="2E74B5" w:themeColor="accent1" w:themeShade="BF"/>
          <w:sz w:val="32"/>
          <w:szCs w:val="32"/>
        </w:rPr>
        <w:t xml:space="preserve"> Service</w:t>
      </w:r>
      <w:r w:rsidR="00132882" w:rsidRPr="00873BBD">
        <w:rPr>
          <w:rFonts w:asciiTheme="majorHAnsi" w:hAnsiTheme="majorHAnsi" w:cstheme="majorHAnsi"/>
          <w:color w:val="2E74B5" w:themeColor="accent1" w:themeShade="BF"/>
          <w:sz w:val="32"/>
          <w:szCs w:val="32"/>
        </w:rPr>
        <w:t>s</w:t>
      </w:r>
    </w:p>
    <w:p w:rsidR="00AF5E1E" w:rsidRPr="00873BBD" w:rsidRDefault="006A4AF1" w:rsidP="00873BBD">
      <w:pPr>
        <w:pStyle w:val="Heading1"/>
        <w:rPr>
          <w:rFonts w:asciiTheme="majorHAnsi" w:hAnsiTheme="majorHAnsi" w:cstheme="majorHAnsi"/>
          <w:color w:val="2E74B5" w:themeColor="accent1" w:themeShade="BF"/>
          <w:sz w:val="32"/>
          <w:szCs w:val="32"/>
        </w:rPr>
      </w:pPr>
      <w:r w:rsidRPr="00873BBD">
        <w:rPr>
          <w:rFonts w:asciiTheme="majorHAnsi" w:hAnsiTheme="majorHAnsi" w:cstheme="majorHAnsi"/>
          <w:color w:val="2E74B5" w:themeColor="accent1" w:themeShade="BF"/>
          <w:sz w:val="32"/>
          <w:szCs w:val="32"/>
        </w:rPr>
        <w:t>1.0</w:t>
      </w:r>
      <w:r w:rsidRPr="00873BBD">
        <w:rPr>
          <w:rFonts w:asciiTheme="majorHAnsi" w:hAnsiTheme="majorHAnsi" w:cstheme="majorHAnsi"/>
          <w:color w:val="2E74B5" w:themeColor="accent1" w:themeShade="BF"/>
          <w:sz w:val="32"/>
          <w:szCs w:val="32"/>
        </w:rPr>
        <w:tab/>
      </w:r>
      <w:r w:rsidR="00AF5E1E" w:rsidRPr="00873BBD">
        <w:rPr>
          <w:rFonts w:asciiTheme="majorHAnsi" w:hAnsiTheme="majorHAnsi" w:cstheme="majorHAnsi"/>
          <w:color w:val="2E74B5" w:themeColor="accent1" w:themeShade="BF"/>
          <w:sz w:val="32"/>
          <w:szCs w:val="32"/>
        </w:rPr>
        <w:t>Overview</w:t>
      </w:r>
    </w:p>
    <w:p w:rsidR="00132882" w:rsidRPr="00873BBD" w:rsidRDefault="00AF5E1E" w:rsidP="00AF5E1E">
      <w:pPr>
        <w:rPr>
          <w:rFonts w:asciiTheme="majorHAnsi" w:hAnsiTheme="majorHAnsi" w:cstheme="majorHAnsi"/>
          <w:szCs w:val="24"/>
          <w:lang w:eastAsia="en-GB"/>
        </w:rPr>
      </w:pPr>
      <w:r w:rsidRPr="00873BBD">
        <w:rPr>
          <w:rFonts w:asciiTheme="majorHAnsi" w:hAnsiTheme="majorHAnsi" w:cstheme="majorHAnsi"/>
          <w:szCs w:val="24"/>
          <w:lang w:eastAsia="en-GB"/>
        </w:rPr>
        <w:t xml:space="preserve">The University of Plymouth </w:t>
      </w:r>
      <w:r w:rsidR="00132882" w:rsidRPr="00873BBD">
        <w:rPr>
          <w:rFonts w:asciiTheme="majorHAnsi" w:hAnsiTheme="majorHAnsi" w:cstheme="majorHAnsi"/>
          <w:szCs w:val="24"/>
          <w:lang w:eastAsia="en-GB"/>
        </w:rPr>
        <w:t>has historically used the skills of a Faculty of Health Biological Safety specialist to provide advice to the Health, Safety and Wellbeing Team</w:t>
      </w:r>
      <w:r w:rsidRPr="00873BBD">
        <w:rPr>
          <w:rFonts w:asciiTheme="majorHAnsi" w:hAnsiTheme="majorHAnsi" w:cstheme="majorHAnsi"/>
          <w:szCs w:val="24"/>
          <w:lang w:eastAsia="en-GB"/>
        </w:rPr>
        <w:t xml:space="preserve"> </w:t>
      </w:r>
      <w:r w:rsidR="00132882" w:rsidRPr="00873BBD">
        <w:rPr>
          <w:rFonts w:asciiTheme="majorHAnsi" w:hAnsiTheme="majorHAnsi" w:cstheme="majorHAnsi"/>
          <w:szCs w:val="24"/>
          <w:lang w:eastAsia="en-GB"/>
        </w:rPr>
        <w:t xml:space="preserve">and across the University. This is no longer appropriate or sustainable and therefore approval has been given to tender for Biological Safety Advisor Consultancy Services. </w:t>
      </w:r>
    </w:p>
    <w:p w:rsidR="00AF5E1E" w:rsidRPr="00873BBD" w:rsidRDefault="006A4AF1" w:rsidP="00873BBD">
      <w:pPr>
        <w:pStyle w:val="Heading1"/>
        <w:rPr>
          <w:rFonts w:asciiTheme="majorHAnsi" w:hAnsiTheme="majorHAnsi" w:cstheme="majorHAnsi"/>
          <w:color w:val="2E74B5" w:themeColor="accent1" w:themeShade="BF"/>
          <w:sz w:val="32"/>
          <w:szCs w:val="32"/>
        </w:rPr>
      </w:pPr>
      <w:r w:rsidRPr="00873BBD">
        <w:rPr>
          <w:rFonts w:asciiTheme="majorHAnsi" w:hAnsiTheme="majorHAnsi" w:cstheme="majorHAnsi"/>
          <w:color w:val="2E74B5" w:themeColor="accent1" w:themeShade="BF"/>
          <w:sz w:val="32"/>
          <w:szCs w:val="32"/>
        </w:rPr>
        <w:t>2.0</w:t>
      </w:r>
      <w:r w:rsidRPr="00873BBD">
        <w:rPr>
          <w:rFonts w:asciiTheme="majorHAnsi" w:hAnsiTheme="majorHAnsi" w:cstheme="majorHAnsi"/>
          <w:color w:val="2E74B5" w:themeColor="accent1" w:themeShade="BF"/>
          <w:sz w:val="32"/>
          <w:szCs w:val="32"/>
        </w:rPr>
        <w:tab/>
      </w:r>
      <w:r w:rsidR="006731A9" w:rsidRPr="00873BBD">
        <w:rPr>
          <w:rFonts w:asciiTheme="majorHAnsi" w:hAnsiTheme="majorHAnsi" w:cstheme="majorHAnsi"/>
          <w:color w:val="2E74B5" w:themeColor="accent1" w:themeShade="BF"/>
          <w:sz w:val="32"/>
          <w:szCs w:val="32"/>
        </w:rPr>
        <w:t>The P</w:t>
      </w:r>
      <w:r w:rsidR="00AF5E1E" w:rsidRPr="00873BBD">
        <w:rPr>
          <w:rFonts w:asciiTheme="majorHAnsi" w:hAnsiTheme="majorHAnsi" w:cstheme="majorHAnsi"/>
          <w:color w:val="2E74B5" w:themeColor="accent1" w:themeShade="BF"/>
          <w:sz w:val="32"/>
          <w:szCs w:val="32"/>
        </w:rPr>
        <w:t xml:space="preserve">roposal </w:t>
      </w:r>
    </w:p>
    <w:p w:rsidR="00725AE9" w:rsidRPr="00873BBD" w:rsidRDefault="00725AE9" w:rsidP="006731A9">
      <w:pPr>
        <w:rPr>
          <w:rFonts w:asciiTheme="majorHAnsi" w:hAnsiTheme="majorHAnsi" w:cstheme="majorHAnsi"/>
          <w:szCs w:val="24"/>
          <w:u w:val="single"/>
          <w:lang w:eastAsia="en-GB"/>
        </w:rPr>
      </w:pPr>
      <w:r w:rsidRPr="00873BBD">
        <w:rPr>
          <w:rFonts w:asciiTheme="majorHAnsi" w:hAnsiTheme="majorHAnsi" w:cstheme="majorHAnsi"/>
          <w:szCs w:val="24"/>
          <w:u w:val="single"/>
          <w:lang w:eastAsia="en-GB"/>
        </w:rPr>
        <w:t>Biological Safety Consultancy</w:t>
      </w:r>
    </w:p>
    <w:p w:rsidR="00725AE9" w:rsidRPr="00873BBD" w:rsidRDefault="00132882" w:rsidP="00725AE9">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b/>
          <w:bCs/>
          <w:color w:val="222222"/>
          <w:szCs w:val="24"/>
          <w:lang w:eastAsia="en-GB"/>
        </w:rPr>
        <w:t>The purpose is</w:t>
      </w:r>
      <w:r w:rsidR="00725AE9" w:rsidRPr="00873BBD">
        <w:rPr>
          <w:rFonts w:asciiTheme="majorHAnsi" w:eastAsia="Times New Roman" w:hAnsiTheme="majorHAnsi" w:cstheme="majorHAnsi"/>
          <w:b/>
          <w:bCs/>
          <w:color w:val="222222"/>
          <w:szCs w:val="24"/>
          <w:lang w:eastAsia="en-GB"/>
        </w:rPr>
        <w:t xml:space="preserve"> provide expert advice and information on work associated with biological agents, including those that have been genetically modified</w:t>
      </w:r>
      <w:r w:rsidRPr="00873BBD">
        <w:rPr>
          <w:rFonts w:asciiTheme="majorHAnsi" w:eastAsia="Times New Roman" w:hAnsiTheme="majorHAnsi" w:cstheme="majorHAnsi"/>
          <w:b/>
          <w:bCs/>
          <w:color w:val="222222"/>
          <w:szCs w:val="24"/>
          <w:lang w:eastAsia="en-GB"/>
        </w:rPr>
        <w:t xml:space="preserve"> (GM)</w:t>
      </w:r>
      <w:r w:rsidR="00725AE9" w:rsidRPr="00873BBD">
        <w:rPr>
          <w:rFonts w:asciiTheme="majorHAnsi" w:eastAsia="Times New Roman" w:hAnsiTheme="majorHAnsi" w:cstheme="majorHAnsi"/>
          <w:b/>
          <w:bCs/>
          <w:color w:val="222222"/>
          <w:szCs w:val="24"/>
          <w:lang w:eastAsia="en-GB"/>
        </w:rPr>
        <w:t>.</w:t>
      </w:r>
    </w:p>
    <w:p w:rsidR="00725AE9" w:rsidRPr="00873BBD" w:rsidRDefault="00725AE9" w:rsidP="00725AE9">
      <w:pPr>
        <w:spacing w:after="300" w:line="240" w:lineRule="auto"/>
        <w:rPr>
          <w:rFonts w:asciiTheme="majorHAnsi" w:eastAsia="Times New Roman" w:hAnsiTheme="majorHAnsi" w:cstheme="majorHAnsi"/>
          <w:color w:val="222222"/>
          <w:szCs w:val="24"/>
          <w:u w:val="single"/>
          <w:lang w:eastAsia="en-GB"/>
        </w:rPr>
      </w:pPr>
      <w:r w:rsidRPr="00873BBD">
        <w:rPr>
          <w:rFonts w:asciiTheme="majorHAnsi" w:eastAsia="Times New Roman" w:hAnsiTheme="majorHAnsi" w:cstheme="majorHAnsi"/>
          <w:color w:val="222222"/>
          <w:szCs w:val="24"/>
          <w:u w:val="single"/>
          <w:lang w:eastAsia="en-GB"/>
        </w:rPr>
        <w:t>Biological Safety Consultancy Se</w:t>
      </w:r>
      <w:r w:rsidR="007D455F" w:rsidRPr="00873BBD">
        <w:rPr>
          <w:rFonts w:asciiTheme="majorHAnsi" w:eastAsia="Times New Roman" w:hAnsiTheme="majorHAnsi" w:cstheme="majorHAnsi"/>
          <w:color w:val="222222"/>
          <w:szCs w:val="24"/>
          <w:u w:val="single"/>
          <w:lang w:eastAsia="en-GB"/>
        </w:rPr>
        <w:t>rvices include the provision of</w:t>
      </w:r>
      <w:r w:rsidRPr="00873BBD">
        <w:rPr>
          <w:rFonts w:asciiTheme="majorHAnsi" w:eastAsia="Times New Roman" w:hAnsiTheme="majorHAnsi" w:cstheme="majorHAnsi"/>
          <w:color w:val="222222"/>
          <w:szCs w:val="24"/>
          <w:u w:val="single"/>
          <w:lang w:eastAsia="en-GB"/>
        </w:rPr>
        <w:t>:</w:t>
      </w:r>
    </w:p>
    <w:p w:rsidR="00725AE9" w:rsidRPr="00873BBD" w:rsidRDefault="00725AE9"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Competent Advice</w:t>
      </w:r>
      <w:r w:rsidR="00B33706" w:rsidRPr="00873BBD">
        <w:rPr>
          <w:rFonts w:asciiTheme="majorHAnsi" w:eastAsia="Times New Roman" w:hAnsiTheme="majorHAnsi" w:cstheme="majorHAnsi"/>
          <w:szCs w:val="24"/>
          <w:lang w:eastAsia="en-GB"/>
        </w:rPr>
        <w:t xml:space="preserve"> including regulatory advice and associated notifications</w:t>
      </w:r>
    </w:p>
    <w:p w:rsidR="00B33706" w:rsidRPr="00873BBD" w:rsidRDefault="00B33706"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Ensure the University works effectively with enforcing bodies such as the Health and Safety Executive (HSE)</w:t>
      </w:r>
    </w:p>
    <w:p w:rsidR="00725AE9" w:rsidRPr="00873BBD" w:rsidRDefault="00B33706"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 xml:space="preserve">Policies, Procedures, </w:t>
      </w:r>
      <w:r w:rsidR="00725AE9" w:rsidRPr="00873BBD">
        <w:rPr>
          <w:rFonts w:asciiTheme="majorHAnsi" w:eastAsia="Times New Roman" w:hAnsiTheme="majorHAnsi" w:cstheme="majorHAnsi"/>
          <w:szCs w:val="24"/>
          <w:lang w:eastAsia="en-GB"/>
        </w:rPr>
        <w:t>Guidance</w:t>
      </w:r>
      <w:r w:rsidRPr="00873BBD">
        <w:rPr>
          <w:rFonts w:asciiTheme="majorHAnsi" w:eastAsia="Times New Roman" w:hAnsiTheme="majorHAnsi" w:cstheme="majorHAnsi"/>
          <w:szCs w:val="24"/>
          <w:lang w:eastAsia="en-GB"/>
        </w:rPr>
        <w:t>, Laboratory Rules</w:t>
      </w:r>
      <w:r w:rsidR="00132882" w:rsidRPr="00873BBD">
        <w:rPr>
          <w:rFonts w:asciiTheme="majorHAnsi" w:eastAsia="Times New Roman" w:hAnsiTheme="majorHAnsi" w:cstheme="majorHAnsi"/>
          <w:szCs w:val="24"/>
          <w:lang w:eastAsia="en-GB"/>
        </w:rPr>
        <w:t xml:space="preserve"> – development and review</w:t>
      </w:r>
    </w:p>
    <w:p w:rsidR="00725AE9" w:rsidRPr="00873BBD" w:rsidRDefault="00725AE9"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Training</w:t>
      </w:r>
      <w:r w:rsidR="00132882" w:rsidRPr="00873BBD">
        <w:rPr>
          <w:rFonts w:asciiTheme="majorHAnsi" w:eastAsia="Times New Roman" w:hAnsiTheme="majorHAnsi" w:cstheme="majorHAnsi"/>
          <w:szCs w:val="24"/>
          <w:lang w:eastAsia="en-GB"/>
        </w:rPr>
        <w:t xml:space="preserve"> – including local Biological Safety Supervisors and other staff working with Biological or GM organisms</w:t>
      </w:r>
    </w:p>
    <w:p w:rsidR="00725AE9" w:rsidRPr="00873BBD" w:rsidRDefault="00725AE9"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Risk Assessments</w:t>
      </w:r>
      <w:r w:rsidR="00132882" w:rsidRPr="00873BBD">
        <w:rPr>
          <w:rFonts w:asciiTheme="majorHAnsi" w:eastAsia="Times New Roman" w:hAnsiTheme="majorHAnsi" w:cstheme="majorHAnsi"/>
          <w:szCs w:val="24"/>
          <w:lang w:eastAsia="en-GB"/>
        </w:rPr>
        <w:t xml:space="preserve"> – advice, support and training</w:t>
      </w:r>
    </w:p>
    <w:p w:rsidR="00132882" w:rsidRPr="00873BBD" w:rsidRDefault="00132882"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Development and monitoring of a robust review process for applications requesting the use of biological and GM organisms</w:t>
      </w:r>
    </w:p>
    <w:p w:rsidR="00725AE9" w:rsidRPr="00873BBD" w:rsidRDefault="00725AE9"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Audits and Inspections</w:t>
      </w:r>
    </w:p>
    <w:p w:rsidR="00725AE9" w:rsidRPr="00873BBD" w:rsidRDefault="00725AE9"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Accident / Incident Investigations</w:t>
      </w:r>
    </w:p>
    <w:p w:rsidR="00B33706" w:rsidRPr="00873BBD" w:rsidRDefault="00B33706" w:rsidP="008F4DFD">
      <w:pPr>
        <w:numPr>
          <w:ilvl w:val="0"/>
          <w:numId w:val="1"/>
        </w:numPr>
        <w:tabs>
          <w:tab w:val="clear" w:pos="720"/>
          <w:tab w:val="num" w:pos="-142"/>
        </w:tabs>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Biosafety and Genetic Modification Safety Committees – se</w:t>
      </w:r>
      <w:r w:rsidRPr="00873BBD">
        <w:rPr>
          <w:rFonts w:asciiTheme="majorHAnsi" w:eastAsia="Times New Roman" w:hAnsiTheme="majorHAnsi" w:cstheme="majorHAnsi"/>
          <w:szCs w:val="24"/>
          <w:lang w:eastAsia="en-GB"/>
        </w:rPr>
        <w:t xml:space="preserve">t up, attendance, production of </w:t>
      </w:r>
      <w:r w:rsidRPr="00873BBD">
        <w:rPr>
          <w:rFonts w:asciiTheme="majorHAnsi" w:eastAsia="Times New Roman" w:hAnsiTheme="majorHAnsi" w:cstheme="majorHAnsi"/>
          <w:szCs w:val="24"/>
          <w:lang w:eastAsia="en-GB"/>
        </w:rPr>
        <w:t>reports and papers, terms of reference etc.</w:t>
      </w:r>
    </w:p>
    <w:p w:rsidR="00B33706" w:rsidRPr="00873BBD" w:rsidRDefault="00B33706"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Provision of advice regarding the use, development and modification of any premises where work with Biological and GM organisms is undertaken.</w:t>
      </w:r>
    </w:p>
    <w:p w:rsidR="00B33706" w:rsidRPr="00873BBD" w:rsidRDefault="00B33706"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Emergency and business contingency planning</w:t>
      </w:r>
    </w:p>
    <w:p w:rsidR="00B33706" w:rsidRPr="00873BBD" w:rsidRDefault="00B33706" w:rsidP="008F4DFD">
      <w:pPr>
        <w:numPr>
          <w:ilvl w:val="0"/>
          <w:numId w:val="1"/>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 xml:space="preserve">Ensure that work with Biological and GM organisms is carried out according to </w:t>
      </w:r>
      <w:r w:rsidRPr="00873BBD">
        <w:rPr>
          <w:rFonts w:asciiTheme="majorHAnsi" w:eastAsia="Times New Roman" w:hAnsiTheme="majorHAnsi" w:cstheme="majorHAnsi"/>
          <w:szCs w:val="24"/>
          <w:lang w:eastAsia="en-GB"/>
        </w:rPr>
        <w:t>Cou</w:t>
      </w:r>
      <w:r w:rsidRPr="00873BBD">
        <w:rPr>
          <w:rFonts w:asciiTheme="majorHAnsi" w:eastAsia="Times New Roman" w:hAnsiTheme="majorHAnsi" w:cstheme="majorHAnsi"/>
          <w:szCs w:val="24"/>
          <w:lang w:eastAsia="en-GB"/>
        </w:rPr>
        <w:t>nter Terrorism Security requirements.</w:t>
      </w:r>
    </w:p>
    <w:p w:rsidR="00725AE9" w:rsidRPr="00873BBD" w:rsidRDefault="006A4AF1" w:rsidP="00873BBD">
      <w:pPr>
        <w:pStyle w:val="Heading2"/>
        <w:rPr>
          <w:rFonts w:asciiTheme="majorHAnsi" w:hAnsiTheme="majorHAnsi" w:cstheme="majorHAnsi"/>
          <w:color w:val="2E74B5" w:themeColor="accent1" w:themeShade="BF"/>
          <w:sz w:val="24"/>
          <w:szCs w:val="24"/>
        </w:rPr>
      </w:pPr>
      <w:r w:rsidRPr="00873BBD">
        <w:rPr>
          <w:rFonts w:asciiTheme="majorHAnsi" w:hAnsiTheme="majorHAnsi" w:cstheme="majorHAnsi"/>
          <w:color w:val="2E74B5" w:themeColor="accent1" w:themeShade="BF"/>
          <w:sz w:val="24"/>
          <w:szCs w:val="24"/>
        </w:rPr>
        <w:t>2.1</w:t>
      </w:r>
      <w:r w:rsidRPr="00873BBD">
        <w:rPr>
          <w:rFonts w:asciiTheme="majorHAnsi" w:hAnsiTheme="majorHAnsi" w:cstheme="majorHAnsi"/>
          <w:color w:val="2E74B5" w:themeColor="accent1" w:themeShade="BF"/>
          <w:sz w:val="24"/>
          <w:szCs w:val="24"/>
        </w:rPr>
        <w:tab/>
      </w:r>
      <w:r w:rsidR="00725AE9" w:rsidRPr="00873BBD">
        <w:rPr>
          <w:rFonts w:asciiTheme="majorHAnsi" w:hAnsiTheme="majorHAnsi" w:cstheme="majorHAnsi"/>
          <w:color w:val="2E74B5" w:themeColor="accent1" w:themeShade="BF"/>
          <w:sz w:val="24"/>
          <w:szCs w:val="24"/>
        </w:rPr>
        <w:t>Competent Advice</w:t>
      </w:r>
    </w:p>
    <w:p w:rsidR="00725AE9" w:rsidRPr="00873BBD" w:rsidRDefault="00132882" w:rsidP="00873BBD">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 xml:space="preserve">Provision of competent advice to the Health, Safety and Wellbeing Team, Local Biological safety Supervisors and all staff across the University. </w:t>
      </w:r>
      <w:r w:rsidR="00B33706" w:rsidRPr="00873BBD">
        <w:rPr>
          <w:rFonts w:asciiTheme="majorHAnsi" w:eastAsia="Times New Roman" w:hAnsiTheme="majorHAnsi" w:cstheme="majorHAnsi"/>
          <w:color w:val="222222"/>
          <w:szCs w:val="24"/>
          <w:lang w:eastAsia="en-GB"/>
        </w:rPr>
        <w:t>This role must be undertaken by individuals that are appropriately qualified, skilled and experienced in this subject. It is essential that the advisor has had experience of similar organisations and risks, enabling the University to fully discharge its legal obligations.</w:t>
      </w:r>
      <w:r w:rsidR="00725AE9" w:rsidRPr="00873BBD">
        <w:rPr>
          <w:rFonts w:asciiTheme="majorHAnsi" w:eastAsia="Times New Roman" w:hAnsiTheme="majorHAnsi" w:cstheme="majorHAnsi"/>
          <w:color w:val="222222"/>
          <w:szCs w:val="24"/>
          <w:lang w:eastAsia="en-GB"/>
        </w:rPr>
        <w:t> </w:t>
      </w:r>
    </w:p>
    <w:p w:rsidR="00725AE9" w:rsidRPr="00873BBD" w:rsidRDefault="006A4AF1" w:rsidP="00873BBD">
      <w:pPr>
        <w:pStyle w:val="Heading2"/>
        <w:rPr>
          <w:rFonts w:asciiTheme="majorHAnsi" w:hAnsiTheme="majorHAnsi" w:cstheme="majorHAnsi"/>
          <w:color w:val="2E74B5" w:themeColor="accent1" w:themeShade="BF"/>
          <w:sz w:val="24"/>
          <w:szCs w:val="24"/>
        </w:rPr>
      </w:pPr>
      <w:r w:rsidRPr="00873BBD">
        <w:rPr>
          <w:rFonts w:asciiTheme="majorHAnsi" w:hAnsiTheme="majorHAnsi" w:cstheme="majorHAnsi"/>
          <w:color w:val="2E74B5" w:themeColor="accent1" w:themeShade="BF"/>
          <w:sz w:val="24"/>
          <w:szCs w:val="24"/>
        </w:rPr>
        <w:lastRenderedPageBreak/>
        <w:t>2.2</w:t>
      </w:r>
      <w:r w:rsidRPr="00873BBD">
        <w:rPr>
          <w:rFonts w:asciiTheme="majorHAnsi" w:hAnsiTheme="majorHAnsi" w:cstheme="majorHAnsi"/>
          <w:color w:val="2E74B5" w:themeColor="accent1" w:themeShade="BF"/>
          <w:sz w:val="24"/>
          <w:szCs w:val="24"/>
        </w:rPr>
        <w:tab/>
      </w:r>
      <w:r w:rsidR="00725AE9" w:rsidRPr="00873BBD">
        <w:rPr>
          <w:rFonts w:asciiTheme="majorHAnsi" w:hAnsiTheme="majorHAnsi" w:cstheme="majorHAnsi"/>
          <w:color w:val="2E74B5" w:themeColor="accent1" w:themeShade="BF"/>
          <w:sz w:val="24"/>
          <w:szCs w:val="24"/>
        </w:rPr>
        <w:t>Training </w:t>
      </w:r>
    </w:p>
    <w:p w:rsidR="00725AE9" w:rsidRPr="00873BBD" w:rsidRDefault="00EF5F6A" w:rsidP="00725AE9">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Design and deliver</w:t>
      </w:r>
      <w:r w:rsidR="00B33706" w:rsidRPr="00873BBD">
        <w:rPr>
          <w:rFonts w:asciiTheme="majorHAnsi" w:eastAsia="Times New Roman" w:hAnsiTheme="majorHAnsi" w:cstheme="majorHAnsi"/>
          <w:color w:val="222222"/>
          <w:szCs w:val="24"/>
          <w:lang w:eastAsia="en-GB"/>
        </w:rPr>
        <w:t xml:space="preserve"> t</w:t>
      </w:r>
      <w:r w:rsidR="00725AE9" w:rsidRPr="00873BBD">
        <w:rPr>
          <w:rFonts w:asciiTheme="majorHAnsi" w:eastAsia="Times New Roman" w:hAnsiTheme="majorHAnsi" w:cstheme="majorHAnsi"/>
          <w:color w:val="222222"/>
          <w:szCs w:val="24"/>
          <w:lang w:eastAsia="en-GB"/>
        </w:rPr>
        <w:t>raining</w:t>
      </w:r>
      <w:r w:rsidRPr="00873BBD">
        <w:rPr>
          <w:rFonts w:asciiTheme="majorHAnsi" w:eastAsia="Times New Roman" w:hAnsiTheme="majorHAnsi" w:cstheme="majorHAnsi"/>
          <w:color w:val="222222"/>
          <w:szCs w:val="24"/>
          <w:lang w:eastAsia="en-GB"/>
        </w:rPr>
        <w:t xml:space="preserve"> and information</w:t>
      </w:r>
      <w:r w:rsidR="00725AE9" w:rsidRPr="00873BBD">
        <w:rPr>
          <w:rFonts w:asciiTheme="majorHAnsi" w:eastAsia="Times New Roman" w:hAnsiTheme="majorHAnsi" w:cstheme="majorHAnsi"/>
          <w:color w:val="222222"/>
          <w:szCs w:val="24"/>
          <w:lang w:eastAsia="en-GB"/>
        </w:rPr>
        <w:t xml:space="preserve"> </w:t>
      </w:r>
      <w:r w:rsidRPr="00873BBD">
        <w:rPr>
          <w:rFonts w:asciiTheme="majorHAnsi" w:eastAsia="Times New Roman" w:hAnsiTheme="majorHAnsi" w:cstheme="majorHAnsi"/>
          <w:color w:val="222222"/>
          <w:szCs w:val="24"/>
          <w:lang w:eastAsia="en-GB"/>
        </w:rPr>
        <w:t>required:</w:t>
      </w:r>
    </w:p>
    <w:p w:rsidR="00725AE9" w:rsidRPr="00873BBD" w:rsidRDefault="00EF5F6A" w:rsidP="008F4DFD">
      <w:pPr>
        <w:numPr>
          <w:ilvl w:val="0"/>
          <w:numId w:val="4"/>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B</w:t>
      </w:r>
      <w:r w:rsidR="00725AE9" w:rsidRPr="00873BBD">
        <w:rPr>
          <w:rFonts w:asciiTheme="majorHAnsi" w:eastAsia="Times New Roman" w:hAnsiTheme="majorHAnsi" w:cstheme="majorHAnsi"/>
          <w:szCs w:val="24"/>
          <w:lang w:eastAsia="en-GB"/>
        </w:rPr>
        <w:t>iosafety awareness</w:t>
      </w:r>
      <w:r w:rsidRPr="00873BBD">
        <w:rPr>
          <w:rFonts w:asciiTheme="majorHAnsi" w:eastAsia="Times New Roman" w:hAnsiTheme="majorHAnsi" w:cstheme="majorHAnsi"/>
          <w:szCs w:val="24"/>
          <w:lang w:eastAsia="en-GB"/>
        </w:rPr>
        <w:t xml:space="preserve"> and/or assessment</w:t>
      </w:r>
    </w:p>
    <w:p w:rsidR="00725AE9" w:rsidRPr="00873BBD" w:rsidRDefault="00EF5F6A" w:rsidP="008F4DFD">
      <w:pPr>
        <w:numPr>
          <w:ilvl w:val="0"/>
          <w:numId w:val="4"/>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G</w:t>
      </w:r>
      <w:r w:rsidR="00725AE9" w:rsidRPr="00873BBD">
        <w:rPr>
          <w:rFonts w:asciiTheme="majorHAnsi" w:eastAsia="Times New Roman" w:hAnsiTheme="majorHAnsi" w:cstheme="majorHAnsi"/>
          <w:szCs w:val="24"/>
          <w:lang w:eastAsia="en-GB"/>
        </w:rPr>
        <w:t>enetic modification awareness</w:t>
      </w:r>
      <w:r w:rsidRPr="00873BBD">
        <w:rPr>
          <w:rFonts w:asciiTheme="majorHAnsi" w:eastAsia="Times New Roman" w:hAnsiTheme="majorHAnsi" w:cstheme="majorHAnsi"/>
          <w:szCs w:val="24"/>
          <w:lang w:eastAsia="en-GB"/>
        </w:rPr>
        <w:t xml:space="preserve"> and/or assessment</w:t>
      </w:r>
    </w:p>
    <w:p w:rsidR="00725AE9" w:rsidRPr="00873BBD" w:rsidRDefault="00EF5F6A" w:rsidP="008F4DFD">
      <w:pPr>
        <w:numPr>
          <w:ilvl w:val="0"/>
          <w:numId w:val="4"/>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Biological Safety Supervisors</w:t>
      </w:r>
    </w:p>
    <w:p w:rsidR="00725AE9" w:rsidRPr="00873BBD" w:rsidRDefault="00EF5F6A" w:rsidP="008F4DFD">
      <w:pPr>
        <w:numPr>
          <w:ilvl w:val="0"/>
          <w:numId w:val="4"/>
        </w:numPr>
        <w:spacing w:before="100" w:beforeAutospacing="1" w:after="0" w:afterAutospacing="1" w:line="240" w:lineRule="auto"/>
        <w:ind w:left="567" w:hanging="425"/>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szCs w:val="24"/>
          <w:lang w:eastAsia="en-GB"/>
        </w:rPr>
        <w:t>General training for other groups e.g. cleaners, security, maintenance staff</w:t>
      </w:r>
      <w:r w:rsidR="00725AE9" w:rsidRPr="00873BBD">
        <w:rPr>
          <w:rFonts w:asciiTheme="majorHAnsi" w:eastAsia="Times New Roman" w:hAnsiTheme="majorHAnsi" w:cstheme="majorHAnsi"/>
          <w:color w:val="222222"/>
          <w:szCs w:val="24"/>
          <w:lang w:eastAsia="en-GB"/>
        </w:rPr>
        <w:t> </w:t>
      </w:r>
    </w:p>
    <w:p w:rsidR="00725AE9" w:rsidRPr="00873BBD" w:rsidRDefault="006A4AF1" w:rsidP="00873BBD">
      <w:pPr>
        <w:pStyle w:val="Heading2"/>
        <w:rPr>
          <w:rFonts w:asciiTheme="majorHAnsi" w:hAnsiTheme="majorHAnsi" w:cstheme="majorHAnsi"/>
          <w:color w:val="2E74B5" w:themeColor="accent1" w:themeShade="BF"/>
          <w:sz w:val="24"/>
          <w:szCs w:val="24"/>
        </w:rPr>
      </w:pPr>
      <w:r w:rsidRPr="00873BBD">
        <w:rPr>
          <w:rFonts w:asciiTheme="majorHAnsi" w:hAnsiTheme="majorHAnsi" w:cstheme="majorHAnsi"/>
          <w:color w:val="2E74B5" w:themeColor="accent1" w:themeShade="BF"/>
          <w:sz w:val="24"/>
          <w:szCs w:val="24"/>
        </w:rPr>
        <w:t>2.3</w:t>
      </w:r>
      <w:r w:rsidRPr="00873BBD">
        <w:rPr>
          <w:rFonts w:asciiTheme="majorHAnsi" w:hAnsiTheme="majorHAnsi" w:cstheme="majorHAnsi"/>
          <w:color w:val="2E74B5" w:themeColor="accent1" w:themeShade="BF"/>
          <w:sz w:val="24"/>
          <w:szCs w:val="24"/>
        </w:rPr>
        <w:tab/>
      </w:r>
      <w:r w:rsidR="00725AE9" w:rsidRPr="00873BBD">
        <w:rPr>
          <w:rFonts w:asciiTheme="majorHAnsi" w:hAnsiTheme="majorHAnsi" w:cstheme="majorHAnsi"/>
          <w:color w:val="2E74B5" w:themeColor="accent1" w:themeShade="BF"/>
          <w:sz w:val="24"/>
          <w:szCs w:val="24"/>
        </w:rPr>
        <w:t>Risk Assessments</w:t>
      </w:r>
    </w:p>
    <w:p w:rsidR="00EF5F6A" w:rsidRPr="00873BBD" w:rsidRDefault="00785CE8" w:rsidP="00725AE9">
      <w:pPr>
        <w:spacing w:after="100" w:afterAutospacing="1" w:line="240" w:lineRule="auto"/>
        <w:outlineLvl w:val="1"/>
        <w:rPr>
          <w:rFonts w:asciiTheme="majorHAnsi" w:eastAsia="Times New Roman" w:hAnsiTheme="majorHAnsi" w:cstheme="majorHAnsi"/>
          <w:szCs w:val="24"/>
          <w:lang w:eastAsia="en-GB"/>
        </w:rPr>
      </w:pPr>
      <w:r w:rsidRPr="00873BBD">
        <w:rPr>
          <w:rFonts w:asciiTheme="majorHAnsi" w:eastAsia="Times New Roman" w:hAnsiTheme="majorHAnsi" w:cstheme="majorHAnsi"/>
          <w:bCs/>
          <w:szCs w:val="24"/>
          <w:lang w:eastAsia="en-GB"/>
        </w:rPr>
        <w:t>Produce, review</w:t>
      </w:r>
      <w:r w:rsidR="00EF5F6A" w:rsidRPr="00873BBD">
        <w:rPr>
          <w:rFonts w:asciiTheme="majorHAnsi" w:eastAsia="Times New Roman" w:hAnsiTheme="majorHAnsi" w:cstheme="majorHAnsi"/>
          <w:bCs/>
          <w:szCs w:val="24"/>
          <w:lang w:eastAsia="en-GB"/>
        </w:rPr>
        <w:t xml:space="preserve"> and / or provide advice regarding: </w:t>
      </w:r>
    </w:p>
    <w:p w:rsidR="00EF5F6A" w:rsidRPr="00873BBD" w:rsidRDefault="00EF5F6A" w:rsidP="008F4DFD">
      <w:pPr>
        <w:numPr>
          <w:ilvl w:val="0"/>
          <w:numId w:val="6"/>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COSHH risk assessments</w:t>
      </w:r>
      <w:r w:rsidRPr="00873BBD">
        <w:rPr>
          <w:rFonts w:asciiTheme="majorHAnsi" w:eastAsia="Times New Roman" w:hAnsiTheme="majorHAnsi" w:cstheme="majorHAnsi"/>
          <w:szCs w:val="24"/>
          <w:lang w:eastAsia="en-GB"/>
        </w:rPr>
        <w:t xml:space="preserve"> for biological organisms</w:t>
      </w:r>
    </w:p>
    <w:p w:rsidR="00EF5F6A" w:rsidRPr="00873BBD" w:rsidRDefault="00EF5F6A" w:rsidP="008F4DFD">
      <w:pPr>
        <w:numPr>
          <w:ilvl w:val="0"/>
          <w:numId w:val="6"/>
        </w:numPr>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GMO risk assessments</w:t>
      </w:r>
    </w:p>
    <w:p w:rsidR="00EF5F6A" w:rsidRPr="00873BBD" w:rsidRDefault="00EF5F6A" w:rsidP="00725AE9">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According to the requirements of the:</w:t>
      </w:r>
    </w:p>
    <w:p w:rsidR="00EF5F6A" w:rsidRPr="00873BBD" w:rsidRDefault="00725AE9" w:rsidP="008F4DFD">
      <w:pPr>
        <w:pStyle w:val="ListParagraph"/>
        <w:numPr>
          <w:ilvl w:val="0"/>
          <w:numId w:val="12"/>
        </w:numPr>
        <w:tabs>
          <w:tab w:val="clear" w:pos="720"/>
        </w:tabs>
        <w:spacing w:after="300" w:line="240" w:lineRule="auto"/>
        <w:ind w:left="567" w:hanging="425"/>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Control of Substances Hazardous to Health Regulations (COSHH) 2002 as amended.</w:t>
      </w:r>
    </w:p>
    <w:p w:rsidR="00EF5F6A" w:rsidRPr="00873BBD" w:rsidRDefault="00725AE9" w:rsidP="008F4DFD">
      <w:pPr>
        <w:pStyle w:val="ListParagraph"/>
        <w:numPr>
          <w:ilvl w:val="0"/>
          <w:numId w:val="5"/>
        </w:numPr>
        <w:tabs>
          <w:tab w:val="clear" w:pos="720"/>
        </w:tabs>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The Genetically Modified Organism (Contained Use) Regulations 2014</w:t>
      </w:r>
    </w:p>
    <w:p w:rsidR="00725AE9" w:rsidRPr="00873BBD" w:rsidRDefault="00725AE9" w:rsidP="008F4DFD">
      <w:pPr>
        <w:pStyle w:val="ListParagraph"/>
        <w:numPr>
          <w:ilvl w:val="0"/>
          <w:numId w:val="5"/>
        </w:numPr>
        <w:tabs>
          <w:tab w:val="clear" w:pos="720"/>
        </w:tabs>
        <w:spacing w:before="100" w:beforeAutospacing="1" w:after="100" w:afterAutospacing="1" w:line="240" w:lineRule="auto"/>
        <w:ind w:left="567" w:hanging="425"/>
        <w:rPr>
          <w:rFonts w:asciiTheme="majorHAnsi" w:eastAsia="Times New Roman" w:hAnsiTheme="majorHAnsi" w:cstheme="majorHAnsi"/>
          <w:szCs w:val="24"/>
          <w:lang w:eastAsia="en-GB"/>
        </w:rPr>
      </w:pPr>
      <w:r w:rsidRPr="00873BBD">
        <w:rPr>
          <w:rFonts w:asciiTheme="majorHAnsi" w:eastAsia="Times New Roman" w:hAnsiTheme="majorHAnsi" w:cstheme="majorHAnsi"/>
          <w:szCs w:val="24"/>
          <w:lang w:eastAsia="en-GB"/>
        </w:rPr>
        <w:t>The Genetically Modified Organism (Deliberate Release) Regulations 2002.</w:t>
      </w:r>
    </w:p>
    <w:p w:rsidR="00725AE9" w:rsidRPr="00873BBD" w:rsidRDefault="006A4AF1" w:rsidP="00873BBD">
      <w:pPr>
        <w:pStyle w:val="Heading2"/>
        <w:rPr>
          <w:rFonts w:asciiTheme="majorHAnsi" w:hAnsiTheme="majorHAnsi" w:cstheme="majorHAnsi"/>
          <w:color w:val="2E74B5" w:themeColor="accent1" w:themeShade="BF"/>
          <w:sz w:val="24"/>
          <w:szCs w:val="24"/>
        </w:rPr>
      </w:pPr>
      <w:r w:rsidRPr="00873BBD">
        <w:rPr>
          <w:rFonts w:asciiTheme="majorHAnsi" w:hAnsiTheme="majorHAnsi" w:cstheme="majorHAnsi"/>
          <w:color w:val="2E74B5" w:themeColor="accent1" w:themeShade="BF"/>
          <w:sz w:val="24"/>
          <w:szCs w:val="24"/>
        </w:rPr>
        <w:t>2.4</w:t>
      </w:r>
      <w:r w:rsidRPr="00873BBD">
        <w:rPr>
          <w:rFonts w:asciiTheme="majorHAnsi" w:hAnsiTheme="majorHAnsi" w:cstheme="majorHAnsi"/>
          <w:color w:val="2E74B5" w:themeColor="accent1" w:themeShade="BF"/>
          <w:sz w:val="24"/>
          <w:szCs w:val="24"/>
        </w:rPr>
        <w:tab/>
      </w:r>
      <w:r w:rsidR="00725AE9" w:rsidRPr="00873BBD">
        <w:rPr>
          <w:rFonts w:asciiTheme="majorHAnsi" w:hAnsiTheme="majorHAnsi" w:cstheme="majorHAnsi"/>
          <w:color w:val="2E74B5" w:themeColor="accent1" w:themeShade="BF"/>
          <w:sz w:val="24"/>
          <w:szCs w:val="24"/>
        </w:rPr>
        <w:t>Audits and Inspections</w:t>
      </w:r>
    </w:p>
    <w:p w:rsidR="00725AE9" w:rsidRPr="00873BBD" w:rsidRDefault="00FD792E" w:rsidP="00725AE9">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Provide assurance that robust management systems and arrangements are in place through a process of audits and inspections.</w:t>
      </w:r>
      <w:r w:rsidR="00725AE9" w:rsidRPr="00873BBD">
        <w:rPr>
          <w:rFonts w:asciiTheme="majorHAnsi" w:eastAsia="Times New Roman" w:hAnsiTheme="majorHAnsi" w:cstheme="majorHAnsi"/>
          <w:color w:val="222222"/>
          <w:szCs w:val="24"/>
          <w:lang w:eastAsia="en-GB"/>
        </w:rPr>
        <w:t xml:space="preserve"> </w:t>
      </w:r>
    </w:p>
    <w:p w:rsidR="00725AE9" w:rsidRPr="00873BBD" w:rsidRDefault="006731A9" w:rsidP="00725AE9">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T</w:t>
      </w:r>
      <w:r w:rsidR="00FD792E" w:rsidRPr="00873BBD">
        <w:rPr>
          <w:rFonts w:asciiTheme="majorHAnsi" w:eastAsia="Times New Roman" w:hAnsiTheme="majorHAnsi" w:cstheme="majorHAnsi"/>
          <w:color w:val="222222"/>
          <w:szCs w:val="24"/>
          <w:lang w:eastAsia="en-GB"/>
        </w:rPr>
        <w:t>his will include examination of documentation, interviews, discussions with staff and observations, producing a report with prioritised action plan if required for the Health, Safety and Wellbeing Team to take action against.</w:t>
      </w:r>
      <w:r w:rsidR="00725AE9" w:rsidRPr="00873BBD">
        <w:rPr>
          <w:rFonts w:asciiTheme="majorHAnsi" w:eastAsia="Times New Roman" w:hAnsiTheme="majorHAnsi" w:cstheme="majorHAnsi"/>
          <w:color w:val="222222"/>
          <w:szCs w:val="24"/>
          <w:lang w:eastAsia="en-GB"/>
        </w:rPr>
        <w:t> </w:t>
      </w:r>
    </w:p>
    <w:p w:rsidR="00725AE9" w:rsidRPr="00873BBD" w:rsidRDefault="006A4AF1" w:rsidP="00873BBD">
      <w:pPr>
        <w:pStyle w:val="Heading2"/>
        <w:rPr>
          <w:rFonts w:asciiTheme="majorHAnsi" w:hAnsiTheme="majorHAnsi" w:cstheme="majorHAnsi"/>
          <w:color w:val="2E74B5" w:themeColor="accent1" w:themeShade="BF"/>
          <w:sz w:val="24"/>
          <w:szCs w:val="24"/>
        </w:rPr>
      </w:pPr>
      <w:r w:rsidRPr="00873BBD">
        <w:rPr>
          <w:rFonts w:asciiTheme="majorHAnsi" w:hAnsiTheme="majorHAnsi" w:cstheme="majorHAnsi"/>
          <w:color w:val="2E74B5" w:themeColor="accent1" w:themeShade="BF"/>
          <w:sz w:val="24"/>
          <w:szCs w:val="24"/>
        </w:rPr>
        <w:t>2.5</w:t>
      </w:r>
      <w:r w:rsidRPr="00873BBD">
        <w:rPr>
          <w:rFonts w:asciiTheme="majorHAnsi" w:hAnsiTheme="majorHAnsi" w:cstheme="majorHAnsi"/>
          <w:color w:val="2E74B5" w:themeColor="accent1" w:themeShade="BF"/>
          <w:sz w:val="24"/>
          <w:szCs w:val="24"/>
        </w:rPr>
        <w:tab/>
      </w:r>
      <w:r w:rsidR="00725AE9" w:rsidRPr="00873BBD">
        <w:rPr>
          <w:rFonts w:asciiTheme="majorHAnsi" w:hAnsiTheme="majorHAnsi" w:cstheme="majorHAnsi"/>
          <w:color w:val="2E74B5" w:themeColor="accent1" w:themeShade="BF"/>
          <w:sz w:val="24"/>
          <w:szCs w:val="24"/>
        </w:rPr>
        <w:t>Accident/Incident Investigation</w:t>
      </w:r>
    </w:p>
    <w:p w:rsidR="00725AE9" w:rsidRPr="00873BBD" w:rsidRDefault="00FD792E" w:rsidP="00FD792E">
      <w:pPr>
        <w:spacing w:after="30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Ensure that in the event of an incident, a</w:t>
      </w:r>
      <w:r w:rsidR="00725AE9" w:rsidRPr="00873BBD">
        <w:rPr>
          <w:rFonts w:asciiTheme="majorHAnsi" w:eastAsia="Times New Roman" w:hAnsiTheme="majorHAnsi" w:cstheme="majorHAnsi"/>
          <w:color w:val="222222"/>
          <w:szCs w:val="24"/>
          <w:lang w:eastAsia="en-GB"/>
        </w:rPr>
        <w:t xml:space="preserve"> ful</w:t>
      </w:r>
      <w:r w:rsidRPr="00873BBD">
        <w:rPr>
          <w:rFonts w:asciiTheme="majorHAnsi" w:eastAsia="Times New Roman" w:hAnsiTheme="majorHAnsi" w:cstheme="majorHAnsi"/>
          <w:color w:val="222222"/>
          <w:szCs w:val="24"/>
          <w:lang w:eastAsia="en-GB"/>
        </w:rPr>
        <w:t>l investigation is carried out in cooperation with the relevant Biological Safety Supervisor and the Health, Safety and Wellbeing Team. Using the r</w:t>
      </w:r>
      <w:r w:rsidR="00725AE9" w:rsidRPr="00873BBD">
        <w:rPr>
          <w:rFonts w:asciiTheme="majorHAnsi" w:eastAsia="Times New Roman" w:hAnsiTheme="majorHAnsi" w:cstheme="majorHAnsi"/>
          <w:color w:val="222222"/>
          <w:szCs w:val="24"/>
          <w:lang w:eastAsia="en-GB"/>
        </w:rPr>
        <w:t>esults</w:t>
      </w:r>
      <w:r w:rsidRPr="00873BBD">
        <w:rPr>
          <w:rFonts w:asciiTheme="majorHAnsi" w:eastAsia="Times New Roman" w:hAnsiTheme="majorHAnsi" w:cstheme="majorHAnsi"/>
          <w:color w:val="222222"/>
          <w:szCs w:val="24"/>
          <w:lang w:eastAsia="en-GB"/>
        </w:rPr>
        <w:t xml:space="preserve"> of investigations,</w:t>
      </w:r>
      <w:r w:rsidR="00725AE9" w:rsidRPr="00873BBD">
        <w:rPr>
          <w:rFonts w:asciiTheme="majorHAnsi" w:eastAsia="Times New Roman" w:hAnsiTheme="majorHAnsi" w:cstheme="majorHAnsi"/>
          <w:color w:val="222222"/>
          <w:szCs w:val="24"/>
          <w:lang w:eastAsia="en-GB"/>
        </w:rPr>
        <w:t xml:space="preserve"> if necessary, to update policies, practices and procedures to prevent a re-occurrence.</w:t>
      </w:r>
    </w:p>
    <w:p w:rsidR="006A4AF1" w:rsidRPr="008E2B7F" w:rsidRDefault="00725AE9" w:rsidP="008E2B7F">
      <w:pPr>
        <w:pStyle w:val="Heading1"/>
        <w:rPr>
          <w:rFonts w:asciiTheme="majorHAnsi" w:hAnsiTheme="majorHAnsi" w:cstheme="majorHAnsi"/>
          <w:color w:val="2E74B5" w:themeColor="accent1" w:themeShade="BF"/>
          <w:sz w:val="32"/>
          <w:szCs w:val="32"/>
        </w:rPr>
      </w:pPr>
      <w:r w:rsidRPr="00873BBD">
        <w:rPr>
          <w:rFonts w:asciiTheme="majorHAnsi" w:hAnsiTheme="majorHAnsi" w:cstheme="majorHAnsi"/>
          <w:color w:val="2E74B5" w:themeColor="accent1" w:themeShade="BF"/>
          <w:sz w:val="32"/>
          <w:szCs w:val="32"/>
        </w:rPr>
        <w:t> </w:t>
      </w:r>
      <w:r w:rsidR="006A4AF1" w:rsidRPr="00873BBD">
        <w:rPr>
          <w:rFonts w:asciiTheme="majorHAnsi" w:hAnsiTheme="majorHAnsi" w:cstheme="majorHAnsi"/>
          <w:color w:val="2E74B5" w:themeColor="accent1" w:themeShade="BF"/>
          <w:sz w:val="32"/>
          <w:szCs w:val="32"/>
        </w:rPr>
        <w:t>3.0</w:t>
      </w:r>
      <w:r w:rsidR="006A4AF1" w:rsidRPr="00873BBD">
        <w:rPr>
          <w:rFonts w:asciiTheme="majorHAnsi" w:hAnsiTheme="majorHAnsi" w:cstheme="majorHAnsi"/>
          <w:color w:val="2E74B5" w:themeColor="accent1" w:themeShade="BF"/>
          <w:sz w:val="32"/>
          <w:szCs w:val="32"/>
        </w:rPr>
        <w:tab/>
        <w:t>Service Requirements</w:t>
      </w:r>
      <w:bookmarkStart w:id="0" w:name="_GoBack"/>
      <w:bookmarkEnd w:id="0"/>
    </w:p>
    <w:p w:rsidR="006A4AF1" w:rsidRPr="00873BBD" w:rsidRDefault="006A4AF1" w:rsidP="00725AE9">
      <w:pPr>
        <w:spacing w:after="0" w:line="240" w:lineRule="auto"/>
        <w:rPr>
          <w:rFonts w:asciiTheme="majorHAnsi" w:eastAsia="Times New Roman" w:hAnsiTheme="majorHAnsi" w:cstheme="majorHAnsi"/>
          <w:color w:val="222222"/>
          <w:szCs w:val="24"/>
          <w:lang w:eastAsia="en-GB"/>
        </w:rPr>
      </w:pPr>
      <w:r w:rsidRPr="00873BBD">
        <w:rPr>
          <w:rFonts w:asciiTheme="majorHAnsi" w:eastAsia="Times New Roman" w:hAnsiTheme="majorHAnsi" w:cstheme="majorHAnsi"/>
          <w:color w:val="222222"/>
          <w:szCs w:val="24"/>
          <w:lang w:eastAsia="en-GB"/>
        </w:rPr>
        <w:t xml:space="preserve">This role has historically been provided as 0.2FTE, however, this has not been sufficient to undertake the role </w:t>
      </w:r>
      <w:r w:rsidR="00873BBD">
        <w:rPr>
          <w:rFonts w:asciiTheme="majorHAnsi" w:eastAsia="Times New Roman" w:hAnsiTheme="majorHAnsi" w:cstheme="majorHAnsi"/>
          <w:color w:val="222222"/>
          <w:szCs w:val="24"/>
          <w:lang w:eastAsia="en-GB"/>
        </w:rPr>
        <w:t>to an appropriate standard and across the whole University</w:t>
      </w:r>
      <w:r w:rsidRPr="00873BBD">
        <w:rPr>
          <w:rFonts w:asciiTheme="majorHAnsi" w:eastAsia="Times New Roman" w:hAnsiTheme="majorHAnsi" w:cstheme="majorHAnsi"/>
          <w:color w:val="222222"/>
          <w:szCs w:val="24"/>
          <w:lang w:eastAsia="en-GB"/>
        </w:rPr>
        <w:t xml:space="preserve">. </w:t>
      </w:r>
    </w:p>
    <w:p w:rsidR="00725AE9" w:rsidRPr="00AF5E1E" w:rsidRDefault="00725AE9">
      <w:pPr>
        <w:rPr>
          <w:rFonts w:asciiTheme="minorHAnsi" w:hAnsiTheme="minorHAnsi" w:cstheme="minorHAnsi"/>
          <w:szCs w:val="24"/>
        </w:rPr>
      </w:pPr>
    </w:p>
    <w:sectPr w:rsidR="00725AE9" w:rsidRPr="00AF5E1E" w:rsidSect="00EF5F6A">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C20"/>
    <w:multiLevelType w:val="multilevel"/>
    <w:tmpl w:val="F83E1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508B2"/>
    <w:multiLevelType w:val="multilevel"/>
    <w:tmpl w:val="8BB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C5B9F"/>
    <w:multiLevelType w:val="multilevel"/>
    <w:tmpl w:val="6DC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D107C"/>
    <w:multiLevelType w:val="multilevel"/>
    <w:tmpl w:val="1D04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011C9"/>
    <w:multiLevelType w:val="multilevel"/>
    <w:tmpl w:val="F83E1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33D9A"/>
    <w:multiLevelType w:val="multilevel"/>
    <w:tmpl w:val="07B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F777A"/>
    <w:multiLevelType w:val="multilevel"/>
    <w:tmpl w:val="B60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B516E"/>
    <w:multiLevelType w:val="multilevel"/>
    <w:tmpl w:val="3B2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C0E80"/>
    <w:multiLevelType w:val="multilevel"/>
    <w:tmpl w:val="DB6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C7901"/>
    <w:multiLevelType w:val="multilevel"/>
    <w:tmpl w:val="BDB2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F1577"/>
    <w:multiLevelType w:val="multilevel"/>
    <w:tmpl w:val="5D6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D62F4"/>
    <w:multiLevelType w:val="multilevel"/>
    <w:tmpl w:val="E7EA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8"/>
  </w:num>
  <w:num w:numId="5">
    <w:abstractNumId w:val="9"/>
  </w:num>
  <w:num w:numId="6">
    <w:abstractNumId w:val="7"/>
  </w:num>
  <w:num w:numId="7">
    <w:abstractNumId w:val="1"/>
  </w:num>
  <w:num w:numId="8">
    <w:abstractNumId w:val="2"/>
  </w:num>
  <w:num w:numId="9">
    <w:abstractNumId w:val="10"/>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E9"/>
    <w:rsid w:val="00132882"/>
    <w:rsid w:val="001B50BF"/>
    <w:rsid w:val="006731A9"/>
    <w:rsid w:val="006A4AF1"/>
    <w:rsid w:val="00716397"/>
    <w:rsid w:val="00725AE9"/>
    <w:rsid w:val="00785CE8"/>
    <w:rsid w:val="007D455F"/>
    <w:rsid w:val="00873BBD"/>
    <w:rsid w:val="008E2B7F"/>
    <w:rsid w:val="008F4DFD"/>
    <w:rsid w:val="00971583"/>
    <w:rsid w:val="00AF5E1E"/>
    <w:rsid w:val="00B33706"/>
    <w:rsid w:val="00BE22B6"/>
    <w:rsid w:val="00EF5F6A"/>
    <w:rsid w:val="00FD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4242"/>
  <w15:chartTrackingRefBased/>
  <w15:docId w15:val="{5C563F07-4264-444A-8B2F-F3F9DAB0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5A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5A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25A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5AE9"/>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E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5AE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25AE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5AE9"/>
    <w:rPr>
      <w:rFonts w:ascii="Times New Roman" w:eastAsia="Times New Roman" w:hAnsi="Times New Roman" w:cs="Times New Roman"/>
      <w:b/>
      <w:bCs/>
      <w:szCs w:val="24"/>
      <w:lang w:eastAsia="en-GB"/>
    </w:rPr>
  </w:style>
  <w:style w:type="paragraph" w:styleId="NormalWeb">
    <w:name w:val="Normal (Web)"/>
    <w:basedOn w:val="Normal"/>
    <w:uiPriority w:val="99"/>
    <w:semiHidden/>
    <w:unhideWhenUsed/>
    <w:rsid w:val="00725AE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725AE9"/>
    <w:rPr>
      <w:color w:val="0000FF"/>
      <w:u w:val="single"/>
    </w:rPr>
  </w:style>
  <w:style w:type="character" w:styleId="Strong">
    <w:name w:val="Strong"/>
    <w:basedOn w:val="DefaultParagraphFont"/>
    <w:uiPriority w:val="22"/>
    <w:qFormat/>
    <w:rsid w:val="00725AE9"/>
    <w:rPr>
      <w:b/>
      <w:bCs/>
    </w:rPr>
  </w:style>
  <w:style w:type="character" w:styleId="Emphasis">
    <w:name w:val="Emphasis"/>
    <w:basedOn w:val="DefaultParagraphFont"/>
    <w:uiPriority w:val="20"/>
    <w:qFormat/>
    <w:rsid w:val="00725AE9"/>
    <w:rPr>
      <w:i/>
      <w:iCs/>
    </w:rPr>
  </w:style>
  <w:style w:type="paragraph" w:styleId="ListParagraph">
    <w:name w:val="List Paragraph"/>
    <w:basedOn w:val="Normal"/>
    <w:uiPriority w:val="34"/>
    <w:qFormat/>
    <w:rsid w:val="00EF5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4983">
      <w:bodyDiv w:val="1"/>
      <w:marLeft w:val="0"/>
      <w:marRight w:val="0"/>
      <w:marTop w:val="0"/>
      <w:marBottom w:val="0"/>
      <w:divBdr>
        <w:top w:val="none" w:sz="0" w:space="0" w:color="auto"/>
        <w:left w:val="none" w:sz="0" w:space="0" w:color="auto"/>
        <w:bottom w:val="none" w:sz="0" w:space="0" w:color="auto"/>
        <w:right w:val="none" w:sz="0" w:space="0" w:color="auto"/>
      </w:divBdr>
      <w:divsChild>
        <w:div w:id="1689526768">
          <w:marLeft w:val="0"/>
          <w:marRight w:val="0"/>
          <w:marTop w:val="0"/>
          <w:marBottom w:val="0"/>
          <w:divBdr>
            <w:top w:val="none" w:sz="0" w:space="0" w:color="auto"/>
            <w:left w:val="none" w:sz="0" w:space="0" w:color="auto"/>
            <w:bottom w:val="none" w:sz="0" w:space="0" w:color="auto"/>
            <w:right w:val="none" w:sz="0" w:space="0" w:color="auto"/>
          </w:divBdr>
          <w:divsChild>
            <w:div w:id="443890962">
              <w:marLeft w:val="-225"/>
              <w:marRight w:val="-225"/>
              <w:marTop w:val="0"/>
              <w:marBottom w:val="0"/>
              <w:divBdr>
                <w:top w:val="none" w:sz="0" w:space="0" w:color="auto"/>
                <w:left w:val="none" w:sz="0" w:space="0" w:color="auto"/>
                <w:bottom w:val="none" w:sz="0" w:space="0" w:color="auto"/>
                <w:right w:val="none" w:sz="0" w:space="0" w:color="auto"/>
              </w:divBdr>
              <w:divsChild>
                <w:div w:id="1393504877">
                  <w:marLeft w:val="0"/>
                  <w:marRight w:val="0"/>
                  <w:marTop w:val="0"/>
                  <w:marBottom w:val="0"/>
                  <w:divBdr>
                    <w:top w:val="none" w:sz="0" w:space="0" w:color="auto"/>
                    <w:left w:val="none" w:sz="0" w:space="0" w:color="auto"/>
                    <w:bottom w:val="none" w:sz="0" w:space="0" w:color="auto"/>
                    <w:right w:val="none" w:sz="0" w:space="0" w:color="auto"/>
                  </w:divBdr>
                  <w:divsChild>
                    <w:div w:id="842668800">
                      <w:marLeft w:val="0"/>
                      <w:marRight w:val="0"/>
                      <w:marTop w:val="0"/>
                      <w:marBottom w:val="0"/>
                      <w:divBdr>
                        <w:top w:val="none" w:sz="0" w:space="0" w:color="auto"/>
                        <w:left w:val="none" w:sz="0" w:space="0" w:color="auto"/>
                        <w:bottom w:val="none" w:sz="0" w:space="0" w:color="auto"/>
                        <w:right w:val="none" w:sz="0" w:space="0" w:color="auto"/>
                      </w:divBdr>
                      <w:divsChild>
                        <w:div w:id="1663506289">
                          <w:marLeft w:val="0"/>
                          <w:marRight w:val="0"/>
                          <w:marTop w:val="0"/>
                          <w:marBottom w:val="0"/>
                          <w:divBdr>
                            <w:top w:val="none" w:sz="0" w:space="0" w:color="auto"/>
                            <w:left w:val="none" w:sz="0" w:space="0" w:color="auto"/>
                            <w:bottom w:val="none" w:sz="0" w:space="0" w:color="auto"/>
                            <w:right w:val="none" w:sz="0" w:space="0" w:color="auto"/>
                          </w:divBdr>
                        </w:div>
                        <w:div w:id="230431261">
                          <w:marLeft w:val="0"/>
                          <w:marRight w:val="0"/>
                          <w:marTop w:val="0"/>
                          <w:marBottom w:val="0"/>
                          <w:divBdr>
                            <w:top w:val="none" w:sz="0" w:space="0" w:color="auto"/>
                            <w:left w:val="none" w:sz="0" w:space="0" w:color="auto"/>
                            <w:bottom w:val="none" w:sz="0" w:space="0" w:color="auto"/>
                            <w:right w:val="none" w:sz="0" w:space="0" w:color="auto"/>
                          </w:divBdr>
                        </w:div>
                        <w:div w:id="1732656151">
                          <w:marLeft w:val="0"/>
                          <w:marRight w:val="0"/>
                          <w:marTop w:val="0"/>
                          <w:marBottom w:val="0"/>
                          <w:divBdr>
                            <w:top w:val="none" w:sz="0" w:space="0" w:color="auto"/>
                            <w:left w:val="none" w:sz="0" w:space="0" w:color="auto"/>
                            <w:bottom w:val="none" w:sz="0" w:space="0" w:color="auto"/>
                            <w:right w:val="none" w:sz="0" w:space="0" w:color="auto"/>
                          </w:divBdr>
                        </w:div>
                        <w:div w:id="209464715">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5349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10516">
          <w:marLeft w:val="0"/>
          <w:marRight w:val="0"/>
          <w:marTop w:val="0"/>
          <w:marBottom w:val="0"/>
          <w:divBdr>
            <w:top w:val="none" w:sz="0" w:space="0" w:color="auto"/>
            <w:left w:val="none" w:sz="0" w:space="0" w:color="auto"/>
            <w:bottom w:val="none" w:sz="0" w:space="0" w:color="auto"/>
            <w:right w:val="none" w:sz="0" w:space="0" w:color="auto"/>
          </w:divBdr>
          <w:divsChild>
            <w:div w:id="1296565126">
              <w:marLeft w:val="0"/>
              <w:marRight w:val="0"/>
              <w:marTop w:val="0"/>
              <w:marBottom w:val="0"/>
              <w:divBdr>
                <w:top w:val="none" w:sz="0" w:space="0" w:color="auto"/>
                <w:left w:val="none" w:sz="0" w:space="0" w:color="auto"/>
                <w:bottom w:val="none" w:sz="0" w:space="0" w:color="auto"/>
                <w:right w:val="none" w:sz="0" w:space="0" w:color="auto"/>
              </w:divBdr>
              <w:divsChild>
                <w:div w:id="1937901273">
                  <w:marLeft w:val="0"/>
                  <w:marRight w:val="0"/>
                  <w:marTop w:val="0"/>
                  <w:marBottom w:val="0"/>
                  <w:divBdr>
                    <w:top w:val="none" w:sz="0" w:space="0" w:color="auto"/>
                    <w:left w:val="none" w:sz="0" w:space="0" w:color="auto"/>
                    <w:bottom w:val="none" w:sz="0" w:space="0" w:color="auto"/>
                    <w:right w:val="none" w:sz="0" w:space="0" w:color="auto"/>
                  </w:divBdr>
                  <w:divsChild>
                    <w:div w:id="1765034706">
                      <w:marLeft w:val="0"/>
                      <w:marRight w:val="0"/>
                      <w:marTop w:val="0"/>
                      <w:marBottom w:val="0"/>
                      <w:divBdr>
                        <w:top w:val="none" w:sz="0" w:space="0" w:color="auto"/>
                        <w:left w:val="none" w:sz="0" w:space="0" w:color="auto"/>
                        <w:bottom w:val="none" w:sz="0" w:space="0" w:color="auto"/>
                        <w:right w:val="none" w:sz="0" w:space="0" w:color="auto"/>
                      </w:divBdr>
                      <w:divsChild>
                        <w:div w:id="4059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Spencer</dc:creator>
  <cp:keywords/>
  <dc:description/>
  <cp:lastModifiedBy>Kirstie Spencer</cp:lastModifiedBy>
  <cp:revision>13</cp:revision>
  <dcterms:created xsi:type="dcterms:W3CDTF">2021-07-26T14:55:00Z</dcterms:created>
  <dcterms:modified xsi:type="dcterms:W3CDTF">2021-10-20T08:19:00Z</dcterms:modified>
</cp:coreProperties>
</file>