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689FD" w14:textId="1146CD27" w:rsidR="00E95355" w:rsidRDefault="00CB46F9">
      <w:pPr>
        <w:spacing w:after="240"/>
        <w:jc w:val="left"/>
        <w:rPr>
          <w:rFonts w:eastAsia="Times New Roman" w:cs="Times New Roman"/>
          <w:color w:val="000000" w:themeColor="text1"/>
          <w:lang w:eastAsia="en-GB"/>
        </w:rPr>
      </w:pPr>
      <w:r w:rsidRPr="00890019">
        <w:rPr>
          <w:rFonts w:cs="Arial"/>
          <w:noProof/>
          <w:lang w:eastAsia="en-GB"/>
        </w:rPr>
        <w:drawing>
          <wp:anchor distT="0" distB="0" distL="114300" distR="114300" simplePos="0" relativeHeight="251659264" behindDoc="1" locked="0" layoutInCell="1" allowOverlap="1" wp14:anchorId="2B7BECE3" wp14:editId="4A450257">
            <wp:simplePos x="0" y="0"/>
            <wp:positionH relativeFrom="column">
              <wp:posOffset>-896316</wp:posOffset>
            </wp:positionH>
            <wp:positionV relativeFrom="page">
              <wp:posOffset>0</wp:posOffset>
            </wp:positionV>
            <wp:extent cx="7772400" cy="10458450"/>
            <wp:effectExtent l="0" t="0" r="0" b="0"/>
            <wp:wrapNone/>
            <wp:docPr id="1" name="Picture 2" descr="UHB-Letter-he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B-Letter-heads.png"/>
                    <pic:cNvPicPr>
                      <a:picLocks noChangeAspect="1" noChangeArrowheads="1"/>
                    </pic:cNvPicPr>
                  </pic:nvPicPr>
                  <pic:blipFill>
                    <a:blip r:embed="rId10" cstate="print"/>
                    <a:srcRect b="4853"/>
                    <a:stretch>
                      <a:fillRect/>
                    </a:stretch>
                  </pic:blipFill>
                  <pic:spPr bwMode="auto">
                    <a:xfrm>
                      <a:off x="0" y="0"/>
                      <a:ext cx="7772400" cy="10458450"/>
                    </a:xfrm>
                    <a:prstGeom prst="rect">
                      <a:avLst/>
                    </a:prstGeom>
                    <a:noFill/>
                    <a:ln w="9525">
                      <a:noFill/>
                      <a:miter lim="800000"/>
                      <a:headEnd/>
                      <a:tailEnd/>
                    </a:ln>
                  </pic:spPr>
                </pic:pic>
              </a:graphicData>
            </a:graphic>
          </wp:anchor>
        </w:drawing>
      </w:r>
    </w:p>
    <w:p w14:paraId="614160D7" w14:textId="77777777" w:rsidR="00B35FD1" w:rsidRDefault="00B35FD1">
      <w:pPr>
        <w:spacing w:after="240"/>
        <w:jc w:val="left"/>
        <w:rPr>
          <w:rFonts w:eastAsia="Times New Roman" w:cs="Times New Roman"/>
          <w:color w:val="000000" w:themeColor="text1"/>
          <w:lang w:eastAsia="en-GB"/>
        </w:rPr>
      </w:pPr>
    </w:p>
    <w:p w14:paraId="20C737F8" w14:textId="34BF16CF" w:rsidR="00200E60" w:rsidRDefault="00200E60" w:rsidP="00200E60">
      <w:pPr>
        <w:pStyle w:val="Heading2"/>
        <w:numPr>
          <w:ilvl w:val="0"/>
          <w:numId w:val="0"/>
        </w:numPr>
        <w:jc w:val="center"/>
      </w:pPr>
    </w:p>
    <w:p w14:paraId="20C737F9" w14:textId="77777777" w:rsidR="00200E60" w:rsidRDefault="00200E60" w:rsidP="00200E60">
      <w:pPr>
        <w:pStyle w:val="Heading2"/>
        <w:numPr>
          <w:ilvl w:val="0"/>
          <w:numId w:val="0"/>
        </w:numPr>
        <w:jc w:val="center"/>
      </w:pPr>
    </w:p>
    <w:p w14:paraId="05387B33" w14:textId="77777777" w:rsidR="00CB46F9" w:rsidRDefault="00CB46F9" w:rsidP="00200E60">
      <w:pPr>
        <w:pStyle w:val="Heading2"/>
        <w:numPr>
          <w:ilvl w:val="0"/>
          <w:numId w:val="0"/>
        </w:numPr>
        <w:jc w:val="center"/>
      </w:pPr>
    </w:p>
    <w:p w14:paraId="62DB1430" w14:textId="77777777" w:rsidR="00CB46F9" w:rsidRDefault="00CB46F9" w:rsidP="00200E60">
      <w:pPr>
        <w:pStyle w:val="Heading2"/>
        <w:numPr>
          <w:ilvl w:val="0"/>
          <w:numId w:val="0"/>
        </w:numPr>
        <w:jc w:val="center"/>
      </w:pPr>
    </w:p>
    <w:p w14:paraId="62FF7791" w14:textId="77777777" w:rsidR="00CB46F9" w:rsidRDefault="00CB46F9" w:rsidP="00CB46F9">
      <w:pPr>
        <w:pStyle w:val="Heading2"/>
        <w:numPr>
          <w:ilvl w:val="0"/>
          <w:numId w:val="0"/>
        </w:numPr>
        <w:jc w:val="center"/>
        <w:rPr>
          <w:b/>
          <w:sz w:val="36"/>
        </w:rPr>
      </w:pPr>
    </w:p>
    <w:p w14:paraId="7D9ADD26" w14:textId="77777777" w:rsidR="00CB46F9" w:rsidRDefault="00CB46F9" w:rsidP="00CB46F9">
      <w:pPr>
        <w:pStyle w:val="Heading2"/>
        <w:numPr>
          <w:ilvl w:val="0"/>
          <w:numId w:val="0"/>
        </w:numPr>
        <w:jc w:val="center"/>
        <w:rPr>
          <w:b/>
          <w:sz w:val="36"/>
        </w:rPr>
      </w:pPr>
    </w:p>
    <w:p w14:paraId="3922F517" w14:textId="7D2DD812" w:rsidR="00CB46F9" w:rsidRDefault="00F96E05" w:rsidP="00CB46F9">
      <w:pPr>
        <w:pStyle w:val="Heading2"/>
        <w:numPr>
          <w:ilvl w:val="0"/>
          <w:numId w:val="0"/>
        </w:numPr>
        <w:jc w:val="center"/>
        <w:rPr>
          <w:b/>
          <w:sz w:val="36"/>
        </w:rPr>
      </w:pPr>
      <w:r>
        <w:rPr>
          <w:b/>
          <w:sz w:val="36"/>
        </w:rPr>
        <w:t>DRAFT</w:t>
      </w:r>
    </w:p>
    <w:p w14:paraId="160FF947" w14:textId="77777777" w:rsidR="00CB46F9" w:rsidRPr="00CB46F9" w:rsidRDefault="00CB46F9" w:rsidP="00CB46F9">
      <w:pPr>
        <w:pStyle w:val="Heading2"/>
        <w:numPr>
          <w:ilvl w:val="0"/>
          <w:numId w:val="0"/>
        </w:numPr>
        <w:jc w:val="center"/>
        <w:rPr>
          <w:b/>
          <w:sz w:val="48"/>
        </w:rPr>
      </w:pPr>
      <w:r w:rsidRPr="00CB46F9">
        <w:rPr>
          <w:b/>
          <w:sz w:val="48"/>
        </w:rPr>
        <w:t>Invitation to Tender</w:t>
      </w:r>
    </w:p>
    <w:p w14:paraId="7DDADBED" w14:textId="40027228" w:rsidR="00CB46F9" w:rsidRPr="00CB46F9" w:rsidRDefault="00CB46F9" w:rsidP="00CB46F9">
      <w:pPr>
        <w:pStyle w:val="Heading2"/>
        <w:numPr>
          <w:ilvl w:val="0"/>
          <w:numId w:val="0"/>
        </w:numPr>
        <w:jc w:val="center"/>
        <w:rPr>
          <w:b/>
          <w:sz w:val="44"/>
        </w:rPr>
      </w:pPr>
      <w:r w:rsidRPr="00CB46F9">
        <w:rPr>
          <w:b/>
          <w:sz w:val="44"/>
        </w:rPr>
        <w:t xml:space="preserve">Delivery of an </w:t>
      </w:r>
      <w:r w:rsidR="00DF0331" w:rsidRPr="00DF0331">
        <w:rPr>
          <w:b/>
          <w:sz w:val="44"/>
        </w:rPr>
        <w:t>Ophthalmology Outpatient Glaucoma Service</w:t>
      </w:r>
    </w:p>
    <w:p w14:paraId="503409B5" w14:textId="3EBB3B69" w:rsidR="00CB46F9" w:rsidRPr="00CB46F9" w:rsidRDefault="00CB46F9" w:rsidP="00CB46F9">
      <w:pPr>
        <w:spacing w:after="240"/>
        <w:jc w:val="center"/>
        <w:outlineLvl w:val="1"/>
        <w:rPr>
          <w:rFonts w:eastAsia="Times New Roman" w:cs="Times New Roman"/>
          <w:color w:val="000000" w:themeColor="text1"/>
          <w:sz w:val="36"/>
          <w:lang w:eastAsia="en-GB"/>
        </w:rPr>
      </w:pPr>
    </w:p>
    <w:p w14:paraId="71B0EDDA" w14:textId="11F2468A" w:rsidR="00E273FD" w:rsidRPr="00E273FD" w:rsidRDefault="00E273FD" w:rsidP="00E273FD">
      <w:pPr>
        <w:spacing w:after="240"/>
        <w:jc w:val="center"/>
        <w:outlineLvl w:val="1"/>
        <w:rPr>
          <w:rFonts w:eastAsia="Times New Roman" w:cs="Times New Roman"/>
          <w:color w:val="000000" w:themeColor="text1"/>
          <w:sz w:val="32"/>
          <w:lang w:eastAsia="en-GB"/>
        </w:rPr>
      </w:pPr>
      <w:r w:rsidRPr="00E273FD">
        <w:rPr>
          <w:rFonts w:eastAsia="Times New Roman" w:cs="Times New Roman"/>
          <w:color w:val="000000" w:themeColor="text1"/>
          <w:sz w:val="32"/>
          <w:lang w:eastAsia="en-GB"/>
        </w:rPr>
        <w:t xml:space="preserve">Deadline for Tenders to be received:  </w:t>
      </w:r>
      <w:r>
        <w:rPr>
          <w:rFonts w:eastAsia="Times New Roman" w:cs="Times New Roman"/>
          <w:color w:val="000000" w:themeColor="text1"/>
          <w:sz w:val="32"/>
          <w:lang w:eastAsia="en-GB"/>
        </w:rPr>
        <w:t>Mid</w:t>
      </w:r>
      <w:r w:rsidR="003F5716">
        <w:rPr>
          <w:rFonts w:eastAsia="Times New Roman" w:cs="Times New Roman"/>
          <w:color w:val="000000" w:themeColor="text1"/>
          <w:sz w:val="32"/>
          <w:lang w:eastAsia="en-GB"/>
        </w:rPr>
        <w:t>day</w:t>
      </w:r>
      <w:r>
        <w:rPr>
          <w:rFonts w:eastAsia="Times New Roman" w:cs="Times New Roman"/>
          <w:color w:val="000000" w:themeColor="text1"/>
          <w:sz w:val="32"/>
          <w:lang w:eastAsia="en-GB"/>
        </w:rPr>
        <w:t xml:space="preserve"> </w:t>
      </w:r>
      <w:r w:rsidRPr="00E273FD">
        <w:rPr>
          <w:rFonts w:eastAsia="Times New Roman" w:cs="Times New Roman"/>
          <w:color w:val="000000" w:themeColor="text1"/>
          <w:sz w:val="32"/>
          <w:lang w:eastAsia="en-GB"/>
        </w:rPr>
        <w:t>07/11/2017</w:t>
      </w:r>
    </w:p>
    <w:p w14:paraId="20C737FE" w14:textId="77777777" w:rsidR="00200E60" w:rsidRPr="00CB46F9" w:rsidRDefault="00200E60" w:rsidP="00200E60">
      <w:pPr>
        <w:pStyle w:val="Heading2"/>
        <w:numPr>
          <w:ilvl w:val="0"/>
          <w:numId w:val="0"/>
        </w:numPr>
        <w:jc w:val="center"/>
        <w:rPr>
          <w:sz w:val="28"/>
        </w:rPr>
      </w:pPr>
    </w:p>
    <w:p w14:paraId="20C73806" w14:textId="27BF9AF9" w:rsidR="00B45130" w:rsidRDefault="00AD0C96" w:rsidP="00200E60">
      <w:pPr>
        <w:pStyle w:val="Heading2"/>
        <w:numPr>
          <w:ilvl w:val="0"/>
          <w:numId w:val="0"/>
        </w:numPr>
        <w:jc w:val="center"/>
        <w:rPr>
          <w:b/>
          <w:sz w:val="28"/>
        </w:rPr>
      </w:pPr>
      <w:r w:rsidRPr="00CB46F9">
        <w:rPr>
          <w:b/>
          <w:sz w:val="28"/>
        </w:rPr>
        <w:t>SECTION</w:t>
      </w:r>
      <w:r w:rsidR="00B45130" w:rsidRPr="00CB46F9">
        <w:rPr>
          <w:b/>
          <w:sz w:val="28"/>
        </w:rPr>
        <w:t xml:space="preserve"> A – INSTRUCTIONS </w:t>
      </w:r>
      <w:r w:rsidR="00647144" w:rsidRPr="00CB46F9">
        <w:rPr>
          <w:b/>
          <w:sz w:val="28"/>
        </w:rPr>
        <w:t>AND INFORMATION</w:t>
      </w:r>
    </w:p>
    <w:p w14:paraId="24DB2541" w14:textId="77777777" w:rsidR="00F96E05" w:rsidRDefault="00F96E05" w:rsidP="00200E60">
      <w:pPr>
        <w:pStyle w:val="Heading2"/>
        <w:numPr>
          <w:ilvl w:val="0"/>
          <w:numId w:val="0"/>
        </w:numPr>
        <w:jc w:val="center"/>
        <w:rPr>
          <w:b/>
          <w:sz w:val="28"/>
        </w:rPr>
      </w:pPr>
    </w:p>
    <w:p w14:paraId="0630FB7E" w14:textId="77777777" w:rsidR="00F96E05" w:rsidRDefault="00F96E05" w:rsidP="00200E60">
      <w:pPr>
        <w:pStyle w:val="Heading2"/>
        <w:numPr>
          <w:ilvl w:val="0"/>
          <w:numId w:val="0"/>
        </w:numPr>
        <w:jc w:val="center"/>
        <w:rPr>
          <w:b/>
          <w:sz w:val="28"/>
        </w:rPr>
      </w:pPr>
    </w:p>
    <w:p w14:paraId="14BBA176" w14:textId="41980CFD" w:rsidR="00F96E05" w:rsidRPr="00F96E05" w:rsidRDefault="00F96E05" w:rsidP="00F96E05">
      <w:pPr>
        <w:rPr>
          <w:b/>
          <w:sz w:val="24"/>
          <w:szCs w:val="24"/>
        </w:rPr>
      </w:pPr>
      <w:r w:rsidRPr="00F96E05">
        <w:rPr>
          <w:b/>
          <w:sz w:val="24"/>
          <w:szCs w:val="24"/>
          <w:highlight w:val="yellow"/>
        </w:rPr>
        <w:t>PLEASE NOTE THAT ALL SECTIONS HIGHLI</w:t>
      </w:r>
      <w:r w:rsidR="00D55969">
        <w:rPr>
          <w:b/>
          <w:sz w:val="24"/>
          <w:szCs w:val="24"/>
          <w:highlight w:val="yellow"/>
        </w:rPr>
        <w:t>GHTED</w:t>
      </w:r>
      <w:r w:rsidRPr="00F96E05">
        <w:rPr>
          <w:b/>
          <w:sz w:val="24"/>
          <w:szCs w:val="24"/>
          <w:highlight w:val="yellow"/>
        </w:rPr>
        <w:t xml:space="preserve"> IN YELLOW WITHIN THIS DOCUMENT ARE STILL BEING FINALISED AND WILL FORM PART OF THE FINAL ITT DOCUMENTATION.</w:t>
      </w:r>
    </w:p>
    <w:p w14:paraId="202CD230" w14:textId="77777777" w:rsidR="00F96E05" w:rsidRPr="00CB46F9" w:rsidRDefault="00F96E05" w:rsidP="00200E60">
      <w:pPr>
        <w:pStyle w:val="Heading2"/>
        <w:numPr>
          <w:ilvl w:val="0"/>
          <w:numId w:val="0"/>
        </w:numPr>
        <w:jc w:val="center"/>
        <w:rPr>
          <w:b/>
          <w:sz w:val="28"/>
        </w:rPr>
      </w:pPr>
    </w:p>
    <w:p w14:paraId="20C73808" w14:textId="785F8BF2" w:rsidR="000F79D6" w:rsidRDefault="00CB46F9">
      <w:pPr>
        <w:spacing w:after="240"/>
        <w:jc w:val="left"/>
        <w:rPr>
          <w:rFonts w:eastAsia="Times New Roman" w:cs="Times New Roman"/>
          <w:color w:val="000000" w:themeColor="text1"/>
          <w:lang w:eastAsia="en-GB"/>
        </w:rPr>
      </w:pPr>
      <w:r>
        <w:rPr>
          <w:noProof/>
          <w:lang w:eastAsia="en-GB"/>
        </w:rPr>
        <w:drawing>
          <wp:anchor distT="0" distB="0" distL="114300" distR="114300" simplePos="0" relativeHeight="251660288" behindDoc="1" locked="0" layoutInCell="1" allowOverlap="1" wp14:anchorId="3D4247EA" wp14:editId="5EEBA2CC">
            <wp:simplePos x="0" y="0"/>
            <wp:positionH relativeFrom="column">
              <wp:posOffset>-768985</wp:posOffset>
            </wp:positionH>
            <wp:positionV relativeFrom="paragraph">
              <wp:posOffset>2441575</wp:posOffset>
            </wp:positionV>
            <wp:extent cx="3261995" cy="720090"/>
            <wp:effectExtent l="0" t="0" r="0" b="3810"/>
            <wp:wrapThrough wrapText="bothSides">
              <wp:wrapPolygon edited="0">
                <wp:start x="0" y="0"/>
                <wp:lineTo x="0" y="21143"/>
                <wp:lineTo x="21444" y="21143"/>
                <wp:lineTo x="21444" y="0"/>
                <wp:lineTo x="0" y="0"/>
              </wp:wrapPolygon>
            </wp:wrapThrough>
            <wp:docPr id="5" name="Picture 5" descr="http://www.uhb.nhs.uk/Images/bg-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hb.nhs.uk/Images/bg-h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99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9D6">
        <w:br w:type="page"/>
      </w:r>
    </w:p>
    <w:p w14:paraId="20C73809" w14:textId="77777777" w:rsidR="005B59B7" w:rsidRDefault="005B59B7" w:rsidP="004270D9">
      <w:pPr>
        <w:pStyle w:val="TOC1"/>
      </w:pPr>
      <w:r w:rsidRPr="005B59B7">
        <w:lastRenderedPageBreak/>
        <w:t>TABLE OF CONTENTS</w:t>
      </w:r>
    </w:p>
    <w:p w14:paraId="0F72ED76" w14:textId="77777777" w:rsidR="00605580" w:rsidRDefault="00520787">
      <w:pPr>
        <w:pStyle w:val="TOC1"/>
        <w:rPr>
          <w:rFonts w:asciiTheme="minorHAnsi" w:eastAsiaTheme="minorEastAsia" w:hAnsiTheme="minorHAnsi" w:cstheme="minorBidi"/>
          <w:b w:val="0"/>
          <w:noProof/>
          <w:color w:val="auto"/>
          <w:sz w:val="22"/>
          <w:szCs w:val="22"/>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489876071" w:history="1">
        <w:r w:rsidR="00605580" w:rsidRPr="00445E85">
          <w:rPr>
            <w:rStyle w:val="Hyperlink"/>
            <w:noProof/>
            <w14:scene3d>
              <w14:camera w14:prst="orthographicFront"/>
              <w14:lightRig w14:rig="threePt" w14:dir="t">
                <w14:rot w14:lat="0" w14:lon="0" w14:rev="0"/>
              </w14:lightRig>
            </w14:scene3d>
          </w:rPr>
          <w:t>1</w:t>
        </w:r>
        <w:r w:rsidR="00605580">
          <w:rPr>
            <w:rFonts w:asciiTheme="minorHAnsi" w:eastAsiaTheme="minorEastAsia" w:hAnsiTheme="minorHAnsi" w:cstheme="minorBidi"/>
            <w:b w:val="0"/>
            <w:noProof/>
            <w:color w:val="auto"/>
            <w:sz w:val="22"/>
            <w:szCs w:val="22"/>
          </w:rPr>
          <w:tab/>
        </w:r>
        <w:r w:rsidR="00605580" w:rsidRPr="00445E85">
          <w:rPr>
            <w:rStyle w:val="Hyperlink"/>
            <w:noProof/>
          </w:rPr>
          <w:t>INTRODUCTION AND BACKGROUND</w:t>
        </w:r>
        <w:r w:rsidR="00605580">
          <w:rPr>
            <w:noProof/>
            <w:webHidden/>
          </w:rPr>
          <w:tab/>
        </w:r>
        <w:r w:rsidR="00605580">
          <w:rPr>
            <w:noProof/>
            <w:webHidden/>
          </w:rPr>
          <w:fldChar w:fldCharType="begin"/>
        </w:r>
        <w:r w:rsidR="00605580">
          <w:rPr>
            <w:noProof/>
            <w:webHidden/>
          </w:rPr>
          <w:instrText xml:space="preserve"> PAGEREF _Toc489876071 \h </w:instrText>
        </w:r>
        <w:r w:rsidR="00605580">
          <w:rPr>
            <w:noProof/>
            <w:webHidden/>
          </w:rPr>
        </w:r>
        <w:r w:rsidR="00605580">
          <w:rPr>
            <w:noProof/>
            <w:webHidden/>
          </w:rPr>
          <w:fldChar w:fldCharType="separate"/>
        </w:r>
        <w:r w:rsidR="003F5716">
          <w:rPr>
            <w:noProof/>
            <w:webHidden/>
          </w:rPr>
          <w:t>1</w:t>
        </w:r>
        <w:r w:rsidR="00605580">
          <w:rPr>
            <w:noProof/>
            <w:webHidden/>
          </w:rPr>
          <w:fldChar w:fldCharType="end"/>
        </w:r>
      </w:hyperlink>
    </w:p>
    <w:p w14:paraId="470C91E5" w14:textId="77777777" w:rsidR="00605580" w:rsidRDefault="00A83AF2">
      <w:pPr>
        <w:pStyle w:val="TOC1"/>
        <w:rPr>
          <w:rFonts w:asciiTheme="minorHAnsi" w:eastAsiaTheme="minorEastAsia" w:hAnsiTheme="minorHAnsi" w:cstheme="minorBidi"/>
          <w:b w:val="0"/>
          <w:noProof/>
          <w:color w:val="auto"/>
          <w:sz w:val="22"/>
          <w:szCs w:val="22"/>
        </w:rPr>
      </w:pPr>
      <w:hyperlink w:anchor="_Toc489876072" w:history="1">
        <w:r w:rsidR="00605580" w:rsidRPr="00445E85">
          <w:rPr>
            <w:rStyle w:val="Hyperlink"/>
            <w:noProof/>
            <w14:scene3d>
              <w14:camera w14:prst="orthographicFront"/>
              <w14:lightRig w14:rig="threePt" w14:dir="t">
                <w14:rot w14:lat="0" w14:lon="0" w14:rev="0"/>
              </w14:lightRig>
            </w14:scene3d>
          </w:rPr>
          <w:t>2</w:t>
        </w:r>
        <w:r w:rsidR="00605580">
          <w:rPr>
            <w:rFonts w:asciiTheme="minorHAnsi" w:eastAsiaTheme="minorEastAsia" w:hAnsiTheme="minorHAnsi" w:cstheme="minorBidi"/>
            <w:b w:val="0"/>
            <w:noProof/>
            <w:color w:val="auto"/>
            <w:sz w:val="22"/>
            <w:szCs w:val="22"/>
          </w:rPr>
          <w:tab/>
        </w:r>
        <w:r w:rsidR="00605580" w:rsidRPr="00445E85">
          <w:rPr>
            <w:rStyle w:val="Hyperlink"/>
            <w:noProof/>
          </w:rPr>
          <w:t>TENDER TIMETABLE</w:t>
        </w:r>
        <w:r w:rsidR="00605580">
          <w:rPr>
            <w:noProof/>
            <w:webHidden/>
          </w:rPr>
          <w:tab/>
        </w:r>
        <w:r w:rsidR="00605580">
          <w:rPr>
            <w:noProof/>
            <w:webHidden/>
          </w:rPr>
          <w:fldChar w:fldCharType="begin"/>
        </w:r>
        <w:r w:rsidR="00605580">
          <w:rPr>
            <w:noProof/>
            <w:webHidden/>
          </w:rPr>
          <w:instrText xml:space="preserve"> PAGEREF _Toc489876072 \h </w:instrText>
        </w:r>
        <w:r w:rsidR="00605580">
          <w:rPr>
            <w:noProof/>
            <w:webHidden/>
          </w:rPr>
        </w:r>
        <w:r w:rsidR="00605580">
          <w:rPr>
            <w:noProof/>
            <w:webHidden/>
          </w:rPr>
          <w:fldChar w:fldCharType="separate"/>
        </w:r>
        <w:r w:rsidR="003F5716">
          <w:rPr>
            <w:noProof/>
            <w:webHidden/>
          </w:rPr>
          <w:t>4</w:t>
        </w:r>
        <w:r w:rsidR="00605580">
          <w:rPr>
            <w:noProof/>
            <w:webHidden/>
          </w:rPr>
          <w:fldChar w:fldCharType="end"/>
        </w:r>
      </w:hyperlink>
    </w:p>
    <w:p w14:paraId="4845E9B7" w14:textId="77777777" w:rsidR="00605580" w:rsidRDefault="00A83AF2">
      <w:pPr>
        <w:pStyle w:val="TOC1"/>
        <w:rPr>
          <w:rFonts w:asciiTheme="minorHAnsi" w:eastAsiaTheme="minorEastAsia" w:hAnsiTheme="minorHAnsi" w:cstheme="minorBidi"/>
          <w:b w:val="0"/>
          <w:noProof/>
          <w:color w:val="auto"/>
          <w:sz w:val="22"/>
          <w:szCs w:val="22"/>
        </w:rPr>
      </w:pPr>
      <w:hyperlink w:anchor="_Toc489876073" w:history="1">
        <w:r w:rsidR="00605580" w:rsidRPr="00445E85">
          <w:rPr>
            <w:rStyle w:val="Hyperlink"/>
            <w:noProof/>
            <w14:scene3d>
              <w14:camera w14:prst="orthographicFront"/>
              <w14:lightRig w14:rig="threePt" w14:dir="t">
                <w14:rot w14:lat="0" w14:lon="0" w14:rev="0"/>
              </w14:lightRig>
            </w14:scene3d>
          </w:rPr>
          <w:t>3</w:t>
        </w:r>
        <w:r w:rsidR="00605580">
          <w:rPr>
            <w:rFonts w:asciiTheme="minorHAnsi" w:eastAsiaTheme="minorEastAsia" w:hAnsiTheme="minorHAnsi" w:cstheme="minorBidi"/>
            <w:b w:val="0"/>
            <w:noProof/>
            <w:color w:val="auto"/>
            <w:sz w:val="22"/>
            <w:szCs w:val="22"/>
          </w:rPr>
          <w:tab/>
        </w:r>
        <w:r w:rsidR="00605580" w:rsidRPr="00445E85">
          <w:rPr>
            <w:rStyle w:val="Hyperlink"/>
            <w:noProof/>
          </w:rPr>
          <w:t>INSTRUCTIONS TO BIDDERS</w:t>
        </w:r>
        <w:r w:rsidR="00605580">
          <w:rPr>
            <w:noProof/>
            <w:webHidden/>
          </w:rPr>
          <w:tab/>
        </w:r>
        <w:r w:rsidR="00605580">
          <w:rPr>
            <w:noProof/>
            <w:webHidden/>
          </w:rPr>
          <w:fldChar w:fldCharType="begin"/>
        </w:r>
        <w:r w:rsidR="00605580">
          <w:rPr>
            <w:noProof/>
            <w:webHidden/>
          </w:rPr>
          <w:instrText xml:space="preserve"> PAGEREF _Toc489876073 \h </w:instrText>
        </w:r>
        <w:r w:rsidR="00605580">
          <w:rPr>
            <w:noProof/>
            <w:webHidden/>
          </w:rPr>
        </w:r>
        <w:r w:rsidR="00605580">
          <w:rPr>
            <w:noProof/>
            <w:webHidden/>
          </w:rPr>
          <w:fldChar w:fldCharType="separate"/>
        </w:r>
        <w:r w:rsidR="003F5716">
          <w:rPr>
            <w:noProof/>
            <w:webHidden/>
          </w:rPr>
          <w:t>6</w:t>
        </w:r>
        <w:r w:rsidR="00605580">
          <w:rPr>
            <w:noProof/>
            <w:webHidden/>
          </w:rPr>
          <w:fldChar w:fldCharType="end"/>
        </w:r>
      </w:hyperlink>
    </w:p>
    <w:p w14:paraId="3D23DE0F" w14:textId="77777777" w:rsidR="00605580" w:rsidRDefault="00A83AF2">
      <w:pPr>
        <w:pStyle w:val="TOC1"/>
        <w:rPr>
          <w:rFonts w:asciiTheme="minorHAnsi" w:eastAsiaTheme="minorEastAsia" w:hAnsiTheme="minorHAnsi" w:cstheme="minorBidi"/>
          <w:b w:val="0"/>
          <w:noProof/>
          <w:color w:val="auto"/>
          <w:sz w:val="22"/>
          <w:szCs w:val="22"/>
        </w:rPr>
      </w:pPr>
      <w:hyperlink w:anchor="_Toc489876074" w:history="1">
        <w:r w:rsidR="00605580" w:rsidRPr="00445E85">
          <w:rPr>
            <w:rStyle w:val="Hyperlink"/>
            <w:noProof/>
            <w14:scene3d>
              <w14:camera w14:prst="orthographicFront"/>
              <w14:lightRig w14:rig="threePt" w14:dir="t">
                <w14:rot w14:lat="0" w14:lon="0" w14:rev="0"/>
              </w14:lightRig>
            </w14:scene3d>
          </w:rPr>
          <w:t>4</w:t>
        </w:r>
        <w:r w:rsidR="00605580">
          <w:rPr>
            <w:rFonts w:asciiTheme="minorHAnsi" w:eastAsiaTheme="minorEastAsia" w:hAnsiTheme="minorHAnsi" w:cstheme="minorBidi"/>
            <w:b w:val="0"/>
            <w:noProof/>
            <w:color w:val="auto"/>
            <w:sz w:val="22"/>
            <w:szCs w:val="22"/>
          </w:rPr>
          <w:tab/>
        </w:r>
        <w:r w:rsidR="00605580" w:rsidRPr="00445E85">
          <w:rPr>
            <w:rStyle w:val="Hyperlink"/>
            <w:noProof/>
          </w:rPr>
          <w:t>TENDER EVALUATION METHODOLOGY AND CRITERIA</w:t>
        </w:r>
        <w:r w:rsidR="00605580">
          <w:rPr>
            <w:noProof/>
            <w:webHidden/>
          </w:rPr>
          <w:tab/>
        </w:r>
        <w:r w:rsidR="00605580">
          <w:rPr>
            <w:noProof/>
            <w:webHidden/>
          </w:rPr>
          <w:fldChar w:fldCharType="begin"/>
        </w:r>
        <w:r w:rsidR="00605580">
          <w:rPr>
            <w:noProof/>
            <w:webHidden/>
          </w:rPr>
          <w:instrText xml:space="preserve"> PAGEREF _Toc489876074 \h </w:instrText>
        </w:r>
        <w:r w:rsidR="00605580">
          <w:rPr>
            <w:noProof/>
            <w:webHidden/>
          </w:rPr>
        </w:r>
        <w:r w:rsidR="00605580">
          <w:rPr>
            <w:noProof/>
            <w:webHidden/>
          </w:rPr>
          <w:fldChar w:fldCharType="separate"/>
        </w:r>
        <w:r w:rsidR="003F5716">
          <w:rPr>
            <w:noProof/>
            <w:webHidden/>
          </w:rPr>
          <w:t>12</w:t>
        </w:r>
        <w:r w:rsidR="00605580">
          <w:rPr>
            <w:noProof/>
            <w:webHidden/>
          </w:rPr>
          <w:fldChar w:fldCharType="end"/>
        </w:r>
      </w:hyperlink>
    </w:p>
    <w:p w14:paraId="20C73811" w14:textId="77777777" w:rsidR="00AD0C96" w:rsidRDefault="00520787" w:rsidP="008A00B3">
      <w:pPr>
        <w:pStyle w:val="Heading2"/>
        <w:numPr>
          <w:ilvl w:val="0"/>
          <w:numId w:val="0"/>
        </w:numPr>
        <w:spacing w:line="240" w:lineRule="atLeast"/>
      </w:pPr>
      <w:r w:rsidRPr="00520787">
        <w:fldChar w:fldCharType="end"/>
      </w:r>
    </w:p>
    <w:p w14:paraId="6D00637F" w14:textId="578EA3D9" w:rsidR="008D5AE1" w:rsidRDefault="008D5AE1" w:rsidP="008A00B3">
      <w:pPr>
        <w:pStyle w:val="Heading2"/>
        <w:numPr>
          <w:ilvl w:val="0"/>
          <w:numId w:val="0"/>
        </w:numPr>
        <w:spacing w:line="240" w:lineRule="atLeast"/>
        <w:rPr>
          <w:b/>
        </w:rPr>
      </w:pPr>
      <w:r w:rsidRPr="008D5AE1">
        <w:rPr>
          <w:b/>
        </w:rPr>
        <w:t>ANNEX A1: NHS TERMS AND CONDITIONS</w:t>
      </w:r>
    </w:p>
    <w:p w14:paraId="16309F0A" w14:textId="625208FD" w:rsidR="008D5AE1" w:rsidRPr="008D5AE1" w:rsidRDefault="008D5AE1" w:rsidP="008A00B3">
      <w:pPr>
        <w:pStyle w:val="Heading2"/>
        <w:numPr>
          <w:ilvl w:val="0"/>
          <w:numId w:val="0"/>
        </w:numPr>
        <w:spacing w:line="240" w:lineRule="atLeast"/>
        <w:rPr>
          <w:b/>
        </w:rPr>
      </w:pPr>
      <w:r>
        <w:rPr>
          <w:b/>
        </w:rPr>
        <w:t>ANNEX A2: SERVICE SPECIFICATION</w:t>
      </w:r>
    </w:p>
    <w:p w14:paraId="20C73812" w14:textId="77777777" w:rsidR="008306CC" w:rsidRDefault="008306CC" w:rsidP="008306CC">
      <w:pPr>
        <w:pStyle w:val="TOC3"/>
        <w:ind w:left="0"/>
      </w:pPr>
    </w:p>
    <w:p w14:paraId="20C73813" w14:textId="77777777" w:rsidR="00897556" w:rsidRDefault="00897556" w:rsidP="00AD0C96">
      <w:pPr>
        <w:pStyle w:val="Heading2"/>
        <w:numPr>
          <w:ilvl w:val="0"/>
          <w:numId w:val="0"/>
        </w:numPr>
        <w:jc w:val="center"/>
        <w:rPr>
          <w:i/>
          <w:shd w:val="clear" w:color="auto" w:fill="FFFF66"/>
        </w:rPr>
      </w:pPr>
    </w:p>
    <w:p w14:paraId="20C73814" w14:textId="77777777" w:rsidR="00897556" w:rsidRDefault="00897556" w:rsidP="00897556">
      <w:pPr>
        <w:rPr>
          <w:shd w:val="clear" w:color="auto" w:fill="FFFF66"/>
        </w:rPr>
      </w:pPr>
    </w:p>
    <w:p w14:paraId="20C73815" w14:textId="77777777" w:rsidR="00ED0968" w:rsidRDefault="00ED0968" w:rsidP="00200E60">
      <w:pPr>
        <w:pStyle w:val="Heading2"/>
        <w:numPr>
          <w:ilvl w:val="0"/>
          <w:numId w:val="0"/>
        </w:numPr>
        <w:jc w:val="center"/>
      </w:pPr>
    </w:p>
    <w:p w14:paraId="20C73816" w14:textId="77777777" w:rsidR="00ED0968" w:rsidRDefault="00ED0968" w:rsidP="00200E60">
      <w:pPr>
        <w:pStyle w:val="Heading2"/>
        <w:numPr>
          <w:ilvl w:val="0"/>
          <w:numId w:val="0"/>
        </w:numPr>
        <w:jc w:val="center"/>
      </w:pPr>
    </w:p>
    <w:p w14:paraId="20C73817" w14:textId="77777777" w:rsidR="00B02442" w:rsidRDefault="00727643">
      <w:pPr>
        <w:spacing w:after="240"/>
        <w:jc w:val="left"/>
        <w:sectPr w:rsidR="00B02442" w:rsidSect="00B35FD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418" w:header="709" w:footer="567" w:gutter="0"/>
          <w:pgNumType w:start="1"/>
          <w:cols w:space="708"/>
          <w:titlePg/>
          <w:docGrid w:linePitch="360"/>
        </w:sectPr>
      </w:pPr>
      <w:r>
        <w:br w:type="page"/>
      </w:r>
    </w:p>
    <w:p w14:paraId="20C73818" w14:textId="77777777" w:rsidR="003E3276" w:rsidRPr="008F3D2C" w:rsidRDefault="003E3276" w:rsidP="004270D9">
      <w:pPr>
        <w:pStyle w:val="MRNumberedHeading1"/>
        <w:numPr>
          <w:ilvl w:val="0"/>
          <w:numId w:val="24"/>
        </w:numPr>
        <w:ind w:hanging="798"/>
        <w:jc w:val="both"/>
        <w:rPr>
          <w:sz w:val="20"/>
          <w:szCs w:val="20"/>
        </w:rPr>
      </w:pPr>
      <w:bookmarkStart w:id="0" w:name="_Toc403556501"/>
      <w:bookmarkStart w:id="1" w:name="_Toc403556506"/>
      <w:bookmarkStart w:id="2" w:name="_Toc406674969"/>
      <w:bookmarkStart w:id="3" w:name="_Toc412621211"/>
      <w:bookmarkStart w:id="4" w:name="_Toc489876071"/>
      <w:r w:rsidRPr="008F3D2C">
        <w:rPr>
          <w:sz w:val="20"/>
          <w:szCs w:val="20"/>
        </w:rPr>
        <w:lastRenderedPageBreak/>
        <w:t>INTRODUCTION AND BACKGROUND</w:t>
      </w:r>
      <w:bookmarkEnd w:id="0"/>
      <w:bookmarkEnd w:id="1"/>
      <w:bookmarkEnd w:id="2"/>
      <w:bookmarkEnd w:id="3"/>
      <w:bookmarkEnd w:id="4"/>
    </w:p>
    <w:p w14:paraId="20C73819" w14:textId="0F1A5352" w:rsidR="003E3276" w:rsidRPr="007724D1" w:rsidRDefault="009A6967" w:rsidP="00E203C9">
      <w:pPr>
        <w:pStyle w:val="MRNumberedHeading2"/>
        <w:tabs>
          <w:tab w:val="clear" w:pos="720"/>
          <w:tab w:val="num" w:pos="851"/>
        </w:tabs>
        <w:ind w:left="851" w:hanging="851"/>
      </w:pPr>
      <w:bookmarkStart w:id="5" w:name="_Toc403555077"/>
      <w:r>
        <w:t>University Hospitals Birmingham NHS Foundation Trust</w:t>
      </w:r>
      <w:r w:rsidR="003E3276" w:rsidRPr="007724D1">
        <w:t xml:space="preserve"> (the "</w:t>
      </w:r>
      <w:r w:rsidR="003E3276" w:rsidRPr="007724D1">
        <w:rPr>
          <w:b/>
        </w:rPr>
        <w:t>Authority</w:t>
      </w:r>
      <w:r w:rsidR="004F02F9">
        <w:t>") is issuing this invitation to t</w:t>
      </w:r>
      <w:r w:rsidR="003E3276" w:rsidRPr="007724D1">
        <w:t>ender ("</w:t>
      </w:r>
      <w:r w:rsidR="003E3276" w:rsidRPr="007724D1">
        <w:rPr>
          <w:b/>
        </w:rPr>
        <w:t>ITT</w:t>
      </w:r>
      <w:r w:rsidR="003E3276" w:rsidRPr="007724D1">
        <w:t xml:space="preserve">") in connection with the competitive procurement of </w:t>
      </w:r>
      <w:bookmarkEnd w:id="5"/>
      <w:r w:rsidR="00101BB9">
        <w:t>an Ophthalmology Glaucoma Outpatients</w:t>
      </w:r>
      <w:r>
        <w:t xml:space="preserve"> Insourcing Service.</w:t>
      </w:r>
    </w:p>
    <w:p w14:paraId="20C7381A" w14:textId="77777777" w:rsidR="003E3276" w:rsidRPr="007724D1" w:rsidRDefault="003E3276" w:rsidP="00E203C9">
      <w:pPr>
        <w:pStyle w:val="MRNumberedHeading2"/>
        <w:tabs>
          <w:tab w:val="clear" w:pos="720"/>
          <w:tab w:val="num" w:pos="851"/>
        </w:tabs>
        <w:ind w:left="851" w:hanging="851"/>
      </w:pPr>
      <w:bookmarkStart w:id="6" w:name="_Toc403555078"/>
      <w:r w:rsidRPr="007724D1">
        <w:t xml:space="preserve">This ITT Section A contains further </w:t>
      </w:r>
      <w:r w:rsidRPr="003E3276">
        <w:t>information</w:t>
      </w:r>
      <w:r w:rsidRPr="007724D1">
        <w:t xml:space="preserve"> about the procurement process.</w:t>
      </w:r>
      <w:bookmarkEnd w:id="6"/>
      <w:r w:rsidRPr="007724D1">
        <w:t xml:space="preserve">  </w:t>
      </w:r>
    </w:p>
    <w:p w14:paraId="20C7381B" w14:textId="2A17D71D" w:rsidR="003E3276" w:rsidRDefault="00C516F4" w:rsidP="00E203C9">
      <w:pPr>
        <w:pStyle w:val="MRNumberedHeading2"/>
        <w:tabs>
          <w:tab w:val="clear" w:pos="720"/>
          <w:tab w:val="num" w:pos="851"/>
        </w:tabs>
        <w:ind w:left="851" w:hanging="851"/>
      </w:pPr>
      <w:bookmarkStart w:id="7" w:name="_Toc403555079"/>
      <w:r>
        <w:t>Bidders must complete the Eligibility Questions (as referred to in section 3 of this Section A of the ITT) and the questions contained in</w:t>
      </w:r>
      <w:r w:rsidR="003E3276">
        <w:t xml:space="preserve"> Section B</w:t>
      </w:r>
      <w:r>
        <w:t xml:space="preserve"> of the ITT</w:t>
      </w:r>
      <w:r w:rsidR="003E3276">
        <w:t>. Each Bidder's response ("</w:t>
      </w:r>
      <w:r w:rsidR="003E3276" w:rsidRPr="00951656">
        <w:rPr>
          <w:b/>
          <w:bCs/>
        </w:rPr>
        <w:t>Tender</w:t>
      </w:r>
      <w:r w:rsidR="003E3276">
        <w:rPr>
          <w:bCs/>
        </w:rPr>
        <w:t>"</w:t>
      </w:r>
      <w:r w:rsidR="003E3276">
        <w:t>) should be detailed enough to allow the Authority to make an informed award decision.</w:t>
      </w:r>
      <w:bookmarkEnd w:id="7"/>
    </w:p>
    <w:p w14:paraId="20C7381C" w14:textId="5A2DBD14" w:rsidR="003E3276" w:rsidRPr="00FB2FE9" w:rsidRDefault="0034181A" w:rsidP="00E203C9">
      <w:pPr>
        <w:pStyle w:val="MRNumberedHeading2"/>
        <w:tabs>
          <w:tab w:val="clear" w:pos="720"/>
          <w:tab w:val="num" w:pos="851"/>
        </w:tabs>
        <w:ind w:left="851" w:hanging="851"/>
      </w:pPr>
      <w:bookmarkStart w:id="8"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8"/>
    </w:p>
    <w:p w14:paraId="20C7381E" w14:textId="77777777" w:rsidR="00247F0F" w:rsidRPr="003E3276" w:rsidRDefault="00247F0F" w:rsidP="004270D9">
      <w:pPr>
        <w:pStyle w:val="Heading1"/>
        <w:spacing w:before="240" w:after="0"/>
        <w:ind w:left="851"/>
        <w:rPr>
          <w:rFonts w:eastAsiaTheme="minorHAnsi"/>
        </w:rPr>
      </w:pPr>
      <w:bookmarkStart w:id="9" w:name="_Toc403555082"/>
      <w:r w:rsidRPr="003E3276">
        <w:rPr>
          <w:rFonts w:eastAsiaTheme="minorHAnsi"/>
        </w:rPr>
        <w:t>Contents of the ITT</w:t>
      </w:r>
      <w:bookmarkEnd w:id="9"/>
      <w:r w:rsidRPr="003E3276">
        <w:rPr>
          <w:rFonts w:eastAsiaTheme="minorHAnsi"/>
        </w:rPr>
        <w:t xml:space="preserve"> </w:t>
      </w:r>
    </w:p>
    <w:p w14:paraId="20C7381F" w14:textId="77777777" w:rsidR="00AD3446" w:rsidRPr="003E3276" w:rsidRDefault="00AD3446" w:rsidP="00E203C9">
      <w:pPr>
        <w:pStyle w:val="MRNumberedHeading2"/>
        <w:tabs>
          <w:tab w:val="clear" w:pos="720"/>
          <w:tab w:val="num" w:pos="851"/>
        </w:tabs>
        <w:ind w:left="851" w:hanging="851"/>
        <w:rPr>
          <w:b/>
        </w:rPr>
      </w:pPr>
      <w:bookmarkStart w:id="10" w:name="_Toc403555083"/>
      <w:bookmarkStart w:id="11" w:name="_Ref405452631"/>
      <w:r>
        <w:t>This ITT document consists of:</w:t>
      </w:r>
      <w:bookmarkEnd w:id="10"/>
      <w:bookmarkEnd w:id="11"/>
    </w:p>
    <w:p w14:paraId="20C73820" w14:textId="77777777" w:rsidR="003E3276" w:rsidRPr="00951656" w:rsidRDefault="003E3276" w:rsidP="006B54D6">
      <w:pPr>
        <w:pStyle w:val="MRNumberedHeading2"/>
        <w:numPr>
          <w:ilvl w:val="0"/>
          <w:numId w:val="0"/>
        </w:numPr>
        <w:ind w:left="720"/>
      </w:pPr>
    </w:p>
    <w:tbl>
      <w:tblPr>
        <w:tblStyle w:val="TableGrid"/>
        <w:tblW w:w="8930" w:type="dxa"/>
        <w:tblInd w:w="1101" w:type="dxa"/>
        <w:tblLook w:val="04A0" w:firstRow="1" w:lastRow="0" w:firstColumn="1" w:lastColumn="0" w:noHBand="0" w:noVBand="1"/>
      </w:tblPr>
      <w:tblGrid>
        <w:gridCol w:w="1134"/>
        <w:gridCol w:w="5386"/>
        <w:gridCol w:w="2410"/>
      </w:tblGrid>
      <w:tr w:rsidR="00653DCC" w14:paraId="20C73822" w14:textId="77777777" w:rsidTr="009A3E29">
        <w:trPr>
          <w:gridAfter w:val="1"/>
          <w:wAfter w:w="2410" w:type="dxa"/>
        </w:trPr>
        <w:tc>
          <w:tcPr>
            <w:tcW w:w="6520" w:type="dxa"/>
            <w:gridSpan w:val="2"/>
            <w:shd w:val="clear" w:color="auto" w:fill="BFBFBF" w:themeFill="background1" w:themeFillShade="BF"/>
          </w:tcPr>
          <w:p w14:paraId="20C73821" w14:textId="77777777"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14:paraId="20C73826" w14:textId="77777777" w:rsidTr="009A3E29">
        <w:trPr>
          <w:gridAfter w:val="1"/>
          <w:wAfter w:w="2410" w:type="dxa"/>
        </w:trPr>
        <w:tc>
          <w:tcPr>
            <w:tcW w:w="1134" w:type="dxa"/>
          </w:tcPr>
          <w:p w14:paraId="20C73823" w14:textId="77777777" w:rsidR="00653DCC" w:rsidRDefault="00653DCC" w:rsidP="00AD3446">
            <w:pPr>
              <w:pStyle w:val="Heading2"/>
              <w:numPr>
                <w:ilvl w:val="0"/>
                <w:numId w:val="0"/>
              </w:numPr>
              <w:jc w:val="center"/>
              <w:outlineLvl w:val="1"/>
            </w:pPr>
            <w:r>
              <w:t>1</w:t>
            </w:r>
          </w:p>
        </w:tc>
        <w:tc>
          <w:tcPr>
            <w:tcW w:w="5386" w:type="dxa"/>
          </w:tcPr>
          <w:p w14:paraId="20C73824" w14:textId="77777777" w:rsidR="00653DCC" w:rsidRDefault="00653DCC" w:rsidP="00AD3446">
            <w:pPr>
              <w:pStyle w:val="Heading2"/>
              <w:numPr>
                <w:ilvl w:val="0"/>
                <w:numId w:val="0"/>
              </w:numPr>
              <w:outlineLvl w:val="1"/>
            </w:pPr>
            <w:r>
              <w:t>Introduction and background</w:t>
            </w:r>
          </w:p>
          <w:p w14:paraId="20C73825" w14:textId="77777777" w:rsidR="009464EA" w:rsidRDefault="009464EA" w:rsidP="00AD3446">
            <w:pPr>
              <w:pStyle w:val="Heading2"/>
              <w:numPr>
                <w:ilvl w:val="0"/>
                <w:numId w:val="0"/>
              </w:numPr>
              <w:outlineLvl w:val="1"/>
            </w:pPr>
          </w:p>
        </w:tc>
      </w:tr>
      <w:tr w:rsidR="00653DCC" w14:paraId="20C7382A" w14:textId="77777777" w:rsidTr="009A3E29">
        <w:trPr>
          <w:gridAfter w:val="1"/>
          <w:wAfter w:w="2410" w:type="dxa"/>
        </w:trPr>
        <w:tc>
          <w:tcPr>
            <w:tcW w:w="1134" w:type="dxa"/>
          </w:tcPr>
          <w:p w14:paraId="20C73827" w14:textId="77777777" w:rsidR="00653DCC" w:rsidRDefault="00653DCC" w:rsidP="00AD3446">
            <w:pPr>
              <w:pStyle w:val="Heading2"/>
              <w:numPr>
                <w:ilvl w:val="0"/>
                <w:numId w:val="0"/>
              </w:numPr>
              <w:jc w:val="center"/>
              <w:outlineLvl w:val="1"/>
            </w:pPr>
            <w:r>
              <w:t>2</w:t>
            </w:r>
          </w:p>
        </w:tc>
        <w:tc>
          <w:tcPr>
            <w:tcW w:w="5386" w:type="dxa"/>
          </w:tcPr>
          <w:p w14:paraId="20C73828" w14:textId="77777777" w:rsidR="00653DCC" w:rsidRDefault="00653DCC" w:rsidP="00AD3446">
            <w:pPr>
              <w:pStyle w:val="Heading2"/>
              <w:numPr>
                <w:ilvl w:val="0"/>
                <w:numId w:val="0"/>
              </w:numPr>
              <w:outlineLvl w:val="1"/>
            </w:pPr>
            <w:r>
              <w:t>Tender timetable</w:t>
            </w:r>
            <w:r w:rsidR="00A57D02">
              <w:t xml:space="preserve"> </w:t>
            </w:r>
          </w:p>
          <w:p w14:paraId="20C73829" w14:textId="77777777" w:rsidR="009464EA" w:rsidRDefault="009464EA" w:rsidP="00AD3446">
            <w:pPr>
              <w:pStyle w:val="Heading2"/>
              <w:numPr>
                <w:ilvl w:val="0"/>
                <w:numId w:val="0"/>
              </w:numPr>
              <w:outlineLvl w:val="1"/>
            </w:pPr>
          </w:p>
        </w:tc>
      </w:tr>
      <w:tr w:rsidR="00653DCC" w14:paraId="20C7382E" w14:textId="77777777" w:rsidTr="009A3E29">
        <w:trPr>
          <w:gridAfter w:val="1"/>
          <w:wAfter w:w="2410" w:type="dxa"/>
        </w:trPr>
        <w:tc>
          <w:tcPr>
            <w:tcW w:w="1134" w:type="dxa"/>
          </w:tcPr>
          <w:p w14:paraId="20C7382B" w14:textId="77777777" w:rsidR="00653DCC" w:rsidRDefault="00653DCC" w:rsidP="00AD3446">
            <w:pPr>
              <w:pStyle w:val="Heading2"/>
              <w:numPr>
                <w:ilvl w:val="0"/>
                <w:numId w:val="0"/>
              </w:numPr>
              <w:jc w:val="center"/>
              <w:outlineLvl w:val="1"/>
            </w:pPr>
            <w:r>
              <w:t>3</w:t>
            </w:r>
          </w:p>
        </w:tc>
        <w:tc>
          <w:tcPr>
            <w:tcW w:w="5386" w:type="dxa"/>
          </w:tcPr>
          <w:p w14:paraId="20C7382C" w14:textId="77777777" w:rsidR="00653DCC" w:rsidRDefault="00223555" w:rsidP="00AD3446">
            <w:pPr>
              <w:pStyle w:val="Heading2"/>
              <w:numPr>
                <w:ilvl w:val="0"/>
                <w:numId w:val="0"/>
              </w:numPr>
              <w:outlineLvl w:val="1"/>
            </w:pPr>
            <w:r>
              <w:t xml:space="preserve">Instructions to </w:t>
            </w:r>
            <w:r w:rsidR="00E7163F">
              <w:t>Bidders</w:t>
            </w:r>
            <w:r>
              <w:t xml:space="preserve"> </w:t>
            </w:r>
          </w:p>
          <w:p w14:paraId="20C7382D" w14:textId="40B3C6C3" w:rsidR="009464EA" w:rsidRDefault="009464EA" w:rsidP="00AD3446">
            <w:pPr>
              <w:pStyle w:val="Heading2"/>
              <w:numPr>
                <w:ilvl w:val="0"/>
                <w:numId w:val="0"/>
              </w:numPr>
              <w:outlineLvl w:val="1"/>
            </w:pPr>
          </w:p>
        </w:tc>
      </w:tr>
      <w:tr w:rsidR="00653DCC" w14:paraId="20C73832" w14:textId="77777777" w:rsidTr="009A3E29">
        <w:trPr>
          <w:gridAfter w:val="1"/>
          <w:wAfter w:w="2410" w:type="dxa"/>
        </w:trPr>
        <w:tc>
          <w:tcPr>
            <w:tcW w:w="1134" w:type="dxa"/>
          </w:tcPr>
          <w:p w14:paraId="20C7382F" w14:textId="77777777" w:rsidR="00653DCC" w:rsidRDefault="00653DCC" w:rsidP="00AD3446">
            <w:pPr>
              <w:pStyle w:val="Heading2"/>
              <w:numPr>
                <w:ilvl w:val="0"/>
                <w:numId w:val="0"/>
              </w:numPr>
              <w:jc w:val="center"/>
              <w:outlineLvl w:val="1"/>
            </w:pPr>
            <w:r>
              <w:t>4</w:t>
            </w:r>
          </w:p>
        </w:tc>
        <w:tc>
          <w:tcPr>
            <w:tcW w:w="5386" w:type="dxa"/>
          </w:tcPr>
          <w:p w14:paraId="20C73830" w14:textId="77777777" w:rsidR="009464EA" w:rsidRDefault="008731E8" w:rsidP="00AD3446">
            <w:pPr>
              <w:pStyle w:val="Heading2"/>
              <w:numPr>
                <w:ilvl w:val="0"/>
                <w:numId w:val="0"/>
              </w:numPr>
              <w:outlineLvl w:val="1"/>
            </w:pPr>
            <w:r>
              <w:t>Tender evaluation methodology and criteria</w:t>
            </w:r>
          </w:p>
          <w:p w14:paraId="20C73831" w14:textId="77777777" w:rsidR="00653DCC" w:rsidRDefault="008731E8" w:rsidP="00AD3446">
            <w:pPr>
              <w:pStyle w:val="Heading2"/>
              <w:numPr>
                <w:ilvl w:val="0"/>
                <w:numId w:val="0"/>
              </w:numPr>
              <w:outlineLvl w:val="1"/>
            </w:pPr>
            <w:r>
              <w:t xml:space="preserve"> </w:t>
            </w:r>
          </w:p>
        </w:tc>
      </w:tr>
      <w:tr w:rsidR="00953B6C" w14:paraId="20C7383A" w14:textId="77777777" w:rsidTr="009A3E29">
        <w:trPr>
          <w:gridAfter w:val="1"/>
          <w:wAfter w:w="2410" w:type="dxa"/>
        </w:trPr>
        <w:tc>
          <w:tcPr>
            <w:tcW w:w="1134" w:type="dxa"/>
          </w:tcPr>
          <w:p w14:paraId="20C73837" w14:textId="77777777" w:rsidR="00953B6C" w:rsidRDefault="00953B6C" w:rsidP="00AD3446">
            <w:pPr>
              <w:pStyle w:val="Heading2"/>
              <w:numPr>
                <w:ilvl w:val="0"/>
                <w:numId w:val="0"/>
              </w:numPr>
              <w:jc w:val="center"/>
              <w:outlineLvl w:val="1"/>
            </w:pPr>
            <w:bookmarkStart w:id="12" w:name="_Ref405453364"/>
            <w:r>
              <w:t xml:space="preserve">Annex </w:t>
            </w:r>
            <w:r w:rsidR="006E3892">
              <w:t>A</w:t>
            </w:r>
            <w:r>
              <w:t>1</w:t>
            </w:r>
            <w:bookmarkEnd w:id="12"/>
          </w:p>
        </w:tc>
        <w:tc>
          <w:tcPr>
            <w:tcW w:w="5386" w:type="dxa"/>
          </w:tcPr>
          <w:p w14:paraId="20C73838" w14:textId="77777777" w:rsidR="009464EA" w:rsidRDefault="006E3892" w:rsidP="00AD3446">
            <w:pPr>
              <w:pStyle w:val="Heading2"/>
              <w:numPr>
                <w:ilvl w:val="0"/>
                <w:numId w:val="0"/>
              </w:numPr>
              <w:outlineLvl w:val="1"/>
            </w:pPr>
            <w:r>
              <w:t xml:space="preserve">NHS Terms and Conditions </w:t>
            </w:r>
          </w:p>
          <w:p w14:paraId="20C73839" w14:textId="77777777" w:rsidR="006E3892" w:rsidRDefault="006E3892" w:rsidP="00AD3446">
            <w:pPr>
              <w:pStyle w:val="Heading2"/>
              <w:numPr>
                <w:ilvl w:val="0"/>
                <w:numId w:val="0"/>
              </w:numPr>
              <w:outlineLvl w:val="1"/>
            </w:pPr>
          </w:p>
        </w:tc>
      </w:tr>
      <w:tr w:rsidR="00675C18" w14:paraId="3196DE32" w14:textId="77777777" w:rsidTr="009A3E29">
        <w:trPr>
          <w:gridAfter w:val="1"/>
          <w:wAfter w:w="2410" w:type="dxa"/>
        </w:trPr>
        <w:tc>
          <w:tcPr>
            <w:tcW w:w="1134" w:type="dxa"/>
          </w:tcPr>
          <w:p w14:paraId="635D0834" w14:textId="03D6EF8C" w:rsidR="00675C18" w:rsidRDefault="00675C18" w:rsidP="00AD3446">
            <w:pPr>
              <w:pStyle w:val="Heading2"/>
              <w:numPr>
                <w:ilvl w:val="0"/>
                <w:numId w:val="0"/>
              </w:numPr>
              <w:jc w:val="center"/>
              <w:outlineLvl w:val="1"/>
            </w:pPr>
            <w:r>
              <w:t>Annex A2</w:t>
            </w:r>
          </w:p>
        </w:tc>
        <w:tc>
          <w:tcPr>
            <w:tcW w:w="5386" w:type="dxa"/>
          </w:tcPr>
          <w:p w14:paraId="67B08DFF" w14:textId="77777777" w:rsidR="00675C18" w:rsidRDefault="00675C18" w:rsidP="00AD3446">
            <w:pPr>
              <w:pStyle w:val="Heading2"/>
              <w:numPr>
                <w:ilvl w:val="0"/>
                <w:numId w:val="0"/>
              </w:numPr>
              <w:outlineLvl w:val="1"/>
            </w:pPr>
            <w:r>
              <w:t>Specification</w:t>
            </w:r>
          </w:p>
          <w:p w14:paraId="0310ABAE" w14:textId="77777777" w:rsidR="00675C18" w:rsidRDefault="00675C18" w:rsidP="00AD3446">
            <w:pPr>
              <w:pStyle w:val="Heading2"/>
              <w:numPr>
                <w:ilvl w:val="0"/>
                <w:numId w:val="0"/>
              </w:numPr>
              <w:outlineLvl w:val="1"/>
            </w:pPr>
          </w:p>
        </w:tc>
      </w:tr>
      <w:tr w:rsidR="00953B6C" w14:paraId="20C73840" w14:textId="77777777" w:rsidTr="009A3E29">
        <w:trPr>
          <w:gridAfter w:val="1"/>
          <w:wAfter w:w="2410" w:type="dxa"/>
        </w:trPr>
        <w:tc>
          <w:tcPr>
            <w:tcW w:w="6520" w:type="dxa"/>
            <w:gridSpan w:val="2"/>
            <w:shd w:val="clear" w:color="auto" w:fill="BFBFBF" w:themeFill="background1" w:themeFillShade="BF"/>
          </w:tcPr>
          <w:p w14:paraId="20C7383F" w14:textId="7B445C0E"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14:paraId="20C73844" w14:textId="77777777" w:rsidTr="009A3E29">
        <w:trPr>
          <w:gridAfter w:val="1"/>
          <w:wAfter w:w="2410" w:type="dxa"/>
        </w:trPr>
        <w:tc>
          <w:tcPr>
            <w:tcW w:w="1134" w:type="dxa"/>
          </w:tcPr>
          <w:p w14:paraId="3DE8F468" w14:textId="2CF506BC" w:rsidR="00675C18" w:rsidRDefault="00675C18" w:rsidP="00AD3446">
            <w:pPr>
              <w:pStyle w:val="Heading2"/>
              <w:numPr>
                <w:ilvl w:val="0"/>
                <w:numId w:val="0"/>
              </w:numPr>
              <w:jc w:val="center"/>
              <w:outlineLvl w:val="1"/>
            </w:pPr>
            <w:r>
              <w:t>Annex B1</w:t>
            </w:r>
          </w:p>
          <w:p w14:paraId="20C73841" w14:textId="1711F2D5" w:rsidR="00953B6C" w:rsidRDefault="00953B6C" w:rsidP="00AD3446">
            <w:pPr>
              <w:pStyle w:val="Heading2"/>
              <w:numPr>
                <w:ilvl w:val="0"/>
                <w:numId w:val="0"/>
              </w:numPr>
              <w:jc w:val="center"/>
              <w:outlineLvl w:val="1"/>
            </w:pPr>
          </w:p>
        </w:tc>
        <w:tc>
          <w:tcPr>
            <w:tcW w:w="5386" w:type="dxa"/>
          </w:tcPr>
          <w:p w14:paraId="4F1022AD" w14:textId="390F3285" w:rsidR="00675C18" w:rsidRDefault="00675C18" w:rsidP="00AD3446">
            <w:pPr>
              <w:pStyle w:val="Heading2"/>
              <w:numPr>
                <w:ilvl w:val="0"/>
                <w:numId w:val="0"/>
              </w:numPr>
              <w:outlineLvl w:val="1"/>
            </w:pPr>
            <w:r>
              <w:t>Eligibility questions</w:t>
            </w:r>
          </w:p>
          <w:p w14:paraId="20C73843" w14:textId="77777777" w:rsidR="009464EA" w:rsidRDefault="009464EA" w:rsidP="00675C18">
            <w:pPr>
              <w:pStyle w:val="Heading2"/>
              <w:numPr>
                <w:ilvl w:val="0"/>
                <w:numId w:val="0"/>
              </w:numPr>
              <w:outlineLvl w:val="1"/>
            </w:pPr>
          </w:p>
        </w:tc>
      </w:tr>
      <w:tr w:rsidR="00C573A4" w14:paraId="20C7384C" w14:textId="77777777" w:rsidTr="009A3E29">
        <w:trPr>
          <w:gridAfter w:val="1"/>
          <w:wAfter w:w="2410" w:type="dxa"/>
        </w:trPr>
        <w:tc>
          <w:tcPr>
            <w:tcW w:w="1134" w:type="dxa"/>
          </w:tcPr>
          <w:p w14:paraId="20C73849" w14:textId="3F19DE53" w:rsidR="00C573A4" w:rsidRDefault="006E3892" w:rsidP="00AC04A3">
            <w:pPr>
              <w:pStyle w:val="Heading2"/>
              <w:numPr>
                <w:ilvl w:val="0"/>
                <w:numId w:val="0"/>
              </w:numPr>
              <w:jc w:val="center"/>
              <w:outlineLvl w:val="1"/>
            </w:pPr>
            <w:r>
              <w:t>Annex B</w:t>
            </w:r>
            <w:r w:rsidR="00AC04A3">
              <w:t>2</w:t>
            </w:r>
          </w:p>
        </w:tc>
        <w:tc>
          <w:tcPr>
            <w:tcW w:w="5386" w:type="dxa"/>
          </w:tcPr>
          <w:p w14:paraId="20C7384A" w14:textId="77777777" w:rsidR="00C573A4" w:rsidRDefault="0035766D" w:rsidP="00AD3446">
            <w:pPr>
              <w:pStyle w:val="Heading2"/>
              <w:numPr>
                <w:ilvl w:val="0"/>
                <w:numId w:val="0"/>
              </w:numPr>
              <w:outlineLvl w:val="1"/>
            </w:pPr>
            <w:r>
              <w:t>Tender Response Do</w:t>
            </w:r>
            <w:r w:rsidR="00A66B5D">
              <w:t>cument</w:t>
            </w:r>
          </w:p>
          <w:p w14:paraId="20C7384B" w14:textId="77777777" w:rsidR="009464EA" w:rsidRDefault="009464EA" w:rsidP="00AD3446">
            <w:pPr>
              <w:pStyle w:val="Heading2"/>
              <w:numPr>
                <w:ilvl w:val="0"/>
                <w:numId w:val="0"/>
              </w:numPr>
              <w:outlineLvl w:val="1"/>
            </w:pPr>
          </w:p>
        </w:tc>
      </w:tr>
      <w:tr w:rsidR="00C573A4" w14:paraId="20C73850" w14:textId="77777777" w:rsidTr="009A3E29">
        <w:trPr>
          <w:gridAfter w:val="1"/>
          <w:wAfter w:w="2410" w:type="dxa"/>
        </w:trPr>
        <w:tc>
          <w:tcPr>
            <w:tcW w:w="1134" w:type="dxa"/>
          </w:tcPr>
          <w:p w14:paraId="20C7384D" w14:textId="792EA34C" w:rsidR="00C573A4" w:rsidRDefault="006E3892" w:rsidP="00AC04A3">
            <w:pPr>
              <w:pStyle w:val="Heading2"/>
              <w:numPr>
                <w:ilvl w:val="0"/>
                <w:numId w:val="0"/>
              </w:numPr>
              <w:jc w:val="center"/>
              <w:outlineLvl w:val="1"/>
            </w:pPr>
            <w:r>
              <w:t>Annex B</w:t>
            </w:r>
            <w:r w:rsidR="00AC04A3">
              <w:t>3</w:t>
            </w:r>
          </w:p>
        </w:tc>
        <w:tc>
          <w:tcPr>
            <w:tcW w:w="5386" w:type="dxa"/>
            <w:tcBorders>
              <w:bottom w:val="single" w:sz="4" w:space="0" w:color="auto"/>
            </w:tcBorders>
          </w:tcPr>
          <w:p w14:paraId="20C7384E" w14:textId="77777777" w:rsidR="00C573A4" w:rsidRDefault="00490EBA" w:rsidP="00AD3446">
            <w:pPr>
              <w:pStyle w:val="Heading2"/>
              <w:numPr>
                <w:ilvl w:val="0"/>
                <w:numId w:val="0"/>
              </w:numPr>
              <w:outlineLvl w:val="1"/>
            </w:pPr>
            <w:r>
              <w:t>Commercial S</w:t>
            </w:r>
            <w:r w:rsidR="00A66B5D">
              <w:t>chedule</w:t>
            </w:r>
          </w:p>
          <w:p w14:paraId="20C7384F" w14:textId="77777777" w:rsidR="009464EA" w:rsidRDefault="009464EA" w:rsidP="00AD3446">
            <w:pPr>
              <w:pStyle w:val="Heading2"/>
              <w:numPr>
                <w:ilvl w:val="0"/>
                <w:numId w:val="0"/>
              </w:numPr>
              <w:outlineLvl w:val="1"/>
            </w:pPr>
          </w:p>
        </w:tc>
      </w:tr>
      <w:tr w:rsidR="009A3E29" w14:paraId="20C73855" w14:textId="77777777" w:rsidTr="009A3E29">
        <w:tc>
          <w:tcPr>
            <w:tcW w:w="1134" w:type="dxa"/>
          </w:tcPr>
          <w:p w14:paraId="20C73851" w14:textId="422D950E" w:rsidR="009A3E29" w:rsidRDefault="006E3892" w:rsidP="00AC04A3">
            <w:pPr>
              <w:pStyle w:val="Heading2"/>
              <w:numPr>
                <w:ilvl w:val="0"/>
                <w:numId w:val="0"/>
              </w:numPr>
              <w:jc w:val="center"/>
              <w:outlineLvl w:val="1"/>
            </w:pPr>
            <w:r>
              <w:t>Annex B</w:t>
            </w:r>
            <w:r w:rsidR="00AC04A3">
              <w:t>4</w:t>
            </w:r>
          </w:p>
        </w:tc>
        <w:tc>
          <w:tcPr>
            <w:tcW w:w="5386" w:type="dxa"/>
            <w:tcBorders>
              <w:right w:val="single" w:sz="4" w:space="0" w:color="auto"/>
            </w:tcBorders>
          </w:tcPr>
          <w:p w14:paraId="20C73852" w14:textId="77777777" w:rsidR="009A3E29" w:rsidRDefault="00A66B5D" w:rsidP="00AD3446">
            <w:pPr>
              <w:pStyle w:val="Heading2"/>
              <w:numPr>
                <w:ilvl w:val="0"/>
                <w:numId w:val="0"/>
              </w:numPr>
              <w:outlineLvl w:val="1"/>
            </w:pPr>
            <w:r>
              <w:t>Confidential and commercially sensitive information</w:t>
            </w:r>
          </w:p>
          <w:p w14:paraId="20C73853" w14:textId="77777777"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14:paraId="20C73854" w14:textId="32769213" w:rsidR="009A3E29" w:rsidRPr="00A52A19" w:rsidRDefault="009A3E29" w:rsidP="00AD3446">
            <w:pPr>
              <w:pStyle w:val="Heading2"/>
              <w:numPr>
                <w:ilvl w:val="0"/>
                <w:numId w:val="0"/>
              </w:numPr>
              <w:jc w:val="right"/>
              <w:outlineLvl w:val="1"/>
              <w:rPr>
                <w:rFonts w:ascii="Arial Bold" w:hAnsi="Arial Bold"/>
                <w:color w:val="auto"/>
              </w:rPr>
            </w:pPr>
            <w:bookmarkStart w:id="13" w:name="handonesix"/>
            <w:bookmarkEnd w:id="13"/>
          </w:p>
        </w:tc>
      </w:tr>
      <w:tr w:rsidR="006E3892" w14:paraId="20C7385F" w14:textId="77777777" w:rsidTr="009A3E29">
        <w:tc>
          <w:tcPr>
            <w:tcW w:w="1134" w:type="dxa"/>
          </w:tcPr>
          <w:p w14:paraId="20C7385B" w14:textId="15CF28E6" w:rsidR="006E3892" w:rsidRDefault="006E3892" w:rsidP="00AD3446">
            <w:pPr>
              <w:pStyle w:val="Heading2"/>
              <w:numPr>
                <w:ilvl w:val="0"/>
                <w:numId w:val="0"/>
              </w:numPr>
              <w:jc w:val="center"/>
              <w:outlineLvl w:val="1"/>
            </w:pPr>
            <w:r>
              <w:t>Annex B</w:t>
            </w:r>
            <w:r w:rsidR="00E44C87">
              <w:t>5</w:t>
            </w:r>
          </w:p>
          <w:p w14:paraId="20C7385C" w14:textId="77777777" w:rsidR="006E3892" w:rsidRDefault="006E3892" w:rsidP="00AD3446">
            <w:pPr>
              <w:pStyle w:val="Heading2"/>
              <w:numPr>
                <w:ilvl w:val="0"/>
                <w:numId w:val="0"/>
              </w:numPr>
              <w:jc w:val="center"/>
              <w:outlineLvl w:val="1"/>
            </w:pPr>
          </w:p>
        </w:tc>
        <w:tc>
          <w:tcPr>
            <w:tcW w:w="5386" w:type="dxa"/>
            <w:tcBorders>
              <w:right w:val="single" w:sz="4" w:space="0" w:color="auto"/>
            </w:tcBorders>
          </w:tcPr>
          <w:p w14:paraId="20C7385D" w14:textId="77777777"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14:paraId="20C7385E" w14:textId="77777777" w:rsidR="006E3892" w:rsidRDefault="006E3892" w:rsidP="00AD3446">
            <w:pPr>
              <w:pStyle w:val="Heading2"/>
              <w:numPr>
                <w:ilvl w:val="0"/>
                <w:numId w:val="0"/>
              </w:numPr>
              <w:jc w:val="right"/>
              <w:outlineLvl w:val="1"/>
            </w:pPr>
          </w:p>
        </w:tc>
      </w:tr>
    </w:tbl>
    <w:p w14:paraId="20C73860" w14:textId="77777777" w:rsidR="003E3276" w:rsidRDefault="003E3276" w:rsidP="00247F0F">
      <w:pPr>
        <w:pStyle w:val="Heading2"/>
        <w:numPr>
          <w:ilvl w:val="0"/>
          <w:numId w:val="0"/>
        </w:numPr>
        <w:ind w:left="851"/>
        <w:rPr>
          <w:b/>
        </w:rPr>
      </w:pPr>
    </w:p>
    <w:p w14:paraId="20C73861" w14:textId="77777777" w:rsidR="00247F0F" w:rsidRDefault="00247F0F" w:rsidP="004270D9">
      <w:pPr>
        <w:pStyle w:val="Heading1"/>
        <w:spacing w:before="240" w:after="0"/>
        <w:ind w:left="851"/>
        <w:rPr>
          <w:b w:val="0"/>
        </w:rPr>
      </w:pPr>
      <w:bookmarkStart w:id="14" w:name="_Toc403555084"/>
      <w:r>
        <w:t xml:space="preserve">Introduction to the </w:t>
      </w:r>
      <w:r w:rsidR="00740C0F">
        <w:t>procurement</w:t>
      </w:r>
      <w:bookmarkEnd w:id="14"/>
      <w:r>
        <w:t xml:space="preserve"> </w:t>
      </w:r>
    </w:p>
    <w:p w14:paraId="6CE56EAF" w14:textId="77777777" w:rsidR="009A6967" w:rsidRDefault="009A6967" w:rsidP="00E203C9">
      <w:pPr>
        <w:pStyle w:val="MRNumberedHeading2"/>
        <w:tabs>
          <w:tab w:val="clear" w:pos="720"/>
          <w:tab w:val="num" w:pos="851"/>
        </w:tabs>
        <w:ind w:left="851" w:hanging="851"/>
      </w:pPr>
      <w:bookmarkStart w:id="15" w:name="_Toc403555085"/>
      <w:bookmarkStart w:id="16" w:name="_Ref405466279"/>
      <w:bookmarkStart w:id="17" w:name="_Ref405466286"/>
      <w:r>
        <w:t>Queen Elizabeth Hospital Birmingham ("QEHB"), which is run by UHB, is recognised as one of the leading hospitals in Europe and has an international reputation for quality of care, informatics/IT, clinical training and research.</w:t>
      </w:r>
    </w:p>
    <w:p w14:paraId="241729F6" w14:textId="77777777" w:rsidR="00D55969" w:rsidRDefault="009A6967" w:rsidP="00E203C9">
      <w:pPr>
        <w:pStyle w:val="MRNumberedHeading2"/>
        <w:tabs>
          <w:tab w:val="clear" w:pos="720"/>
          <w:tab w:val="num" w:pos="851"/>
        </w:tabs>
        <w:ind w:left="851" w:hanging="851"/>
      </w:pPr>
      <w:r>
        <w:t>QEHB provides direct clinical services to nearly one million patients every year, serving a regional, national and international population. It is a regional centre for cancer, trauma, renal dialysis, burns and plastics, and has the largest solid organ transplantation programme in Europe.  UHB has the largest kidney programme in the UK, is a major specialist centre for burns and plastic surgery, and neurosciences, and has a specialist cancer centre.</w:t>
      </w:r>
    </w:p>
    <w:p w14:paraId="3D98E9B8" w14:textId="27B1923E" w:rsidR="009A6967" w:rsidRDefault="009A6967" w:rsidP="00E203C9">
      <w:pPr>
        <w:pStyle w:val="MRNumberedHeading2"/>
        <w:tabs>
          <w:tab w:val="clear" w:pos="720"/>
          <w:tab w:val="num" w:pos="851"/>
        </w:tabs>
        <w:ind w:left="851" w:hanging="851"/>
      </w:pPr>
      <w:r>
        <w:lastRenderedPageBreak/>
        <w:t xml:space="preserve">UHB provides a series of highly specialist cardiac, liver, oncology and neurosurgery services to patients from across the UK. </w:t>
      </w:r>
    </w:p>
    <w:p w14:paraId="2E4B00FA" w14:textId="77777777" w:rsidR="009A6967" w:rsidRDefault="009A6967" w:rsidP="00E203C9">
      <w:pPr>
        <w:pStyle w:val="MRNumberedHeading2"/>
        <w:tabs>
          <w:tab w:val="clear" w:pos="720"/>
          <w:tab w:val="num" w:pos="851"/>
        </w:tabs>
        <w:ind w:left="851" w:hanging="851"/>
      </w:pPr>
      <w:r>
        <w:t>QEHB is world-renowned for its trauma care and has developed pioneering surgical techniques in the management of ballistic and blast injuries, including bespoke surgical solutions for previously unseen injuries. As a result of its clinical expertise in treating trauma patients and military casualties, QEHB has been designated both a Level 1 Trauma Centre and host of the UK’s only £20m National Institute for Health Research (NIHR) Surgical Reconstruction and Microbiology Research Centre (SRMRC).</w:t>
      </w:r>
    </w:p>
    <w:p w14:paraId="0E713517" w14:textId="77777777" w:rsidR="009A6967" w:rsidRDefault="009A6967" w:rsidP="00E203C9">
      <w:pPr>
        <w:pStyle w:val="MRNumberedHeading2"/>
        <w:tabs>
          <w:tab w:val="clear" w:pos="720"/>
          <w:tab w:val="num" w:pos="851"/>
        </w:tabs>
        <w:ind w:left="851" w:hanging="851"/>
      </w:pPr>
      <w:r>
        <w:t>UHB employs more than 9,000 members of staff and run the largest single-site hospital in the country. The £545m QEHB opened its doors to patients on 16 June 2010.  It has 1,213 inpatient beds, 30 operating theatres and a 100-bed critical care unit, the largest co-located critical care unit in the world. Due to demand on its services, UHB has also opened a further 170 beds in the original Queen Elizabeth Hospital, now known as the Heritage Building, as well as a second Ambulatory Care facility and two extra theatres.</w:t>
      </w:r>
    </w:p>
    <w:p w14:paraId="280E64A9" w14:textId="77777777" w:rsidR="009A6967" w:rsidRDefault="009A6967" w:rsidP="00E203C9">
      <w:pPr>
        <w:pStyle w:val="MRNumberedHeading2"/>
        <w:tabs>
          <w:tab w:val="clear" w:pos="720"/>
          <w:tab w:val="num" w:pos="851"/>
        </w:tabs>
        <w:ind w:left="851" w:hanging="851"/>
      </w:pPr>
      <w:r>
        <w:t>QEHB is host to the Royal Centre for Defence Medicine (RCDM) and treats all seriously injured British military personnel evacuated from overseas. It also treats military casualties from other countries, such as Denmark.</w:t>
      </w:r>
    </w:p>
    <w:p w14:paraId="4B386ECD" w14:textId="77777777" w:rsidR="009A6967" w:rsidRDefault="009A6967" w:rsidP="00E203C9">
      <w:pPr>
        <w:pStyle w:val="MRNumberedHeading2"/>
        <w:tabs>
          <w:tab w:val="clear" w:pos="720"/>
          <w:tab w:val="num" w:pos="851"/>
        </w:tabs>
        <w:ind w:left="851" w:hanging="851"/>
      </w:pPr>
      <w:r>
        <w:t xml:space="preserve">The location on one site of QEHB, RCDM, the University </w:t>
      </w:r>
      <w:proofErr w:type="gramStart"/>
      <w:r>
        <w:t>of</w:t>
      </w:r>
      <w:proofErr w:type="gramEnd"/>
      <w:r>
        <w:t xml:space="preserve"> Birmingham Medical School and Birmingham Women’s Hospital makes our healthcare campus one of the largest in the world.  QEHB also has close strategic and operational links with other nearby hospital trusts, including Birmingham Children’s Hospital and the Royal Orthopaedic Hospital.</w:t>
      </w:r>
    </w:p>
    <w:p w14:paraId="20C73862" w14:textId="5C5F95CE" w:rsidR="00CE4B87" w:rsidRPr="00CE4B87" w:rsidRDefault="009A6967" w:rsidP="00E203C9">
      <w:pPr>
        <w:pStyle w:val="MRNumberedHeading2"/>
        <w:tabs>
          <w:tab w:val="clear" w:pos="720"/>
          <w:tab w:val="num" w:pos="851"/>
        </w:tabs>
        <w:ind w:left="851" w:hanging="851"/>
      </w:pPr>
      <w:r>
        <w:t xml:space="preserve">Further information about QEHB can be found at http://www.uhb.nhs.uk/about-us.htm </w:t>
      </w:r>
      <w:bookmarkEnd w:id="15"/>
      <w:bookmarkEnd w:id="16"/>
      <w:bookmarkEnd w:id="17"/>
    </w:p>
    <w:p w14:paraId="2BDAA87F" w14:textId="5B9A5D28" w:rsidR="00101BB9" w:rsidRDefault="00101BB9" w:rsidP="00101BB9">
      <w:pPr>
        <w:pStyle w:val="MRNumberedHeading2"/>
        <w:tabs>
          <w:tab w:val="clear" w:pos="720"/>
          <w:tab w:val="num" w:pos="851"/>
        </w:tabs>
        <w:ind w:left="851" w:hanging="851"/>
      </w:pPr>
      <w:bookmarkStart w:id="18" w:name="_Toc403555087"/>
      <w:r w:rsidRPr="001878D7">
        <w:t xml:space="preserve">The purpose of this </w:t>
      </w:r>
      <w:r w:rsidR="00C344CB">
        <w:t>ITT</w:t>
      </w:r>
      <w:r w:rsidRPr="001878D7">
        <w:t xml:space="preserve"> is to identify and commission a suitable provider who would be able to meet and deliver the required standard of care for a cohort of glaucoma patients. The service is outpatient based and no day case activity will be required.</w:t>
      </w:r>
      <w:r>
        <w:t xml:space="preserve"> </w:t>
      </w:r>
    </w:p>
    <w:p w14:paraId="7E7EEB52" w14:textId="066BE252" w:rsidR="00101BB9" w:rsidRDefault="00101BB9" w:rsidP="00101BB9">
      <w:pPr>
        <w:pStyle w:val="MRNumberedHeading2"/>
        <w:tabs>
          <w:tab w:val="clear" w:pos="720"/>
          <w:tab w:val="num" w:pos="851"/>
        </w:tabs>
        <w:ind w:left="851" w:hanging="851"/>
      </w:pPr>
      <w:r>
        <w:t xml:space="preserve">Demand for glaucoma is increasing nationally and the same is true for the service at University Birmingham NHS Foundation Trust (UHBFT). This is due to population growth, an aging population, new technologies and treatments, and changes in clinical standards. The Clinical Commissioning Groups (CCGs) in Birmingham have commenced a procurement process for the provision of a community based glaucoma service which is expected to launch in 2018. In the meantime however, demand is continuing to grow and a short term solution is required. This service set out in the </w:t>
      </w:r>
      <w:r w:rsidR="00C344CB">
        <w:t xml:space="preserve">Service </w:t>
      </w:r>
      <w:r>
        <w:t xml:space="preserve">Specification in Annex A2 is required to support the Ophthalmology department at UHBFT in order to bridge the capacity shortfall whilst the CCGs </w:t>
      </w:r>
      <w:r w:rsidR="00C344CB">
        <w:t xml:space="preserve">are </w:t>
      </w:r>
      <w:r>
        <w:t>commissioning a community based model.</w:t>
      </w:r>
    </w:p>
    <w:p w14:paraId="6616AB2A" w14:textId="6C671B7E" w:rsidR="00101BB9" w:rsidRPr="001878D7" w:rsidRDefault="00101BB9" w:rsidP="00101BB9">
      <w:pPr>
        <w:pStyle w:val="MRNumberedHeading2"/>
        <w:tabs>
          <w:tab w:val="clear" w:pos="720"/>
          <w:tab w:val="num" w:pos="851"/>
        </w:tabs>
        <w:ind w:left="851" w:hanging="851"/>
      </w:pPr>
      <w:r>
        <w:t>It is important to note that it is expected that this service will be delivered within the Ophthalmology department at UHBFT, using the UHBFT equipment, IT systems and processes. It is expected that the clinics will run on Sundays and at least one evening per week every week.</w:t>
      </w:r>
      <w:r w:rsidR="00CB3968">
        <w:t xml:space="preserve"> Clinics must not run more than 3 days apart in order to ensure that the service is able to respond to patients who need to be seen back again in clinic at short notice.</w:t>
      </w:r>
      <w:r>
        <w:t xml:space="preserve"> The contract will be award</w:t>
      </w:r>
      <w:r w:rsidR="00D11C17">
        <w:t>ed</w:t>
      </w:r>
      <w:r>
        <w:t xml:space="preserve"> for 12 months initially with an option to extend for a further 12 months if both parties agree.</w:t>
      </w:r>
      <w:r w:rsidR="00CB3968">
        <w:t xml:space="preserve"> There will be a 6 month notice period.</w:t>
      </w:r>
    </w:p>
    <w:p w14:paraId="6B3729C8" w14:textId="73D618E9" w:rsidR="00D11C17" w:rsidRPr="00D11C17" w:rsidRDefault="008D5AE1" w:rsidP="00E203C9">
      <w:pPr>
        <w:pStyle w:val="MRNumberedHeading2"/>
        <w:tabs>
          <w:tab w:val="clear" w:pos="720"/>
          <w:tab w:val="num" w:pos="851"/>
        </w:tabs>
        <w:ind w:left="851" w:hanging="851"/>
      </w:pPr>
      <w:r>
        <w:rPr>
          <w:color w:val="000000"/>
        </w:rPr>
        <w:t>Bidders should note that i</w:t>
      </w:r>
      <w:r w:rsidR="00D11C17" w:rsidRPr="00D11C17">
        <w:rPr>
          <w:color w:val="000000"/>
        </w:rPr>
        <w:t>t is the aim for clinical work to commence from the week commencing 8</w:t>
      </w:r>
      <w:r w:rsidR="00D11C17" w:rsidRPr="00D11C17">
        <w:rPr>
          <w:color w:val="000000"/>
          <w:vertAlign w:val="superscript"/>
        </w:rPr>
        <w:t>th</w:t>
      </w:r>
      <w:r w:rsidR="00D11C17" w:rsidRPr="00D11C17">
        <w:rPr>
          <w:color w:val="000000"/>
        </w:rPr>
        <w:t xml:space="preserve"> January 2018. It is expected that the </w:t>
      </w:r>
      <w:r w:rsidR="0016453A">
        <w:rPr>
          <w:color w:val="000000"/>
        </w:rPr>
        <w:t xml:space="preserve">successful Bidder </w:t>
      </w:r>
      <w:r w:rsidR="00D11C17" w:rsidRPr="00D11C17">
        <w:rPr>
          <w:color w:val="000000"/>
        </w:rPr>
        <w:t xml:space="preserve">would be able to mobilise within 4-6 weeks of the contract being awarded. The </w:t>
      </w:r>
      <w:r w:rsidR="0016453A">
        <w:rPr>
          <w:color w:val="000000"/>
        </w:rPr>
        <w:t xml:space="preserve">successful Bidder </w:t>
      </w:r>
      <w:r w:rsidR="00D11C17" w:rsidRPr="00D11C17">
        <w:rPr>
          <w:color w:val="000000"/>
        </w:rPr>
        <w:t xml:space="preserve">must be able to deliver two clinics per week no more than three days apart during the following hours: Monday to Friday 17:30 – 22:00 and Sunday 08:00 – 22:00. The </w:t>
      </w:r>
      <w:r w:rsidR="0016453A">
        <w:rPr>
          <w:color w:val="000000"/>
        </w:rPr>
        <w:t xml:space="preserve">successful Bidder </w:t>
      </w:r>
      <w:r w:rsidR="00D11C17" w:rsidRPr="00D11C17">
        <w:rPr>
          <w:color w:val="000000"/>
        </w:rPr>
        <w:t xml:space="preserve">must be able to provide a named consultant responsible for each patient’s clinical pathway whilst under their care. The </w:t>
      </w:r>
      <w:r>
        <w:rPr>
          <w:color w:val="000000"/>
        </w:rPr>
        <w:t xml:space="preserve">successful Bidder </w:t>
      </w:r>
      <w:r w:rsidR="00D11C17" w:rsidRPr="00D11C17">
        <w:rPr>
          <w:color w:val="000000"/>
        </w:rPr>
        <w:t>must have appropriately trained staff to deliver all aspects of service as described in the Service Specification.</w:t>
      </w:r>
    </w:p>
    <w:p w14:paraId="37A0C7D1" w14:textId="01E31EDD" w:rsidR="008D5AE1" w:rsidRPr="008D5AE1" w:rsidRDefault="008D5AE1" w:rsidP="00E203C9">
      <w:pPr>
        <w:pStyle w:val="MRNumberedHeading2"/>
        <w:tabs>
          <w:tab w:val="clear" w:pos="720"/>
          <w:tab w:val="num" w:pos="851"/>
        </w:tabs>
        <w:ind w:left="851" w:hanging="851"/>
      </w:pPr>
      <w:r w:rsidRPr="008D5AE1">
        <w:rPr>
          <w:color w:val="000000"/>
        </w:rPr>
        <w:lastRenderedPageBreak/>
        <w:t xml:space="preserve">Bidders should also note that if they </w:t>
      </w:r>
      <w:r w:rsidR="00D11C17" w:rsidRPr="008D5AE1">
        <w:rPr>
          <w:color w:val="000000"/>
        </w:rPr>
        <w:t>do not have a CQC license, then further evidence of a robust clinical framework and governance systems w</w:t>
      </w:r>
      <w:r w:rsidRPr="008D5AE1">
        <w:rPr>
          <w:color w:val="000000"/>
        </w:rPr>
        <w:t>ill</w:t>
      </w:r>
      <w:r w:rsidR="00D11C17" w:rsidRPr="008D5AE1">
        <w:rPr>
          <w:color w:val="000000"/>
        </w:rPr>
        <w:t xml:space="preserve"> need to be demonstrated</w:t>
      </w:r>
      <w:r w:rsidR="00C344CB">
        <w:rPr>
          <w:color w:val="000000"/>
        </w:rPr>
        <w:t xml:space="preserve"> as part of the tender process.</w:t>
      </w:r>
    </w:p>
    <w:p w14:paraId="20C73864" w14:textId="0123B478" w:rsidR="00603A0D" w:rsidRDefault="00603A0D" w:rsidP="00E203C9">
      <w:pPr>
        <w:pStyle w:val="MRNumberedHeading2"/>
        <w:tabs>
          <w:tab w:val="clear" w:pos="720"/>
          <w:tab w:val="num" w:pos="851"/>
        </w:tabs>
        <w:ind w:left="851" w:hanging="851"/>
      </w:pPr>
      <w:r w:rsidRPr="00533CB2">
        <w:t xml:space="preserve">Full details of the Authority's requirements are set out in the </w:t>
      </w:r>
      <w:r w:rsidR="00C344CB">
        <w:t xml:space="preserve">Service </w:t>
      </w:r>
      <w:r w:rsidRPr="00533CB2">
        <w:t xml:space="preserve">Specification in </w:t>
      </w:r>
      <w:r w:rsidR="007F5F02">
        <w:t xml:space="preserve">Annex </w:t>
      </w:r>
      <w:r w:rsidR="00675C18">
        <w:t>A</w:t>
      </w:r>
      <w:r w:rsidR="007F5F02">
        <w:t>2.</w:t>
      </w:r>
      <w:bookmarkEnd w:id="18"/>
      <w:r w:rsidR="007F5F02">
        <w:t xml:space="preserve"> </w:t>
      </w:r>
    </w:p>
    <w:p w14:paraId="3A3D7776" w14:textId="631CC461" w:rsidR="006C2646" w:rsidRDefault="006C2646" w:rsidP="004270D9">
      <w:pPr>
        <w:pStyle w:val="Heading1"/>
        <w:spacing w:before="240" w:after="0"/>
        <w:ind w:left="851"/>
      </w:pPr>
      <w:bookmarkStart w:id="19" w:name="_Toc403555088"/>
      <w:r>
        <w:t>SMEs</w:t>
      </w:r>
    </w:p>
    <w:p w14:paraId="7FD936E0" w14:textId="318C9642" w:rsidR="006C2646" w:rsidRDefault="006C2646" w:rsidP="00E203C9">
      <w:pPr>
        <w:pStyle w:val="MRNumberedHeading2"/>
        <w:tabs>
          <w:tab w:val="clear" w:pos="720"/>
          <w:tab w:val="num" w:pos="851"/>
        </w:tabs>
        <w:ind w:left="851" w:hanging="851"/>
      </w:pPr>
      <w:bookmarkStart w:id="20" w:name="_Toc403555089"/>
      <w:bookmarkEnd w:id="19"/>
      <w:r>
        <w:t xml:space="preserve">The Authority is committed to supporting the Government’s small and medium-sized enterprise (SME) initiative: its aspiration is that 25% of spend, direct and through the supply chain, goes to SMEs by 2015. Suppliers are encouraged to work with the Authority to support the wider SME initiative. </w:t>
      </w:r>
    </w:p>
    <w:p w14:paraId="6B8BD5E7" w14:textId="3ADBC8A5" w:rsidR="006C2646" w:rsidRDefault="006C2646" w:rsidP="00E203C9">
      <w:pPr>
        <w:pStyle w:val="MRNumberedHeading2"/>
        <w:tabs>
          <w:tab w:val="clear" w:pos="720"/>
          <w:tab w:val="num" w:pos="851"/>
        </w:tabs>
        <w:ind w:left="851" w:hanging="851"/>
      </w:pPr>
      <w:r>
        <w:t xml:space="preserve">The link below to the Cabinet Office website provides information on the Government’s Crown Representative for SMEs, a link to the definition of an SME and details on the SME initiative:  </w:t>
      </w:r>
      <w:hyperlink r:id="rId18" w:anchor="appendix-1-making-sure-government-gets-full-value-from-small-and-medium-sized-enterprises" w:history="1">
        <w:r w:rsidRPr="007C1935">
          <w:rPr>
            <w:rStyle w:val="Hyperlink"/>
          </w:rPr>
          <w:t>https://www.gov.uk/government/publications/2010-to-2015-government-policy-government-buying/2010-to-2015-government-policy-government-buying#appendix-1-making-sure-government-gets-full-value-from-small-and-medium-sized-enterprises</w:t>
        </w:r>
      </w:hyperlink>
    </w:p>
    <w:p w14:paraId="20C73868" w14:textId="77777777" w:rsidR="00247F0F" w:rsidRDefault="005F3F33" w:rsidP="004270D9">
      <w:pPr>
        <w:pStyle w:val="Heading1"/>
        <w:spacing w:before="240" w:after="0"/>
        <w:ind w:left="851"/>
        <w:rPr>
          <w:b w:val="0"/>
        </w:rPr>
      </w:pPr>
      <w:bookmarkStart w:id="21" w:name="_Toc403555091"/>
      <w:bookmarkEnd w:id="20"/>
      <w:r>
        <w:t>Purpose and scope of this ITT</w:t>
      </w:r>
      <w:bookmarkEnd w:id="21"/>
    </w:p>
    <w:p w14:paraId="20C73869" w14:textId="45032D0D" w:rsidR="005F3F33" w:rsidRDefault="005F3F33" w:rsidP="00E203C9">
      <w:pPr>
        <w:pStyle w:val="MRNumberedHeading2"/>
        <w:tabs>
          <w:tab w:val="clear" w:pos="720"/>
          <w:tab w:val="num" w:pos="851"/>
        </w:tabs>
        <w:ind w:left="851" w:hanging="851"/>
      </w:pPr>
      <w:bookmarkStart w:id="22" w:name="_Toc403555092"/>
      <w:r>
        <w:t>This ITT:</w:t>
      </w:r>
      <w:bookmarkEnd w:id="22"/>
    </w:p>
    <w:p w14:paraId="20C7386A"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ITT; </w:t>
      </w:r>
    </w:p>
    <w:p w14:paraId="20C7386B"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sets out the overall timetable and process for the procurement; </w:t>
      </w:r>
    </w:p>
    <w:p w14:paraId="20C7386C"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provides Bidders with sufficient information to enable them to submit a compliant Tender; </w:t>
      </w:r>
    </w:p>
    <w:p w14:paraId="20C7386D"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14:paraId="20C7386E"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proofErr w:type="gramStart"/>
      <w:r w:rsidRPr="00343763">
        <w:rPr>
          <w:szCs w:val="20"/>
        </w:rPr>
        <w:t>explains</w:t>
      </w:r>
      <w:proofErr w:type="gramEnd"/>
      <w:r w:rsidRPr="00343763">
        <w:rPr>
          <w:szCs w:val="20"/>
        </w:rPr>
        <w:t xml:space="preserve"> the administrative arrangements for the receipt of Tenders. </w:t>
      </w:r>
    </w:p>
    <w:p w14:paraId="20C7386F" w14:textId="06D1AC70" w:rsidR="006534CF" w:rsidRDefault="00825FC5" w:rsidP="004270D9">
      <w:pPr>
        <w:pStyle w:val="Heading1"/>
        <w:spacing w:before="240" w:after="0"/>
        <w:ind w:left="851"/>
        <w:rPr>
          <w:b w:val="0"/>
        </w:rPr>
      </w:pPr>
      <w:bookmarkStart w:id="23" w:name="_Toc403555093"/>
      <w:r w:rsidRPr="00276E1B">
        <w:t>Questions</w:t>
      </w:r>
      <w:r>
        <w:rPr>
          <w:b w:val="0"/>
        </w:rPr>
        <w:t xml:space="preserve"> </w:t>
      </w:r>
      <w:r w:rsidRPr="00276E1B">
        <w:t>about this ITT</w:t>
      </w:r>
      <w:bookmarkEnd w:id="23"/>
    </w:p>
    <w:p w14:paraId="20C73870" w14:textId="7A7A40DA" w:rsidR="00A4489A" w:rsidRPr="009A3E29" w:rsidRDefault="00825FC5" w:rsidP="00E203C9">
      <w:pPr>
        <w:pStyle w:val="MRNumberedHeading2"/>
        <w:tabs>
          <w:tab w:val="clear" w:pos="720"/>
          <w:tab w:val="num" w:pos="851"/>
        </w:tabs>
        <w:ind w:left="851" w:hanging="851"/>
      </w:pPr>
      <w:bookmarkStart w:id="24" w:name="_Ref478462194"/>
      <w:bookmarkStart w:id="25" w:name="_Toc403555094"/>
      <w:bookmarkStart w:id="26" w:name="_Ref405452872"/>
      <w:r>
        <w:t xml:space="preserve">You may submit, by no later than </w:t>
      </w:r>
      <w:r w:rsidR="00E273FD">
        <w:t xml:space="preserve">midnight on </w:t>
      </w:r>
      <w:r w:rsidR="00E273FD" w:rsidRPr="00CB3968">
        <w:rPr>
          <w:highlight w:val="yellow"/>
        </w:rPr>
        <w:t>31</w:t>
      </w:r>
      <w:r w:rsidR="00E273FD" w:rsidRPr="00CB3968">
        <w:rPr>
          <w:highlight w:val="yellow"/>
          <w:vertAlign w:val="superscript"/>
        </w:rPr>
        <w:t>st</w:t>
      </w:r>
      <w:r w:rsidR="00E273FD" w:rsidRPr="00CB3968">
        <w:rPr>
          <w:highlight w:val="yellow"/>
        </w:rPr>
        <w:t xml:space="preserve"> October 2017</w:t>
      </w:r>
      <w:r>
        <w:t xml:space="preserve"> any queries that you have relating to this ITT.  </w:t>
      </w:r>
      <w:r w:rsidR="00D134FB">
        <w:t xml:space="preserve">The Authority is using the </w:t>
      </w:r>
      <w:r w:rsidR="006C2646">
        <w:t>BravoSolution</w:t>
      </w:r>
      <w:r w:rsidR="00D134FB">
        <w:t xml:space="preserve"> e-tendering portal to conduct the procurement process ("</w:t>
      </w:r>
      <w:r w:rsidR="00D134FB" w:rsidRPr="006C2646">
        <w:rPr>
          <w:b/>
        </w:rPr>
        <w:t>The e-Tendering Portal</w:t>
      </w:r>
      <w:r w:rsidR="00D134FB">
        <w:t>"). The e-Tendering Portal can be accessed</w:t>
      </w:r>
      <w:r w:rsidR="006C2646">
        <w:t xml:space="preserve"> </w:t>
      </w:r>
      <w:hyperlink r:id="rId19" w:history="1">
        <w:r w:rsidR="006C2646" w:rsidRPr="007C1935">
          <w:rPr>
            <w:rStyle w:val="Hyperlink"/>
          </w:rPr>
          <w:t>https://nhs.bravosolution.co.uk/nhs_collaborative/web/login.html</w:t>
        </w:r>
      </w:hyperlink>
      <w:r w:rsidR="00D134FB">
        <w:t>. Please therefore submit such queries via the e-Tendering Portal.</w:t>
      </w:r>
      <w:bookmarkEnd w:id="24"/>
      <w:r w:rsidR="00D134FB">
        <w:t xml:space="preserve"> </w:t>
      </w:r>
      <w:bookmarkEnd w:id="25"/>
      <w:bookmarkEnd w:id="26"/>
    </w:p>
    <w:p w14:paraId="20C73871" w14:textId="4D35DD01" w:rsidR="00825FC5" w:rsidRDefault="00825FC5" w:rsidP="00E203C9">
      <w:pPr>
        <w:pStyle w:val="MRNumberedHeading2"/>
        <w:tabs>
          <w:tab w:val="clear" w:pos="720"/>
          <w:tab w:val="num" w:pos="851"/>
        </w:tabs>
        <w:ind w:left="851" w:hanging="851"/>
      </w:pPr>
      <w:bookmarkStart w:id="27" w:name="_Toc403555095"/>
      <w:bookmarkStart w:id="28" w:name="_Ref478471427"/>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7"/>
      <w:bookmarkEnd w:id="28"/>
    </w:p>
    <w:p w14:paraId="20C73872" w14:textId="1D0ACF3D" w:rsidR="004E71FF" w:rsidRPr="005A2E47" w:rsidRDefault="00825FC5" w:rsidP="00E203C9">
      <w:pPr>
        <w:pStyle w:val="MRNumberedHeading2"/>
        <w:tabs>
          <w:tab w:val="clear" w:pos="720"/>
          <w:tab w:val="num" w:pos="851"/>
        </w:tabs>
        <w:ind w:left="851" w:hanging="851"/>
      </w:pPr>
      <w:bookmarkStart w:id="29"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9"/>
      <w:r w:rsidR="004E71FF">
        <w:br w:type="page"/>
      </w:r>
    </w:p>
    <w:p w14:paraId="20C73873" w14:textId="77777777" w:rsidR="008D3217" w:rsidRPr="008F3D2C" w:rsidRDefault="008D3217" w:rsidP="004270D9">
      <w:pPr>
        <w:pStyle w:val="MRNumberedHeading1"/>
        <w:numPr>
          <w:ilvl w:val="0"/>
          <w:numId w:val="24"/>
        </w:numPr>
        <w:ind w:hanging="798"/>
        <w:jc w:val="both"/>
        <w:rPr>
          <w:sz w:val="20"/>
          <w:szCs w:val="20"/>
        </w:rPr>
      </w:pPr>
      <w:bookmarkStart w:id="30" w:name="_Toc403556502"/>
      <w:bookmarkStart w:id="31" w:name="_Toc403556507"/>
      <w:bookmarkStart w:id="32" w:name="_Toc406674970"/>
      <w:bookmarkStart w:id="33" w:name="_Toc412621212"/>
      <w:bookmarkStart w:id="34" w:name="_Toc489876072"/>
      <w:r w:rsidRPr="008F3D2C">
        <w:rPr>
          <w:sz w:val="20"/>
          <w:szCs w:val="20"/>
        </w:rPr>
        <w:lastRenderedPageBreak/>
        <w:t>TENDER TIMETABLE</w:t>
      </w:r>
      <w:bookmarkEnd w:id="30"/>
      <w:bookmarkEnd w:id="31"/>
      <w:bookmarkEnd w:id="32"/>
      <w:bookmarkEnd w:id="33"/>
      <w:bookmarkEnd w:id="34"/>
    </w:p>
    <w:p w14:paraId="20C73874" w14:textId="77777777" w:rsidR="008D3217" w:rsidRPr="00276E1B" w:rsidRDefault="008D3217" w:rsidP="004270D9">
      <w:pPr>
        <w:pStyle w:val="Heading1"/>
        <w:spacing w:before="240" w:after="0"/>
        <w:ind w:left="851"/>
      </w:pPr>
      <w:bookmarkStart w:id="35" w:name="_Toc403555097"/>
      <w:r w:rsidRPr="00276E1B">
        <w:t>Key dates</w:t>
      </w:r>
      <w:bookmarkEnd w:id="35"/>
    </w:p>
    <w:p w14:paraId="20C73875" w14:textId="77777777" w:rsidR="008D3217" w:rsidRDefault="008D3217" w:rsidP="00E203C9">
      <w:pPr>
        <w:pStyle w:val="MRNumberedHeading2"/>
        <w:tabs>
          <w:tab w:val="clear" w:pos="720"/>
          <w:tab w:val="num" w:pos="851"/>
        </w:tabs>
        <w:ind w:left="851" w:hanging="851"/>
      </w:pPr>
      <w:bookmarkStart w:id="36"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6"/>
      <w:r w:rsidR="00B46DA5">
        <w:t xml:space="preserve"> </w:t>
      </w:r>
    </w:p>
    <w:p w14:paraId="20C73876" w14:textId="77777777" w:rsidR="00B46DA5" w:rsidRDefault="00FE07BA" w:rsidP="00E203C9">
      <w:pPr>
        <w:pStyle w:val="MRNumberedHeading2"/>
        <w:tabs>
          <w:tab w:val="clear" w:pos="720"/>
          <w:tab w:val="num" w:pos="851"/>
        </w:tabs>
        <w:ind w:left="851" w:hanging="851"/>
      </w:pPr>
      <w:bookmarkStart w:id="37" w:name="_Toc403555099"/>
      <w:bookmarkStart w:id="38" w:name="_Ref405452883"/>
      <w:bookmarkStart w:id="39" w:name="_Ref406061800"/>
      <w:bookmarkStart w:id="40" w:name="_Ref406062870"/>
      <w:r>
        <w:t>The key dates for this procurement are currently anticipated to be as follows:</w:t>
      </w:r>
      <w:bookmarkEnd w:id="37"/>
      <w:bookmarkEnd w:id="38"/>
      <w:bookmarkEnd w:id="39"/>
      <w:bookmarkEnd w:id="40"/>
      <w:r>
        <w:t xml:space="preserve"> </w:t>
      </w:r>
    </w:p>
    <w:p w14:paraId="20C73877" w14:textId="77777777" w:rsidR="003E3276" w:rsidRDefault="003E3276" w:rsidP="006B54D6">
      <w:pPr>
        <w:pStyle w:val="MRNumberedHeading2"/>
        <w:numPr>
          <w:ilvl w:val="0"/>
          <w:numId w:val="0"/>
        </w:numPr>
        <w:ind w:left="720"/>
      </w:pPr>
    </w:p>
    <w:tbl>
      <w:tblPr>
        <w:tblStyle w:val="TableGrid"/>
        <w:tblW w:w="0" w:type="auto"/>
        <w:tblInd w:w="1101" w:type="dxa"/>
        <w:tblLook w:val="04A0" w:firstRow="1" w:lastRow="0" w:firstColumn="1" w:lastColumn="0" w:noHBand="0" w:noVBand="1"/>
      </w:tblPr>
      <w:tblGrid>
        <w:gridCol w:w="5103"/>
        <w:gridCol w:w="2693"/>
      </w:tblGrid>
      <w:tr w:rsidR="00FE07BA" w14:paraId="20C7387A" w14:textId="77777777" w:rsidTr="00101BB9">
        <w:trPr>
          <w:trHeight w:val="442"/>
        </w:trPr>
        <w:tc>
          <w:tcPr>
            <w:tcW w:w="5103" w:type="dxa"/>
            <w:shd w:val="clear" w:color="auto" w:fill="BFBFBF" w:themeFill="background1" w:themeFillShade="BF"/>
          </w:tcPr>
          <w:p w14:paraId="20C73878" w14:textId="77777777"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14:paraId="20C73879" w14:textId="77777777" w:rsidR="00FE07BA" w:rsidRPr="002D2E91" w:rsidRDefault="00FE07BA" w:rsidP="00FE07BA">
            <w:pPr>
              <w:pStyle w:val="Heading2"/>
              <w:numPr>
                <w:ilvl w:val="0"/>
                <w:numId w:val="0"/>
              </w:numPr>
              <w:outlineLvl w:val="1"/>
              <w:rPr>
                <w:b/>
              </w:rPr>
            </w:pPr>
            <w:r w:rsidRPr="002D2E91">
              <w:rPr>
                <w:b/>
              </w:rPr>
              <w:t>Date</w:t>
            </w:r>
          </w:p>
        </w:tc>
      </w:tr>
      <w:tr w:rsidR="00FE07BA" w14:paraId="20C7387E" w14:textId="77777777" w:rsidTr="00FE07BA">
        <w:tc>
          <w:tcPr>
            <w:tcW w:w="5103" w:type="dxa"/>
          </w:tcPr>
          <w:p w14:paraId="20C7387B" w14:textId="77777777" w:rsidR="00FE07BA" w:rsidRDefault="00FE07BA" w:rsidP="00FE07BA">
            <w:pPr>
              <w:pStyle w:val="Heading2"/>
              <w:numPr>
                <w:ilvl w:val="0"/>
                <w:numId w:val="0"/>
              </w:numPr>
              <w:outlineLvl w:val="1"/>
            </w:pPr>
            <w:r>
              <w:t>ITT issued</w:t>
            </w:r>
          </w:p>
        </w:tc>
        <w:tc>
          <w:tcPr>
            <w:tcW w:w="2693" w:type="dxa"/>
          </w:tcPr>
          <w:p w14:paraId="20C7387D" w14:textId="6D4BBA0F" w:rsidR="003273D3" w:rsidRPr="00101BB9" w:rsidRDefault="00E273FD" w:rsidP="00101BB9">
            <w:pPr>
              <w:pStyle w:val="Heading2"/>
              <w:numPr>
                <w:ilvl w:val="0"/>
                <w:numId w:val="0"/>
              </w:numPr>
              <w:outlineLvl w:val="1"/>
              <w:rPr>
                <w:highlight w:val="yellow"/>
              </w:rPr>
            </w:pPr>
            <w:r>
              <w:rPr>
                <w:highlight w:val="yellow"/>
              </w:rPr>
              <w:t>17/10/17</w:t>
            </w:r>
          </w:p>
        </w:tc>
      </w:tr>
      <w:tr w:rsidR="00FE07BA" w14:paraId="20C73882" w14:textId="77777777" w:rsidTr="00FE07BA">
        <w:tc>
          <w:tcPr>
            <w:tcW w:w="5103" w:type="dxa"/>
          </w:tcPr>
          <w:p w14:paraId="20C7387F" w14:textId="77777777" w:rsidR="00FE07BA" w:rsidRDefault="00FE07BA" w:rsidP="00FE07BA">
            <w:pPr>
              <w:pStyle w:val="Heading2"/>
              <w:numPr>
                <w:ilvl w:val="0"/>
                <w:numId w:val="0"/>
              </w:numPr>
              <w:outlineLvl w:val="1"/>
            </w:pPr>
            <w:r>
              <w:t>Deadline for the receipt of clarification questions</w:t>
            </w:r>
          </w:p>
        </w:tc>
        <w:tc>
          <w:tcPr>
            <w:tcW w:w="2693" w:type="dxa"/>
          </w:tcPr>
          <w:p w14:paraId="20C73881" w14:textId="2E474E14" w:rsidR="003273D3" w:rsidRPr="00101BB9" w:rsidRDefault="00E273FD" w:rsidP="00675C18">
            <w:pPr>
              <w:pStyle w:val="Heading2"/>
              <w:numPr>
                <w:ilvl w:val="0"/>
                <w:numId w:val="0"/>
              </w:numPr>
              <w:outlineLvl w:val="1"/>
              <w:rPr>
                <w:highlight w:val="yellow"/>
              </w:rPr>
            </w:pPr>
            <w:r>
              <w:rPr>
                <w:highlight w:val="yellow"/>
              </w:rPr>
              <w:t>31/10/17</w:t>
            </w:r>
          </w:p>
        </w:tc>
      </w:tr>
      <w:tr w:rsidR="00FE07BA" w14:paraId="20C73886" w14:textId="77777777" w:rsidTr="00FE07BA">
        <w:tc>
          <w:tcPr>
            <w:tcW w:w="5103" w:type="dxa"/>
          </w:tcPr>
          <w:p w14:paraId="20C73883" w14:textId="77777777" w:rsidR="00FE07BA" w:rsidRDefault="00FE07BA" w:rsidP="00FE07BA">
            <w:pPr>
              <w:pStyle w:val="Heading2"/>
              <w:numPr>
                <w:ilvl w:val="0"/>
                <w:numId w:val="0"/>
              </w:numPr>
              <w:outlineLvl w:val="1"/>
            </w:pPr>
            <w:r>
              <w:t>Target date for responses to clarification questions</w:t>
            </w:r>
          </w:p>
        </w:tc>
        <w:tc>
          <w:tcPr>
            <w:tcW w:w="2693" w:type="dxa"/>
          </w:tcPr>
          <w:p w14:paraId="20C73885" w14:textId="759B1BFD" w:rsidR="003273D3" w:rsidRPr="00101BB9" w:rsidRDefault="00E273FD" w:rsidP="003273D3">
            <w:pPr>
              <w:pStyle w:val="Heading2"/>
              <w:numPr>
                <w:ilvl w:val="0"/>
                <w:numId w:val="0"/>
              </w:numPr>
              <w:tabs>
                <w:tab w:val="left" w:pos="1652"/>
              </w:tabs>
              <w:outlineLvl w:val="1"/>
              <w:rPr>
                <w:highlight w:val="yellow"/>
              </w:rPr>
            </w:pPr>
            <w:r>
              <w:rPr>
                <w:highlight w:val="yellow"/>
              </w:rPr>
              <w:t>03/11/17</w:t>
            </w:r>
          </w:p>
        </w:tc>
      </w:tr>
      <w:tr w:rsidR="00FE07BA" w14:paraId="20C7388A" w14:textId="77777777" w:rsidTr="00FE07BA">
        <w:tc>
          <w:tcPr>
            <w:tcW w:w="5103" w:type="dxa"/>
          </w:tcPr>
          <w:p w14:paraId="20C73887" w14:textId="77777777" w:rsidR="00FE07BA" w:rsidRDefault="00FE07BA" w:rsidP="00FE07BA">
            <w:pPr>
              <w:pStyle w:val="Heading2"/>
              <w:numPr>
                <w:ilvl w:val="0"/>
                <w:numId w:val="0"/>
              </w:numPr>
              <w:outlineLvl w:val="1"/>
            </w:pPr>
            <w:r>
              <w:t>Deadline for receipt of Tenders</w:t>
            </w:r>
          </w:p>
        </w:tc>
        <w:tc>
          <w:tcPr>
            <w:tcW w:w="2693" w:type="dxa"/>
          </w:tcPr>
          <w:p w14:paraId="20C73889" w14:textId="076B68A0" w:rsidR="00761ADB" w:rsidRPr="00101BB9" w:rsidRDefault="00E273FD" w:rsidP="00101BB9">
            <w:pPr>
              <w:pStyle w:val="Heading2"/>
              <w:numPr>
                <w:ilvl w:val="0"/>
                <w:numId w:val="0"/>
              </w:numPr>
              <w:outlineLvl w:val="1"/>
              <w:rPr>
                <w:highlight w:val="yellow"/>
              </w:rPr>
            </w:pPr>
            <w:r>
              <w:rPr>
                <w:highlight w:val="yellow"/>
              </w:rPr>
              <w:t>07/11/17</w:t>
            </w:r>
          </w:p>
        </w:tc>
      </w:tr>
      <w:tr w:rsidR="00FE07BA" w14:paraId="20C7388E" w14:textId="77777777" w:rsidTr="00FE07BA">
        <w:tc>
          <w:tcPr>
            <w:tcW w:w="5103" w:type="dxa"/>
          </w:tcPr>
          <w:p w14:paraId="20C7388B" w14:textId="77777777" w:rsidR="00FE07BA" w:rsidRDefault="00FE07BA" w:rsidP="00FE07BA">
            <w:pPr>
              <w:pStyle w:val="Heading2"/>
              <w:numPr>
                <w:ilvl w:val="0"/>
                <w:numId w:val="0"/>
              </w:numPr>
              <w:outlineLvl w:val="1"/>
            </w:pPr>
            <w:r>
              <w:t>Evaluation of Tenders</w:t>
            </w:r>
          </w:p>
        </w:tc>
        <w:tc>
          <w:tcPr>
            <w:tcW w:w="2693" w:type="dxa"/>
          </w:tcPr>
          <w:p w14:paraId="20C7388D" w14:textId="18E785E1" w:rsidR="00761ADB" w:rsidRPr="00101BB9" w:rsidRDefault="00E273FD" w:rsidP="00A83AF2">
            <w:pPr>
              <w:pStyle w:val="Heading2"/>
              <w:numPr>
                <w:ilvl w:val="0"/>
                <w:numId w:val="0"/>
              </w:numPr>
              <w:outlineLvl w:val="1"/>
              <w:rPr>
                <w:highlight w:val="yellow"/>
              </w:rPr>
            </w:pPr>
            <w:r>
              <w:rPr>
                <w:highlight w:val="yellow"/>
              </w:rPr>
              <w:t>1</w:t>
            </w:r>
            <w:r w:rsidR="00A83AF2">
              <w:rPr>
                <w:highlight w:val="yellow"/>
              </w:rPr>
              <w:t>4</w:t>
            </w:r>
            <w:r>
              <w:rPr>
                <w:highlight w:val="yellow"/>
              </w:rPr>
              <w:t>/11/17</w:t>
            </w:r>
          </w:p>
        </w:tc>
      </w:tr>
      <w:tr w:rsidR="00FE07BA" w14:paraId="20C73892" w14:textId="77777777" w:rsidTr="00FE07BA">
        <w:tc>
          <w:tcPr>
            <w:tcW w:w="5103" w:type="dxa"/>
          </w:tcPr>
          <w:p w14:paraId="20C7388F" w14:textId="1CC5F1D3" w:rsidR="00FE07BA" w:rsidRDefault="00FE07BA" w:rsidP="00FE07BA">
            <w:pPr>
              <w:pStyle w:val="Heading2"/>
              <w:numPr>
                <w:ilvl w:val="0"/>
                <w:numId w:val="0"/>
              </w:numPr>
              <w:outlineLvl w:val="1"/>
            </w:pPr>
            <w:r>
              <w:t>Notification of contract award decision</w:t>
            </w:r>
          </w:p>
        </w:tc>
        <w:tc>
          <w:tcPr>
            <w:tcW w:w="2693" w:type="dxa"/>
          </w:tcPr>
          <w:p w14:paraId="20C73891" w14:textId="7394C34C" w:rsidR="003273D3" w:rsidRPr="00101BB9" w:rsidRDefault="00A83AF2" w:rsidP="00761ADB">
            <w:pPr>
              <w:pStyle w:val="Heading2"/>
              <w:numPr>
                <w:ilvl w:val="0"/>
                <w:numId w:val="0"/>
              </w:numPr>
              <w:outlineLvl w:val="1"/>
              <w:rPr>
                <w:highlight w:val="yellow"/>
              </w:rPr>
            </w:pPr>
            <w:r>
              <w:rPr>
                <w:highlight w:val="yellow"/>
              </w:rPr>
              <w:t>20</w:t>
            </w:r>
            <w:r w:rsidR="00E273FD">
              <w:rPr>
                <w:highlight w:val="yellow"/>
              </w:rPr>
              <w:t>/11/17</w:t>
            </w:r>
          </w:p>
        </w:tc>
      </w:tr>
      <w:tr w:rsidR="00FE07BA" w14:paraId="20C73895" w14:textId="77777777" w:rsidTr="00FE07BA">
        <w:tc>
          <w:tcPr>
            <w:tcW w:w="5103" w:type="dxa"/>
          </w:tcPr>
          <w:p w14:paraId="20C73893" w14:textId="07579435" w:rsidR="00FE07BA" w:rsidRDefault="00A83AF2" w:rsidP="00FE07BA">
            <w:pPr>
              <w:pStyle w:val="Heading2"/>
              <w:numPr>
                <w:ilvl w:val="0"/>
                <w:numId w:val="0"/>
              </w:numPr>
              <w:outlineLvl w:val="1"/>
            </w:pPr>
            <w:r>
              <w:t xml:space="preserve">End of </w:t>
            </w:r>
            <w:r w:rsidR="00FE07BA">
              <w:t>Standstill period</w:t>
            </w:r>
          </w:p>
        </w:tc>
        <w:tc>
          <w:tcPr>
            <w:tcW w:w="2693" w:type="dxa"/>
          </w:tcPr>
          <w:p w14:paraId="20C73894" w14:textId="4D1443D7" w:rsidR="00FE07BA" w:rsidRPr="00101BB9" w:rsidRDefault="00A83AF2" w:rsidP="00761ADB">
            <w:pPr>
              <w:pStyle w:val="Heading2"/>
              <w:numPr>
                <w:ilvl w:val="0"/>
                <w:numId w:val="0"/>
              </w:numPr>
              <w:outlineLvl w:val="1"/>
              <w:rPr>
                <w:highlight w:val="yellow"/>
              </w:rPr>
            </w:pPr>
            <w:r>
              <w:rPr>
                <w:highlight w:val="yellow"/>
              </w:rPr>
              <w:t>30</w:t>
            </w:r>
            <w:r w:rsidR="00E273FD">
              <w:rPr>
                <w:highlight w:val="yellow"/>
              </w:rPr>
              <w:t>/11/17</w:t>
            </w:r>
          </w:p>
        </w:tc>
      </w:tr>
      <w:tr w:rsidR="00FE07BA" w14:paraId="20C73899" w14:textId="77777777" w:rsidTr="00FE07BA">
        <w:tc>
          <w:tcPr>
            <w:tcW w:w="5103" w:type="dxa"/>
          </w:tcPr>
          <w:p w14:paraId="20C73896" w14:textId="77777777" w:rsidR="00FE07BA" w:rsidRDefault="00623252" w:rsidP="00FE07BA">
            <w:pPr>
              <w:pStyle w:val="Heading2"/>
              <w:numPr>
                <w:ilvl w:val="0"/>
                <w:numId w:val="0"/>
              </w:numPr>
              <w:outlineLvl w:val="1"/>
            </w:pPr>
            <w:r>
              <w:t>C</w:t>
            </w:r>
            <w:r w:rsidR="00FE07BA">
              <w:t>ontract award</w:t>
            </w:r>
          </w:p>
        </w:tc>
        <w:tc>
          <w:tcPr>
            <w:tcW w:w="2693" w:type="dxa"/>
          </w:tcPr>
          <w:p w14:paraId="20C73898" w14:textId="370D8F03" w:rsidR="003273D3" w:rsidRPr="00101BB9" w:rsidRDefault="00A83AF2" w:rsidP="00A83AF2">
            <w:pPr>
              <w:pStyle w:val="Heading2"/>
              <w:numPr>
                <w:ilvl w:val="0"/>
                <w:numId w:val="0"/>
              </w:numPr>
              <w:outlineLvl w:val="1"/>
              <w:rPr>
                <w:highlight w:val="yellow"/>
              </w:rPr>
            </w:pPr>
            <w:r>
              <w:rPr>
                <w:highlight w:val="yellow"/>
              </w:rPr>
              <w:t>01/12/17</w:t>
            </w:r>
          </w:p>
        </w:tc>
      </w:tr>
      <w:tr w:rsidR="00761ADB" w14:paraId="0F7A4796" w14:textId="77777777" w:rsidTr="00FE07BA">
        <w:tc>
          <w:tcPr>
            <w:tcW w:w="5103" w:type="dxa"/>
          </w:tcPr>
          <w:p w14:paraId="1B9C0960" w14:textId="29040009" w:rsidR="00761ADB" w:rsidRDefault="00761ADB" w:rsidP="00101BB9">
            <w:pPr>
              <w:pStyle w:val="Heading2"/>
              <w:numPr>
                <w:ilvl w:val="0"/>
                <w:numId w:val="0"/>
              </w:numPr>
              <w:outlineLvl w:val="1"/>
            </w:pPr>
            <w:r>
              <w:t>Mobilisation</w:t>
            </w:r>
          </w:p>
        </w:tc>
        <w:tc>
          <w:tcPr>
            <w:tcW w:w="2693" w:type="dxa"/>
          </w:tcPr>
          <w:p w14:paraId="4C20556E" w14:textId="4EE39407" w:rsidR="00761ADB" w:rsidRPr="00101BB9" w:rsidRDefault="00E273FD" w:rsidP="00FE07BA">
            <w:pPr>
              <w:pStyle w:val="Heading2"/>
              <w:numPr>
                <w:ilvl w:val="0"/>
                <w:numId w:val="0"/>
              </w:numPr>
              <w:outlineLvl w:val="1"/>
              <w:rPr>
                <w:highlight w:val="yellow"/>
              </w:rPr>
            </w:pPr>
            <w:r>
              <w:rPr>
                <w:highlight w:val="yellow"/>
              </w:rPr>
              <w:t>05/01/18</w:t>
            </w:r>
          </w:p>
        </w:tc>
      </w:tr>
      <w:tr w:rsidR="00FE07BA" w14:paraId="20C7389D" w14:textId="77777777" w:rsidTr="00FE07BA">
        <w:tc>
          <w:tcPr>
            <w:tcW w:w="5103" w:type="dxa"/>
          </w:tcPr>
          <w:p w14:paraId="20C7389A" w14:textId="77777777" w:rsidR="00FE07BA" w:rsidRDefault="00FE07BA" w:rsidP="00FE07BA">
            <w:pPr>
              <w:pStyle w:val="Heading2"/>
              <w:numPr>
                <w:ilvl w:val="0"/>
                <w:numId w:val="0"/>
              </w:numPr>
              <w:outlineLvl w:val="1"/>
            </w:pPr>
            <w:r>
              <w:t xml:space="preserve">Contract work starts </w:t>
            </w:r>
          </w:p>
        </w:tc>
        <w:tc>
          <w:tcPr>
            <w:tcW w:w="2693" w:type="dxa"/>
          </w:tcPr>
          <w:p w14:paraId="20C7389C" w14:textId="606D4134" w:rsidR="003273D3" w:rsidRPr="00101BB9" w:rsidRDefault="00E273FD" w:rsidP="00761ADB">
            <w:pPr>
              <w:pStyle w:val="Heading2"/>
              <w:numPr>
                <w:ilvl w:val="0"/>
                <w:numId w:val="0"/>
              </w:numPr>
              <w:outlineLvl w:val="1"/>
              <w:rPr>
                <w:highlight w:val="yellow"/>
              </w:rPr>
            </w:pPr>
            <w:r>
              <w:rPr>
                <w:highlight w:val="yellow"/>
              </w:rPr>
              <w:t>08/01/18</w:t>
            </w:r>
          </w:p>
        </w:tc>
      </w:tr>
    </w:tbl>
    <w:p w14:paraId="20C7389E" w14:textId="59C16D88" w:rsidR="009A3E29" w:rsidRPr="009A3E29" w:rsidRDefault="009A3E29" w:rsidP="009A3E29">
      <w:pPr>
        <w:pStyle w:val="Heading2"/>
        <w:numPr>
          <w:ilvl w:val="0"/>
          <w:numId w:val="0"/>
        </w:numPr>
        <w:ind w:left="851"/>
      </w:pPr>
      <w:bookmarkStart w:id="41" w:name="_GoBack"/>
      <w:bookmarkEnd w:id="41"/>
    </w:p>
    <w:p w14:paraId="20C7389F" w14:textId="77777777" w:rsidR="00FE07BA" w:rsidRDefault="00FE07BA" w:rsidP="00E203C9">
      <w:pPr>
        <w:pStyle w:val="MRNumberedHeading2"/>
        <w:tabs>
          <w:tab w:val="clear" w:pos="720"/>
          <w:tab w:val="num" w:pos="851"/>
        </w:tabs>
        <w:ind w:left="851" w:hanging="851"/>
      </w:pPr>
      <w:bookmarkStart w:id="42" w:name="_Toc403555100"/>
      <w:bookmarkStart w:id="43" w:name="_Ref405452899"/>
      <w:r>
        <w:t>Whilst the Authority does not intend to depart from the timetable, it reserves the right to do so at any stage.</w:t>
      </w:r>
      <w:bookmarkEnd w:id="42"/>
      <w:bookmarkEnd w:id="43"/>
      <w:r>
        <w:t xml:space="preserve">  </w:t>
      </w:r>
    </w:p>
    <w:p w14:paraId="20C738A3" w14:textId="77777777" w:rsidR="000831C0" w:rsidRPr="00276E1B" w:rsidRDefault="000E189B" w:rsidP="004270D9">
      <w:pPr>
        <w:pStyle w:val="Heading1"/>
        <w:spacing w:before="240" w:after="0"/>
        <w:ind w:left="851"/>
      </w:pPr>
      <w:bookmarkStart w:id="44" w:name="_Toc403555104"/>
      <w:r w:rsidRPr="00276E1B">
        <w:t>Deadline for receipt of Tenders</w:t>
      </w:r>
      <w:bookmarkEnd w:id="44"/>
      <w:r w:rsidRPr="00276E1B">
        <w:t xml:space="preserve"> </w:t>
      </w:r>
    </w:p>
    <w:p w14:paraId="20C738A4" w14:textId="7E1FC81B" w:rsidR="000831C0" w:rsidRDefault="0083677A" w:rsidP="00E203C9">
      <w:pPr>
        <w:pStyle w:val="MRNumberedHeading2"/>
        <w:tabs>
          <w:tab w:val="clear" w:pos="720"/>
          <w:tab w:val="num" w:pos="851"/>
        </w:tabs>
        <w:ind w:left="851" w:hanging="851"/>
      </w:pPr>
      <w:bookmarkStart w:id="45"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5"/>
    </w:p>
    <w:p w14:paraId="20C738A5" w14:textId="724EADA8" w:rsidR="00E37725" w:rsidRDefault="00807CF7" w:rsidP="00E203C9">
      <w:pPr>
        <w:pStyle w:val="MRNumberedHeading2"/>
        <w:tabs>
          <w:tab w:val="clear" w:pos="720"/>
          <w:tab w:val="num" w:pos="851"/>
        </w:tabs>
        <w:ind w:left="851" w:hanging="851"/>
      </w:pPr>
      <w:bookmarkStart w:id="46" w:name="_Toc403555106"/>
      <w:bookmarkStart w:id="47" w:name="_Ref405452913"/>
      <w:r>
        <w:t>Any Tender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section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6"/>
      <w:bookmarkEnd w:id="47"/>
    </w:p>
    <w:p w14:paraId="18F7A3BD" w14:textId="416D7DE5" w:rsidR="003A7F41" w:rsidRDefault="003A7F41" w:rsidP="004270D9">
      <w:pPr>
        <w:pStyle w:val="Heading1"/>
        <w:spacing w:before="240" w:after="0"/>
        <w:ind w:left="851"/>
      </w:pPr>
      <w:bookmarkStart w:id="48" w:name="_Toc403555111"/>
      <w:r>
        <w:t>Clarification Meetings</w:t>
      </w:r>
    </w:p>
    <w:p w14:paraId="20C738AB" w14:textId="1F0B16B3" w:rsidR="00FF6B21" w:rsidRDefault="003A7F41" w:rsidP="00E203C9">
      <w:pPr>
        <w:pStyle w:val="MRNumberedHeading2"/>
        <w:tabs>
          <w:tab w:val="clear" w:pos="720"/>
          <w:tab w:val="num" w:pos="851"/>
        </w:tabs>
        <w:ind w:left="851" w:hanging="851"/>
      </w:pPr>
      <w:bookmarkStart w:id="49" w:name="_Toc403555112"/>
      <w:bookmarkStart w:id="50" w:name="_Ref405452929"/>
      <w:bookmarkEnd w:id="48"/>
      <w:r>
        <w:t>Following the assessment of the Tender, the Authority may invite Bidders to a clarification meeting. If required this will take place between receipt of Tenders and announcement of successful Tender. It is anticipated that Bidders will be provided with at least two (2) business days’ notice if a meeting is to be required. The Authority typically will only require meetings with what it considers are the best three Bidders. In exceptional circumstances, all Bidders will be requested to attend a meeting</w:t>
      </w:r>
      <w:bookmarkEnd w:id="49"/>
      <w:bookmarkEnd w:id="50"/>
      <w:r>
        <w:t>.</w:t>
      </w:r>
    </w:p>
    <w:p w14:paraId="0772961D" w14:textId="10BC2D25" w:rsidR="003A7F41" w:rsidRDefault="003A7F41" w:rsidP="00E203C9">
      <w:pPr>
        <w:pStyle w:val="MRNumberedHeading2"/>
        <w:tabs>
          <w:tab w:val="clear" w:pos="720"/>
          <w:tab w:val="num" w:pos="851"/>
        </w:tabs>
        <w:ind w:left="851" w:hanging="851"/>
      </w:pPr>
      <w:bookmarkStart w:id="51" w:name="_Toc403555113"/>
      <w:r>
        <w:t>Bidders must ensure that key personnel attend. Those key personnel directly involved in performing the contract will be expected to attend.</w:t>
      </w:r>
    </w:p>
    <w:p w14:paraId="49FCE40B" w14:textId="19AE0ADB" w:rsidR="003A7F41" w:rsidRDefault="003A7F41" w:rsidP="00E203C9">
      <w:pPr>
        <w:pStyle w:val="MRNumberedHeading2"/>
        <w:tabs>
          <w:tab w:val="clear" w:pos="720"/>
          <w:tab w:val="num" w:pos="851"/>
        </w:tabs>
        <w:ind w:left="851" w:hanging="851"/>
      </w:pPr>
      <w:bookmarkStart w:id="52" w:name="_Toc403555114"/>
      <w:bookmarkEnd w:id="51"/>
      <w:r>
        <w:t xml:space="preserve">The purpose of the meeting is to gain a greater understanding of proposals and will take the form of a short presentation by the Bidder followed by a question and answer session. Topics for discussion for the presentation will be issued no later than </w:t>
      </w:r>
      <w:r w:rsidR="00CB3968" w:rsidRPr="00CB3968">
        <w:rPr>
          <w:highlight w:val="yellow"/>
        </w:rPr>
        <w:t>3</w:t>
      </w:r>
      <w:r>
        <w:t xml:space="preserve"> days before the presentation.</w:t>
      </w:r>
    </w:p>
    <w:p w14:paraId="20C738AD" w14:textId="1EB66BFB" w:rsidR="006534CF" w:rsidRDefault="003A7F41" w:rsidP="00E203C9">
      <w:pPr>
        <w:pStyle w:val="MRNumberedHeading2"/>
        <w:tabs>
          <w:tab w:val="clear" w:pos="720"/>
          <w:tab w:val="num" w:pos="851"/>
        </w:tabs>
        <w:ind w:left="851" w:hanging="851"/>
      </w:pPr>
      <w:r>
        <w:t xml:space="preserve">Bidders can either accept or decline a request for such a meeting. However, it is in the interests of the Bidder to attend and provide additional confidence in its proposals to the Authority.  </w:t>
      </w:r>
      <w:bookmarkEnd w:id="52"/>
    </w:p>
    <w:p w14:paraId="6C46F93C" w14:textId="43B572A7" w:rsidR="00B3307D" w:rsidRDefault="00B3307D" w:rsidP="00E203C9">
      <w:pPr>
        <w:pStyle w:val="MRNumberedHeading2"/>
        <w:tabs>
          <w:tab w:val="clear" w:pos="720"/>
          <w:tab w:val="num" w:pos="851"/>
        </w:tabs>
        <w:ind w:left="851" w:hanging="851"/>
      </w:pPr>
      <w:bookmarkStart w:id="53" w:name="_Toc403555116"/>
      <w:r>
        <w:t xml:space="preserve">Although not scored on a separate basis, the session will be used to confirm the technical / quality score assessments of the Tender evaluation. As such, scores achieved during the </w:t>
      </w:r>
      <w:r>
        <w:lastRenderedPageBreak/>
        <w:t xml:space="preserve">written Tender evaluation may be adjusted (up or down) and the consolidated score of a Bidder amended. </w:t>
      </w:r>
    </w:p>
    <w:p w14:paraId="20C738B2" w14:textId="77777777" w:rsidR="002F1591" w:rsidRPr="002F42CC" w:rsidRDefault="00740710" w:rsidP="002F1591">
      <w:pPr>
        <w:pStyle w:val="Header"/>
        <w:spacing w:before="240"/>
        <w:ind w:left="851"/>
        <w:jc w:val="both"/>
        <w:rPr>
          <w:b/>
        </w:rPr>
      </w:pPr>
      <w:bookmarkStart w:id="54" w:name="_Toc403555119"/>
      <w:bookmarkEnd w:id="53"/>
      <w:r>
        <w:rPr>
          <w:b/>
        </w:rPr>
        <w:t>Eligibility</w:t>
      </w:r>
      <w:r w:rsidR="002F1591">
        <w:rPr>
          <w:b/>
        </w:rPr>
        <w:t xml:space="preserve"> evidence</w:t>
      </w:r>
    </w:p>
    <w:p w14:paraId="20C738B3" w14:textId="19C440D3" w:rsidR="002F1591" w:rsidRDefault="002F1591" w:rsidP="00E203C9">
      <w:pPr>
        <w:pStyle w:val="MRNumberedHeading2"/>
        <w:tabs>
          <w:tab w:val="clear" w:pos="720"/>
          <w:tab w:val="num" w:pos="851"/>
        </w:tabs>
        <w:ind w:left="851" w:hanging="851"/>
        <w:rPr>
          <w:i/>
          <w:color w:val="808080" w:themeColor="background1" w:themeShade="80"/>
        </w:rPr>
      </w:pPr>
      <w:bookmarkStart w:id="55" w:name="_Ref412565042"/>
      <w:r>
        <w:t>Bidders</w:t>
      </w:r>
      <w:r w:rsidR="00740710">
        <w:t xml:space="preserve"> are required to provide</w:t>
      </w:r>
      <w:r>
        <w:t xml:space="preserve"> information</w:t>
      </w:r>
      <w:r w:rsidR="00740710">
        <w:t xml:space="preserve"> about their eligibility for this procurement and some of that information will be</w:t>
      </w:r>
      <w:r>
        <w:t xml:space="preserve"> self-certified </w:t>
      </w:r>
      <w:bookmarkStart w:id="56" w:name="hand217"/>
      <w:bookmarkEnd w:id="56"/>
      <w:r>
        <w:t>as accurate. During the standstill period, the Authority will require the successful Bidder to provide the following:</w:t>
      </w:r>
      <w:bookmarkEnd w:id="55"/>
    </w:p>
    <w:p w14:paraId="20C738B4" w14:textId="74FB9AA0" w:rsidR="002F1591" w:rsidRPr="00CB3968" w:rsidRDefault="002F1591" w:rsidP="002F1591">
      <w:pPr>
        <w:pStyle w:val="MRNumberedHeading3"/>
        <w:numPr>
          <w:ilvl w:val="2"/>
          <w:numId w:val="23"/>
        </w:numPr>
        <w:tabs>
          <w:tab w:val="clear" w:pos="2214"/>
          <w:tab w:val="num" w:pos="1790"/>
        </w:tabs>
        <w:spacing w:line="240" w:lineRule="auto"/>
        <w:ind w:left="1702" w:hanging="851"/>
        <w:jc w:val="both"/>
        <w:rPr>
          <w:i/>
        </w:rPr>
      </w:pPr>
      <w:r w:rsidRPr="00CB3968">
        <w:rPr>
          <w:i/>
          <w:shd w:val="clear" w:color="auto" w:fill="FFFF66"/>
        </w:rPr>
        <w:t>proof as required in the Public Contracts Regulations 2015, Regulation 60(4) or (5), that none of the mandatory or discretionary grou</w:t>
      </w:r>
      <w:r w:rsidR="0001507C" w:rsidRPr="00CB3968">
        <w:rPr>
          <w:i/>
          <w:shd w:val="clear" w:color="auto" w:fill="FFFF66"/>
        </w:rPr>
        <w:t>nds of exclusion referred to in</w:t>
      </w:r>
      <w:r w:rsidR="00D82A34" w:rsidRPr="00CB3968">
        <w:rPr>
          <w:i/>
          <w:shd w:val="clear" w:color="auto" w:fill="FFFF66"/>
        </w:rPr>
        <w:t xml:space="preserve"> </w:t>
      </w:r>
      <w:r w:rsidR="00680879" w:rsidRPr="00CB3968">
        <w:rPr>
          <w:i/>
          <w:shd w:val="clear" w:color="auto" w:fill="FFFF66"/>
        </w:rPr>
        <w:t>the Eligibility Questions</w:t>
      </w:r>
      <w:r w:rsidR="00D82A34" w:rsidRPr="00CB3968">
        <w:rPr>
          <w:i/>
          <w:shd w:val="clear" w:color="auto" w:fill="FFFF66"/>
        </w:rPr>
        <w:t>;</w:t>
      </w:r>
    </w:p>
    <w:p w14:paraId="20C738B5" w14:textId="75386061" w:rsidR="002F1591" w:rsidRPr="00CB3968" w:rsidRDefault="002F1591" w:rsidP="002F1591">
      <w:pPr>
        <w:pStyle w:val="MRNumberedHeading3"/>
        <w:numPr>
          <w:ilvl w:val="2"/>
          <w:numId w:val="23"/>
        </w:numPr>
        <w:tabs>
          <w:tab w:val="clear" w:pos="2214"/>
          <w:tab w:val="num" w:pos="1790"/>
        </w:tabs>
        <w:spacing w:line="240" w:lineRule="auto"/>
        <w:ind w:left="1702" w:hanging="851"/>
        <w:jc w:val="both"/>
        <w:rPr>
          <w:i/>
        </w:rPr>
      </w:pPr>
      <w:r w:rsidRPr="00CB3968">
        <w:rPr>
          <w:i/>
          <w:shd w:val="clear" w:color="auto" w:fill="FFFF66"/>
        </w:rPr>
        <w:t>proof as required in the Public Contracts Regulations 2015, Regulation 60(6), that you have the minimum level of economic and financial standing;</w:t>
      </w:r>
    </w:p>
    <w:p w14:paraId="20C738B6" w14:textId="524D2929" w:rsidR="002F1591" w:rsidRPr="00CB3968" w:rsidRDefault="002F1591" w:rsidP="002F1591">
      <w:pPr>
        <w:pStyle w:val="MRNumberedHeading3"/>
        <w:numPr>
          <w:ilvl w:val="2"/>
          <w:numId w:val="23"/>
        </w:numPr>
        <w:tabs>
          <w:tab w:val="clear" w:pos="2214"/>
          <w:tab w:val="num" w:pos="1790"/>
        </w:tabs>
        <w:spacing w:line="240" w:lineRule="auto"/>
        <w:ind w:left="1702" w:hanging="851"/>
        <w:jc w:val="both"/>
        <w:rPr>
          <w:i/>
        </w:rPr>
      </w:pPr>
      <w:r w:rsidRPr="00CB3968">
        <w:rPr>
          <w:i/>
          <w:shd w:val="clear" w:color="auto" w:fill="FFFF66"/>
        </w:rPr>
        <w:t>copies of the required insurance as set out i</w:t>
      </w:r>
      <w:r w:rsidR="001D79DD" w:rsidRPr="00CB3968">
        <w:rPr>
          <w:i/>
          <w:shd w:val="clear" w:color="auto" w:fill="FFFF66"/>
        </w:rPr>
        <w:t>n the Eligibility Questions</w:t>
      </w:r>
      <w:r w:rsidRPr="00CB3968">
        <w:rPr>
          <w:i/>
          <w:shd w:val="clear" w:color="auto" w:fill="FFFF66"/>
        </w:rPr>
        <w:t>;</w:t>
      </w:r>
    </w:p>
    <w:p w14:paraId="0CFB39C6" w14:textId="77777777" w:rsidR="00675C18" w:rsidRPr="00CB3968" w:rsidRDefault="002F1591" w:rsidP="00AC04A3">
      <w:pPr>
        <w:pStyle w:val="MRNumberedHeading3"/>
        <w:numPr>
          <w:ilvl w:val="2"/>
          <w:numId w:val="23"/>
        </w:numPr>
        <w:tabs>
          <w:tab w:val="clear" w:pos="2214"/>
          <w:tab w:val="num" w:pos="1790"/>
        </w:tabs>
        <w:spacing w:line="240" w:lineRule="auto"/>
        <w:ind w:left="851" w:firstLine="0"/>
        <w:jc w:val="both"/>
        <w:rPr>
          <w:i/>
          <w:highlight w:val="yellow"/>
        </w:rPr>
      </w:pPr>
      <w:r w:rsidRPr="00CB3968">
        <w:rPr>
          <w:i/>
          <w:highlight w:val="yellow"/>
          <w:shd w:val="clear" w:color="auto" w:fill="FFFF66"/>
        </w:rPr>
        <w:t>a copy of your Health and Safety Policy;</w:t>
      </w:r>
      <w:r w:rsidRPr="00CB3968">
        <w:rPr>
          <w:highlight w:val="yellow"/>
        </w:rPr>
        <w:t>]</w:t>
      </w:r>
    </w:p>
    <w:p w14:paraId="20C738B8" w14:textId="1CE421F8" w:rsidR="008824CC" w:rsidRPr="00CB3968" w:rsidRDefault="002F1591" w:rsidP="00AC04A3">
      <w:pPr>
        <w:pStyle w:val="MRNumberedHeading3"/>
        <w:numPr>
          <w:ilvl w:val="2"/>
          <w:numId w:val="23"/>
        </w:numPr>
        <w:tabs>
          <w:tab w:val="clear" w:pos="2214"/>
          <w:tab w:val="num" w:pos="1790"/>
        </w:tabs>
        <w:spacing w:line="240" w:lineRule="auto"/>
        <w:ind w:left="1843" w:hanging="992"/>
        <w:jc w:val="both"/>
        <w:rPr>
          <w:i/>
          <w:highlight w:val="yellow"/>
        </w:rPr>
      </w:pPr>
      <w:r w:rsidRPr="00CB3968">
        <w:rPr>
          <w:highlight w:val="yellow"/>
        </w:rPr>
        <w:t>[</w:t>
      </w:r>
      <w:r w:rsidRPr="00CB3968">
        <w:rPr>
          <w:i/>
          <w:highlight w:val="yellow"/>
          <w:shd w:val="clear" w:color="auto" w:fill="FFFF66"/>
        </w:rPr>
        <w:t>NOTE:  list any other evidence required, such as references (see the Public Contracts Regulations 2015, Regulation 58(16)) or proof of technical and professional ability listed in the Public Contracts Regulations 2015, Regulation 60(9).</w:t>
      </w:r>
      <w:r w:rsidRPr="00CB3968">
        <w:rPr>
          <w:highlight w:val="yellow"/>
        </w:rPr>
        <w:t>]</w:t>
      </w:r>
      <w:bookmarkEnd w:id="54"/>
    </w:p>
    <w:p w14:paraId="56D0A86E" w14:textId="77777777" w:rsidR="00274A34" w:rsidRPr="00CB3968" w:rsidRDefault="00274A34" w:rsidP="00D55969">
      <w:pPr>
        <w:pStyle w:val="MRNumberedHeading3"/>
        <w:numPr>
          <w:ilvl w:val="0"/>
          <w:numId w:val="0"/>
        </w:numPr>
        <w:spacing w:line="240" w:lineRule="auto"/>
        <w:ind w:left="1843"/>
        <w:jc w:val="both"/>
        <w:rPr>
          <w:i/>
          <w:highlight w:val="yellow"/>
        </w:rPr>
      </w:pPr>
    </w:p>
    <w:p w14:paraId="20C738B9" w14:textId="5AD235AF" w:rsidR="002F1591" w:rsidRPr="00CB3968" w:rsidRDefault="00740710" w:rsidP="002F1591">
      <w:pPr>
        <w:pStyle w:val="Header"/>
        <w:spacing w:before="240"/>
        <w:ind w:left="851"/>
        <w:jc w:val="both"/>
        <w:rPr>
          <w:b/>
          <w:color w:val="auto"/>
        </w:rPr>
      </w:pPr>
      <w:bookmarkStart w:id="57" w:name="_Toc403555120"/>
      <w:r w:rsidRPr="00CB3968">
        <w:rPr>
          <w:b/>
          <w:color w:val="auto"/>
        </w:rPr>
        <w:t>Contract a</w:t>
      </w:r>
      <w:r w:rsidR="002F1591" w:rsidRPr="00CB3968">
        <w:rPr>
          <w:b/>
          <w:color w:val="auto"/>
        </w:rPr>
        <w:t>ward</w:t>
      </w:r>
    </w:p>
    <w:p w14:paraId="20C738BA" w14:textId="77777777" w:rsidR="00E56F27" w:rsidRDefault="008824CC" w:rsidP="00E203C9">
      <w:pPr>
        <w:pStyle w:val="MRNumberedHeading2"/>
        <w:tabs>
          <w:tab w:val="clear" w:pos="720"/>
          <w:tab w:val="num" w:pos="851"/>
        </w:tabs>
        <w:ind w:left="851" w:hanging="851"/>
      </w:pPr>
      <w:r>
        <w:t>Contract award is subject to the formal approval process of the Authority. Until all necessary approvals are obtained and the s</w:t>
      </w:r>
      <w:r w:rsidR="00E56F27">
        <w:t>tandstill period completed, no c</w:t>
      </w:r>
      <w:r>
        <w:t>ontract(s) will be entered into.</w:t>
      </w:r>
      <w:bookmarkEnd w:id="57"/>
    </w:p>
    <w:p w14:paraId="20C738BB" w14:textId="3D62FE58" w:rsidR="004E71FF" w:rsidRPr="005A2E47" w:rsidRDefault="008824CC" w:rsidP="00E203C9">
      <w:pPr>
        <w:pStyle w:val="MRNumberedHeading2"/>
        <w:tabs>
          <w:tab w:val="clear" w:pos="720"/>
          <w:tab w:val="num" w:pos="851"/>
        </w:tabs>
        <w:ind w:left="851" w:hanging="851"/>
      </w:pPr>
      <w:bookmarkStart w:id="58" w:name="_Toc403555121"/>
      <w:bookmarkStart w:id="59"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entering into any c</w:t>
      </w:r>
      <w:r>
        <w:t>ontract(s).</w:t>
      </w:r>
      <w:bookmarkEnd w:id="58"/>
      <w:bookmarkEnd w:id="59"/>
      <w:r w:rsidR="004E71FF">
        <w:br w:type="page"/>
      </w:r>
    </w:p>
    <w:p w14:paraId="20C738BC" w14:textId="77777777" w:rsidR="008824CC" w:rsidRPr="008F3D2C" w:rsidRDefault="00A57D02" w:rsidP="00134D04">
      <w:pPr>
        <w:pStyle w:val="MRNumberedHeading1"/>
        <w:numPr>
          <w:ilvl w:val="0"/>
          <w:numId w:val="24"/>
        </w:numPr>
        <w:tabs>
          <w:tab w:val="clear" w:pos="798"/>
          <w:tab w:val="num" w:pos="851"/>
        </w:tabs>
        <w:ind w:left="851" w:hanging="851"/>
        <w:jc w:val="both"/>
        <w:rPr>
          <w:sz w:val="20"/>
          <w:szCs w:val="20"/>
        </w:rPr>
      </w:pPr>
      <w:bookmarkStart w:id="60" w:name="_Toc403556503"/>
      <w:bookmarkStart w:id="61" w:name="_Toc403556508"/>
      <w:bookmarkStart w:id="62" w:name="_Toc406674971"/>
      <w:bookmarkStart w:id="63" w:name="_Toc412621213"/>
      <w:bookmarkStart w:id="64" w:name="_Toc489876073"/>
      <w:r w:rsidRPr="008F3D2C">
        <w:rPr>
          <w:sz w:val="20"/>
          <w:szCs w:val="20"/>
        </w:rPr>
        <w:lastRenderedPageBreak/>
        <w:t xml:space="preserve">INSTRUCTIONS TO </w:t>
      </w:r>
      <w:r w:rsidR="00E7163F" w:rsidRPr="008F3D2C">
        <w:rPr>
          <w:sz w:val="20"/>
          <w:szCs w:val="20"/>
        </w:rPr>
        <w:t>BIDDERS</w:t>
      </w:r>
      <w:bookmarkEnd w:id="60"/>
      <w:bookmarkEnd w:id="61"/>
      <w:bookmarkEnd w:id="62"/>
      <w:bookmarkEnd w:id="63"/>
      <w:bookmarkEnd w:id="64"/>
      <w:r w:rsidRPr="008F3D2C">
        <w:rPr>
          <w:sz w:val="20"/>
          <w:szCs w:val="20"/>
        </w:rPr>
        <w:t xml:space="preserve"> </w:t>
      </w:r>
    </w:p>
    <w:p w14:paraId="37687244" w14:textId="545A6485" w:rsidR="008644BC" w:rsidRPr="00134D04" w:rsidRDefault="00134D04" w:rsidP="00134D04">
      <w:pPr>
        <w:pStyle w:val="MRNumberedHeading2"/>
        <w:numPr>
          <w:ilvl w:val="0"/>
          <w:numId w:val="0"/>
        </w:numPr>
        <w:ind w:left="851"/>
        <w:rPr>
          <w:b/>
        </w:rPr>
      </w:pPr>
      <w:bookmarkStart w:id="65" w:name="_Toc403555124"/>
      <w:r w:rsidRPr="00134D04">
        <w:rPr>
          <w:b/>
        </w:rPr>
        <w:t>Eligibility Questions and Responses</w:t>
      </w:r>
    </w:p>
    <w:p w14:paraId="6C3135F9" w14:textId="4D0CA102" w:rsidR="00134D04" w:rsidRPr="00134D04" w:rsidRDefault="00134D04" w:rsidP="009C79CE">
      <w:pPr>
        <w:pStyle w:val="MRNumberedHeading2"/>
        <w:tabs>
          <w:tab w:val="clear" w:pos="720"/>
          <w:tab w:val="num" w:pos="851"/>
        </w:tabs>
        <w:ind w:left="851" w:hanging="851"/>
      </w:pPr>
      <w:bookmarkStart w:id="66" w:name="_Ref478473516"/>
      <w:r>
        <w:t>The Eligibility Questions is a self-declaration, made by</w:t>
      </w:r>
      <w:r w:rsidRPr="00134D04">
        <w:t xml:space="preserve"> you (the potential supplier), that you do not meet any of the grounds for exclusion</w:t>
      </w:r>
      <w:r w:rsidRPr="00134D04">
        <w:rPr>
          <w:vertAlign w:val="superscript"/>
        </w:rPr>
        <w:footnoteReference w:id="1"/>
      </w:r>
      <w:r w:rsidRPr="00134D04">
        <w:t>. If there are grounds for exclusion, there is an opportunity to explain the background and any measures you have taken to rectify the situation (we call this self-cleaning).</w:t>
      </w:r>
      <w:bookmarkEnd w:id="66"/>
    </w:p>
    <w:p w14:paraId="36F08260" w14:textId="44DD0D9E" w:rsidR="00134D04" w:rsidRDefault="00134D04" w:rsidP="009C79CE">
      <w:pPr>
        <w:pStyle w:val="MRNumberedHeading2"/>
        <w:tabs>
          <w:tab w:val="clear" w:pos="720"/>
          <w:tab w:val="num" w:pos="851"/>
        </w:tabs>
        <w:ind w:left="851" w:hanging="851"/>
      </w:pPr>
      <w:r w:rsidRPr="00134D04">
        <w:t xml:space="preserve">A completed declaration of Part 1 and Part 2 of </w:t>
      </w:r>
      <w:r w:rsidR="00BC373F">
        <w:t>the Eligibility Questions</w:t>
      </w:r>
      <w:r w:rsidRPr="00134D04">
        <w:t xml:space="preserve"> provides a formal statement that the organisation making the declaration has not breached any of the exclusions grounds. Consequently we require all the organisations that you will rely on to meet the selection criteria to provide a completed Part 1 and Part 2</w:t>
      </w:r>
      <w:r w:rsidR="00C21DD3">
        <w:t xml:space="preserve"> of </w:t>
      </w:r>
      <w:r w:rsidR="00BC373F">
        <w:t>the Eligibility Questions</w:t>
      </w:r>
      <w:r w:rsidRPr="00134D04">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1EE5E9B" w14:textId="77777777" w:rsidR="00134D04" w:rsidRPr="00134D04" w:rsidRDefault="00134D04" w:rsidP="00134D04">
      <w:pPr>
        <w:pStyle w:val="Normal1"/>
        <w:spacing w:before="240"/>
        <w:ind w:left="851"/>
        <w:jc w:val="both"/>
        <w:rPr>
          <w:sz w:val="20"/>
          <w:szCs w:val="20"/>
          <w:u w:val="single"/>
        </w:rPr>
      </w:pPr>
      <w:r w:rsidRPr="00134D04">
        <w:rPr>
          <w:rFonts w:ascii="Arial" w:eastAsia="Arial" w:hAnsi="Arial" w:cs="Arial"/>
          <w:sz w:val="20"/>
          <w:szCs w:val="20"/>
          <w:u w:val="single"/>
        </w:rPr>
        <w:t>Supplier Selection Questions: Part 3</w:t>
      </w:r>
    </w:p>
    <w:p w14:paraId="39767928"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Pr>
          <w:rFonts w:ascii="Arial" w:eastAsia="Arial" w:hAnsi="Arial" w:cs="Arial"/>
          <w:sz w:val="20"/>
          <w:szCs w:val="20"/>
        </w:rPr>
        <w:t xml:space="preserve">This procurement document </w:t>
      </w:r>
      <w:r w:rsidRPr="00D67416">
        <w:rPr>
          <w:rFonts w:ascii="Arial" w:eastAsia="Arial" w:hAnsi="Arial" w:cs="Arial"/>
          <w:sz w:val="20"/>
          <w:szCs w:val="20"/>
        </w:rPr>
        <w:t>provide</w:t>
      </w:r>
      <w:r>
        <w:rPr>
          <w:rFonts w:ascii="Arial" w:eastAsia="Arial" w:hAnsi="Arial" w:cs="Arial"/>
          <w:sz w:val="20"/>
          <w:szCs w:val="20"/>
        </w:rPr>
        <w:t>s</w:t>
      </w:r>
      <w:r w:rsidRPr="00D67416">
        <w:rPr>
          <w:rFonts w:ascii="Arial" w:eastAsia="Arial" w:hAnsi="Arial" w:cs="Arial"/>
          <w:sz w:val="20"/>
          <w:szCs w:val="20"/>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E39BA8D" w14:textId="0442D3D4"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If the relevant document</w:t>
      </w:r>
      <w:r w:rsidR="00C21DD3">
        <w:rPr>
          <w:rFonts w:ascii="Arial" w:eastAsia="Arial" w:hAnsi="Arial" w:cs="Arial"/>
          <w:sz w:val="20"/>
          <w:szCs w:val="20"/>
        </w:rPr>
        <w:t xml:space="preserve">ary evidence referred to </w:t>
      </w:r>
      <w:r w:rsidR="00BC373F">
        <w:rPr>
          <w:rFonts w:ascii="Arial" w:eastAsia="Arial" w:hAnsi="Arial" w:cs="Arial"/>
          <w:sz w:val="20"/>
          <w:szCs w:val="20"/>
        </w:rPr>
        <w:t>in the Eligibility Questions</w:t>
      </w:r>
      <w:r w:rsidRPr="00134D04">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134D04">
        <w:rPr>
          <w:rFonts w:ascii="Arial" w:eastAsia="Arial" w:hAnsi="Arial" w:cs="Arial"/>
          <w:b/>
          <w:sz w:val="20"/>
          <w:szCs w:val="20"/>
        </w:rPr>
        <w:t xml:space="preserve"> </w:t>
      </w:r>
    </w:p>
    <w:p w14:paraId="52579E1B" w14:textId="77777777" w:rsidR="00134D04" w:rsidRPr="00134D04" w:rsidRDefault="00134D04" w:rsidP="00134D04">
      <w:pPr>
        <w:pStyle w:val="Normal1"/>
        <w:spacing w:before="240"/>
        <w:ind w:left="851" w:right="11"/>
        <w:jc w:val="both"/>
        <w:rPr>
          <w:sz w:val="20"/>
          <w:szCs w:val="20"/>
          <w:u w:val="single"/>
        </w:rPr>
      </w:pPr>
      <w:r w:rsidRPr="00134D04">
        <w:rPr>
          <w:rFonts w:ascii="Arial" w:eastAsia="Arial" w:hAnsi="Arial" w:cs="Arial"/>
          <w:sz w:val="20"/>
          <w:szCs w:val="20"/>
          <w:u w:val="single"/>
        </w:rPr>
        <w:t>Consequences of misrepresentation</w:t>
      </w:r>
    </w:p>
    <w:p w14:paraId="756CA0C1" w14:textId="29D1EA4C"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If you seriously misrepresent any factual information in filling in </w:t>
      </w:r>
      <w:r w:rsidR="00BC373F">
        <w:rPr>
          <w:rFonts w:ascii="Arial" w:eastAsia="Arial" w:hAnsi="Arial" w:cs="Arial"/>
          <w:sz w:val="20"/>
          <w:szCs w:val="20"/>
        </w:rPr>
        <w:t>the Eligibility Questions</w:t>
      </w:r>
      <w:r w:rsidRPr="00134D04">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42291A8" w14:textId="4D0348C1" w:rsidR="00134D04" w:rsidRDefault="00134D04" w:rsidP="00134D04">
      <w:pPr>
        <w:pStyle w:val="Normal1"/>
        <w:spacing w:before="240"/>
        <w:ind w:left="851" w:right="11"/>
        <w:jc w:val="both"/>
        <w:rPr>
          <w:sz w:val="20"/>
          <w:szCs w:val="20"/>
        </w:rPr>
      </w:pPr>
      <w:r w:rsidRPr="00134D04">
        <w:rPr>
          <w:rFonts w:ascii="Arial" w:eastAsia="Arial" w:hAnsi="Arial" w:cs="Arial"/>
          <w:sz w:val="20"/>
          <w:szCs w:val="20"/>
          <w:u w:val="single"/>
        </w:rPr>
        <w:t>Notes for completi</w:t>
      </w:r>
      <w:r w:rsidR="00C21DD3">
        <w:rPr>
          <w:rFonts w:ascii="Arial" w:eastAsia="Arial" w:hAnsi="Arial" w:cs="Arial"/>
          <w:sz w:val="20"/>
          <w:szCs w:val="20"/>
          <w:u w:val="single"/>
        </w:rPr>
        <w:t xml:space="preserve">ng </w:t>
      </w:r>
      <w:r w:rsidR="00BC373F">
        <w:rPr>
          <w:rFonts w:ascii="Arial" w:eastAsia="Arial" w:hAnsi="Arial" w:cs="Arial"/>
          <w:sz w:val="20"/>
          <w:szCs w:val="20"/>
          <w:u w:val="single"/>
        </w:rPr>
        <w:t>the Eligibility Questions</w:t>
      </w:r>
    </w:p>
    <w:p w14:paraId="10254627"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“You” / “Your” </w:t>
      </w:r>
      <w:proofErr w:type="gramStart"/>
      <w:r w:rsidRPr="00134D04">
        <w:rPr>
          <w:rFonts w:ascii="Arial" w:eastAsia="Arial" w:hAnsi="Arial" w:cs="Arial"/>
          <w:sz w:val="20"/>
          <w:szCs w:val="20"/>
        </w:rPr>
        <w:t>refers</w:t>
      </w:r>
      <w:proofErr w:type="gramEnd"/>
      <w:r w:rsidRPr="00134D04">
        <w:rPr>
          <w:rFonts w:ascii="Arial" w:eastAsia="Arial" w:hAnsi="Arial" w:cs="Arial"/>
          <w:sz w:val="20"/>
          <w:szCs w:val="20"/>
        </w:rPr>
        <w:t xml:space="preserve">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DAAD94"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134D04">
        <w:rPr>
          <w:rFonts w:ascii="Arial" w:eastAsia="Arial" w:hAnsi="Arial" w:cs="Arial"/>
          <w:sz w:val="20"/>
          <w:szCs w:val="20"/>
        </w:rPr>
        <w:t>annex.</w:t>
      </w:r>
      <w:proofErr w:type="gramEnd"/>
    </w:p>
    <w:p w14:paraId="797FF2A2" w14:textId="114D676B"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lastRenderedPageBreak/>
        <w:t xml:space="preserve">The Authority recognises that arrangements set out in section 1.2 </w:t>
      </w:r>
      <w:r w:rsidR="00BC373F">
        <w:rPr>
          <w:rFonts w:ascii="Arial" w:eastAsia="Arial" w:hAnsi="Arial" w:cs="Arial"/>
          <w:sz w:val="20"/>
          <w:szCs w:val="20"/>
        </w:rPr>
        <w:t>of the Eligibility Questions</w:t>
      </w:r>
      <w:r w:rsidRPr="00134D04">
        <w:rPr>
          <w:rFonts w:ascii="Arial" w:eastAsia="Arial" w:hAnsi="Arial" w:cs="Arial"/>
          <w:sz w:val="20"/>
          <w:szCs w:val="20"/>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Pr="00134D04">
        <w:rPr>
          <w:rFonts w:ascii="Arial" w:eastAsia="Arial" w:hAnsi="Arial" w:cs="Arial"/>
          <w:sz w:val="20"/>
          <w:szCs w:val="20"/>
        </w:rPr>
        <w:t xml:space="preserve"> is submitted for any new organisation relied on to meet the selection criteria. The authority will make a revised assessment of the submission based on the updated information.</w:t>
      </w:r>
    </w:p>
    <w:p w14:paraId="30ECB452" w14:textId="39C3876D"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For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00C21DD3">
        <w:rPr>
          <w:rFonts w:ascii="Arial" w:eastAsia="Arial" w:hAnsi="Arial" w:cs="Arial"/>
          <w:sz w:val="20"/>
          <w:szCs w:val="20"/>
        </w:rPr>
        <w:t xml:space="preserve"> </w:t>
      </w:r>
      <w:r w:rsidRPr="00134D04">
        <w:rPr>
          <w:rFonts w:ascii="Arial" w:eastAsia="Arial" w:hAnsi="Arial" w:cs="Arial"/>
          <w:sz w:val="20"/>
          <w:szCs w:val="20"/>
        </w:rPr>
        <w:t xml:space="preserve">every organisation that is being relied on to meet the selection must complete and submit the self-declaration. </w:t>
      </w:r>
    </w:p>
    <w:p w14:paraId="47897E7F" w14:textId="00C69F4A" w:rsidR="009C0417" w:rsidRPr="009C0417" w:rsidRDefault="009C0417" w:rsidP="00134D04">
      <w:pPr>
        <w:pStyle w:val="Normal1"/>
        <w:numPr>
          <w:ilvl w:val="1"/>
          <w:numId w:val="24"/>
        </w:numPr>
        <w:tabs>
          <w:tab w:val="clear" w:pos="720"/>
          <w:tab w:val="num" w:pos="851"/>
        </w:tabs>
        <w:spacing w:before="240"/>
        <w:ind w:left="851" w:right="11" w:hanging="851"/>
        <w:jc w:val="both"/>
        <w:rPr>
          <w:rFonts w:ascii="Arial" w:hAnsi="Arial" w:cs="Arial"/>
          <w:sz w:val="20"/>
          <w:szCs w:val="20"/>
        </w:rPr>
      </w:pPr>
      <w:bookmarkStart w:id="67" w:name="_Ref478473788"/>
      <w:r w:rsidRPr="009C0417">
        <w:rPr>
          <w:rFonts w:ascii="Arial" w:hAnsi="Arial" w:cs="Arial"/>
          <w:sz w:val="20"/>
          <w:szCs w:val="20"/>
        </w:rPr>
        <w:t>All sub-contractors are required to complete part 1 and Part 2 of the Eligibility Questions.</w:t>
      </w:r>
    </w:p>
    <w:bookmarkEnd w:id="67"/>
    <w:p w14:paraId="516D098D" w14:textId="4A601F0B"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For answers to Part 3 </w:t>
      </w:r>
      <w:r w:rsidR="00C21DD3">
        <w:rPr>
          <w:rFonts w:ascii="Arial" w:eastAsia="Arial" w:hAnsi="Arial" w:cs="Arial"/>
          <w:sz w:val="20"/>
          <w:szCs w:val="20"/>
        </w:rPr>
        <w:t xml:space="preserve">of </w:t>
      </w:r>
      <w:r w:rsidR="00BC373F">
        <w:rPr>
          <w:rFonts w:ascii="Arial" w:eastAsia="Arial" w:hAnsi="Arial" w:cs="Arial"/>
          <w:sz w:val="20"/>
          <w:szCs w:val="20"/>
        </w:rPr>
        <w:t xml:space="preserve">the Eligibility Questions </w:t>
      </w:r>
      <w:r w:rsidRPr="00134D04">
        <w:rPr>
          <w:rFonts w:ascii="Arial" w:eastAsia="Arial" w:hAnsi="Arial" w:cs="Arial"/>
          <w:sz w:val="20"/>
          <w:szCs w:val="20"/>
        </w:rPr>
        <w:t>-</w:t>
      </w:r>
      <w:r w:rsidRPr="00134D04">
        <w:rPr>
          <w:rFonts w:ascii="Arial" w:eastAsia="Arial" w:hAnsi="Arial" w:cs="Arial"/>
          <w:i/>
          <w:sz w:val="20"/>
          <w:szCs w:val="20"/>
        </w:rPr>
        <w:t xml:space="preserve"> </w:t>
      </w:r>
      <w:r w:rsidRPr="00134D04">
        <w:rPr>
          <w:rFonts w:ascii="Arial" w:eastAsia="Arial" w:hAnsi="Arial" w:cs="Arial"/>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0C93A378" w14:textId="77777777" w:rsidR="00C21DD3" w:rsidRDefault="00134D04" w:rsidP="00C21DD3">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w:t>
      </w:r>
      <w:bookmarkStart w:id="68" w:name="_Toc403555122"/>
      <w:r>
        <w:rPr>
          <w:rFonts w:ascii="Arial" w:eastAsia="Arial" w:hAnsi="Arial" w:cs="Arial"/>
          <w:sz w:val="20"/>
          <w:szCs w:val="20"/>
        </w:rPr>
        <w:t>sure</w:t>
      </w:r>
    </w:p>
    <w:p w14:paraId="6D8B148F" w14:textId="28D00D19" w:rsidR="00C21DD3" w:rsidRPr="00C21DD3" w:rsidRDefault="00C21DD3" w:rsidP="00680879">
      <w:pPr>
        <w:pStyle w:val="Normal1"/>
        <w:spacing w:before="240"/>
        <w:ind w:left="851" w:right="11"/>
        <w:jc w:val="both"/>
        <w:rPr>
          <w:sz w:val="20"/>
          <w:szCs w:val="20"/>
        </w:rPr>
      </w:pPr>
      <w:r w:rsidRPr="00C21DD3">
        <w:rPr>
          <w:rFonts w:ascii="Arial" w:hAnsi="Arial" w:cs="Arial"/>
          <w:b/>
          <w:sz w:val="20"/>
          <w:szCs w:val="20"/>
        </w:rPr>
        <w:t xml:space="preserve">Formalities for submission of </w:t>
      </w:r>
      <w:r w:rsidR="00BC373F">
        <w:rPr>
          <w:rFonts w:ascii="Arial" w:hAnsi="Arial" w:cs="Arial"/>
          <w:b/>
          <w:sz w:val="20"/>
          <w:szCs w:val="20"/>
        </w:rPr>
        <w:t xml:space="preserve">Eligibility Questions </w:t>
      </w:r>
    </w:p>
    <w:p w14:paraId="7C86E983" w14:textId="38ED6E9C" w:rsidR="00C21DD3" w:rsidRPr="00BC4757" w:rsidRDefault="00BC4757" w:rsidP="00C21DD3">
      <w:pPr>
        <w:pStyle w:val="MRNumberedHeading2"/>
        <w:numPr>
          <w:ilvl w:val="1"/>
          <w:numId w:val="24"/>
        </w:numPr>
        <w:shd w:val="clear" w:color="auto" w:fill="FFFFFF"/>
        <w:tabs>
          <w:tab w:val="clear" w:pos="720"/>
          <w:tab w:val="num" w:pos="851"/>
        </w:tabs>
        <w:ind w:left="851" w:hanging="851"/>
        <w:rPr>
          <w:rFonts w:eastAsia="Arial" w:cs="Arial"/>
          <w:color w:val="000000"/>
          <w:szCs w:val="20"/>
          <w:lang w:eastAsia="en-US"/>
        </w:rPr>
      </w:pPr>
      <w:bookmarkStart w:id="69" w:name="_Ref478473938"/>
      <w:r>
        <w:rPr>
          <w:rFonts w:eastAsia="Arial" w:cs="Arial"/>
          <w:color w:val="000000"/>
          <w:szCs w:val="20"/>
          <w:lang w:eastAsia="en-US"/>
        </w:rPr>
        <w:t xml:space="preserve"> </w:t>
      </w:r>
      <w:r w:rsidR="00944251" w:rsidRPr="00BC4757">
        <w:rPr>
          <w:rFonts w:eastAsia="Arial" w:cs="Arial"/>
          <w:color w:val="000000"/>
          <w:szCs w:val="20"/>
          <w:lang w:eastAsia="en-US"/>
        </w:rPr>
        <w:t>T</w:t>
      </w:r>
      <w:r w:rsidR="00BC373F" w:rsidRPr="00BC4757">
        <w:rPr>
          <w:rFonts w:eastAsia="Arial" w:cs="Arial"/>
          <w:color w:val="000000"/>
          <w:szCs w:val="20"/>
          <w:lang w:eastAsia="en-US"/>
        </w:rPr>
        <w:t xml:space="preserve">he Eligibility Questions </w:t>
      </w:r>
      <w:r w:rsidR="00442895" w:rsidRPr="00BC4757">
        <w:rPr>
          <w:rFonts w:eastAsia="Arial" w:cs="Arial"/>
          <w:color w:val="000000"/>
          <w:szCs w:val="20"/>
          <w:lang w:eastAsia="en-US"/>
        </w:rPr>
        <w:t>are</w:t>
      </w:r>
      <w:r w:rsidR="00C21DD3" w:rsidRPr="00BC4757">
        <w:rPr>
          <w:rFonts w:eastAsia="Arial" w:cs="Arial"/>
          <w:color w:val="000000"/>
          <w:szCs w:val="20"/>
          <w:lang w:eastAsia="en-US"/>
        </w:rPr>
        <w:t xml:space="preserve"> structured in three separate parts:</w:t>
      </w:r>
      <w:bookmarkEnd w:id="69"/>
    </w:p>
    <w:p w14:paraId="5EB95208" w14:textId="75F3A75F"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bookmarkStart w:id="70" w:name="_Ref478474329"/>
      <w:r w:rsidRPr="00BC4757">
        <w:rPr>
          <w:rFonts w:eastAsia="Arial" w:cs="Arial"/>
          <w:color w:val="000000"/>
          <w:szCs w:val="20"/>
          <w:lang w:eastAsia="en-US"/>
        </w:rPr>
        <w:t>Part 1: Basic information about the Bidder, including contact details, details of parent companies and group bidding;</w:t>
      </w:r>
      <w:bookmarkEnd w:id="70"/>
    </w:p>
    <w:p w14:paraId="068CD819" w14:textId="4AA3476A"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Part 2: Self-declaration regarding whether or not any of the mandatory or discretionary exclusion grounds apply; and</w:t>
      </w:r>
    </w:p>
    <w:p w14:paraId="644AECBB" w14:textId="07B92BB8" w:rsidR="00C21DD3" w:rsidRDefault="00C21DD3" w:rsidP="00C21DD3">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 xml:space="preserve">Part 3: Self-declaration regarding whether or not you meet the selection criteria in respect of your financial standing and technical capacity.  </w:t>
      </w:r>
    </w:p>
    <w:p w14:paraId="4012FABA" w14:textId="66F1063F" w:rsidR="009C0417" w:rsidRPr="009C0417" w:rsidRDefault="009C0417" w:rsidP="009C0417">
      <w:pPr>
        <w:pStyle w:val="MRNumberedHeading2"/>
        <w:numPr>
          <w:ilvl w:val="1"/>
          <w:numId w:val="24"/>
        </w:numPr>
        <w:shd w:val="clear" w:color="auto" w:fill="FFFFFF"/>
        <w:tabs>
          <w:tab w:val="clear" w:pos="720"/>
          <w:tab w:val="num" w:pos="851"/>
        </w:tabs>
        <w:ind w:left="851" w:hanging="851"/>
        <w:rPr>
          <w:rFonts w:eastAsia="Arial" w:cs="Arial"/>
          <w:color w:val="000000"/>
          <w:szCs w:val="20"/>
          <w:lang w:eastAsia="en-US"/>
        </w:rPr>
      </w:pPr>
      <w:r>
        <w:rPr>
          <w:rFonts w:eastAsia="Arial" w:cs="Arial"/>
          <w:color w:val="000000"/>
          <w:szCs w:val="20"/>
          <w:lang w:eastAsia="en-US"/>
        </w:rPr>
        <w:t>Bidders must log-on to the e-Tendering Portal in order to complete the Eligibility Questions.</w:t>
      </w:r>
    </w:p>
    <w:p w14:paraId="5EAB528F" w14:textId="03A67C77" w:rsidR="00C21DD3" w:rsidRPr="00C21DD3" w:rsidRDefault="00C21DD3" w:rsidP="00C21DD3">
      <w:pPr>
        <w:pStyle w:val="Normal1"/>
        <w:spacing w:before="240"/>
        <w:ind w:left="851" w:right="11"/>
        <w:jc w:val="both"/>
        <w:rPr>
          <w:rFonts w:ascii="Arial" w:hAnsi="Arial" w:cs="Arial"/>
          <w:b/>
          <w:sz w:val="20"/>
          <w:szCs w:val="20"/>
        </w:rPr>
      </w:pPr>
      <w:r>
        <w:rPr>
          <w:rFonts w:ascii="Arial" w:hAnsi="Arial" w:cs="Arial"/>
          <w:b/>
          <w:sz w:val="20"/>
          <w:szCs w:val="20"/>
        </w:rPr>
        <w:t xml:space="preserve">General </w:t>
      </w:r>
      <w:r w:rsidR="00134D04" w:rsidRPr="00134D04">
        <w:rPr>
          <w:rFonts w:ascii="Arial" w:hAnsi="Arial" w:cs="Arial"/>
          <w:b/>
          <w:sz w:val="20"/>
          <w:szCs w:val="20"/>
        </w:rPr>
        <w:t>Formalities for submission of Tender</w:t>
      </w:r>
      <w:bookmarkEnd w:id="68"/>
      <w:r w:rsidR="00134D04" w:rsidRPr="00134D04">
        <w:rPr>
          <w:rFonts w:ascii="Arial" w:hAnsi="Arial" w:cs="Arial"/>
          <w:b/>
          <w:sz w:val="20"/>
          <w:szCs w:val="20"/>
        </w:rPr>
        <w:t xml:space="preserve">s </w:t>
      </w:r>
      <w:bookmarkStart w:id="71" w:name="_Toc403555123"/>
      <w:bookmarkStart w:id="72" w:name="_Ref405452954"/>
      <w:r w:rsidR="00C516F4">
        <w:rPr>
          <w:rFonts w:ascii="Arial" w:hAnsi="Arial" w:cs="Arial"/>
          <w:b/>
          <w:sz w:val="20"/>
          <w:szCs w:val="20"/>
        </w:rPr>
        <w:t>(including the Eligibility Questions)</w:t>
      </w:r>
    </w:p>
    <w:p w14:paraId="24F20197" w14:textId="72D16027" w:rsidR="00767557" w:rsidRPr="00675C18" w:rsidRDefault="00675C18" w:rsidP="00134D04">
      <w:pPr>
        <w:pStyle w:val="Normal1"/>
        <w:numPr>
          <w:ilvl w:val="1"/>
          <w:numId w:val="24"/>
        </w:numPr>
        <w:tabs>
          <w:tab w:val="clear" w:pos="720"/>
          <w:tab w:val="num" w:pos="851"/>
        </w:tabs>
        <w:spacing w:before="240"/>
        <w:ind w:left="851" w:right="11" w:hanging="851"/>
        <w:jc w:val="both"/>
        <w:rPr>
          <w:rFonts w:ascii="Arial" w:hAnsi="Arial" w:cs="Arial"/>
          <w:sz w:val="20"/>
          <w:szCs w:val="20"/>
        </w:rPr>
      </w:pPr>
      <w:r w:rsidRPr="00675C18">
        <w:rPr>
          <w:rFonts w:ascii="Arial" w:hAnsi="Arial" w:cs="Arial"/>
          <w:sz w:val="20"/>
          <w:szCs w:val="20"/>
        </w:rPr>
        <w:t xml:space="preserve">Bidders must complete and submit the Annexes to Section B of the ITT (including the Eligibility Questions). The Annexes must be submitted using the e-Tendering Portal. Bidders should ensure that they allow plenty of time to upload the Annexes, particularly where there are large documents. </w:t>
      </w:r>
      <w:r w:rsidR="0064147B" w:rsidRPr="00675C18">
        <w:rPr>
          <w:rFonts w:ascii="Arial" w:hAnsi="Arial" w:cs="Arial"/>
          <w:sz w:val="20"/>
          <w:szCs w:val="20"/>
        </w:rPr>
        <w:t xml:space="preserve">If Bidders have any problems with the e-Tendering Portal, they should contact the helpdesk on 0800 </w:t>
      </w:r>
      <w:r>
        <w:rPr>
          <w:rFonts w:ascii="Arial" w:hAnsi="Arial" w:cs="Arial"/>
          <w:sz w:val="20"/>
          <w:szCs w:val="20"/>
        </w:rPr>
        <w:t>069</w:t>
      </w:r>
      <w:r w:rsidR="0064147B" w:rsidRPr="00675C18">
        <w:rPr>
          <w:rFonts w:ascii="Arial" w:hAnsi="Arial" w:cs="Arial"/>
          <w:sz w:val="20"/>
          <w:szCs w:val="20"/>
        </w:rPr>
        <w:t xml:space="preserve"> </w:t>
      </w:r>
      <w:r w:rsidR="00F82598">
        <w:rPr>
          <w:rFonts w:ascii="Arial" w:hAnsi="Arial" w:cs="Arial"/>
          <w:sz w:val="20"/>
          <w:szCs w:val="20"/>
        </w:rPr>
        <w:t>8630</w:t>
      </w:r>
      <w:r w:rsidR="0064147B" w:rsidRPr="00675C18">
        <w:rPr>
          <w:rFonts w:ascii="Arial" w:hAnsi="Arial" w:cs="Arial"/>
          <w:sz w:val="20"/>
          <w:szCs w:val="20"/>
        </w:rPr>
        <w:t xml:space="preserve"> or email </w:t>
      </w:r>
      <w:hyperlink r:id="rId20" w:history="1">
        <w:r w:rsidR="0064147B" w:rsidRPr="00675C18">
          <w:rPr>
            <w:rStyle w:val="Hyperlink"/>
            <w:rFonts w:ascii="Arial" w:hAnsi="Arial" w:cs="Arial"/>
            <w:sz w:val="20"/>
            <w:szCs w:val="20"/>
          </w:rPr>
          <w:t>help@bravosolution.co.uk</w:t>
        </w:r>
      </w:hyperlink>
      <w:r w:rsidR="0064147B" w:rsidRPr="00675C18">
        <w:rPr>
          <w:rFonts w:ascii="Arial" w:hAnsi="Arial" w:cs="Arial"/>
          <w:sz w:val="20"/>
          <w:szCs w:val="20"/>
        </w:rPr>
        <w:t>. The helpdesk is open Monday to Friday between 8am and 6pm excluding public and bank holidays. As noted above any Tender received after the deadline may not be considered.</w:t>
      </w:r>
    </w:p>
    <w:bookmarkEnd w:id="71"/>
    <w:bookmarkEnd w:id="72"/>
    <w:p w14:paraId="20C738BF" w14:textId="1ACCEB24" w:rsidR="00E41C42" w:rsidRPr="0064147B" w:rsidRDefault="00E41C42" w:rsidP="004270D9">
      <w:pPr>
        <w:pStyle w:val="Normal1"/>
        <w:numPr>
          <w:ilvl w:val="1"/>
          <w:numId w:val="24"/>
        </w:numPr>
        <w:tabs>
          <w:tab w:val="clear" w:pos="720"/>
          <w:tab w:val="num" w:pos="851"/>
        </w:tabs>
        <w:spacing w:before="240"/>
        <w:ind w:left="851" w:right="11" w:hanging="851"/>
        <w:jc w:val="both"/>
        <w:rPr>
          <w:rFonts w:ascii="Arial" w:hAnsi="Arial" w:cs="Arial"/>
          <w:sz w:val="20"/>
          <w:szCs w:val="20"/>
        </w:rPr>
      </w:pPr>
      <w:r w:rsidRPr="0064147B">
        <w:rPr>
          <w:rFonts w:ascii="Arial" w:hAnsi="Arial" w:cs="Arial"/>
          <w:sz w:val="20"/>
          <w:szCs w:val="20"/>
        </w:rPr>
        <w:t xml:space="preserve">The maximum file size for uploading documents is </w:t>
      </w:r>
      <w:r w:rsidR="0064147B">
        <w:rPr>
          <w:rFonts w:ascii="Arial" w:hAnsi="Arial" w:cs="Arial"/>
          <w:sz w:val="20"/>
          <w:szCs w:val="20"/>
        </w:rPr>
        <w:t>50MB per file</w:t>
      </w:r>
      <w:r w:rsidRPr="0064147B">
        <w:rPr>
          <w:rFonts w:ascii="Arial" w:hAnsi="Arial" w:cs="Arial"/>
          <w:sz w:val="20"/>
          <w:szCs w:val="20"/>
        </w:rPr>
        <w:t>.  You should split you</w:t>
      </w:r>
      <w:r w:rsidR="001B7E88" w:rsidRPr="0064147B">
        <w:rPr>
          <w:rFonts w:ascii="Arial" w:hAnsi="Arial" w:cs="Arial"/>
          <w:sz w:val="20"/>
          <w:szCs w:val="20"/>
        </w:rPr>
        <w:t>r</w:t>
      </w:r>
      <w:r w:rsidRPr="0064147B">
        <w:rPr>
          <w:rFonts w:ascii="Arial" w:hAnsi="Arial" w:cs="Arial"/>
          <w:sz w:val="20"/>
          <w:szCs w:val="20"/>
        </w:rPr>
        <w:t xml:space="preserve"> Tender into small enough file sizes to upload.  Note: the Authority does not guarantee that you will </w:t>
      </w:r>
      <w:r w:rsidR="001B7E88" w:rsidRPr="0064147B">
        <w:rPr>
          <w:rFonts w:ascii="Arial" w:hAnsi="Arial" w:cs="Arial"/>
          <w:sz w:val="20"/>
          <w:szCs w:val="20"/>
        </w:rPr>
        <w:t xml:space="preserve">be </w:t>
      </w:r>
      <w:r w:rsidRPr="0064147B">
        <w:rPr>
          <w:rFonts w:ascii="Arial" w:hAnsi="Arial" w:cs="Arial"/>
          <w:sz w:val="20"/>
          <w:szCs w:val="20"/>
        </w:rPr>
        <w:t>able to upload files up to the maximum size, particularly at busy times</w:t>
      </w:r>
      <w:r w:rsidR="00BD5DCC" w:rsidRPr="0064147B">
        <w:rPr>
          <w:rFonts w:ascii="Arial" w:hAnsi="Arial" w:cs="Arial"/>
          <w:sz w:val="20"/>
          <w:szCs w:val="20"/>
        </w:rPr>
        <w:t xml:space="preserve">. </w:t>
      </w:r>
      <w:r w:rsidRPr="0064147B">
        <w:rPr>
          <w:rFonts w:ascii="Arial" w:hAnsi="Arial" w:cs="Arial"/>
          <w:sz w:val="20"/>
          <w:szCs w:val="20"/>
        </w:rPr>
        <w:t xml:space="preserve"> For t</w:t>
      </w:r>
      <w:r w:rsidR="001B7E88" w:rsidRPr="0064147B">
        <w:rPr>
          <w:rFonts w:ascii="Arial" w:hAnsi="Arial" w:cs="Arial"/>
          <w:sz w:val="20"/>
          <w:szCs w:val="20"/>
        </w:rPr>
        <w:t>his reason it is recommended that</w:t>
      </w:r>
      <w:r w:rsidRPr="0064147B">
        <w:rPr>
          <w:rFonts w:ascii="Arial" w:hAnsi="Arial" w:cs="Arial"/>
          <w:sz w:val="20"/>
          <w:szCs w:val="20"/>
        </w:rPr>
        <w:t xml:space="preserve"> Bidders should ensure files are well below the maximum stated and allow plenty of time to upload, so they have enough time to resolve any technical difficulties before the deadline.</w:t>
      </w:r>
      <w:bookmarkEnd w:id="65"/>
    </w:p>
    <w:p w14:paraId="17FF17A0" w14:textId="77777777" w:rsidR="00F82598" w:rsidRDefault="00F82598" w:rsidP="00F82598">
      <w:pPr>
        <w:pStyle w:val="MRNumberedHeading2"/>
      </w:pPr>
      <w:bookmarkStart w:id="73" w:name="_Toc403555125"/>
      <w:bookmarkStart w:id="74" w:name="_Ref405453188"/>
      <w:r>
        <w:t>Bidders must adhere to the following standard requirements when submitting their Tenders.</w:t>
      </w:r>
    </w:p>
    <w:p w14:paraId="018D623B" w14:textId="17AB8A53" w:rsidR="00F82598" w:rsidRPr="00F82598" w:rsidRDefault="00F82598" w:rsidP="00F82598">
      <w:pPr>
        <w:pStyle w:val="MRNumberedHeading2"/>
        <w:numPr>
          <w:ilvl w:val="2"/>
          <w:numId w:val="23"/>
        </w:numPr>
      </w:pPr>
      <w:r w:rsidRPr="00F82598">
        <w:rPr>
          <w:rFonts w:cs="Arial"/>
          <w:szCs w:val="20"/>
        </w:rPr>
        <w:t>All responses must be inserted into the relevant answer field unless an attachment is additionally permitted</w:t>
      </w:r>
      <w:r>
        <w:rPr>
          <w:rFonts w:cs="Arial"/>
          <w:szCs w:val="20"/>
        </w:rPr>
        <w:t xml:space="preserve"> (Eligibility Questions).</w:t>
      </w:r>
    </w:p>
    <w:p w14:paraId="303A0B99" w14:textId="5D4ABFC3" w:rsidR="00F82598" w:rsidRDefault="00F82598" w:rsidP="00F82598">
      <w:pPr>
        <w:pStyle w:val="MRNumberedHeading2"/>
        <w:numPr>
          <w:ilvl w:val="2"/>
          <w:numId w:val="23"/>
        </w:numPr>
      </w:pPr>
      <w:r>
        <w:lastRenderedPageBreak/>
        <w:t>Do not embed documents within other documents. Instead provide separate electronic copies of the documents, clearly labelled and referenced if necessary.</w:t>
      </w:r>
    </w:p>
    <w:p w14:paraId="3DDBC872" w14:textId="23F47699" w:rsidR="00F82598" w:rsidRDefault="00F82598" w:rsidP="00F82598">
      <w:pPr>
        <w:pStyle w:val="MRNumberedHeading2"/>
        <w:numPr>
          <w:ilvl w:val="2"/>
          <w:numId w:val="23"/>
        </w:numPr>
      </w:pPr>
      <w:r>
        <w:t>The Tender must be in English and drafted in accordance with the drafting guidance set out in this ITT.</w:t>
      </w:r>
    </w:p>
    <w:p w14:paraId="33A58B6A" w14:textId="0508A52E" w:rsidR="00F82598" w:rsidRDefault="00F82598" w:rsidP="00F82598">
      <w:pPr>
        <w:pStyle w:val="MRNumberedHeading2"/>
        <w:numPr>
          <w:ilvl w:val="2"/>
          <w:numId w:val="23"/>
        </w:numPr>
      </w:pPr>
      <w:r>
        <w:t xml:space="preserve"> The Tender must be fully cross-referenced and include a table of contents.</w:t>
      </w:r>
    </w:p>
    <w:p w14:paraId="70E23EB7" w14:textId="4A57085E" w:rsidR="00F82598" w:rsidRDefault="00F82598" w:rsidP="00F82598">
      <w:pPr>
        <w:pStyle w:val="MRNumberedHeading2"/>
        <w:numPr>
          <w:ilvl w:val="2"/>
          <w:numId w:val="23"/>
        </w:numPr>
      </w:pPr>
      <w:r>
        <w:t>The Tender must include a list of all supporting material.</w:t>
      </w:r>
    </w:p>
    <w:p w14:paraId="328CF12F" w14:textId="0BDDC923" w:rsidR="00F82598" w:rsidRDefault="00F82598" w:rsidP="00F82598">
      <w:pPr>
        <w:pStyle w:val="MRNumberedHeading2"/>
        <w:numPr>
          <w:ilvl w:val="2"/>
          <w:numId w:val="23"/>
        </w:numPr>
      </w:pPr>
      <w:r>
        <w:t>Electronic copies of the Tender shall be in both Microsoft Office and PDF formats.</w:t>
      </w:r>
    </w:p>
    <w:p w14:paraId="640D77E8" w14:textId="1EFEB0A2" w:rsidR="00F82598" w:rsidRDefault="00F82598" w:rsidP="00F82598">
      <w:pPr>
        <w:pStyle w:val="MRNumberedHeading2"/>
        <w:numPr>
          <w:ilvl w:val="2"/>
          <w:numId w:val="23"/>
        </w:numPr>
      </w:pPr>
      <w:r>
        <w:t>Bidders should use Arial font type size 11.</w:t>
      </w:r>
    </w:p>
    <w:p w14:paraId="20C738CB" w14:textId="77777777" w:rsidR="007B6206" w:rsidRDefault="007B6206" w:rsidP="00E203C9">
      <w:pPr>
        <w:pStyle w:val="MRNumberedHeading2"/>
        <w:tabs>
          <w:tab w:val="clear" w:pos="720"/>
          <w:tab w:val="num" w:pos="851"/>
        </w:tabs>
        <w:ind w:left="851" w:hanging="851"/>
      </w:pPr>
      <w:bookmarkStart w:id="75" w:name="_Toc403555126"/>
      <w:bookmarkEnd w:id="73"/>
      <w:bookmarkEnd w:id="74"/>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75"/>
      <w:r>
        <w:t xml:space="preserve">  </w:t>
      </w:r>
    </w:p>
    <w:p w14:paraId="20C738CC" w14:textId="42659527" w:rsidR="00601937" w:rsidRDefault="00C27CC2" w:rsidP="00E203C9">
      <w:pPr>
        <w:pStyle w:val="MRNumberedHeading2"/>
        <w:tabs>
          <w:tab w:val="clear" w:pos="720"/>
          <w:tab w:val="num" w:pos="851"/>
        </w:tabs>
        <w:ind w:left="851" w:hanging="851"/>
      </w:pPr>
      <w:bookmarkStart w:id="76" w:name="_Toc403555127"/>
      <w:bookmarkStart w:id="77"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76"/>
      <w:bookmarkEnd w:id="77"/>
      <w:r w:rsidR="000E5C37">
        <w:t xml:space="preserve"> </w:t>
      </w:r>
    </w:p>
    <w:p w14:paraId="20C738CD" w14:textId="30594178" w:rsidR="002471B4" w:rsidRDefault="00C27CC2" w:rsidP="00E203C9">
      <w:pPr>
        <w:pStyle w:val="MRNumberedHeading2"/>
        <w:tabs>
          <w:tab w:val="clear" w:pos="720"/>
          <w:tab w:val="num" w:pos="851"/>
        </w:tabs>
        <w:ind w:left="851" w:hanging="851"/>
      </w:pPr>
      <w:bookmarkStart w:id="78" w:name="_Toc403555128"/>
      <w:bookmarkStart w:id="79" w:name="_Ref412651999"/>
      <w:r>
        <w:t>Tenders will be evaluated on the basis o</w:t>
      </w:r>
      <w:r w:rsidR="00A7044C">
        <w:t>f information submitted by the d</w:t>
      </w:r>
      <w:r>
        <w:t>eadline.</w:t>
      </w:r>
      <w:bookmarkEnd w:id="78"/>
      <w:r w:rsidR="002F1591">
        <w:t xml:space="preserve"> </w:t>
      </w:r>
      <w:r w:rsidR="002F1591">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79"/>
    </w:p>
    <w:p w14:paraId="20C738CE" w14:textId="77777777" w:rsidR="00C45A8E" w:rsidRDefault="0017043F" w:rsidP="00E203C9">
      <w:pPr>
        <w:pStyle w:val="MRNumberedHeading2"/>
        <w:tabs>
          <w:tab w:val="clear" w:pos="720"/>
          <w:tab w:val="num" w:pos="851"/>
        </w:tabs>
        <w:ind w:left="851" w:hanging="851"/>
      </w:pPr>
      <w:bookmarkStart w:id="80" w:name="_Toc403555129"/>
      <w:r>
        <w:t>The</w:t>
      </w:r>
      <w:r w:rsidR="00C27CC2">
        <w:t xml:space="preserve"> Tender must be signed by a duly authorised</w:t>
      </w:r>
      <w:r>
        <w:t xml:space="preserve"> representative of the </w:t>
      </w:r>
      <w:r w:rsidR="00637C62">
        <w:t>Bidder.</w:t>
      </w:r>
      <w:bookmarkEnd w:id="80"/>
      <w:r w:rsidR="00637C62">
        <w:t xml:space="preserve">  </w:t>
      </w:r>
    </w:p>
    <w:p w14:paraId="20C738CF" w14:textId="6B315A61" w:rsidR="006534CF" w:rsidRPr="00276E1B" w:rsidRDefault="001375C3" w:rsidP="004270D9">
      <w:pPr>
        <w:pStyle w:val="Heading1"/>
        <w:spacing w:before="240" w:after="0"/>
        <w:ind w:left="851"/>
      </w:pPr>
      <w:bookmarkStart w:id="81" w:name="_Toc403555130"/>
      <w:r w:rsidRPr="00276E1B">
        <w:t>Modification and withdrawal of Tenders</w:t>
      </w:r>
      <w:bookmarkEnd w:id="81"/>
    </w:p>
    <w:p w14:paraId="20C738D0" w14:textId="51CF0B34" w:rsidR="004251F8" w:rsidRDefault="00CF3319" w:rsidP="00E203C9">
      <w:pPr>
        <w:pStyle w:val="MRNumberedHeading2"/>
        <w:tabs>
          <w:tab w:val="clear" w:pos="720"/>
          <w:tab w:val="num" w:pos="851"/>
        </w:tabs>
        <w:ind w:left="851" w:hanging="851"/>
      </w:pPr>
      <w:bookmarkStart w:id="82" w:name="_Toc403555131"/>
      <w:bookmarkStart w:id="83" w:name="_Ref478475788"/>
      <w:r>
        <w:t xml:space="preserve">Except as set out in paragraph </w:t>
      </w:r>
      <w:r w:rsidR="0095006A">
        <w:fldChar w:fldCharType="begin"/>
      </w:r>
      <w:r w:rsidR="0095006A">
        <w:instrText xml:space="preserve"> REF _Ref412651999 \r \h </w:instrText>
      </w:r>
      <w:r w:rsidR="0095006A">
        <w:fldChar w:fldCharType="separate"/>
      </w:r>
      <w:r w:rsidR="003F5716">
        <w:t>3.20</w:t>
      </w:r>
      <w:r w:rsidR="0095006A">
        <w:fldChar w:fldCharType="end"/>
      </w:r>
      <w:r>
        <w:t>, n</w:t>
      </w:r>
      <w:r w:rsidRPr="00A24900">
        <w:t>o</w:t>
      </w:r>
      <w:r w:rsidR="001375C3" w:rsidRPr="00A24900">
        <w:t xml:space="preserve"> </w:t>
      </w:r>
      <w:r w:rsidR="002651E8">
        <w:t>T</w:t>
      </w:r>
      <w:r w:rsidR="001375C3" w:rsidRPr="00A24900">
        <w:t>ender may be modified aft</w:t>
      </w:r>
      <w:r w:rsidR="00CC4072">
        <w:t>er the deadline for receipt of T</w:t>
      </w:r>
      <w:r w:rsidR="001375C3" w:rsidRPr="00A24900">
        <w:t>enders.</w:t>
      </w:r>
      <w:bookmarkEnd w:id="82"/>
      <w:bookmarkEnd w:id="83"/>
    </w:p>
    <w:p w14:paraId="75B10147" w14:textId="77777777" w:rsidR="0064147B" w:rsidRPr="0064147B" w:rsidRDefault="001375C3" w:rsidP="00B35FD1">
      <w:pPr>
        <w:pStyle w:val="MRNumberedHeading2"/>
        <w:tabs>
          <w:tab w:val="clear" w:pos="720"/>
          <w:tab w:val="num" w:pos="851"/>
        </w:tabs>
        <w:ind w:left="850" w:hanging="850"/>
        <w:rPr>
          <w:rFonts w:cs="Arial"/>
          <w:b/>
          <w:szCs w:val="20"/>
        </w:rPr>
      </w:pPr>
      <w:bookmarkStart w:id="84" w:name="_Toc403555132"/>
      <w:bookmarkStart w:id="85" w:name="_Ref405453207"/>
      <w:r w:rsidRPr="00A24900">
        <w:t>Tenders may be withdrawn at any time before the deadlin</w:t>
      </w:r>
      <w:r w:rsidR="00CC4072">
        <w:t>e for receipt of T</w:t>
      </w:r>
      <w:r w:rsidR="002651E8">
        <w:t>enders.  Revised T</w:t>
      </w:r>
      <w:r w:rsidRPr="00A24900">
        <w:t>enders may be submitted up unt</w:t>
      </w:r>
      <w:r w:rsidR="00CC4072">
        <w:t>il the deadline for receipt of T</w:t>
      </w:r>
      <w:r w:rsidRPr="00A24900">
        <w:t>enders</w:t>
      </w:r>
      <w:bookmarkEnd w:id="84"/>
      <w:bookmarkEnd w:id="85"/>
      <w:r w:rsidR="0064147B">
        <w:t>.</w:t>
      </w:r>
    </w:p>
    <w:p w14:paraId="6E7AFDDB" w14:textId="7F69A6D4" w:rsidR="00B35FD1" w:rsidRPr="00B35FD1" w:rsidRDefault="00B35FD1" w:rsidP="00B35FD1">
      <w:pPr>
        <w:pStyle w:val="MRNumberedHeading2"/>
        <w:numPr>
          <w:ilvl w:val="0"/>
          <w:numId w:val="0"/>
        </w:numPr>
        <w:ind w:left="850"/>
        <w:rPr>
          <w:rFonts w:cs="Arial"/>
          <w:b/>
          <w:szCs w:val="20"/>
        </w:rPr>
      </w:pPr>
      <w:r>
        <w:rPr>
          <w:rFonts w:cs="Arial"/>
          <w:b/>
          <w:szCs w:val="20"/>
        </w:rPr>
        <w:t>Variant bids</w:t>
      </w:r>
    </w:p>
    <w:p w14:paraId="1331FEFE" w14:textId="3815AA27" w:rsidR="00B35FD1" w:rsidRDefault="00B35FD1" w:rsidP="00E203C9">
      <w:pPr>
        <w:pStyle w:val="MRNumberedHeading2"/>
        <w:tabs>
          <w:tab w:val="clear" w:pos="720"/>
          <w:tab w:val="num" w:pos="851"/>
        </w:tabs>
        <w:ind w:left="851" w:hanging="851"/>
      </w:pPr>
      <w:bookmarkStart w:id="86" w:name="_Ref403332636"/>
      <w:bookmarkStart w:id="87" w:name="_Toc403555133"/>
      <w:r>
        <w:t>You are encouraged to be innovative in your thinking when preparing your Tender and to provide any suggestions and solutions that may be more cost efficient and better value for money. Any such proposal which alters the requirements of the Specification must be in the form of a variant bid, must be clearly marked “variant bid” and must be submitted at the same time as the fully compliant Tender requested in this ITT.</w:t>
      </w:r>
    </w:p>
    <w:p w14:paraId="20C738D4" w14:textId="77777777" w:rsidR="00BA173E" w:rsidRPr="00276E1B" w:rsidRDefault="00430158" w:rsidP="004270D9">
      <w:pPr>
        <w:pStyle w:val="Heading1"/>
        <w:spacing w:before="240" w:after="0"/>
        <w:ind w:left="851"/>
      </w:pPr>
      <w:bookmarkStart w:id="88" w:name="_Toc403555134"/>
      <w:bookmarkEnd w:id="86"/>
      <w:bookmarkEnd w:id="87"/>
      <w:r w:rsidRPr="00276E1B">
        <w:rPr>
          <w:bCs/>
        </w:rPr>
        <w:t>Terms and conditions</w:t>
      </w:r>
      <w:bookmarkEnd w:id="88"/>
    </w:p>
    <w:p w14:paraId="20C738D5" w14:textId="529C88B2" w:rsidR="00B00C70" w:rsidRPr="00BA173E" w:rsidRDefault="00746CCF" w:rsidP="00E203C9">
      <w:pPr>
        <w:pStyle w:val="MRNumberedHeading2"/>
        <w:tabs>
          <w:tab w:val="clear" w:pos="720"/>
          <w:tab w:val="num" w:pos="851"/>
        </w:tabs>
        <w:ind w:left="851" w:hanging="851"/>
        <w:rPr>
          <w:rFonts w:cs="Arial"/>
        </w:rPr>
      </w:pPr>
      <w:bookmarkStart w:id="89" w:name="_Toc403555135"/>
      <w:r>
        <w:t xml:space="preserve">The </w:t>
      </w:r>
      <w:r w:rsidR="0034181A">
        <w:t>c</w:t>
      </w:r>
      <w:r w:rsidR="00BF698B">
        <w:t>ontract will include the NHS Terms and 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693E67">
        <w:t>NHS Terms and Conditions</w:t>
      </w:r>
      <w:r w:rsidR="00B00C70">
        <w:t xml:space="preserve"> without further negotiation or amendment.</w:t>
      </w:r>
      <w:bookmarkEnd w:id="89"/>
    </w:p>
    <w:p w14:paraId="20C738D6" w14:textId="77777777" w:rsidR="002F23DC" w:rsidRPr="00276E1B" w:rsidRDefault="002F23DC" w:rsidP="004270D9">
      <w:pPr>
        <w:pStyle w:val="Heading1"/>
        <w:spacing w:before="240" w:after="0"/>
        <w:ind w:left="851"/>
      </w:pPr>
      <w:bookmarkStart w:id="90" w:name="_Toc403555136"/>
      <w:r w:rsidRPr="00276E1B">
        <w:lastRenderedPageBreak/>
        <w:t>Consortia and subcontractors</w:t>
      </w:r>
      <w:bookmarkEnd w:id="90"/>
      <w:r w:rsidRPr="00276E1B">
        <w:t xml:space="preserve"> </w:t>
      </w:r>
    </w:p>
    <w:p w14:paraId="20C738D7" w14:textId="061720D0" w:rsidR="00BA173E" w:rsidRDefault="00746CCF" w:rsidP="00E203C9">
      <w:pPr>
        <w:pStyle w:val="MRNumberedHeading2"/>
        <w:tabs>
          <w:tab w:val="clear" w:pos="720"/>
          <w:tab w:val="num" w:pos="851"/>
        </w:tabs>
        <w:ind w:left="851" w:hanging="851"/>
      </w:pPr>
      <w:bookmarkStart w:id="91" w:name="_Toc403555137"/>
      <w:bookmarkStart w:id="92" w:name="_Ref405453227"/>
      <w:r w:rsidRPr="003E3276">
        <w:t>If</w:t>
      </w:r>
      <w:r>
        <w:t xml:space="preserve"> the Bidder is a consortium or will rely on sub-contractors to deliver the contract, it must explain in its Tender precisely which entities will be the supplier.</w:t>
      </w:r>
      <w:bookmarkEnd w:id="91"/>
      <w:bookmarkEnd w:id="92"/>
    </w:p>
    <w:p w14:paraId="20C738D8" w14:textId="77777777" w:rsidR="00BA173E" w:rsidRDefault="002F23DC" w:rsidP="00E203C9">
      <w:pPr>
        <w:pStyle w:val="MRNumberedHeading2"/>
        <w:tabs>
          <w:tab w:val="clear" w:pos="720"/>
          <w:tab w:val="num" w:pos="851"/>
        </w:tabs>
        <w:ind w:left="851" w:hanging="851"/>
      </w:pPr>
      <w:bookmarkStart w:id="93" w:name="_Toc403555138"/>
      <w:r w:rsidRPr="002F23DC">
        <w:t>For the purposes of this ITT, the following terms apply:</w:t>
      </w:r>
      <w:bookmarkEnd w:id="93"/>
    </w:p>
    <w:p w14:paraId="20C738D9" w14:textId="77777777" w:rsidR="00BA173E" w:rsidRDefault="00BA173E" w:rsidP="004270D9">
      <w:pPr>
        <w:pStyle w:val="MRNumberedHeading3"/>
        <w:numPr>
          <w:ilvl w:val="2"/>
          <w:numId w:val="23"/>
        </w:numPr>
        <w:tabs>
          <w:tab w:val="clear" w:pos="2214"/>
          <w:tab w:val="num" w:pos="1794"/>
        </w:tabs>
        <w:spacing w:line="240" w:lineRule="auto"/>
        <w:ind w:left="1702" w:hanging="851"/>
        <w:jc w:val="both"/>
      </w:pPr>
      <w:r>
        <w:rPr>
          <w:bCs/>
          <w:i/>
        </w:rPr>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establish a special purpose vehicle as the prime contracting party with the Authority.</w:t>
      </w:r>
    </w:p>
    <w:p w14:paraId="20C738DA" w14:textId="77777777" w:rsidR="002F23DC" w:rsidRPr="002F23DC" w:rsidRDefault="00BA173E" w:rsidP="004270D9">
      <w:pPr>
        <w:pStyle w:val="MRNumberedHeading3"/>
        <w:numPr>
          <w:ilvl w:val="2"/>
          <w:numId w:val="23"/>
        </w:numPr>
        <w:tabs>
          <w:tab w:val="clear" w:pos="2214"/>
          <w:tab w:val="num" w:pos="1794"/>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r w:rsidR="005308BB">
        <w:t>supplier</w:t>
      </w:r>
      <w:r w:rsidR="002F23DC" w:rsidRPr="002F23DC">
        <w:t xml:space="preserve">, but envisage that one of their number will be the </w:t>
      </w:r>
      <w:r w:rsidR="005308BB">
        <w:t>supplier</w:t>
      </w:r>
      <w:r w:rsidR="002F23DC" w:rsidRPr="002F23DC">
        <w:t xml:space="preserve">, the remaining members of that group will be subcontractors to the </w:t>
      </w:r>
      <w:r w:rsidR="005308BB">
        <w:t>supplier</w:t>
      </w:r>
      <w:r w:rsidR="002F23DC" w:rsidRPr="002F23DC">
        <w:t>.</w:t>
      </w:r>
    </w:p>
    <w:p w14:paraId="20C738DB" w14:textId="77777777" w:rsidR="00746CCF" w:rsidRPr="008E6BB3" w:rsidRDefault="00746CCF" w:rsidP="00E203C9">
      <w:pPr>
        <w:pStyle w:val="MRNumberedHeading2"/>
        <w:tabs>
          <w:tab w:val="clear" w:pos="720"/>
          <w:tab w:val="num" w:pos="851"/>
        </w:tabs>
        <w:ind w:left="851" w:hanging="851"/>
      </w:pPr>
      <w:bookmarkStart w:id="94" w:name="_Toc403555139"/>
      <w:r>
        <w:t>If the Bidder intends to sub-contract any material parts of the contract, it must explain which parts will be sub-con</w:t>
      </w:r>
      <w:r w:rsidR="00A60BD1">
        <w:t>tracted, who the sub-contractor</w:t>
      </w:r>
      <w:r w:rsidR="00BD5DCC">
        <w:t xml:space="preserve"> is, confirm</w:t>
      </w:r>
      <w:r>
        <w:t xml:space="preserve"> the sub-contractor has agreed terms of supply and what contractual commitment it has from the sub-contractor to deliver.</w:t>
      </w:r>
      <w:bookmarkEnd w:id="94"/>
    </w:p>
    <w:p w14:paraId="20C738DC" w14:textId="77777777" w:rsidR="002F23DC" w:rsidRPr="00276E1B" w:rsidRDefault="002F23DC" w:rsidP="00276E1B">
      <w:pPr>
        <w:pStyle w:val="Heading1"/>
        <w:spacing w:before="240" w:after="0"/>
        <w:ind w:left="851"/>
      </w:pPr>
      <w:bookmarkStart w:id="95" w:name="_Toc403555140"/>
      <w:r w:rsidRPr="00276E1B">
        <w:t>Warnings and disclaimers</w:t>
      </w:r>
      <w:bookmarkEnd w:id="95"/>
    </w:p>
    <w:p w14:paraId="20C738DD" w14:textId="77777777" w:rsidR="001B5F4F" w:rsidRDefault="001B5F4F" w:rsidP="00E203C9">
      <w:pPr>
        <w:pStyle w:val="MRNumberedHeading2"/>
        <w:tabs>
          <w:tab w:val="clear" w:pos="720"/>
          <w:tab w:val="num" w:pos="851"/>
        </w:tabs>
        <w:ind w:left="851" w:hanging="851"/>
      </w:pPr>
      <w:bookmarkStart w:id="96" w:name="_Toc403555141"/>
      <w:r>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96"/>
    </w:p>
    <w:p w14:paraId="20C738DE" w14:textId="77777777" w:rsidR="001B5F4F" w:rsidRDefault="001B5F4F" w:rsidP="00E203C9">
      <w:pPr>
        <w:pStyle w:val="MRNumberedHeading2"/>
        <w:tabs>
          <w:tab w:val="clear" w:pos="720"/>
          <w:tab w:val="num" w:pos="851"/>
        </w:tabs>
        <w:ind w:left="851" w:hanging="851"/>
      </w:pPr>
      <w:bookmarkStart w:id="97"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97"/>
    </w:p>
    <w:p w14:paraId="20C738DF" w14:textId="77777777" w:rsidR="001B5F4F" w:rsidRDefault="001B5F4F" w:rsidP="00E203C9">
      <w:pPr>
        <w:pStyle w:val="MRNumberedHeading2"/>
        <w:tabs>
          <w:tab w:val="clear" w:pos="720"/>
          <w:tab w:val="num" w:pos="851"/>
        </w:tabs>
        <w:ind w:left="851" w:hanging="851"/>
      </w:pPr>
      <w:bookmarkStart w:id="98" w:name="_Toc403555143"/>
      <w:r>
        <w:t>Neither the issue of this ITT, nor any of the information presented in it, should be regarded as a commitment or representation on the part of the Authority (or any other person) to enter into a contractual arrangement.</w:t>
      </w:r>
      <w:bookmarkEnd w:id="98"/>
    </w:p>
    <w:p w14:paraId="20C738E0" w14:textId="77777777" w:rsidR="002F23DC" w:rsidRPr="00276E1B" w:rsidRDefault="001B5F4F" w:rsidP="00276E1B">
      <w:pPr>
        <w:pStyle w:val="Heading1"/>
        <w:spacing w:before="240" w:after="0"/>
        <w:ind w:left="851"/>
      </w:pPr>
      <w:bookmarkStart w:id="99" w:name="_Toc403555144"/>
      <w:r w:rsidRPr="00276E1B">
        <w:t>Freedom of Information Act 2000</w:t>
      </w:r>
      <w:r w:rsidR="008A56A2" w:rsidRPr="00276E1B">
        <w:t xml:space="preserve"> and Environmental Information Regulations 2004</w:t>
      </w:r>
      <w:bookmarkEnd w:id="99"/>
    </w:p>
    <w:p w14:paraId="20C738E1" w14:textId="77777777" w:rsidR="001664D9" w:rsidRPr="001375C3" w:rsidRDefault="001664D9" w:rsidP="00E203C9">
      <w:pPr>
        <w:pStyle w:val="MRNumberedHeading2"/>
        <w:tabs>
          <w:tab w:val="clear" w:pos="720"/>
          <w:tab w:val="num" w:pos="851"/>
        </w:tabs>
        <w:ind w:left="851" w:hanging="851"/>
      </w:pPr>
      <w:bookmarkStart w:id="100"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101"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100"/>
      <w:r w:rsidRPr="001375C3">
        <w:t xml:space="preserve"> </w:t>
      </w:r>
      <w:bookmarkEnd w:id="101"/>
    </w:p>
    <w:p w14:paraId="20C738E2" w14:textId="77777777" w:rsidR="001664D9" w:rsidRPr="001375C3" w:rsidRDefault="001664D9" w:rsidP="00E203C9">
      <w:pPr>
        <w:pStyle w:val="MRNumberedHeading2"/>
        <w:tabs>
          <w:tab w:val="clear" w:pos="720"/>
          <w:tab w:val="num" w:pos="851"/>
        </w:tabs>
        <w:ind w:left="851" w:hanging="851"/>
      </w:pPr>
      <w:bookmarkStart w:id="102" w:name="_Toc403555146"/>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bookmarkEnd w:id="102"/>
    </w:p>
    <w:p w14:paraId="20C738E3"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1664D9" w:rsidRPr="007301E9">
        <w:rPr>
          <w:bCs/>
        </w:rPr>
        <w:t>learly identify such information as</w:t>
      </w:r>
      <w:r w:rsidR="00F10ACE" w:rsidRPr="007301E9">
        <w:rPr>
          <w:bCs/>
        </w:rPr>
        <w:t xml:space="preserve"> confidential or</w:t>
      </w:r>
      <w:r w:rsidR="001664D9" w:rsidRPr="007301E9">
        <w:rPr>
          <w:bCs/>
        </w:rPr>
        <w:t xml:space="preserve"> commercially sensitive;</w:t>
      </w:r>
    </w:p>
    <w:p w14:paraId="20C738E4"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1664D9" w:rsidRPr="007301E9">
        <w:rPr>
          <w:bCs/>
        </w:rPr>
        <w:t>xplain its reasons why disclosure of such information would be likely to prejudice or would cause actual prejudice to its commercial interests; and</w:t>
      </w:r>
    </w:p>
    <w:p w14:paraId="20C738E5"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pPr>
      <w:proofErr w:type="gramStart"/>
      <w:r w:rsidRPr="007301E9">
        <w:rPr>
          <w:bCs/>
        </w:rPr>
        <w:t>p</w:t>
      </w:r>
      <w:r w:rsidR="001664D9" w:rsidRPr="007301E9">
        <w:rPr>
          <w:bCs/>
        </w:rPr>
        <w:t>rovide</w:t>
      </w:r>
      <w:proofErr w:type="gramEnd"/>
      <w:r w:rsidR="001664D9" w:rsidRPr="007301E9">
        <w:rPr>
          <w:bCs/>
        </w:rPr>
        <w:t xml:space="preserve"> a reasoned estimate of the period of time during which the </w:t>
      </w:r>
      <w:r w:rsidR="00785DDF" w:rsidRPr="007301E9">
        <w:rPr>
          <w:bCs/>
        </w:rPr>
        <w:t>Bidder</w:t>
      </w:r>
      <w:r w:rsidR="001664D9" w:rsidRPr="007301E9">
        <w:rPr>
          <w:bCs/>
        </w:rPr>
        <w:t xml:space="preserve"> believes that</w:t>
      </w:r>
      <w:r w:rsidR="001664D9" w:rsidRPr="007301E9">
        <w:t xml:space="preserve"> such information will remain commercially sensitive.</w:t>
      </w:r>
    </w:p>
    <w:p w14:paraId="20C738E6" w14:textId="4F7DA050" w:rsidR="001664D9" w:rsidRPr="001375C3" w:rsidRDefault="001664D9" w:rsidP="00E203C9">
      <w:pPr>
        <w:pStyle w:val="MRNumberedHeading2"/>
        <w:tabs>
          <w:tab w:val="clear" w:pos="720"/>
          <w:tab w:val="num" w:pos="851"/>
        </w:tabs>
        <w:ind w:left="851" w:hanging="851"/>
      </w:pPr>
      <w:bookmarkStart w:id="103" w:name="_Toc403555147"/>
      <w:r w:rsidRPr="001375C3">
        <w:t xml:space="preserve">This information must be listed in </w:t>
      </w:r>
      <w:r w:rsidR="007A3602">
        <w:t>Annex B</w:t>
      </w:r>
      <w:r w:rsidR="00C344CB">
        <w:t>4</w:t>
      </w:r>
      <w:r w:rsidR="008852C8" w:rsidRPr="001375C3">
        <w:t xml:space="preserve"> to </w:t>
      </w:r>
      <w:r w:rsidR="00DE48E3">
        <w:t>Section B</w:t>
      </w:r>
      <w:r w:rsidR="008852C8" w:rsidRPr="001375C3">
        <w:t xml:space="preserve"> of this ITT</w:t>
      </w:r>
      <w:r w:rsidRPr="001375C3">
        <w:t xml:space="preserve">, </w:t>
      </w:r>
      <w:r w:rsidR="00912243">
        <w:t xml:space="preserve">with a statement of which exemptions are relevant under FOIA and/or </w:t>
      </w:r>
      <w:r w:rsidR="00955490">
        <w:t xml:space="preserve">the </w:t>
      </w:r>
      <w:r w:rsidR="00912243">
        <w:t>EI</w:t>
      </w:r>
      <w:r w:rsidR="00955490">
        <w:t>R</w:t>
      </w:r>
      <w:r w:rsidR="004834F5" w:rsidRPr="001375C3">
        <w:t>.</w:t>
      </w:r>
      <w:bookmarkEnd w:id="103"/>
    </w:p>
    <w:p w14:paraId="20C738E7" w14:textId="77777777" w:rsidR="001664D9" w:rsidRPr="001375C3" w:rsidRDefault="001664D9" w:rsidP="00E203C9">
      <w:pPr>
        <w:pStyle w:val="MRNumberedHeading2"/>
        <w:tabs>
          <w:tab w:val="clear" w:pos="720"/>
          <w:tab w:val="num" w:pos="851"/>
        </w:tabs>
        <w:ind w:left="851" w:hanging="851"/>
      </w:pPr>
      <w:bookmarkStart w:id="104" w:name="_Ref149547621"/>
      <w:bookmarkStart w:id="105" w:name="_Toc403555148"/>
      <w:r w:rsidRPr="001375C3">
        <w:lastRenderedPageBreak/>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104"/>
      <w:r w:rsidR="001C747B">
        <w:t>or otherwise exempt.</w:t>
      </w:r>
      <w:bookmarkEnd w:id="105"/>
    </w:p>
    <w:p w14:paraId="20C738E8" w14:textId="77777777" w:rsidR="00491808" w:rsidRPr="00276E1B" w:rsidRDefault="00491808" w:rsidP="00276E1B">
      <w:pPr>
        <w:pStyle w:val="Heading1"/>
        <w:spacing w:before="240" w:after="0"/>
        <w:ind w:left="851"/>
      </w:pPr>
      <w:bookmarkStart w:id="106" w:name="_Toc403555149"/>
      <w:r w:rsidRPr="00276E1B">
        <w:t>Publicity</w:t>
      </w:r>
      <w:bookmarkEnd w:id="106"/>
    </w:p>
    <w:p w14:paraId="20C738E9" w14:textId="77777777" w:rsidR="00491808" w:rsidRPr="00541CDA" w:rsidRDefault="00645517" w:rsidP="00E203C9">
      <w:pPr>
        <w:pStyle w:val="MRNumberedHeading2"/>
        <w:tabs>
          <w:tab w:val="clear" w:pos="720"/>
          <w:tab w:val="num" w:pos="851"/>
        </w:tabs>
        <w:ind w:left="851" w:hanging="851"/>
      </w:pPr>
      <w:bookmarkStart w:id="107"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107"/>
    </w:p>
    <w:p w14:paraId="20C738EA" w14:textId="77777777" w:rsidR="00491808" w:rsidRPr="00276E1B" w:rsidRDefault="00785DDF" w:rsidP="00276E1B">
      <w:pPr>
        <w:pStyle w:val="Heading1"/>
        <w:spacing w:before="240" w:after="0"/>
        <w:ind w:left="851"/>
      </w:pPr>
      <w:bookmarkStart w:id="108" w:name="a699927"/>
      <w:bookmarkStart w:id="109" w:name="_Toc403555151"/>
      <w:bookmarkEnd w:id="108"/>
      <w:r w:rsidRPr="00276E1B">
        <w:t>Bidder</w:t>
      </w:r>
      <w:r w:rsidR="00491808" w:rsidRPr="00276E1B">
        <w:t xml:space="preserve"> conduct and conflicts of interest</w:t>
      </w:r>
      <w:bookmarkEnd w:id="109"/>
    </w:p>
    <w:p w14:paraId="20C738EB" w14:textId="77777777" w:rsidR="00491808" w:rsidRPr="00491808" w:rsidRDefault="00491808" w:rsidP="00E203C9">
      <w:pPr>
        <w:pStyle w:val="MRNumberedHeading2"/>
        <w:tabs>
          <w:tab w:val="clear" w:pos="720"/>
          <w:tab w:val="num" w:pos="851"/>
        </w:tabs>
        <w:ind w:left="851" w:hanging="851"/>
      </w:pPr>
      <w:bookmarkStart w:id="110"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110"/>
    </w:p>
    <w:p w14:paraId="20C738EC"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14:paraId="20C738ED"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T</w:t>
      </w:r>
      <w:r w:rsidRPr="007301E9">
        <w:rPr>
          <w:bCs/>
        </w:rPr>
        <w:t xml:space="preserve">ender; </w:t>
      </w:r>
    </w:p>
    <w:p w14:paraId="20C738EE"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a T</w:t>
      </w:r>
      <w:r w:rsidRPr="007301E9">
        <w:rPr>
          <w:bCs/>
        </w:rPr>
        <w:t>ender;</w:t>
      </w:r>
    </w:p>
    <w:p w14:paraId="20C738EF"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14:paraId="20C738F0" w14:textId="77777777" w:rsidR="00645517"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proofErr w:type="gramStart"/>
      <w:r w:rsidRPr="007301E9">
        <w:rPr>
          <w:bCs/>
        </w:rPr>
        <w:t>a</w:t>
      </w:r>
      <w:r w:rsidR="00491808" w:rsidRPr="007301E9">
        <w:rPr>
          <w:bCs/>
        </w:rPr>
        <w:t>ttempt</w:t>
      </w:r>
      <w:proofErr w:type="gramEnd"/>
      <w:r w:rsidR="00491808" w:rsidRPr="007301E9">
        <w:rPr>
          <w:bCs/>
        </w:rPr>
        <w:t xml:space="preserve">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14:paraId="20C738F1" w14:textId="77777777" w:rsidR="00491808" w:rsidRPr="00645517" w:rsidRDefault="00E7163F" w:rsidP="00E203C9">
      <w:pPr>
        <w:pStyle w:val="MRNumberedHeading2"/>
        <w:tabs>
          <w:tab w:val="clear" w:pos="720"/>
          <w:tab w:val="num" w:pos="851"/>
        </w:tabs>
        <w:ind w:left="851" w:hanging="851"/>
      </w:pPr>
      <w:bookmarkStart w:id="111"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111"/>
      <w:r w:rsidR="007B6206">
        <w:t xml:space="preserve">  </w:t>
      </w:r>
      <w:r w:rsidR="00BD4D8C">
        <w:t xml:space="preserve"> </w:t>
      </w:r>
      <w:r w:rsidR="00E2328D">
        <w:t xml:space="preserve"> </w:t>
      </w:r>
    </w:p>
    <w:p w14:paraId="20C738F2" w14:textId="77777777" w:rsidR="00491808" w:rsidRPr="00491808" w:rsidRDefault="00491808" w:rsidP="0035766D">
      <w:pPr>
        <w:pStyle w:val="Heading1"/>
        <w:spacing w:before="240" w:after="0"/>
        <w:ind w:left="851"/>
      </w:pPr>
      <w:bookmarkStart w:id="112" w:name="a582432"/>
      <w:bookmarkStart w:id="113" w:name="_Toc403555154"/>
      <w:bookmarkEnd w:id="112"/>
      <w:r w:rsidRPr="00491808">
        <w:t>Authority's rights</w:t>
      </w:r>
      <w:bookmarkEnd w:id="113"/>
    </w:p>
    <w:p w14:paraId="20C738F3" w14:textId="77777777" w:rsidR="00491808" w:rsidRPr="00491808" w:rsidRDefault="008D2128" w:rsidP="00E203C9">
      <w:pPr>
        <w:pStyle w:val="MRNumberedHeading2"/>
        <w:tabs>
          <w:tab w:val="clear" w:pos="720"/>
          <w:tab w:val="num" w:pos="851"/>
        </w:tabs>
        <w:ind w:left="851" w:hanging="851"/>
      </w:pPr>
      <w:bookmarkStart w:id="114" w:name="_Toc403555155"/>
      <w:r>
        <w:t>Subject to its obligations to act in a transparent, proportionate and non-discriminatory manner, t</w:t>
      </w:r>
      <w:r w:rsidR="00491808" w:rsidRPr="00491808">
        <w:t>he Authority reserves the right to:</w:t>
      </w:r>
      <w:bookmarkEnd w:id="114"/>
    </w:p>
    <w:p w14:paraId="20C738F4"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14:paraId="20C738F5"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14:paraId="20C738F6"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14:paraId="20C738F7"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ender process;</w:t>
      </w:r>
    </w:p>
    <w:p w14:paraId="20C738F8"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lastRenderedPageBreak/>
        <w:t>w</w:t>
      </w:r>
      <w:r w:rsidR="00491808" w:rsidRPr="007301E9">
        <w:rPr>
          <w:bCs/>
        </w:rPr>
        <w:t>ithdraw this ITT at any time, or re-invite Tenders on th</w:t>
      </w:r>
      <w:r w:rsidRPr="007301E9">
        <w:rPr>
          <w:bCs/>
        </w:rPr>
        <w:t xml:space="preserve">e same or any alternative basis; </w:t>
      </w:r>
    </w:p>
    <w:p w14:paraId="20C738F9"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14:paraId="20C738FA"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proofErr w:type="gramStart"/>
      <w:r w:rsidRPr="007301E9">
        <w:rPr>
          <w:bCs/>
        </w:rPr>
        <w:t>m</w:t>
      </w:r>
      <w:r w:rsidR="00491808" w:rsidRPr="007301E9">
        <w:rPr>
          <w:bCs/>
        </w:rPr>
        <w:t>ake</w:t>
      </w:r>
      <w:proofErr w:type="gramEnd"/>
      <w:r w:rsidR="00491808" w:rsidRPr="007301E9">
        <w:rPr>
          <w:bCs/>
        </w:rPr>
        <w:t xml:space="preserv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14:paraId="20C738FB" w14:textId="77777777" w:rsidR="00491808" w:rsidRPr="00491808" w:rsidRDefault="00491808" w:rsidP="00276E1B">
      <w:pPr>
        <w:pStyle w:val="Heading1"/>
        <w:spacing w:before="240" w:after="0"/>
        <w:ind w:left="851"/>
      </w:pPr>
      <w:bookmarkStart w:id="115" w:name="a934916"/>
      <w:bookmarkStart w:id="116" w:name="_Toc403555156"/>
      <w:bookmarkEnd w:id="115"/>
      <w:r w:rsidRPr="00491808">
        <w:t>Bid costs</w:t>
      </w:r>
      <w:bookmarkEnd w:id="116"/>
    </w:p>
    <w:p w14:paraId="20C738FC" w14:textId="77777777" w:rsidR="0022652F" w:rsidRDefault="00491808" w:rsidP="00E203C9">
      <w:pPr>
        <w:pStyle w:val="MRNumberedHeading2"/>
        <w:tabs>
          <w:tab w:val="clear" w:pos="720"/>
          <w:tab w:val="num" w:pos="851"/>
        </w:tabs>
        <w:ind w:left="851" w:hanging="851"/>
      </w:pPr>
      <w:bookmarkStart w:id="117"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17"/>
    </w:p>
    <w:p w14:paraId="20C738FD" w14:textId="77777777" w:rsidR="00491808" w:rsidRPr="00276E1B" w:rsidRDefault="00491808" w:rsidP="00276E1B">
      <w:pPr>
        <w:pStyle w:val="Heading1"/>
        <w:spacing w:before="240" w:after="0"/>
        <w:ind w:left="851"/>
      </w:pPr>
      <w:bookmarkStart w:id="118" w:name="_Toc403555158"/>
      <w:r w:rsidRPr="00276E1B">
        <w:t>Language</w:t>
      </w:r>
      <w:bookmarkEnd w:id="118"/>
    </w:p>
    <w:p w14:paraId="20C738FE" w14:textId="77777777" w:rsidR="006534CF" w:rsidRDefault="00491808" w:rsidP="00E203C9">
      <w:pPr>
        <w:pStyle w:val="MRNumberedHeading2"/>
        <w:tabs>
          <w:tab w:val="clear" w:pos="720"/>
          <w:tab w:val="num" w:pos="851"/>
        </w:tabs>
        <w:ind w:left="851" w:hanging="851"/>
      </w:pPr>
      <w:bookmarkStart w:id="119" w:name="_Toc403555159"/>
      <w:r w:rsidRPr="00A24900">
        <w:t xml:space="preserve">Tenders, all documents and all </w:t>
      </w:r>
      <w:r w:rsidR="003219DA">
        <w:t>correspondence relating to the T</w:t>
      </w:r>
      <w:r w:rsidRPr="00A24900">
        <w:t>ender must be written in English.</w:t>
      </w:r>
      <w:bookmarkEnd w:id="119"/>
    </w:p>
    <w:p w14:paraId="20C738FF" w14:textId="47E8FCDF" w:rsidR="00F35E09" w:rsidRPr="00276E1B" w:rsidRDefault="00F35E09" w:rsidP="00276E1B">
      <w:pPr>
        <w:pStyle w:val="Heading1"/>
        <w:spacing w:before="240" w:after="0"/>
        <w:ind w:left="851"/>
      </w:pPr>
      <w:bookmarkStart w:id="120" w:name="_Toc403555160"/>
      <w:r w:rsidRPr="00276E1B">
        <w:t>Transparency</w:t>
      </w:r>
      <w:bookmarkEnd w:id="120"/>
      <w:r w:rsidRPr="00276E1B">
        <w:t xml:space="preserve">  </w:t>
      </w:r>
    </w:p>
    <w:p w14:paraId="20C73900" w14:textId="77777777" w:rsidR="00F35E09" w:rsidRDefault="00F35E09" w:rsidP="00E203C9">
      <w:pPr>
        <w:pStyle w:val="MRNumberedHeading2"/>
        <w:tabs>
          <w:tab w:val="clear" w:pos="720"/>
          <w:tab w:val="num" w:pos="851"/>
        </w:tabs>
        <w:ind w:left="851" w:hanging="851"/>
      </w:pPr>
      <w:bookmarkStart w:id="121" w:name="_Toc403555161"/>
      <w:bookmarkStart w:id="122"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21"/>
      <w:bookmarkEnd w:id="122"/>
      <w:r w:rsidR="009D5F0B">
        <w:t>'s Contracts Finder portal.</w:t>
      </w:r>
    </w:p>
    <w:p w14:paraId="20C73901" w14:textId="77777777" w:rsidR="00236A55" w:rsidRPr="00276E1B" w:rsidRDefault="00236A55" w:rsidP="00276E1B">
      <w:pPr>
        <w:pStyle w:val="Heading1"/>
        <w:spacing w:before="240" w:after="0"/>
        <w:ind w:left="851"/>
      </w:pPr>
      <w:bookmarkStart w:id="123" w:name="_Toc403555162"/>
      <w:r w:rsidRPr="00276E1B">
        <w:t>Governing Law and Jurisdiction</w:t>
      </w:r>
      <w:bookmarkEnd w:id="123"/>
      <w:r w:rsidRPr="00276E1B">
        <w:t xml:space="preserve"> </w:t>
      </w:r>
    </w:p>
    <w:p w14:paraId="20C73902" w14:textId="77777777" w:rsidR="004E71FF" w:rsidRPr="005A2E47" w:rsidRDefault="00236A55" w:rsidP="00E203C9">
      <w:pPr>
        <w:pStyle w:val="MRNumberedHeading2"/>
        <w:tabs>
          <w:tab w:val="clear" w:pos="720"/>
          <w:tab w:val="num" w:pos="851"/>
        </w:tabs>
        <w:ind w:left="851" w:hanging="851"/>
      </w:pPr>
      <w:bookmarkStart w:id="124" w:name="_Toc403555163"/>
      <w:r>
        <w:t>This ITT and any dispute concerning it (including non-contractual disputes or claims) shall be governed by English law and subject to the jurisdiction of the English Courts</w:t>
      </w:r>
      <w:bookmarkEnd w:id="124"/>
      <w:r w:rsidR="007A3602">
        <w:t>.</w:t>
      </w:r>
    </w:p>
    <w:p w14:paraId="3F1A371D" w14:textId="77777777" w:rsidR="00181236" w:rsidRDefault="00181236">
      <w:pPr>
        <w:spacing w:after="240"/>
        <w:jc w:val="left"/>
        <w:rPr>
          <w:rFonts w:eastAsia="Calibri" w:cs="Arial"/>
          <w:b/>
          <w:lang w:eastAsia="en-GB"/>
        </w:rPr>
      </w:pPr>
      <w:bookmarkStart w:id="125" w:name="_Toc403556504"/>
      <w:bookmarkStart w:id="126" w:name="_Toc403556509"/>
      <w:bookmarkStart w:id="127" w:name="_Toc406674972"/>
      <w:bookmarkStart w:id="128" w:name="_Toc412621214"/>
      <w:r>
        <w:br w:type="page"/>
      </w:r>
    </w:p>
    <w:p w14:paraId="20C73903" w14:textId="4A5BCED2" w:rsidR="008824CC" w:rsidRPr="008F3D2C" w:rsidRDefault="008731E8" w:rsidP="0035766D">
      <w:pPr>
        <w:pStyle w:val="MRNumberedHeading1"/>
        <w:numPr>
          <w:ilvl w:val="0"/>
          <w:numId w:val="24"/>
        </w:numPr>
        <w:ind w:hanging="798"/>
        <w:jc w:val="both"/>
        <w:rPr>
          <w:sz w:val="20"/>
          <w:szCs w:val="20"/>
        </w:rPr>
      </w:pPr>
      <w:bookmarkStart w:id="129" w:name="_Toc489876074"/>
      <w:r w:rsidRPr="008F3D2C">
        <w:rPr>
          <w:sz w:val="20"/>
          <w:szCs w:val="20"/>
        </w:rPr>
        <w:lastRenderedPageBreak/>
        <w:t>TENDER EVALUATION METHODOLOGY AND CRITERIA</w:t>
      </w:r>
      <w:bookmarkEnd w:id="125"/>
      <w:bookmarkEnd w:id="126"/>
      <w:bookmarkEnd w:id="127"/>
      <w:bookmarkEnd w:id="128"/>
      <w:bookmarkEnd w:id="129"/>
      <w:r w:rsidRPr="008F3D2C">
        <w:rPr>
          <w:sz w:val="20"/>
          <w:szCs w:val="20"/>
        </w:rPr>
        <w:t xml:space="preserve"> </w:t>
      </w:r>
    </w:p>
    <w:p w14:paraId="20C73904" w14:textId="77777777" w:rsidR="008824CC" w:rsidRDefault="00277BB6" w:rsidP="0035766D">
      <w:pPr>
        <w:pStyle w:val="Heading1"/>
        <w:spacing w:before="240" w:after="0"/>
        <w:ind w:left="851"/>
      </w:pPr>
      <w:bookmarkStart w:id="130" w:name="_Toc403555164"/>
      <w:r>
        <w:t>Overview</w:t>
      </w:r>
      <w:bookmarkEnd w:id="130"/>
    </w:p>
    <w:p w14:paraId="20C73905" w14:textId="43A25822" w:rsidR="00BF48A1" w:rsidRDefault="00BF48A1" w:rsidP="00E203C9">
      <w:pPr>
        <w:pStyle w:val="MRNumberedHeading2"/>
        <w:tabs>
          <w:tab w:val="clear" w:pos="720"/>
          <w:tab w:val="num" w:pos="851"/>
        </w:tabs>
        <w:ind w:left="851" w:hanging="851"/>
      </w:pPr>
      <w:bookmarkStart w:id="131" w:name="_Toc403555165"/>
      <w:r>
        <w:t>T</w:t>
      </w:r>
      <w:r w:rsidRPr="003E3276">
        <w:t>h</w:t>
      </w:r>
      <w:r>
        <w:t>is section of the ITT sets out the criteria that the Authority will use to ev</w:t>
      </w:r>
      <w:r w:rsidR="006A3BFB">
        <w:t>aluate Tenders</w:t>
      </w:r>
      <w:r w:rsidR="00FB21E9">
        <w:t>.</w:t>
      </w:r>
      <w:bookmarkEnd w:id="131"/>
      <w:r w:rsidR="00675C18">
        <w:t xml:space="preserve"> The Tenders will be evaluated on quality, 60% of the total score and price, </w:t>
      </w:r>
      <w:proofErr w:type="gramStart"/>
      <w:r w:rsidR="00675C18">
        <w:t>40</w:t>
      </w:r>
      <w:proofErr w:type="gramEnd"/>
      <w:r w:rsidR="00675C18">
        <w:t>% of the total score.</w:t>
      </w:r>
    </w:p>
    <w:p w14:paraId="20C73906" w14:textId="77777777" w:rsidR="00FB21E9" w:rsidRDefault="00FB21E9" w:rsidP="00E203C9">
      <w:pPr>
        <w:pStyle w:val="MRNumberedHeading2"/>
        <w:tabs>
          <w:tab w:val="clear" w:pos="720"/>
          <w:tab w:val="num" w:pos="851"/>
        </w:tabs>
        <w:ind w:left="851" w:hanging="851"/>
      </w:pPr>
      <w:bookmarkStart w:id="132"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 xml:space="preserve">ender is equivocal or unclear, the Authority may deduct marks when scoring </w:t>
      </w:r>
      <w:proofErr w:type="gramStart"/>
      <w:r w:rsidR="00F10ACE">
        <w:t>it,</w:t>
      </w:r>
      <w:proofErr w:type="gramEnd"/>
      <w:r w:rsidR="00F10ACE">
        <w:t xml:space="preserve"> or it may</w:t>
      </w:r>
      <w:r w:rsidR="00B853EE">
        <w:t xml:space="preserve"> treat the Tender as non-complia</w:t>
      </w:r>
      <w:r w:rsidR="00F10ACE">
        <w:t>nt and reject it.</w:t>
      </w:r>
      <w:bookmarkEnd w:id="132"/>
    </w:p>
    <w:p w14:paraId="20C73907" w14:textId="77777777" w:rsidR="00C14AA9" w:rsidRDefault="00C14AA9" w:rsidP="00E203C9">
      <w:pPr>
        <w:pStyle w:val="MRNumberedHeading2"/>
        <w:tabs>
          <w:tab w:val="clear" w:pos="720"/>
          <w:tab w:val="num" w:pos="851"/>
        </w:tabs>
        <w:ind w:left="851" w:hanging="851"/>
      </w:pPr>
      <w:bookmarkStart w:id="133" w:name="_Toc403555167"/>
      <w:r>
        <w:t>The Authority will award the contract to the Tender that scores the highest marks, applying the methodology below. Scoring will be carried out as follows:</w:t>
      </w:r>
      <w:bookmarkEnd w:id="133"/>
      <w:r>
        <w:t xml:space="preserve"> </w:t>
      </w:r>
    </w:p>
    <w:p w14:paraId="20C73908" w14:textId="4299EF07" w:rsidR="00C14AA9" w:rsidRDefault="0001507C" w:rsidP="0035766D">
      <w:pPr>
        <w:pStyle w:val="MRNumberedHeading3"/>
        <w:numPr>
          <w:ilvl w:val="2"/>
          <w:numId w:val="23"/>
        </w:numPr>
        <w:tabs>
          <w:tab w:val="clear" w:pos="2214"/>
          <w:tab w:val="num" w:pos="1794"/>
        </w:tabs>
        <w:spacing w:line="240" w:lineRule="auto"/>
        <w:ind w:left="1702" w:hanging="851"/>
        <w:jc w:val="both"/>
      </w:pPr>
      <w:r>
        <w:t>The Bidder must pass all Eligibility Q</w:t>
      </w:r>
      <w:r w:rsidR="00C14AA9">
        <w:t>uesti</w:t>
      </w:r>
      <w:r>
        <w:t>ons.</w:t>
      </w:r>
    </w:p>
    <w:p w14:paraId="20C73909" w14:textId="6AA3FCCE" w:rsidR="00C14AA9" w:rsidRDefault="00C14AA9" w:rsidP="0035766D">
      <w:pPr>
        <w:pStyle w:val="MRNumberedHeading3"/>
        <w:numPr>
          <w:ilvl w:val="2"/>
          <w:numId w:val="23"/>
        </w:numPr>
        <w:tabs>
          <w:tab w:val="clear" w:pos="2214"/>
          <w:tab w:val="num" w:pos="1794"/>
        </w:tabs>
        <w:spacing w:line="240" w:lineRule="auto"/>
        <w:ind w:left="1702" w:hanging="851"/>
        <w:jc w:val="both"/>
      </w:pPr>
      <w:bookmarkStart w:id="134" w:name="_Ref406761853"/>
      <w:r>
        <w:t>The Authority will then mark Annex B</w:t>
      </w:r>
      <w:r w:rsidR="00F82598">
        <w:t>2</w:t>
      </w:r>
      <w:r w:rsidR="009D5F0B">
        <w:t xml:space="preserve"> of Section B</w:t>
      </w:r>
      <w:r>
        <w:t xml:space="preserve"> (</w:t>
      </w:r>
      <w:r w:rsidR="0034181A">
        <w:t>Tender Response Document</w:t>
      </w:r>
      <w:r>
        <w:t>) ("</w:t>
      </w:r>
      <w:r w:rsidRPr="004B6544">
        <w:rPr>
          <w:b/>
        </w:rPr>
        <w:t>Scored Questions</w:t>
      </w:r>
      <w:r>
        <w:t>") for all B</w:t>
      </w:r>
      <w:r w:rsidR="000E363E">
        <w:t>idders that pass all the Eligibi</w:t>
      </w:r>
      <w:r>
        <w:t>l</w:t>
      </w:r>
      <w:r w:rsidR="000E363E">
        <w:t>i</w:t>
      </w:r>
      <w:r>
        <w:t>ty Questions.</w:t>
      </w:r>
      <w:bookmarkEnd w:id="134"/>
      <w:r>
        <w:t xml:space="preserve"> </w:t>
      </w:r>
    </w:p>
    <w:p w14:paraId="20C7390A" w14:textId="47E15922" w:rsidR="00C14AA9" w:rsidRDefault="00C14AA9" w:rsidP="00E203C9">
      <w:pPr>
        <w:pStyle w:val="MRNumberedHeading2"/>
        <w:tabs>
          <w:tab w:val="clear" w:pos="720"/>
          <w:tab w:val="num" w:pos="851"/>
        </w:tabs>
        <w:ind w:left="851" w:hanging="851"/>
      </w:pPr>
      <w:bookmarkStart w:id="135" w:name="_Toc403555168"/>
      <w:r>
        <w:t xml:space="preserve">The Authority will mark Eligibility Questions as described in paragraphs </w:t>
      </w:r>
      <w:r w:rsidR="00A77338">
        <w:fldChar w:fldCharType="begin"/>
      </w:r>
      <w:r w:rsidR="00A77338">
        <w:instrText xml:space="preserve"> REF _Ref403484377 \r \h </w:instrText>
      </w:r>
      <w:r w:rsidR="0035766D">
        <w:instrText xml:space="preserve"> \* MERGEFORMAT </w:instrText>
      </w:r>
      <w:r w:rsidR="00A77338">
        <w:fldChar w:fldCharType="separate"/>
      </w:r>
      <w:r w:rsidR="003F5716">
        <w:t>4.5</w:t>
      </w:r>
      <w:r w:rsidR="00A77338">
        <w:fldChar w:fldCharType="end"/>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3F5716">
        <w:t>4.</w:t>
      </w:r>
      <w:r w:rsidR="00A77338">
        <w:fldChar w:fldCharType="end"/>
      </w:r>
      <w:r w:rsidR="00C344CB">
        <w:t>10</w:t>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35766D">
        <w:instrText xml:space="preserve"> \* MERGEFORMAT </w:instrText>
      </w:r>
      <w:r w:rsidR="00A77338">
        <w:fldChar w:fldCharType="separate"/>
      </w:r>
      <w:r w:rsidR="003F5716">
        <w:t>4.11</w:t>
      </w:r>
      <w:r w:rsidR="00A77338">
        <w:fldChar w:fldCharType="end"/>
      </w:r>
      <w:r w:rsidR="00A77338">
        <w:t xml:space="preserve"> to </w:t>
      </w:r>
      <w:r w:rsidR="00A77338">
        <w:fldChar w:fldCharType="begin"/>
      </w:r>
      <w:r w:rsidR="00A77338">
        <w:instrText xml:space="preserve"> REF _Ref403484421 \r \h </w:instrText>
      </w:r>
      <w:r w:rsidR="0035766D">
        <w:instrText xml:space="preserve"> \* MERGEFORMAT </w:instrText>
      </w:r>
      <w:r w:rsidR="00A77338">
        <w:fldChar w:fldCharType="separate"/>
      </w:r>
      <w:r w:rsidR="003F5716">
        <w:t>4.16</w:t>
      </w:r>
      <w:bookmarkEnd w:id="135"/>
      <w:r w:rsidR="00A77338">
        <w:fldChar w:fldCharType="end"/>
      </w:r>
      <w:r w:rsidR="00896B94">
        <w:t>.</w:t>
      </w:r>
      <w:r>
        <w:t xml:space="preserve"> </w:t>
      </w:r>
    </w:p>
    <w:p w14:paraId="20C7390B" w14:textId="77777777" w:rsidR="00C14AA9" w:rsidRDefault="00C14AA9" w:rsidP="0035766D">
      <w:pPr>
        <w:pStyle w:val="Heading1"/>
        <w:spacing w:before="240" w:after="0"/>
        <w:ind w:left="851"/>
      </w:pPr>
      <w:bookmarkStart w:id="136" w:name="_Toc403555169"/>
      <w:r>
        <w:t>Criteria – Eligibility Questions</w:t>
      </w:r>
      <w:bookmarkEnd w:id="136"/>
    </w:p>
    <w:p w14:paraId="298C4E44" w14:textId="77777777" w:rsidR="00994051" w:rsidRDefault="00C14AA9" w:rsidP="00E203C9">
      <w:pPr>
        <w:pStyle w:val="MRNumberedHeading2"/>
        <w:tabs>
          <w:tab w:val="clear" w:pos="720"/>
          <w:tab w:val="num" w:pos="851"/>
        </w:tabs>
        <w:ind w:left="851" w:hanging="851"/>
      </w:pPr>
      <w:bookmarkStart w:id="137" w:name="_Ref403484377"/>
      <w:bookmarkStart w:id="138" w:name="_Toc403555170"/>
      <w:r>
        <w:t>The Authority will score Eligibility Questions on the following basis:</w:t>
      </w:r>
      <w:bookmarkEnd w:id="137"/>
      <w:bookmarkEnd w:id="138"/>
    </w:p>
    <w:p w14:paraId="20C7390D" w14:textId="0DA2F054" w:rsidR="00CF3319" w:rsidRPr="00B44E25" w:rsidRDefault="00CF3319" w:rsidP="00994051">
      <w:pPr>
        <w:pStyle w:val="MRNumberedHeading2"/>
        <w:numPr>
          <w:ilvl w:val="0"/>
          <w:numId w:val="0"/>
        </w:numPr>
        <w:ind w:left="851"/>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126"/>
        <w:gridCol w:w="1524"/>
      </w:tblGrid>
      <w:tr w:rsidR="00505AD7" w:rsidRPr="00440F01" w14:paraId="20C73910" w14:textId="0C88902E" w:rsidTr="008A3CBB">
        <w:tc>
          <w:tcPr>
            <w:tcW w:w="4536" w:type="dxa"/>
            <w:shd w:val="clear" w:color="auto" w:fill="A6A6A6"/>
          </w:tcPr>
          <w:p w14:paraId="20C7390E" w14:textId="77777777" w:rsidR="00505AD7" w:rsidRPr="00440F01" w:rsidRDefault="00505AD7" w:rsidP="00C14AA9">
            <w:pPr>
              <w:spacing w:after="240"/>
              <w:outlineLvl w:val="2"/>
              <w:rPr>
                <w:color w:val="000000"/>
              </w:rPr>
            </w:pPr>
            <w:r>
              <w:rPr>
                <w:color w:val="000000"/>
              </w:rPr>
              <w:t>Eligibility Questions</w:t>
            </w:r>
            <w:r w:rsidRPr="00440F01">
              <w:rPr>
                <w:color w:val="000000"/>
              </w:rPr>
              <w:t xml:space="preserve"> </w:t>
            </w:r>
          </w:p>
        </w:tc>
        <w:tc>
          <w:tcPr>
            <w:tcW w:w="2126" w:type="dxa"/>
            <w:shd w:val="clear" w:color="auto" w:fill="A6A6A6"/>
          </w:tcPr>
          <w:p w14:paraId="20C7390F" w14:textId="77777777" w:rsidR="00505AD7" w:rsidRPr="00440F01" w:rsidRDefault="00505AD7" w:rsidP="00C14AA9">
            <w:pPr>
              <w:spacing w:after="240"/>
              <w:outlineLvl w:val="2"/>
              <w:rPr>
                <w:color w:val="000000"/>
              </w:rPr>
            </w:pPr>
            <w:r w:rsidRPr="00440F01">
              <w:rPr>
                <w:color w:val="000000"/>
              </w:rPr>
              <w:t>Selection criteria</w:t>
            </w:r>
          </w:p>
        </w:tc>
        <w:tc>
          <w:tcPr>
            <w:tcW w:w="1524" w:type="dxa"/>
            <w:shd w:val="clear" w:color="auto" w:fill="A6A6A6"/>
          </w:tcPr>
          <w:p w14:paraId="6E0FE975" w14:textId="5B65FA9A" w:rsidR="00505AD7" w:rsidRPr="00440F01" w:rsidRDefault="00505AD7" w:rsidP="00C14AA9">
            <w:pPr>
              <w:spacing w:after="240"/>
              <w:outlineLvl w:val="2"/>
              <w:rPr>
                <w:color w:val="000000"/>
              </w:rPr>
            </w:pPr>
            <w:r>
              <w:rPr>
                <w:color w:val="000000"/>
              </w:rPr>
              <w:t>Self-Certify</w:t>
            </w:r>
          </w:p>
        </w:tc>
      </w:tr>
      <w:tr w:rsidR="008A3CBB" w:rsidRPr="00440F01" w14:paraId="20C73913" w14:textId="737C28E8" w:rsidTr="00107124">
        <w:trPr>
          <w:trHeight w:val="485"/>
        </w:trPr>
        <w:tc>
          <w:tcPr>
            <w:tcW w:w="4536" w:type="dxa"/>
            <w:shd w:val="clear" w:color="auto" w:fill="auto"/>
          </w:tcPr>
          <w:p w14:paraId="20C73911" w14:textId="169B64F1" w:rsidR="008A3CBB" w:rsidRPr="008A3CBB" w:rsidRDefault="008A3CBB" w:rsidP="00107124">
            <w:pPr>
              <w:spacing w:after="240"/>
              <w:outlineLvl w:val="2"/>
              <w:rPr>
                <w:color w:val="000000"/>
              </w:rPr>
            </w:pPr>
            <w:r w:rsidRPr="00994051">
              <w:rPr>
                <w:color w:val="000000"/>
              </w:rPr>
              <w:t>Section 1:</w:t>
            </w:r>
            <w:r>
              <w:rPr>
                <w:color w:val="000000"/>
              </w:rPr>
              <w:t xml:space="preserve"> Potential supplier information</w:t>
            </w:r>
          </w:p>
        </w:tc>
        <w:tc>
          <w:tcPr>
            <w:tcW w:w="2126" w:type="dxa"/>
            <w:shd w:val="clear" w:color="auto" w:fill="auto"/>
          </w:tcPr>
          <w:p w14:paraId="20C73912" w14:textId="3622710F" w:rsidR="008A3CBB" w:rsidRPr="00440F01" w:rsidRDefault="008A3CBB" w:rsidP="00C14AA9">
            <w:pPr>
              <w:spacing w:after="240"/>
              <w:outlineLvl w:val="2"/>
              <w:rPr>
                <w:color w:val="000000"/>
              </w:rPr>
            </w:pPr>
            <w:r w:rsidRPr="00440F01">
              <w:rPr>
                <w:color w:val="000000"/>
              </w:rPr>
              <w:t>Pass or Fail</w:t>
            </w:r>
          </w:p>
        </w:tc>
        <w:tc>
          <w:tcPr>
            <w:tcW w:w="1524" w:type="dxa"/>
          </w:tcPr>
          <w:p w14:paraId="7D3A52C6" w14:textId="6ACA6D2B" w:rsidR="008A3CBB" w:rsidRDefault="008A3CBB" w:rsidP="00C14AA9">
            <w:pPr>
              <w:spacing w:after="240"/>
              <w:outlineLvl w:val="2"/>
              <w:rPr>
                <w:color w:val="000000"/>
              </w:rPr>
            </w:pPr>
            <w:r>
              <w:rPr>
                <w:color w:val="000000"/>
              </w:rPr>
              <w:t xml:space="preserve">Yes </w:t>
            </w:r>
          </w:p>
        </w:tc>
      </w:tr>
      <w:tr w:rsidR="00505AD7" w:rsidRPr="00440F01" w14:paraId="20C73916" w14:textId="418677EE" w:rsidTr="008A3CBB">
        <w:tc>
          <w:tcPr>
            <w:tcW w:w="4536" w:type="dxa"/>
            <w:shd w:val="clear" w:color="auto" w:fill="auto"/>
          </w:tcPr>
          <w:p w14:paraId="20C73914" w14:textId="3101D051" w:rsidR="008A3CBB" w:rsidRPr="008A3CBB" w:rsidRDefault="00505AD7" w:rsidP="00107124">
            <w:pPr>
              <w:tabs>
                <w:tab w:val="left" w:pos="317"/>
              </w:tabs>
              <w:spacing w:after="240"/>
              <w:outlineLvl w:val="2"/>
              <w:rPr>
                <w:color w:val="000000"/>
              </w:rPr>
            </w:pPr>
            <w:r>
              <w:rPr>
                <w:color w:val="000000"/>
              </w:rPr>
              <w:t xml:space="preserve">Section 2: </w:t>
            </w:r>
            <w:r w:rsidRPr="00994051">
              <w:rPr>
                <w:color w:val="000000"/>
              </w:rPr>
              <w:t>Grounds for mandatory exclusion</w:t>
            </w:r>
          </w:p>
        </w:tc>
        <w:tc>
          <w:tcPr>
            <w:tcW w:w="2126" w:type="dxa"/>
            <w:shd w:val="clear" w:color="auto" w:fill="auto"/>
          </w:tcPr>
          <w:p w14:paraId="20C73915" w14:textId="77777777" w:rsidR="00505AD7" w:rsidRPr="00440F01" w:rsidRDefault="00505AD7" w:rsidP="00C14AA9">
            <w:pPr>
              <w:spacing w:after="240"/>
              <w:outlineLvl w:val="2"/>
              <w:rPr>
                <w:color w:val="000000"/>
              </w:rPr>
            </w:pPr>
            <w:r w:rsidRPr="00440F01">
              <w:rPr>
                <w:color w:val="000000"/>
              </w:rPr>
              <w:t>Pass or Fail</w:t>
            </w:r>
          </w:p>
        </w:tc>
        <w:tc>
          <w:tcPr>
            <w:tcW w:w="1524" w:type="dxa"/>
          </w:tcPr>
          <w:p w14:paraId="5EB3C4FE" w14:textId="6009282E" w:rsidR="00505AD7" w:rsidRPr="00440F01" w:rsidRDefault="00505AD7" w:rsidP="00C14AA9">
            <w:pPr>
              <w:spacing w:after="240"/>
              <w:outlineLvl w:val="2"/>
              <w:rPr>
                <w:color w:val="000000"/>
              </w:rPr>
            </w:pPr>
            <w:r>
              <w:rPr>
                <w:color w:val="000000"/>
              </w:rPr>
              <w:t xml:space="preserve">Yes </w:t>
            </w:r>
          </w:p>
        </w:tc>
      </w:tr>
      <w:tr w:rsidR="00505AD7" w:rsidRPr="00440F01" w14:paraId="20C73919" w14:textId="319934D1" w:rsidTr="008A3CBB">
        <w:tc>
          <w:tcPr>
            <w:tcW w:w="4536" w:type="dxa"/>
            <w:shd w:val="clear" w:color="auto" w:fill="auto"/>
          </w:tcPr>
          <w:p w14:paraId="2228833E" w14:textId="77777777" w:rsidR="008A3CBB" w:rsidRDefault="00505AD7" w:rsidP="00107124">
            <w:pPr>
              <w:spacing w:after="240"/>
              <w:outlineLvl w:val="2"/>
              <w:rPr>
                <w:color w:val="000000"/>
              </w:rPr>
            </w:pPr>
            <w:r w:rsidRPr="00994051">
              <w:rPr>
                <w:color w:val="000000"/>
              </w:rPr>
              <w:t xml:space="preserve">Section 3: Grounds for discretionary exclusion </w:t>
            </w:r>
          </w:p>
          <w:p w14:paraId="20C73917" w14:textId="203F1447" w:rsidR="007920B3" w:rsidRPr="008A3CBB" w:rsidRDefault="007920B3" w:rsidP="007920B3">
            <w:pPr>
              <w:spacing w:after="240"/>
              <w:outlineLvl w:val="2"/>
              <w:rPr>
                <w:color w:val="000000"/>
              </w:rPr>
            </w:pPr>
            <w:r>
              <w:rPr>
                <w:color w:val="000000"/>
              </w:rPr>
              <w:t xml:space="preserve">None of the directors or owners can have previously been made bankrupt, be currently under investigation or been convicted of any financially related crime.  </w:t>
            </w:r>
          </w:p>
        </w:tc>
        <w:tc>
          <w:tcPr>
            <w:tcW w:w="2126" w:type="dxa"/>
            <w:shd w:val="clear" w:color="auto" w:fill="auto"/>
          </w:tcPr>
          <w:p w14:paraId="20C73918" w14:textId="77777777" w:rsidR="00505AD7" w:rsidRPr="00440F01" w:rsidRDefault="00505AD7" w:rsidP="00C14AA9">
            <w:pPr>
              <w:spacing w:after="240"/>
              <w:outlineLvl w:val="2"/>
              <w:rPr>
                <w:color w:val="000000"/>
              </w:rPr>
            </w:pPr>
            <w:r w:rsidRPr="00440F01">
              <w:rPr>
                <w:color w:val="000000"/>
              </w:rPr>
              <w:t>Pass or Fail</w:t>
            </w:r>
          </w:p>
        </w:tc>
        <w:tc>
          <w:tcPr>
            <w:tcW w:w="1524" w:type="dxa"/>
          </w:tcPr>
          <w:p w14:paraId="5D8C0905" w14:textId="5A575708" w:rsidR="00505AD7" w:rsidRPr="00440F01" w:rsidRDefault="00505AD7" w:rsidP="00C14AA9">
            <w:pPr>
              <w:spacing w:after="240"/>
              <w:outlineLvl w:val="2"/>
              <w:rPr>
                <w:color w:val="000000"/>
              </w:rPr>
            </w:pPr>
            <w:r>
              <w:rPr>
                <w:color w:val="000000"/>
              </w:rPr>
              <w:t xml:space="preserve">Yes </w:t>
            </w:r>
          </w:p>
        </w:tc>
      </w:tr>
      <w:tr w:rsidR="00505AD7" w:rsidRPr="00440F01" w14:paraId="790AF828" w14:textId="6042EF83" w:rsidTr="008A3CBB">
        <w:tc>
          <w:tcPr>
            <w:tcW w:w="4536" w:type="dxa"/>
            <w:shd w:val="clear" w:color="auto" w:fill="auto"/>
          </w:tcPr>
          <w:p w14:paraId="3CB3FC1C" w14:textId="77777777" w:rsidR="00505AD7" w:rsidRDefault="00505AD7" w:rsidP="00994051">
            <w:pPr>
              <w:spacing w:after="240"/>
              <w:outlineLvl w:val="2"/>
              <w:rPr>
                <w:color w:val="000000"/>
              </w:rPr>
            </w:pPr>
            <w:r>
              <w:rPr>
                <w:color w:val="000000"/>
              </w:rPr>
              <w:t>Section 4 and 5: Economic and Financial Standing</w:t>
            </w:r>
          </w:p>
          <w:p w14:paraId="56035A41" w14:textId="46166DF7" w:rsidR="008A3CBB" w:rsidRPr="00994051" w:rsidRDefault="008A3CBB" w:rsidP="007920B3">
            <w:pPr>
              <w:spacing w:after="240"/>
              <w:outlineLvl w:val="2"/>
              <w:rPr>
                <w:color w:val="000000"/>
              </w:rPr>
            </w:pPr>
            <w:r>
              <w:rPr>
                <w:color w:val="000000"/>
              </w:rPr>
              <w:t xml:space="preserve">The Sub-Contractor must be in sound financial standing. </w:t>
            </w:r>
          </w:p>
        </w:tc>
        <w:tc>
          <w:tcPr>
            <w:tcW w:w="2126" w:type="dxa"/>
            <w:shd w:val="clear" w:color="auto" w:fill="auto"/>
          </w:tcPr>
          <w:p w14:paraId="59AA65A9" w14:textId="691A4889" w:rsidR="00505AD7" w:rsidRPr="00440F01" w:rsidRDefault="00505AD7" w:rsidP="00C14AA9">
            <w:pPr>
              <w:spacing w:after="240"/>
              <w:outlineLvl w:val="2"/>
              <w:rPr>
                <w:color w:val="000000"/>
              </w:rPr>
            </w:pPr>
            <w:r w:rsidRPr="00B35665">
              <w:rPr>
                <w:color w:val="000000"/>
              </w:rPr>
              <w:t>Pass or Fail</w:t>
            </w:r>
          </w:p>
        </w:tc>
        <w:tc>
          <w:tcPr>
            <w:tcW w:w="1524" w:type="dxa"/>
          </w:tcPr>
          <w:p w14:paraId="02EB679C" w14:textId="63B2C471" w:rsidR="00505AD7" w:rsidRPr="00B35665" w:rsidRDefault="00505AD7" w:rsidP="00C14AA9">
            <w:pPr>
              <w:spacing w:after="240"/>
              <w:outlineLvl w:val="2"/>
              <w:rPr>
                <w:color w:val="000000"/>
              </w:rPr>
            </w:pPr>
            <w:r>
              <w:rPr>
                <w:color w:val="000000"/>
              </w:rPr>
              <w:t xml:space="preserve">Yes </w:t>
            </w:r>
          </w:p>
        </w:tc>
      </w:tr>
      <w:tr w:rsidR="00505AD7" w:rsidRPr="00440F01" w14:paraId="0F4C45CF" w14:textId="1BF2782F" w:rsidTr="008A3CBB">
        <w:tc>
          <w:tcPr>
            <w:tcW w:w="4536" w:type="dxa"/>
            <w:shd w:val="clear" w:color="auto" w:fill="auto"/>
          </w:tcPr>
          <w:p w14:paraId="6B6D105B" w14:textId="77777777" w:rsidR="008A3CBB" w:rsidRDefault="00505AD7" w:rsidP="00107124">
            <w:pPr>
              <w:spacing w:after="240"/>
              <w:outlineLvl w:val="2"/>
              <w:rPr>
                <w:color w:val="000000"/>
              </w:rPr>
            </w:pPr>
            <w:r>
              <w:rPr>
                <w:color w:val="000000"/>
              </w:rPr>
              <w:t>Section 6: Technical and Professional Ability</w:t>
            </w:r>
          </w:p>
          <w:p w14:paraId="66E7970C" w14:textId="521963C0" w:rsidR="007920B3" w:rsidRDefault="007920B3" w:rsidP="00107124">
            <w:pPr>
              <w:spacing w:after="240"/>
              <w:outlineLvl w:val="2"/>
              <w:rPr>
                <w:color w:val="000000"/>
              </w:rPr>
            </w:pPr>
            <w:r>
              <w:rPr>
                <w:color w:val="000000"/>
              </w:rPr>
              <w:t>The Sub-Contract must have had previously experience of delivering an Ophthalmology service.</w:t>
            </w:r>
          </w:p>
        </w:tc>
        <w:tc>
          <w:tcPr>
            <w:tcW w:w="2126" w:type="dxa"/>
            <w:shd w:val="clear" w:color="auto" w:fill="auto"/>
          </w:tcPr>
          <w:p w14:paraId="5D9A9B7F" w14:textId="112423F3" w:rsidR="00505AD7" w:rsidRDefault="00505AD7" w:rsidP="00C14AA9">
            <w:pPr>
              <w:spacing w:after="240"/>
              <w:outlineLvl w:val="2"/>
              <w:rPr>
                <w:color w:val="000000"/>
              </w:rPr>
            </w:pPr>
            <w:r w:rsidRPr="00B35665">
              <w:rPr>
                <w:color w:val="000000"/>
              </w:rPr>
              <w:t>Pass or Fail</w:t>
            </w:r>
          </w:p>
        </w:tc>
        <w:tc>
          <w:tcPr>
            <w:tcW w:w="1524" w:type="dxa"/>
          </w:tcPr>
          <w:p w14:paraId="3FF95282" w14:textId="5C270A86" w:rsidR="00505AD7" w:rsidRPr="00B35665" w:rsidRDefault="00505AD7" w:rsidP="00C14AA9">
            <w:pPr>
              <w:spacing w:after="240"/>
              <w:outlineLvl w:val="2"/>
              <w:rPr>
                <w:color w:val="000000"/>
              </w:rPr>
            </w:pPr>
            <w:r>
              <w:rPr>
                <w:color w:val="000000"/>
              </w:rPr>
              <w:t xml:space="preserve">Yes </w:t>
            </w:r>
          </w:p>
        </w:tc>
      </w:tr>
      <w:tr w:rsidR="00505AD7" w:rsidRPr="00440F01" w14:paraId="4F697B10" w14:textId="5ADF0EE1" w:rsidTr="008A3CBB">
        <w:tc>
          <w:tcPr>
            <w:tcW w:w="4536" w:type="dxa"/>
            <w:shd w:val="clear" w:color="auto" w:fill="auto"/>
          </w:tcPr>
          <w:p w14:paraId="1592BD4C" w14:textId="77777777" w:rsidR="00505AD7" w:rsidRDefault="00505AD7" w:rsidP="00994051">
            <w:pPr>
              <w:spacing w:after="240"/>
              <w:outlineLvl w:val="2"/>
              <w:rPr>
                <w:color w:val="000000"/>
              </w:rPr>
            </w:pPr>
            <w:r>
              <w:rPr>
                <w:color w:val="000000"/>
              </w:rPr>
              <w:t>Section 7: Modern Slavery Act 2015: Requirements under the Modern Slavery Act 2015.</w:t>
            </w:r>
          </w:p>
          <w:p w14:paraId="2EF3F7E8" w14:textId="0DDDA9B3" w:rsidR="008A3CBB" w:rsidRDefault="008A3CBB" w:rsidP="008A3CBB">
            <w:pPr>
              <w:spacing w:after="240"/>
              <w:outlineLvl w:val="2"/>
              <w:rPr>
                <w:color w:val="000000"/>
              </w:rPr>
            </w:pPr>
            <w:r>
              <w:rPr>
                <w:color w:val="000000"/>
              </w:rPr>
              <w:t xml:space="preserve">The Sub-Contractor must demonstrate they </w:t>
            </w:r>
            <w:r>
              <w:rPr>
                <w:color w:val="000000"/>
              </w:rPr>
              <w:lastRenderedPageBreak/>
              <w:t xml:space="preserve">adhere to </w:t>
            </w:r>
            <w:r w:rsidR="007920B3">
              <w:rPr>
                <w:color w:val="000000"/>
              </w:rPr>
              <w:t>the Modern</w:t>
            </w:r>
            <w:r>
              <w:rPr>
                <w:color w:val="000000"/>
              </w:rPr>
              <w:t xml:space="preserve"> Slavery Act.</w:t>
            </w:r>
          </w:p>
        </w:tc>
        <w:tc>
          <w:tcPr>
            <w:tcW w:w="2126" w:type="dxa"/>
            <w:shd w:val="clear" w:color="auto" w:fill="auto"/>
          </w:tcPr>
          <w:p w14:paraId="607A505A" w14:textId="05CDCA11" w:rsidR="00505AD7" w:rsidRPr="00B35665" w:rsidRDefault="00505AD7" w:rsidP="00C14AA9">
            <w:pPr>
              <w:spacing w:after="240"/>
              <w:outlineLvl w:val="2"/>
              <w:rPr>
                <w:color w:val="000000"/>
              </w:rPr>
            </w:pPr>
            <w:r w:rsidRPr="00B35665">
              <w:rPr>
                <w:color w:val="000000"/>
              </w:rPr>
              <w:lastRenderedPageBreak/>
              <w:t>Pass or Fail</w:t>
            </w:r>
          </w:p>
        </w:tc>
        <w:tc>
          <w:tcPr>
            <w:tcW w:w="1524" w:type="dxa"/>
          </w:tcPr>
          <w:p w14:paraId="3A4ABCC8" w14:textId="60CBB0F6" w:rsidR="00505AD7" w:rsidRPr="00B35665" w:rsidRDefault="00505AD7" w:rsidP="00C14AA9">
            <w:pPr>
              <w:spacing w:after="240"/>
              <w:outlineLvl w:val="2"/>
              <w:rPr>
                <w:color w:val="000000"/>
              </w:rPr>
            </w:pPr>
            <w:r>
              <w:rPr>
                <w:color w:val="000000"/>
              </w:rPr>
              <w:t xml:space="preserve">Yes </w:t>
            </w:r>
          </w:p>
        </w:tc>
      </w:tr>
      <w:tr w:rsidR="00505AD7" w:rsidRPr="00440F01" w14:paraId="20C73920" w14:textId="603925D6" w:rsidTr="008A3CBB">
        <w:tc>
          <w:tcPr>
            <w:tcW w:w="4536" w:type="dxa"/>
            <w:shd w:val="clear" w:color="auto" w:fill="auto"/>
          </w:tcPr>
          <w:p w14:paraId="30265203" w14:textId="2E3A7F13" w:rsidR="00F82598" w:rsidRDefault="00F82598" w:rsidP="0093337B">
            <w:pPr>
              <w:spacing w:after="240"/>
              <w:outlineLvl w:val="2"/>
              <w:rPr>
                <w:color w:val="000000"/>
              </w:rPr>
            </w:pPr>
            <w:r>
              <w:rPr>
                <w:color w:val="000000"/>
              </w:rPr>
              <w:lastRenderedPageBreak/>
              <w:t>Section 8.1: Insurance</w:t>
            </w:r>
          </w:p>
          <w:p w14:paraId="20C7391E" w14:textId="311F0882" w:rsidR="00505AD7" w:rsidRPr="00440F01" w:rsidRDefault="008A3CBB" w:rsidP="008A3CBB">
            <w:pPr>
              <w:spacing w:after="240"/>
              <w:outlineLvl w:val="2"/>
              <w:rPr>
                <w:color w:val="000000"/>
              </w:rPr>
            </w:pPr>
            <w:r w:rsidRPr="007920B3">
              <w:rPr>
                <w:color w:val="000000"/>
                <w:highlight w:val="yellow"/>
              </w:rPr>
              <w:t xml:space="preserve">The Sub-Contractor must demonstrate they have appropriate insurance to cover them for the clinical work described in the Service </w:t>
            </w:r>
            <w:r w:rsidR="00F96E05" w:rsidRPr="007920B3">
              <w:rPr>
                <w:color w:val="000000"/>
                <w:highlight w:val="yellow"/>
              </w:rPr>
              <w:t>Specification</w:t>
            </w:r>
            <w:r w:rsidRPr="007920B3">
              <w:rPr>
                <w:color w:val="000000"/>
                <w:highlight w:val="yellow"/>
              </w:rPr>
              <w:t>.</w:t>
            </w:r>
          </w:p>
        </w:tc>
        <w:tc>
          <w:tcPr>
            <w:tcW w:w="2126" w:type="dxa"/>
            <w:shd w:val="clear" w:color="auto" w:fill="auto"/>
          </w:tcPr>
          <w:p w14:paraId="58AB6EFC" w14:textId="43CD951C" w:rsidR="00505AD7" w:rsidRDefault="00F82598" w:rsidP="00FD68D3">
            <w:pPr>
              <w:spacing w:after="240"/>
              <w:outlineLvl w:val="2"/>
              <w:rPr>
                <w:color w:val="000000"/>
              </w:rPr>
            </w:pPr>
            <w:r>
              <w:rPr>
                <w:color w:val="000000"/>
              </w:rPr>
              <w:t>Pass or Fail</w:t>
            </w:r>
          </w:p>
          <w:p w14:paraId="20C7391F" w14:textId="15AAE8A3" w:rsidR="00F82598" w:rsidRPr="00FD68D3" w:rsidRDefault="00F82598" w:rsidP="00FD68D3">
            <w:pPr>
              <w:spacing w:after="240"/>
              <w:outlineLvl w:val="2"/>
              <w:rPr>
                <w:color w:val="000000"/>
              </w:rPr>
            </w:pPr>
          </w:p>
        </w:tc>
        <w:tc>
          <w:tcPr>
            <w:tcW w:w="1524" w:type="dxa"/>
          </w:tcPr>
          <w:p w14:paraId="0B6D7323" w14:textId="263DE017" w:rsidR="00505AD7" w:rsidRDefault="00F82598" w:rsidP="00FD68D3">
            <w:pPr>
              <w:spacing w:after="240"/>
              <w:outlineLvl w:val="2"/>
              <w:rPr>
                <w:color w:val="000000"/>
              </w:rPr>
            </w:pPr>
            <w:r>
              <w:rPr>
                <w:color w:val="000000"/>
              </w:rPr>
              <w:t>Yes</w:t>
            </w:r>
          </w:p>
        </w:tc>
      </w:tr>
      <w:tr w:rsidR="00F82598" w:rsidRPr="00440F01" w14:paraId="54173C44" w14:textId="77777777" w:rsidTr="008A3CBB">
        <w:tc>
          <w:tcPr>
            <w:tcW w:w="4536" w:type="dxa"/>
            <w:shd w:val="clear" w:color="auto" w:fill="auto"/>
          </w:tcPr>
          <w:p w14:paraId="2D19CEED" w14:textId="7C8228E7" w:rsidR="00F82598" w:rsidRDefault="00F82598" w:rsidP="00432DE0">
            <w:pPr>
              <w:spacing w:after="240"/>
              <w:outlineLvl w:val="2"/>
              <w:rPr>
                <w:color w:val="000000"/>
              </w:rPr>
            </w:pPr>
            <w:r>
              <w:rPr>
                <w:color w:val="000000"/>
              </w:rPr>
              <w:t>Section 8.2</w:t>
            </w:r>
            <w:r w:rsidR="00432DE0">
              <w:rPr>
                <w:color w:val="000000"/>
              </w:rPr>
              <w:t xml:space="preserve">: </w:t>
            </w:r>
            <w:r w:rsidR="00432DE0" w:rsidRPr="00D11C17">
              <w:rPr>
                <w:color w:val="000000"/>
                <w:highlight w:val="yellow"/>
              </w:rPr>
              <w:t xml:space="preserve">Information Governance </w:t>
            </w:r>
            <w:r w:rsidRPr="00D11C17">
              <w:rPr>
                <w:color w:val="000000"/>
                <w:highlight w:val="yellow"/>
              </w:rPr>
              <w:t xml:space="preserve"> </w:t>
            </w:r>
            <w:r w:rsidR="00432DE0" w:rsidRPr="00D11C17">
              <w:rPr>
                <w:color w:val="000000"/>
                <w:highlight w:val="yellow"/>
              </w:rPr>
              <w:t>(minimum level 2 in NHS Information Governance toolkit)</w:t>
            </w:r>
          </w:p>
        </w:tc>
        <w:tc>
          <w:tcPr>
            <w:tcW w:w="2126" w:type="dxa"/>
            <w:shd w:val="clear" w:color="auto" w:fill="auto"/>
          </w:tcPr>
          <w:p w14:paraId="522415D1" w14:textId="0B8F39CE" w:rsidR="00F82598" w:rsidRDefault="00F82598" w:rsidP="00C14AA9">
            <w:pPr>
              <w:spacing w:after="240"/>
              <w:outlineLvl w:val="2"/>
              <w:rPr>
                <w:color w:val="000000"/>
              </w:rPr>
            </w:pPr>
            <w:r>
              <w:rPr>
                <w:color w:val="000000"/>
              </w:rPr>
              <w:t>Pass or Fail</w:t>
            </w:r>
          </w:p>
        </w:tc>
        <w:tc>
          <w:tcPr>
            <w:tcW w:w="1524" w:type="dxa"/>
          </w:tcPr>
          <w:p w14:paraId="4D65C3D9" w14:textId="10A95C98" w:rsidR="00F82598" w:rsidRDefault="00F82598" w:rsidP="00C14AA9">
            <w:pPr>
              <w:spacing w:after="240"/>
              <w:outlineLvl w:val="2"/>
              <w:rPr>
                <w:noProof/>
                <w:lang w:eastAsia="en-GB"/>
              </w:rPr>
            </w:pPr>
            <w:r>
              <w:rPr>
                <w:noProof/>
                <w:lang w:eastAsia="en-GB"/>
              </w:rPr>
              <w:t>Yes</w:t>
            </w:r>
          </w:p>
        </w:tc>
      </w:tr>
      <w:tr w:rsidR="00F82598" w:rsidRPr="00440F01" w14:paraId="311FFD31" w14:textId="77777777" w:rsidTr="008A3CBB">
        <w:tc>
          <w:tcPr>
            <w:tcW w:w="4536" w:type="dxa"/>
            <w:shd w:val="clear" w:color="auto" w:fill="auto"/>
          </w:tcPr>
          <w:p w14:paraId="70D63DB0" w14:textId="4177AC3E" w:rsidR="00F82598" w:rsidRDefault="00F82598" w:rsidP="00432DE0">
            <w:pPr>
              <w:spacing w:after="240"/>
              <w:outlineLvl w:val="2"/>
              <w:rPr>
                <w:color w:val="000000"/>
              </w:rPr>
            </w:pPr>
            <w:r>
              <w:rPr>
                <w:color w:val="000000"/>
              </w:rPr>
              <w:t>Section 8.3</w:t>
            </w:r>
            <w:r w:rsidR="00432DE0">
              <w:rPr>
                <w:color w:val="000000"/>
              </w:rPr>
              <w:t>: Acceptance of NHS Terms and Conditions</w:t>
            </w:r>
          </w:p>
        </w:tc>
        <w:tc>
          <w:tcPr>
            <w:tcW w:w="2126" w:type="dxa"/>
            <w:shd w:val="clear" w:color="auto" w:fill="auto"/>
          </w:tcPr>
          <w:p w14:paraId="66097941" w14:textId="7F3113A2" w:rsidR="00F82598" w:rsidRDefault="00F82598" w:rsidP="00C14AA9">
            <w:pPr>
              <w:spacing w:after="240"/>
              <w:outlineLvl w:val="2"/>
              <w:rPr>
                <w:color w:val="000000"/>
              </w:rPr>
            </w:pPr>
            <w:r>
              <w:rPr>
                <w:color w:val="000000"/>
              </w:rPr>
              <w:t>Pass or Fail</w:t>
            </w:r>
          </w:p>
        </w:tc>
        <w:tc>
          <w:tcPr>
            <w:tcW w:w="1524" w:type="dxa"/>
          </w:tcPr>
          <w:p w14:paraId="147D973F" w14:textId="18CB19C0" w:rsidR="00F82598" w:rsidRDefault="00F82598" w:rsidP="00C14AA9">
            <w:pPr>
              <w:spacing w:after="240"/>
              <w:outlineLvl w:val="2"/>
              <w:rPr>
                <w:noProof/>
                <w:lang w:eastAsia="en-GB"/>
              </w:rPr>
            </w:pPr>
            <w:r>
              <w:rPr>
                <w:noProof/>
                <w:lang w:eastAsia="en-GB"/>
              </w:rPr>
              <w:t>Yes</w:t>
            </w:r>
          </w:p>
        </w:tc>
      </w:tr>
      <w:tr w:rsidR="00107124" w:rsidRPr="00440F01" w14:paraId="3F24214B" w14:textId="77777777" w:rsidTr="008A3CBB">
        <w:tc>
          <w:tcPr>
            <w:tcW w:w="4536" w:type="dxa"/>
            <w:shd w:val="clear" w:color="auto" w:fill="auto"/>
          </w:tcPr>
          <w:p w14:paraId="419A9835" w14:textId="681E03C0" w:rsidR="00107124" w:rsidRDefault="00107124" w:rsidP="00432DE0">
            <w:pPr>
              <w:spacing w:after="240"/>
              <w:outlineLvl w:val="2"/>
              <w:rPr>
                <w:color w:val="000000"/>
              </w:rPr>
            </w:pPr>
            <w:r>
              <w:rPr>
                <w:color w:val="000000"/>
              </w:rPr>
              <w:t>Section 8.4: Project specific questions to assess Technical and Professional Ability</w:t>
            </w:r>
          </w:p>
        </w:tc>
        <w:tc>
          <w:tcPr>
            <w:tcW w:w="2126" w:type="dxa"/>
            <w:shd w:val="clear" w:color="auto" w:fill="auto"/>
          </w:tcPr>
          <w:p w14:paraId="62CDFA79" w14:textId="6282BDDB" w:rsidR="00107124" w:rsidRDefault="00107124" w:rsidP="00C14AA9">
            <w:pPr>
              <w:spacing w:after="240"/>
              <w:outlineLvl w:val="2"/>
              <w:rPr>
                <w:color w:val="000000"/>
              </w:rPr>
            </w:pPr>
            <w:r>
              <w:rPr>
                <w:color w:val="000000"/>
              </w:rPr>
              <w:t>Pass or Fail</w:t>
            </w:r>
          </w:p>
        </w:tc>
        <w:tc>
          <w:tcPr>
            <w:tcW w:w="1524" w:type="dxa"/>
          </w:tcPr>
          <w:p w14:paraId="130EF044" w14:textId="4CBA63FB" w:rsidR="00107124" w:rsidRDefault="00107124" w:rsidP="00C14AA9">
            <w:pPr>
              <w:spacing w:after="240"/>
              <w:outlineLvl w:val="2"/>
              <w:rPr>
                <w:noProof/>
                <w:lang w:eastAsia="en-GB"/>
              </w:rPr>
            </w:pPr>
            <w:r>
              <w:rPr>
                <w:noProof/>
                <w:lang w:eastAsia="en-GB"/>
              </w:rPr>
              <w:t>Yes</w:t>
            </w:r>
          </w:p>
        </w:tc>
      </w:tr>
      <w:tr w:rsidR="00107124" w:rsidRPr="00440F01" w14:paraId="69FA601D" w14:textId="77777777" w:rsidTr="008A3CBB">
        <w:tc>
          <w:tcPr>
            <w:tcW w:w="4536" w:type="dxa"/>
            <w:shd w:val="clear" w:color="auto" w:fill="auto"/>
          </w:tcPr>
          <w:p w14:paraId="6834B33E" w14:textId="4D116FFB" w:rsidR="00107124" w:rsidRDefault="00107124" w:rsidP="00F82598">
            <w:pPr>
              <w:spacing w:after="240"/>
              <w:outlineLvl w:val="2"/>
              <w:rPr>
                <w:color w:val="000000"/>
              </w:rPr>
            </w:pPr>
            <w:r w:rsidRPr="008A3CBB">
              <w:rPr>
                <w:color w:val="000000"/>
              </w:rPr>
              <w:t>Staff working for the Sub-Contractor must not have been substantively employed by UHBFT within the last 6 month period</w:t>
            </w:r>
          </w:p>
        </w:tc>
        <w:tc>
          <w:tcPr>
            <w:tcW w:w="2126" w:type="dxa"/>
            <w:shd w:val="clear" w:color="auto" w:fill="auto"/>
          </w:tcPr>
          <w:p w14:paraId="48CD34CE" w14:textId="33149DC9" w:rsidR="00107124" w:rsidRDefault="007920B3" w:rsidP="00C14AA9">
            <w:pPr>
              <w:spacing w:after="240"/>
              <w:outlineLvl w:val="2"/>
              <w:rPr>
                <w:color w:val="000000"/>
              </w:rPr>
            </w:pPr>
            <w:r>
              <w:rPr>
                <w:color w:val="000000"/>
              </w:rPr>
              <w:t>Pass or Fail</w:t>
            </w:r>
          </w:p>
        </w:tc>
        <w:tc>
          <w:tcPr>
            <w:tcW w:w="1524" w:type="dxa"/>
          </w:tcPr>
          <w:p w14:paraId="036F902A" w14:textId="38F5E41D" w:rsidR="00107124" w:rsidRDefault="007920B3" w:rsidP="00C14AA9">
            <w:pPr>
              <w:spacing w:after="240"/>
              <w:outlineLvl w:val="2"/>
              <w:rPr>
                <w:noProof/>
                <w:lang w:eastAsia="en-GB"/>
              </w:rPr>
            </w:pPr>
            <w:r>
              <w:rPr>
                <w:noProof/>
                <w:lang w:eastAsia="en-GB"/>
              </w:rPr>
              <w:t>Yes</w:t>
            </w:r>
          </w:p>
        </w:tc>
      </w:tr>
      <w:tr w:rsidR="007920B3" w:rsidRPr="00440F01" w14:paraId="7F8FFDB7" w14:textId="77777777" w:rsidTr="008A3CBB">
        <w:tc>
          <w:tcPr>
            <w:tcW w:w="4536" w:type="dxa"/>
            <w:shd w:val="clear" w:color="auto" w:fill="auto"/>
          </w:tcPr>
          <w:p w14:paraId="1AC3EB12" w14:textId="520544F9" w:rsidR="007920B3" w:rsidRPr="008A3CBB" w:rsidRDefault="007920B3" w:rsidP="00F82598">
            <w:pPr>
              <w:spacing w:after="240"/>
              <w:outlineLvl w:val="2"/>
              <w:rPr>
                <w:color w:val="000000"/>
              </w:rPr>
            </w:pPr>
            <w:r>
              <w:rPr>
                <w:color w:val="000000"/>
              </w:rPr>
              <w:t>Nor can any of Directors</w:t>
            </w:r>
            <w:r w:rsidRPr="00F96E05">
              <w:rPr>
                <w:color w:val="000000"/>
              </w:rPr>
              <w:t xml:space="preserve"> have been substantively employed by UHBFT within the last 6 month period</w:t>
            </w:r>
            <w:r>
              <w:rPr>
                <w:color w:val="000000"/>
              </w:rPr>
              <w:t>.</w:t>
            </w:r>
          </w:p>
        </w:tc>
        <w:tc>
          <w:tcPr>
            <w:tcW w:w="2126" w:type="dxa"/>
            <w:shd w:val="clear" w:color="auto" w:fill="auto"/>
          </w:tcPr>
          <w:p w14:paraId="691DE2AF" w14:textId="4C3CF9F0" w:rsidR="007920B3" w:rsidRDefault="007920B3" w:rsidP="00C14AA9">
            <w:pPr>
              <w:spacing w:after="240"/>
              <w:outlineLvl w:val="2"/>
              <w:rPr>
                <w:color w:val="000000"/>
              </w:rPr>
            </w:pPr>
            <w:r>
              <w:rPr>
                <w:color w:val="000000"/>
              </w:rPr>
              <w:t>Pass or Fail</w:t>
            </w:r>
          </w:p>
        </w:tc>
        <w:tc>
          <w:tcPr>
            <w:tcW w:w="1524" w:type="dxa"/>
          </w:tcPr>
          <w:p w14:paraId="3A8E48EA" w14:textId="5A4D3803" w:rsidR="007920B3" w:rsidRDefault="007920B3" w:rsidP="00C14AA9">
            <w:pPr>
              <w:spacing w:after="240"/>
              <w:outlineLvl w:val="2"/>
              <w:rPr>
                <w:noProof/>
                <w:lang w:eastAsia="en-GB"/>
              </w:rPr>
            </w:pPr>
            <w:r>
              <w:rPr>
                <w:noProof/>
                <w:lang w:eastAsia="en-GB"/>
              </w:rPr>
              <w:t>Yes</w:t>
            </w:r>
          </w:p>
        </w:tc>
      </w:tr>
      <w:tr w:rsidR="00107124" w:rsidRPr="00440F01" w14:paraId="53F0A5A3" w14:textId="77777777" w:rsidTr="008A3CBB">
        <w:tc>
          <w:tcPr>
            <w:tcW w:w="4536" w:type="dxa"/>
            <w:shd w:val="clear" w:color="auto" w:fill="auto"/>
          </w:tcPr>
          <w:p w14:paraId="0F181A22" w14:textId="6EFAC6F1" w:rsidR="00107124" w:rsidRDefault="00107124" w:rsidP="00107124">
            <w:pPr>
              <w:spacing w:after="240"/>
              <w:outlineLvl w:val="2"/>
              <w:rPr>
                <w:color w:val="000000"/>
              </w:rPr>
            </w:pPr>
            <w:r>
              <w:rPr>
                <w:color w:val="000000"/>
              </w:rPr>
              <w:t xml:space="preserve">No staff working in the service can be under investigation by their respective governing body. Any staff </w:t>
            </w:r>
            <w:proofErr w:type="gramStart"/>
            <w:r>
              <w:rPr>
                <w:color w:val="000000"/>
              </w:rPr>
              <w:t>who</w:t>
            </w:r>
            <w:proofErr w:type="gramEnd"/>
            <w:r>
              <w:rPr>
                <w:color w:val="000000"/>
              </w:rPr>
              <w:t xml:space="preserve"> have previously been under investigation must be flagged to UHBFT.</w:t>
            </w:r>
          </w:p>
        </w:tc>
        <w:tc>
          <w:tcPr>
            <w:tcW w:w="2126" w:type="dxa"/>
            <w:shd w:val="clear" w:color="auto" w:fill="auto"/>
          </w:tcPr>
          <w:p w14:paraId="2AAF3CEE" w14:textId="2B255AE6" w:rsidR="00107124" w:rsidRDefault="00C344CB" w:rsidP="00C14AA9">
            <w:pPr>
              <w:spacing w:after="240"/>
              <w:outlineLvl w:val="2"/>
              <w:rPr>
                <w:color w:val="000000"/>
              </w:rPr>
            </w:pPr>
            <w:r>
              <w:rPr>
                <w:color w:val="000000"/>
              </w:rPr>
              <w:t>Pass or Fail</w:t>
            </w:r>
          </w:p>
        </w:tc>
        <w:tc>
          <w:tcPr>
            <w:tcW w:w="1524" w:type="dxa"/>
          </w:tcPr>
          <w:p w14:paraId="1FC1413E" w14:textId="531CF276" w:rsidR="00107124" w:rsidRDefault="00C344CB" w:rsidP="00C14AA9">
            <w:pPr>
              <w:spacing w:after="240"/>
              <w:outlineLvl w:val="2"/>
              <w:rPr>
                <w:noProof/>
                <w:lang w:eastAsia="en-GB"/>
              </w:rPr>
            </w:pPr>
            <w:r>
              <w:rPr>
                <w:noProof/>
                <w:lang w:eastAsia="en-GB"/>
              </w:rPr>
              <w:t>Yes</w:t>
            </w:r>
          </w:p>
        </w:tc>
      </w:tr>
    </w:tbl>
    <w:p w14:paraId="20C73933" w14:textId="77777777" w:rsidR="00B44E25" w:rsidRDefault="00B44E25" w:rsidP="00B44E25">
      <w:pPr>
        <w:jc w:val="center"/>
        <w:rPr>
          <w:rFonts w:cs="Arial"/>
          <w:b/>
          <w:szCs w:val="22"/>
        </w:rPr>
      </w:pPr>
    </w:p>
    <w:p w14:paraId="06983555" w14:textId="77777777" w:rsidR="00424A57" w:rsidRPr="00424A57" w:rsidRDefault="007C2F2F" w:rsidP="00E203C9">
      <w:pPr>
        <w:pStyle w:val="MRNumberedHeading2"/>
        <w:tabs>
          <w:tab w:val="clear" w:pos="720"/>
          <w:tab w:val="num" w:pos="851"/>
        </w:tabs>
        <w:ind w:left="851" w:hanging="851"/>
        <w:rPr>
          <w:i/>
        </w:rPr>
      </w:pPr>
      <w:bookmarkStart w:id="139" w:name="_Toc403555171"/>
      <w:r w:rsidRPr="003E3276">
        <w:t>To</w:t>
      </w:r>
      <w:r>
        <w:t xml:space="preserve"> </w:t>
      </w:r>
      <w:r w:rsidR="00424A57">
        <w:t>score a "pass", the Tender must:</w:t>
      </w:r>
    </w:p>
    <w:p w14:paraId="7EE69420" w14:textId="612C1BD0" w:rsidR="00424A57" w:rsidRPr="00424A57" w:rsidRDefault="00505AD7" w:rsidP="00605580">
      <w:pPr>
        <w:pStyle w:val="MRNumberedHeading2"/>
        <w:numPr>
          <w:ilvl w:val="2"/>
          <w:numId w:val="23"/>
        </w:numPr>
        <w:tabs>
          <w:tab w:val="clear" w:pos="2214"/>
          <w:tab w:val="num" w:pos="1701"/>
        </w:tabs>
        <w:ind w:left="1701" w:hanging="850"/>
        <w:rPr>
          <w:i/>
        </w:rPr>
      </w:pPr>
      <w:r>
        <w:t>for all questions where self-certification is required (as detailed above), include a self-certification</w:t>
      </w:r>
      <w:r w:rsidR="0077089B">
        <w:t xml:space="preserve"> and the successful Bidder will be asked to provide</w:t>
      </w:r>
      <w:r w:rsidR="00D77AFC">
        <w:t xml:space="preserve"> supporting </w:t>
      </w:r>
      <w:r w:rsidR="0077089B">
        <w:t xml:space="preserve"> evidence during the standstill period; and</w:t>
      </w:r>
    </w:p>
    <w:p w14:paraId="20C73934" w14:textId="7433E4E2" w:rsidR="007C2F2F" w:rsidRPr="007C2F2F" w:rsidRDefault="00424A57" w:rsidP="00605580">
      <w:pPr>
        <w:pStyle w:val="MRNumberedHeading2"/>
        <w:numPr>
          <w:ilvl w:val="2"/>
          <w:numId w:val="23"/>
        </w:numPr>
        <w:tabs>
          <w:tab w:val="clear" w:pos="2214"/>
          <w:tab w:val="num" w:pos="1701"/>
        </w:tabs>
        <w:ind w:left="1701" w:hanging="850"/>
        <w:rPr>
          <w:i/>
        </w:rPr>
      </w:pPr>
      <w:proofErr w:type="gramStart"/>
      <w:r>
        <w:t>for</w:t>
      </w:r>
      <w:proofErr w:type="gramEnd"/>
      <w:r>
        <w:t xml:space="preserve"> questions</w:t>
      </w:r>
      <w:r w:rsidR="0077089B">
        <w:t xml:space="preserve"> where self-certification is not required</w:t>
      </w:r>
      <w:r w:rsidR="00D77AFC">
        <w:t xml:space="preserve"> (as detailed above)</w:t>
      </w:r>
      <w:r>
        <w:t xml:space="preserve">, </w:t>
      </w:r>
      <w:r w:rsidR="007C2F2F">
        <w:t>adequately address all key points and include</w:t>
      </w:r>
      <w:r w:rsidR="007C2F2F" w:rsidRPr="007C2F2F">
        <w:t xml:space="preserve"> adequate supporting evidence / examples / information.</w:t>
      </w:r>
      <w:r w:rsidR="007C2F2F">
        <w:t xml:space="preserve">  It must give </w:t>
      </w:r>
      <w:r w:rsidR="007C2F2F" w:rsidRPr="007C2F2F">
        <w:t>a reasonable degree of confidence that the Bidder has the capability,</w:t>
      </w:r>
      <w:r w:rsidR="007C2F2F">
        <w:rPr>
          <w:rFonts w:cs="Arial"/>
        </w:rPr>
        <w:t xml:space="preserve"> resource and experience to properly perform the contract.</w:t>
      </w:r>
      <w:bookmarkEnd w:id="139"/>
    </w:p>
    <w:p w14:paraId="20C73935" w14:textId="77777777" w:rsidR="00B44E25" w:rsidRPr="00B44E25" w:rsidRDefault="00B44E25" w:rsidP="00E203C9">
      <w:pPr>
        <w:pStyle w:val="MRNumberedHeading2"/>
        <w:tabs>
          <w:tab w:val="clear" w:pos="720"/>
          <w:tab w:val="num" w:pos="851"/>
        </w:tabs>
        <w:ind w:left="851" w:hanging="851"/>
        <w:rPr>
          <w:i/>
        </w:rPr>
      </w:pPr>
      <w:bookmarkStart w:id="140" w:name="_Ref403484379"/>
      <w:bookmarkStart w:id="141" w:name="_Toc403555172"/>
      <w:r w:rsidRPr="00B44E25">
        <w:t xml:space="preserve">Where a Bidder scores a "fail" for any question, </w:t>
      </w:r>
      <w:r w:rsidR="00C14AA9">
        <w:t>the Authority will treat the Tender as non-compliant and it will not award a mark for the Scored Questions.</w:t>
      </w:r>
      <w:bookmarkEnd w:id="140"/>
      <w:bookmarkEnd w:id="141"/>
      <w:r w:rsidR="00C14AA9">
        <w:t xml:space="preserve"> </w:t>
      </w:r>
    </w:p>
    <w:p w14:paraId="6B111403" w14:textId="77777777" w:rsidR="00605580" w:rsidRDefault="00605580" w:rsidP="00605580">
      <w:pPr>
        <w:spacing w:before="240"/>
        <w:ind w:left="851"/>
        <w:outlineLvl w:val="1"/>
        <w:rPr>
          <w:rFonts w:eastAsia="Times New Roman" w:cs="Arial"/>
          <w:b/>
          <w:lang w:eastAsia="en-GB"/>
        </w:rPr>
      </w:pPr>
      <w:bookmarkStart w:id="142" w:name="_Toc403555173"/>
      <w:r w:rsidRPr="00E95355">
        <w:rPr>
          <w:rFonts w:eastAsia="Times New Roman" w:cs="Arial"/>
          <w:b/>
          <w:lang w:eastAsia="en-GB"/>
        </w:rPr>
        <w:t>Criteria: minimum level of economic and financial standing</w:t>
      </w:r>
    </w:p>
    <w:p w14:paraId="34EDB00D" w14:textId="77777777" w:rsidR="00605580" w:rsidRPr="00605580" w:rsidRDefault="00605580" w:rsidP="00605580">
      <w:pPr>
        <w:pStyle w:val="ListParagraph"/>
        <w:numPr>
          <w:ilvl w:val="0"/>
          <w:numId w:val="36"/>
        </w:numPr>
        <w:tabs>
          <w:tab w:val="left" w:pos="1440"/>
        </w:tabs>
        <w:spacing w:before="240"/>
        <w:contextualSpacing w:val="0"/>
        <w:rPr>
          <w:rFonts w:cs="Arial"/>
          <w:vanish/>
        </w:rPr>
      </w:pPr>
    </w:p>
    <w:p w14:paraId="7B4E3280" w14:textId="77777777" w:rsidR="00605580" w:rsidRPr="00605580" w:rsidRDefault="00605580" w:rsidP="00605580">
      <w:pPr>
        <w:pStyle w:val="ListParagraph"/>
        <w:numPr>
          <w:ilvl w:val="1"/>
          <w:numId w:val="36"/>
        </w:numPr>
        <w:tabs>
          <w:tab w:val="left" w:pos="1440"/>
        </w:tabs>
        <w:spacing w:before="240"/>
        <w:contextualSpacing w:val="0"/>
        <w:rPr>
          <w:rFonts w:cs="Arial"/>
          <w:vanish/>
        </w:rPr>
      </w:pPr>
    </w:p>
    <w:p w14:paraId="0B1FF12B" w14:textId="1D87BC44" w:rsidR="00605580" w:rsidRDefault="00605580" w:rsidP="00605580">
      <w:pPr>
        <w:pStyle w:val="ListParagraph"/>
        <w:numPr>
          <w:ilvl w:val="1"/>
          <w:numId w:val="36"/>
        </w:numPr>
        <w:tabs>
          <w:tab w:val="left" w:pos="1440"/>
        </w:tabs>
        <w:spacing w:before="240"/>
        <w:ind w:left="851" w:hanging="852"/>
        <w:contextualSpacing w:val="0"/>
        <w:rPr>
          <w:rFonts w:cs="Arial"/>
        </w:rPr>
      </w:pPr>
      <w:r w:rsidRPr="00605580">
        <w:rPr>
          <w:rFonts w:cs="Arial"/>
        </w:rPr>
        <w:t>Bidders must have a minimum Dunn &amp; Bradstreet Failure Score of 51 or above. Please see table below:</w:t>
      </w:r>
      <w:r w:rsidRPr="00605580">
        <w:rPr>
          <w:rFonts w:cs="Arial"/>
        </w:rPr>
        <w:tab/>
      </w:r>
    </w:p>
    <w:p w14:paraId="0802AF82" w14:textId="77777777" w:rsidR="00605580" w:rsidRPr="00605580" w:rsidRDefault="00605580" w:rsidP="00605580">
      <w:pPr>
        <w:pStyle w:val="ListParagraph"/>
        <w:tabs>
          <w:tab w:val="left" w:pos="1440"/>
        </w:tabs>
        <w:spacing w:before="240"/>
        <w:ind w:left="850"/>
        <w:rPr>
          <w:rFonts w:cs="Arial"/>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3261"/>
        <w:gridCol w:w="3367"/>
      </w:tblGrid>
      <w:tr w:rsidR="00605580" w:rsidRPr="00E95355" w14:paraId="561E79FF" w14:textId="77777777" w:rsidTr="00675C18">
        <w:trPr>
          <w:cantSplit/>
          <w:trHeight w:val="538"/>
        </w:trPr>
        <w:tc>
          <w:tcPr>
            <w:tcW w:w="1700" w:type="dxa"/>
            <w:shd w:val="clear" w:color="auto" w:fill="BFBFBF" w:themeFill="background1" w:themeFillShade="BF"/>
            <w:vAlign w:val="center"/>
          </w:tcPr>
          <w:p w14:paraId="6373A4C2"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
                <w:bCs/>
              </w:rPr>
            </w:pPr>
            <w:r w:rsidRPr="00E95355">
              <w:rPr>
                <w:rFonts w:eastAsia="Times New Roman" w:cs="Arial"/>
                <w:b/>
                <w:bCs/>
              </w:rPr>
              <w:lastRenderedPageBreak/>
              <w:t>Failure Score</w:t>
            </w:r>
          </w:p>
        </w:tc>
        <w:tc>
          <w:tcPr>
            <w:tcW w:w="3261" w:type="dxa"/>
            <w:shd w:val="clear" w:color="auto" w:fill="BFBFBF" w:themeFill="background1" w:themeFillShade="BF"/>
            <w:vAlign w:val="center"/>
          </w:tcPr>
          <w:p w14:paraId="668491C6"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
                <w:bCs/>
              </w:rPr>
            </w:pPr>
            <w:r w:rsidRPr="00E95355">
              <w:rPr>
                <w:rFonts w:eastAsia="Times New Roman" w:cs="Arial"/>
                <w:b/>
                <w:bCs/>
              </w:rPr>
              <w:t>Risk Indicator</w:t>
            </w:r>
          </w:p>
        </w:tc>
        <w:tc>
          <w:tcPr>
            <w:tcW w:w="3367" w:type="dxa"/>
            <w:shd w:val="clear" w:color="auto" w:fill="BFBFBF" w:themeFill="background1" w:themeFillShade="BF"/>
            <w:vAlign w:val="center"/>
          </w:tcPr>
          <w:p w14:paraId="06D936F8"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
                <w:bCs/>
              </w:rPr>
            </w:pPr>
            <w:r w:rsidRPr="00E95355">
              <w:rPr>
                <w:rFonts w:eastAsia="Times New Roman" w:cs="Arial"/>
                <w:b/>
                <w:bCs/>
              </w:rPr>
              <w:t>Probability of Failure</w:t>
            </w:r>
          </w:p>
        </w:tc>
      </w:tr>
      <w:tr w:rsidR="00605580" w:rsidRPr="00E95355" w14:paraId="12FD4439" w14:textId="77777777" w:rsidTr="00675C18">
        <w:trPr>
          <w:cantSplit/>
          <w:trHeight w:val="860"/>
        </w:trPr>
        <w:tc>
          <w:tcPr>
            <w:tcW w:w="1700" w:type="dxa"/>
            <w:shd w:val="clear" w:color="auto" w:fill="auto"/>
            <w:vAlign w:val="center"/>
          </w:tcPr>
          <w:p w14:paraId="6A3B046D"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86-100</w:t>
            </w:r>
          </w:p>
        </w:tc>
        <w:tc>
          <w:tcPr>
            <w:tcW w:w="3261" w:type="dxa"/>
            <w:shd w:val="clear" w:color="auto" w:fill="auto"/>
            <w:vAlign w:val="center"/>
          </w:tcPr>
          <w:p w14:paraId="7525ACCD"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1</w:t>
            </w:r>
          </w:p>
        </w:tc>
        <w:tc>
          <w:tcPr>
            <w:tcW w:w="3367" w:type="dxa"/>
            <w:shd w:val="clear" w:color="auto" w:fill="auto"/>
            <w:vAlign w:val="center"/>
          </w:tcPr>
          <w:p w14:paraId="41632132"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Minimum Risk</w:t>
            </w:r>
          </w:p>
        </w:tc>
      </w:tr>
      <w:tr w:rsidR="00605580" w:rsidRPr="00E95355" w14:paraId="7A3DA8DB" w14:textId="77777777" w:rsidTr="00675C18">
        <w:trPr>
          <w:cantSplit/>
          <w:trHeight w:val="861"/>
        </w:trPr>
        <w:tc>
          <w:tcPr>
            <w:tcW w:w="1700" w:type="dxa"/>
            <w:shd w:val="clear" w:color="auto" w:fill="auto"/>
            <w:vAlign w:val="center"/>
          </w:tcPr>
          <w:p w14:paraId="192EF602"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51-85</w:t>
            </w:r>
          </w:p>
        </w:tc>
        <w:tc>
          <w:tcPr>
            <w:tcW w:w="3261" w:type="dxa"/>
            <w:shd w:val="clear" w:color="auto" w:fill="auto"/>
            <w:vAlign w:val="center"/>
          </w:tcPr>
          <w:p w14:paraId="39A06027"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2</w:t>
            </w:r>
          </w:p>
        </w:tc>
        <w:tc>
          <w:tcPr>
            <w:tcW w:w="3367" w:type="dxa"/>
            <w:shd w:val="clear" w:color="auto" w:fill="auto"/>
            <w:vAlign w:val="center"/>
          </w:tcPr>
          <w:p w14:paraId="58957F33"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Lower than average risk</w:t>
            </w:r>
          </w:p>
        </w:tc>
      </w:tr>
      <w:tr w:rsidR="00605580" w:rsidRPr="00E95355" w14:paraId="7A25FF56" w14:textId="77777777" w:rsidTr="00675C18">
        <w:trPr>
          <w:cantSplit/>
          <w:trHeight w:val="860"/>
        </w:trPr>
        <w:tc>
          <w:tcPr>
            <w:tcW w:w="1700" w:type="dxa"/>
            <w:shd w:val="clear" w:color="auto" w:fill="auto"/>
            <w:vAlign w:val="center"/>
          </w:tcPr>
          <w:p w14:paraId="2A83D7E4"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11-50</w:t>
            </w:r>
          </w:p>
        </w:tc>
        <w:tc>
          <w:tcPr>
            <w:tcW w:w="3261" w:type="dxa"/>
            <w:shd w:val="clear" w:color="auto" w:fill="auto"/>
            <w:vAlign w:val="center"/>
          </w:tcPr>
          <w:p w14:paraId="1EFE02BF"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3</w:t>
            </w:r>
          </w:p>
        </w:tc>
        <w:tc>
          <w:tcPr>
            <w:tcW w:w="3367" w:type="dxa"/>
            <w:shd w:val="clear" w:color="auto" w:fill="auto"/>
            <w:vAlign w:val="center"/>
          </w:tcPr>
          <w:p w14:paraId="11BC26B7"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Higher than average risk</w:t>
            </w:r>
          </w:p>
        </w:tc>
      </w:tr>
      <w:tr w:rsidR="00605580" w:rsidRPr="00E95355" w14:paraId="4EEC5453" w14:textId="77777777" w:rsidTr="00675C18">
        <w:trPr>
          <w:cantSplit/>
          <w:trHeight w:val="861"/>
        </w:trPr>
        <w:tc>
          <w:tcPr>
            <w:tcW w:w="1700" w:type="dxa"/>
            <w:shd w:val="clear" w:color="auto" w:fill="auto"/>
            <w:vAlign w:val="center"/>
          </w:tcPr>
          <w:p w14:paraId="1EC183AD"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1-10</w:t>
            </w:r>
          </w:p>
        </w:tc>
        <w:tc>
          <w:tcPr>
            <w:tcW w:w="3261" w:type="dxa"/>
            <w:shd w:val="clear" w:color="auto" w:fill="auto"/>
            <w:vAlign w:val="center"/>
          </w:tcPr>
          <w:p w14:paraId="00E539E0"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4</w:t>
            </w:r>
          </w:p>
        </w:tc>
        <w:tc>
          <w:tcPr>
            <w:tcW w:w="3367" w:type="dxa"/>
            <w:shd w:val="clear" w:color="auto" w:fill="auto"/>
            <w:vAlign w:val="center"/>
          </w:tcPr>
          <w:p w14:paraId="74E9F86D"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High risk</w:t>
            </w:r>
          </w:p>
        </w:tc>
      </w:tr>
      <w:tr w:rsidR="00605580" w:rsidRPr="00E95355" w14:paraId="32A553A1" w14:textId="77777777" w:rsidTr="00675C18">
        <w:trPr>
          <w:cantSplit/>
          <w:trHeight w:val="861"/>
        </w:trPr>
        <w:tc>
          <w:tcPr>
            <w:tcW w:w="1700" w:type="dxa"/>
            <w:shd w:val="clear" w:color="auto" w:fill="auto"/>
            <w:vAlign w:val="center"/>
          </w:tcPr>
          <w:p w14:paraId="5B6BDA94"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w:t>
            </w:r>
          </w:p>
        </w:tc>
        <w:tc>
          <w:tcPr>
            <w:tcW w:w="3261" w:type="dxa"/>
            <w:shd w:val="clear" w:color="auto" w:fill="auto"/>
            <w:vAlign w:val="center"/>
          </w:tcPr>
          <w:p w14:paraId="53AD4538"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w:t>
            </w:r>
          </w:p>
        </w:tc>
        <w:tc>
          <w:tcPr>
            <w:tcW w:w="3367" w:type="dxa"/>
            <w:shd w:val="clear" w:color="auto" w:fill="auto"/>
            <w:vAlign w:val="center"/>
          </w:tcPr>
          <w:p w14:paraId="39454CF0" w14:textId="77777777" w:rsidR="00605580" w:rsidRPr="00E95355" w:rsidRDefault="00605580" w:rsidP="00605580">
            <w:pPr>
              <w:keepNext/>
              <w:overflowPunct w:val="0"/>
              <w:autoSpaceDE w:val="0"/>
              <w:autoSpaceDN w:val="0"/>
              <w:adjustRightInd w:val="0"/>
              <w:spacing w:before="240"/>
              <w:textAlignment w:val="baseline"/>
              <w:rPr>
                <w:rFonts w:eastAsia="Times New Roman" w:cs="Arial"/>
                <w:bCs/>
              </w:rPr>
            </w:pPr>
            <w:r w:rsidRPr="00E95355">
              <w:rPr>
                <w:rFonts w:eastAsia="Times New Roman" w:cs="Arial"/>
                <w:bCs/>
              </w:rPr>
              <w:t>Insufficient information</w:t>
            </w:r>
          </w:p>
        </w:tc>
      </w:tr>
    </w:tbl>
    <w:p w14:paraId="0B86030F" w14:textId="1A163555" w:rsidR="00605580" w:rsidRPr="00E95355" w:rsidRDefault="00605580" w:rsidP="00605580">
      <w:pPr>
        <w:spacing w:before="240"/>
        <w:ind w:left="851" w:hanging="851"/>
        <w:rPr>
          <w:rFonts w:cs="Arial"/>
        </w:rPr>
      </w:pPr>
      <w:r w:rsidRPr="00E95355">
        <w:rPr>
          <w:rFonts w:cs="Arial"/>
        </w:rPr>
        <w:t>4.</w:t>
      </w:r>
      <w:r>
        <w:rPr>
          <w:rFonts w:cs="Arial"/>
        </w:rPr>
        <w:t>9</w:t>
      </w:r>
      <w:r w:rsidRPr="00E95355">
        <w:rPr>
          <w:rFonts w:cs="Arial"/>
        </w:rPr>
        <w:tab/>
        <w:t>If your company does not meet the minimum Dunn &amp; Bradstreet failure score stated  in paragraph 4.</w:t>
      </w:r>
      <w:r>
        <w:rPr>
          <w:rFonts w:cs="Arial"/>
        </w:rPr>
        <w:t>8</w:t>
      </w:r>
      <w:r w:rsidRPr="00E95355">
        <w:rPr>
          <w:rFonts w:cs="Arial"/>
        </w:rPr>
        <w:t xml:space="preserve"> above, alternative evidence of financial health and / or a guarantor who does meet the minimum failure score must be provided. Your, or your guarantor’s, financial risk level must be acceptable and we will use the alternative evidence to complete a financial risk assessment. </w:t>
      </w:r>
    </w:p>
    <w:p w14:paraId="135B307C" w14:textId="77777777" w:rsidR="00605580" w:rsidRDefault="00605580" w:rsidP="00605580">
      <w:pPr>
        <w:pStyle w:val="ListParagraph"/>
        <w:spacing w:before="240"/>
        <w:ind w:left="851" w:hanging="851"/>
        <w:jc w:val="left"/>
        <w:rPr>
          <w:rFonts w:cs="Arial"/>
        </w:rPr>
      </w:pPr>
      <w:r w:rsidRPr="00E95355">
        <w:rPr>
          <w:rFonts w:cs="Arial"/>
        </w:rPr>
        <w:t>4.1</w:t>
      </w:r>
      <w:r>
        <w:rPr>
          <w:rFonts w:cs="Arial"/>
        </w:rPr>
        <w:t>0</w:t>
      </w:r>
      <w:r w:rsidRPr="00E95355">
        <w:rPr>
          <w:rFonts w:cs="Arial"/>
        </w:rPr>
        <w:tab/>
        <w:t xml:space="preserve">If you do not meet any of these minimum requirements, and we are not satisfied that your, or your guarantor’s, financial risk level is acceptable, you will be excluded from this procurement. </w:t>
      </w:r>
    </w:p>
    <w:p w14:paraId="70BDACC3" w14:textId="77777777" w:rsidR="00605580" w:rsidRDefault="00605580" w:rsidP="00605580">
      <w:pPr>
        <w:pStyle w:val="ListParagraph"/>
        <w:spacing w:before="240"/>
        <w:ind w:left="851" w:hanging="851"/>
        <w:jc w:val="left"/>
        <w:rPr>
          <w:rFonts w:cs="Arial"/>
        </w:rPr>
      </w:pPr>
    </w:p>
    <w:p w14:paraId="20C73936" w14:textId="2C5FC2B7" w:rsidR="00BF48A1" w:rsidRPr="00605580" w:rsidRDefault="007C2F2F" w:rsidP="00605580">
      <w:pPr>
        <w:pStyle w:val="ListParagraph"/>
        <w:spacing w:before="240"/>
        <w:ind w:left="1701" w:hanging="851"/>
        <w:jc w:val="left"/>
        <w:rPr>
          <w:b/>
        </w:rPr>
      </w:pPr>
      <w:r w:rsidRPr="00605580">
        <w:rPr>
          <w:b/>
        </w:rPr>
        <w:t>C</w:t>
      </w:r>
      <w:r w:rsidR="000B1075" w:rsidRPr="00605580">
        <w:rPr>
          <w:b/>
        </w:rPr>
        <w:t xml:space="preserve">riteria </w:t>
      </w:r>
      <w:r w:rsidRPr="00605580">
        <w:rPr>
          <w:b/>
        </w:rPr>
        <w:t>– Scored Questions</w:t>
      </w:r>
      <w:bookmarkEnd w:id="142"/>
    </w:p>
    <w:p w14:paraId="7AD75487" w14:textId="01F17D1A" w:rsidR="00605580" w:rsidRDefault="00605580" w:rsidP="00E203C9">
      <w:pPr>
        <w:pStyle w:val="MRNumberedHeading2"/>
        <w:numPr>
          <w:ilvl w:val="1"/>
          <w:numId w:val="37"/>
        </w:numPr>
        <w:tabs>
          <w:tab w:val="clear" w:pos="720"/>
          <w:tab w:val="num" w:pos="851"/>
        </w:tabs>
        <w:ind w:left="851" w:hanging="851"/>
      </w:pPr>
      <w:bookmarkStart w:id="143" w:name="_Ref403401459"/>
      <w:bookmarkStart w:id="144" w:name="_Toc403555174"/>
      <w:r>
        <w:t xml:space="preserve">The Authority will award the contract to the Tender that scores the highest marks, applying the methodology below. Scoring will be carried out as follows: </w:t>
      </w:r>
    </w:p>
    <w:bookmarkEnd w:id="143"/>
    <w:bookmarkEnd w:id="144"/>
    <w:p w14:paraId="20C73938" w14:textId="77777777" w:rsidR="003E3276" w:rsidRDefault="003E3276" w:rsidP="006B54D6">
      <w:pPr>
        <w:pStyle w:val="MRNumberedHeading2"/>
        <w:numPr>
          <w:ilvl w:val="0"/>
          <w:numId w:val="0"/>
        </w:numPr>
        <w:ind w:left="720"/>
      </w:pPr>
    </w:p>
    <w:tbl>
      <w:tblPr>
        <w:tblStyle w:val="TableGrid"/>
        <w:tblW w:w="0" w:type="auto"/>
        <w:tblInd w:w="1101" w:type="dxa"/>
        <w:tblLayout w:type="fixed"/>
        <w:tblLook w:val="04A0" w:firstRow="1" w:lastRow="0" w:firstColumn="1" w:lastColumn="0" w:noHBand="0" w:noVBand="1"/>
      </w:tblPr>
      <w:tblGrid>
        <w:gridCol w:w="4677"/>
        <w:gridCol w:w="1701"/>
        <w:gridCol w:w="1701"/>
      </w:tblGrid>
      <w:tr w:rsidR="00432DE0" w14:paraId="20C7393C" w14:textId="2D61C29D" w:rsidTr="00432DE0">
        <w:tc>
          <w:tcPr>
            <w:tcW w:w="4677" w:type="dxa"/>
            <w:shd w:val="clear" w:color="auto" w:fill="BFBFBF" w:themeFill="background1" w:themeFillShade="BF"/>
          </w:tcPr>
          <w:p w14:paraId="20C73939" w14:textId="77777777" w:rsidR="00432DE0" w:rsidRPr="00EF71DD" w:rsidRDefault="00432DE0" w:rsidP="003318CA">
            <w:pPr>
              <w:pStyle w:val="Heading2"/>
              <w:numPr>
                <w:ilvl w:val="0"/>
                <w:numId w:val="0"/>
              </w:numPr>
              <w:outlineLvl w:val="1"/>
              <w:rPr>
                <w:b/>
              </w:rPr>
            </w:pPr>
            <w:r w:rsidRPr="00EF71DD">
              <w:rPr>
                <w:b/>
              </w:rPr>
              <w:t>Evaluation criteria</w:t>
            </w:r>
          </w:p>
        </w:tc>
        <w:tc>
          <w:tcPr>
            <w:tcW w:w="1701" w:type="dxa"/>
            <w:shd w:val="clear" w:color="auto" w:fill="BFBFBF" w:themeFill="background1" w:themeFillShade="BF"/>
          </w:tcPr>
          <w:p w14:paraId="20C7393B" w14:textId="77777777" w:rsidR="00432DE0" w:rsidRPr="00EF71DD" w:rsidRDefault="00432DE0" w:rsidP="00432DE0">
            <w:pPr>
              <w:pStyle w:val="Heading2"/>
              <w:numPr>
                <w:ilvl w:val="0"/>
                <w:numId w:val="0"/>
              </w:numPr>
              <w:jc w:val="center"/>
              <w:outlineLvl w:val="1"/>
              <w:rPr>
                <w:b/>
              </w:rPr>
            </w:pPr>
            <w:r w:rsidRPr="00EF71DD">
              <w:rPr>
                <w:b/>
              </w:rPr>
              <w:t>Weighting</w:t>
            </w:r>
          </w:p>
        </w:tc>
        <w:tc>
          <w:tcPr>
            <w:tcW w:w="1701" w:type="dxa"/>
            <w:shd w:val="clear" w:color="auto" w:fill="BFBFBF" w:themeFill="background1" w:themeFillShade="BF"/>
          </w:tcPr>
          <w:p w14:paraId="61073801" w14:textId="77777777" w:rsidR="00432DE0" w:rsidRDefault="00432DE0" w:rsidP="00432DE0">
            <w:pPr>
              <w:pStyle w:val="Heading2"/>
              <w:numPr>
                <w:ilvl w:val="0"/>
                <w:numId w:val="0"/>
              </w:numPr>
              <w:jc w:val="center"/>
              <w:outlineLvl w:val="1"/>
              <w:rPr>
                <w:b/>
              </w:rPr>
            </w:pPr>
            <w:r>
              <w:rPr>
                <w:b/>
              </w:rPr>
              <w:t>Maximum</w:t>
            </w:r>
          </w:p>
          <w:p w14:paraId="1A73D34F" w14:textId="192F59C8" w:rsidR="00432DE0" w:rsidRPr="00EF71DD" w:rsidRDefault="00432DE0" w:rsidP="00432DE0">
            <w:pPr>
              <w:pStyle w:val="Heading2"/>
              <w:numPr>
                <w:ilvl w:val="0"/>
                <w:numId w:val="0"/>
              </w:numPr>
              <w:jc w:val="center"/>
              <w:outlineLvl w:val="1"/>
              <w:rPr>
                <w:b/>
              </w:rPr>
            </w:pPr>
            <w:r>
              <w:rPr>
                <w:b/>
              </w:rPr>
              <w:t>Score Available</w:t>
            </w:r>
          </w:p>
        </w:tc>
      </w:tr>
      <w:tr w:rsidR="00432DE0" w14:paraId="20C73941" w14:textId="687E421B" w:rsidTr="00432DE0">
        <w:tc>
          <w:tcPr>
            <w:tcW w:w="4677" w:type="dxa"/>
          </w:tcPr>
          <w:p w14:paraId="7C9EB1F7" w14:textId="6CFC6011" w:rsidR="00432DE0" w:rsidRDefault="00432DE0" w:rsidP="00BF48A1">
            <w:pPr>
              <w:pStyle w:val="Heading2"/>
              <w:numPr>
                <w:ilvl w:val="0"/>
                <w:numId w:val="0"/>
              </w:numPr>
              <w:outlineLvl w:val="1"/>
              <w:rPr>
                <w:b/>
              </w:rPr>
            </w:pPr>
          </w:p>
          <w:p w14:paraId="20C7393E" w14:textId="1EE56466" w:rsidR="00432DE0" w:rsidRPr="00432DE0" w:rsidRDefault="00432DE0" w:rsidP="00BF48A1">
            <w:pPr>
              <w:pStyle w:val="Heading2"/>
              <w:numPr>
                <w:ilvl w:val="0"/>
                <w:numId w:val="0"/>
              </w:numPr>
              <w:outlineLvl w:val="1"/>
              <w:rPr>
                <w:b/>
              </w:rPr>
            </w:pPr>
            <w:r w:rsidRPr="00432DE0">
              <w:rPr>
                <w:b/>
              </w:rPr>
              <w:t>PERFORMANCE</w:t>
            </w:r>
          </w:p>
        </w:tc>
        <w:tc>
          <w:tcPr>
            <w:tcW w:w="1701" w:type="dxa"/>
            <w:vAlign w:val="center"/>
          </w:tcPr>
          <w:p w14:paraId="6F1E58CC" w14:textId="77777777" w:rsidR="00432DE0" w:rsidRDefault="00432DE0" w:rsidP="00432DE0">
            <w:pPr>
              <w:pStyle w:val="Heading2"/>
              <w:numPr>
                <w:ilvl w:val="0"/>
                <w:numId w:val="0"/>
              </w:numPr>
              <w:jc w:val="center"/>
              <w:outlineLvl w:val="1"/>
              <w:rPr>
                <w:b/>
              </w:rPr>
            </w:pPr>
          </w:p>
          <w:p w14:paraId="20C73940" w14:textId="6149546D" w:rsidR="00432DE0" w:rsidRPr="00432DE0" w:rsidRDefault="00432DE0" w:rsidP="00432DE0">
            <w:pPr>
              <w:pStyle w:val="Heading2"/>
              <w:numPr>
                <w:ilvl w:val="0"/>
                <w:numId w:val="0"/>
              </w:numPr>
              <w:jc w:val="center"/>
              <w:outlineLvl w:val="1"/>
              <w:rPr>
                <w:b/>
              </w:rPr>
            </w:pPr>
            <w:r w:rsidRPr="00432DE0">
              <w:rPr>
                <w:b/>
              </w:rPr>
              <w:t>20</w:t>
            </w:r>
          </w:p>
        </w:tc>
        <w:tc>
          <w:tcPr>
            <w:tcW w:w="1701" w:type="dxa"/>
            <w:vAlign w:val="center"/>
          </w:tcPr>
          <w:p w14:paraId="7A4184EA" w14:textId="77777777" w:rsidR="00432DE0" w:rsidRDefault="00432DE0" w:rsidP="00432DE0">
            <w:pPr>
              <w:pStyle w:val="Heading2"/>
              <w:numPr>
                <w:ilvl w:val="0"/>
                <w:numId w:val="0"/>
              </w:numPr>
              <w:jc w:val="center"/>
              <w:outlineLvl w:val="1"/>
              <w:rPr>
                <w:b/>
              </w:rPr>
            </w:pPr>
          </w:p>
          <w:p w14:paraId="4EBAFFCB" w14:textId="5538BC5A" w:rsidR="00432DE0" w:rsidRPr="00432DE0" w:rsidRDefault="00432DE0" w:rsidP="00432DE0">
            <w:pPr>
              <w:pStyle w:val="Heading2"/>
              <w:numPr>
                <w:ilvl w:val="0"/>
                <w:numId w:val="0"/>
              </w:numPr>
              <w:jc w:val="center"/>
              <w:outlineLvl w:val="1"/>
              <w:rPr>
                <w:b/>
              </w:rPr>
            </w:pPr>
            <w:r w:rsidRPr="00432DE0">
              <w:rPr>
                <w:b/>
              </w:rPr>
              <w:t>100</w:t>
            </w:r>
          </w:p>
        </w:tc>
      </w:tr>
      <w:tr w:rsidR="00432DE0" w14:paraId="20C73946" w14:textId="76F3DD7E" w:rsidTr="00432DE0">
        <w:tc>
          <w:tcPr>
            <w:tcW w:w="4677" w:type="dxa"/>
          </w:tcPr>
          <w:p w14:paraId="20C73943" w14:textId="524D7EDC" w:rsidR="00432DE0" w:rsidRDefault="00432DE0" w:rsidP="00432DE0">
            <w:pPr>
              <w:pStyle w:val="Heading2"/>
              <w:numPr>
                <w:ilvl w:val="0"/>
                <w:numId w:val="38"/>
              </w:numPr>
              <w:outlineLvl w:val="1"/>
            </w:pPr>
            <w:r w:rsidRPr="00421618">
              <w:rPr>
                <w:rFonts w:cs="Arial"/>
                <w:bCs/>
                <w:color w:val="000000"/>
              </w:rPr>
              <w:t>Please describe how the Contract will be delivered and managed in accordance with the relevant Quality Standards and Service Specification</w:t>
            </w:r>
          </w:p>
        </w:tc>
        <w:tc>
          <w:tcPr>
            <w:tcW w:w="1701" w:type="dxa"/>
            <w:vAlign w:val="center"/>
          </w:tcPr>
          <w:p w14:paraId="20C73945" w14:textId="4E2AFAAE" w:rsidR="00432DE0" w:rsidRDefault="00432DE0" w:rsidP="00432DE0">
            <w:pPr>
              <w:pStyle w:val="Heading2"/>
              <w:numPr>
                <w:ilvl w:val="0"/>
                <w:numId w:val="0"/>
              </w:numPr>
              <w:jc w:val="center"/>
              <w:outlineLvl w:val="1"/>
            </w:pPr>
            <w:r>
              <w:t>10</w:t>
            </w:r>
          </w:p>
        </w:tc>
        <w:tc>
          <w:tcPr>
            <w:tcW w:w="1701" w:type="dxa"/>
            <w:vAlign w:val="center"/>
          </w:tcPr>
          <w:p w14:paraId="0485274F" w14:textId="61DFC7F7" w:rsidR="00432DE0" w:rsidRDefault="00432DE0" w:rsidP="00432DE0">
            <w:pPr>
              <w:pStyle w:val="Heading2"/>
              <w:numPr>
                <w:ilvl w:val="0"/>
                <w:numId w:val="0"/>
              </w:numPr>
              <w:jc w:val="center"/>
              <w:outlineLvl w:val="1"/>
            </w:pPr>
            <w:r>
              <w:t>50</w:t>
            </w:r>
          </w:p>
        </w:tc>
      </w:tr>
      <w:tr w:rsidR="00432DE0" w14:paraId="20C7394B" w14:textId="0341B0D5" w:rsidTr="00432DE0">
        <w:tc>
          <w:tcPr>
            <w:tcW w:w="4677" w:type="dxa"/>
          </w:tcPr>
          <w:p w14:paraId="20C73948" w14:textId="556017A2" w:rsidR="00FB4014" w:rsidRDefault="00FB4014" w:rsidP="00FB4014">
            <w:pPr>
              <w:pStyle w:val="Heading2"/>
              <w:numPr>
                <w:ilvl w:val="0"/>
                <w:numId w:val="38"/>
              </w:numPr>
              <w:outlineLvl w:val="1"/>
            </w:pPr>
            <w:r w:rsidRPr="00FB4014">
              <w:t>Please describe your proposed PALs/complaints/incident procedure/policy</w:t>
            </w:r>
          </w:p>
        </w:tc>
        <w:tc>
          <w:tcPr>
            <w:tcW w:w="1701" w:type="dxa"/>
            <w:vAlign w:val="center"/>
          </w:tcPr>
          <w:p w14:paraId="20C7394A" w14:textId="526FFDEC" w:rsidR="00432DE0" w:rsidRDefault="00432DE0" w:rsidP="00432DE0">
            <w:pPr>
              <w:pStyle w:val="Heading2"/>
              <w:numPr>
                <w:ilvl w:val="0"/>
                <w:numId w:val="0"/>
              </w:numPr>
              <w:jc w:val="center"/>
              <w:outlineLvl w:val="1"/>
            </w:pPr>
            <w:r>
              <w:t>5</w:t>
            </w:r>
          </w:p>
        </w:tc>
        <w:tc>
          <w:tcPr>
            <w:tcW w:w="1701" w:type="dxa"/>
            <w:vAlign w:val="center"/>
          </w:tcPr>
          <w:p w14:paraId="0A299886" w14:textId="2D6D3ACD" w:rsidR="00432DE0" w:rsidRDefault="00432DE0" w:rsidP="00432DE0">
            <w:pPr>
              <w:pStyle w:val="Heading2"/>
              <w:numPr>
                <w:ilvl w:val="0"/>
                <w:numId w:val="0"/>
              </w:numPr>
              <w:jc w:val="center"/>
              <w:outlineLvl w:val="1"/>
            </w:pPr>
            <w:r>
              <w:t>25</w:t>
            </w:r>
          </w:p>
        </w:tc>
      </w:tr>
      <w:tr w:rsidR="00432DE0" w14:paraId="20C73950" w14:textId="78CD088C" w:rsidTr="00432DE0">
        <w:tc>
          <w:tcPr>
            <w:tcW w:w="4677" w:type="dxa"/>
          </w:tcPr>
          <w:p w14:paraId="20C7394D" w14:textId="44FEE7DB" w:rsidR="00432DE0" w:rsidRDefault="00FB4014" w:rsidP="00FB4014">
            <w:pPr>
              <w:pStyle w:val="Heading2"/>
              <w:numPr>
                <w:ilvl w:val="0"/>
                <w:numId w:val="38"/>
              </w:numPr>
              <w:outlineLvl w:val="1"/>
            </w:pPr>
            <w:r w:rsidRPr="00FB4014">
              <w:t>What support do you anticipate you will require from UHBFT?</w:t>
            </w:r>
          </w:p>
        </w:tc>
        <w:tc>
          <w:tcPr>
            <w:tcW w:w="1701" w:type="dxa"/>
            <w:vAlign w:val="center"/>
          </w:tcPr>
          <w:p w14:paraId="20C7394F" w14:textId="52758BCF" w:rsidR="00432DE0" w:rsidRDefault="00432DE0" w:rsidP="00432DE0">
            <w:pPr>
              <w:pStyle w:val="Heading2"/>
              <w:numPr>
                <w:ilvl w:val="0"/>
                <w:numId w:val="0"/>
              </w:numPr>
              <w:jc w:val="center"/>
              <w:outlineLvl w:val="1"/>
            </w:pPr>
            <w:r>
              <w:t>5</w:t>
            </w:r>
          </w:p>
        </w:tc>
        <w:tc>
          <w:tcPr>
            <w:tcW w:w="1701" w:type="dxa"/>
            <w:vAlign w:val="center"/>
          </w:tcPr>
          <w:p w14:paraId="6CCDD8B6" w14:textId="02816D07" w:rsidR="00432DE0" w:rsidRDefault="00432DE0" w:rsidP="00432DE0">
            <w:pPr>
              <w:pStyle w:val="Heading2"/>
              <w:numPr>
                <w:ilvl w:val="0"/>
                <w:numId w:val="0"/>
              </w:numPr>
              <w:jc w:val="center"/>
              <w:outlineLvl w:val="1"/>
            </w:pPr>
            <w:r>
              <w:t>25</w:t>
            </w:r>
          </w:p>
        </w:tc>
      </w:tr>
      <w:tr w:rsidR="00432DE0" w14:paraId="20C73955" w14:textId="2FFFA465" w:rsidTr="00432DE0">
        <w:tc>
          <w:tcPr>
            <w:tcW w:w="4677" w:type="dxa"/>
          </w:tcPr>
          <w:p w14:paraId="20C73952" w14:textId="00B492DB" w:rsidR="00432DE0" w:rsidRPr="00432DE0" w:rsidRDefault="00432DE0" w:rsidP="00BF48A1">
            <w:pPr>
              <w:pStyle w:val="Heading2"/>
              <w:numPr>
                <w:ilvl w:val="0"/>
                <w:numId w:val="0"/>
              </w:numPr>
              <w:outlineLvl w:val="1"/>
              <w:rPr>
                <w:b/>
              </w:rPr>
            </w:pPr>
            <w:r w:rsidRPr="00432DE0">
              <w:rPr>
                <w:b/>
              </w:rPr>
              <w:t>OPERATIONAL</w:t>
            </w:r>
          </w:p>
        </w:tc>
        <w:tc>
          <w:tcPr>
            <w:tcW w:w="1701" w:type="dxa"/>
            <w:vAlign w:val="center"/>
          </w:tcPr>
          <w:p w14:paraId="20C73954" w14:textId="7ABDF286" w:rsidR="00432DE0" w:rsidRPr="006A7C2E" w:rsidRDefault="006A7C2E" w:rsidP="00432DE0">
            <w:pPr>
              <w:pStyle w:val="Heading2"/>
              <w:numPr>
                <w:ilvl w:val="0"/>
                <w:numId w:val="0"/>
              </w:numPr>
              <w:jc w:val="center"/>
              <w:outlineLvl w:val="1"/>
              <w:rPr>
                <w:b/>
              </w:rPr>
            </w:pPr>
            <w:r w:rsidRPr="006A7C2E">
              <w:rPr>
                <w:b/>
              </w:rPr>
              <w:t>25</w:t>
            </w:r>
          </w:p>
        </w:tc>
        <w:tc>
          <w:tcPr>
            <w:tcW w:w="1701" w:type="dxa"/>
            <w:vAlign w:val="center"/>
          </w:tcPr>
          <w:p w14:paraId="7D528E47" w14:textId="640DF883" w:rsidR="00432DE0" w:rsidRPr="006A7C2E" w:rsidRDefault="006A7C2E" w:rsidP="00432DE0">
            <w:pPr>
              <w:pStyle w:val="Heading2"/>
              <w:numPr>
                <w:ilvl w:val="0"/>
                <w:numId w:val="0"/>
              </w:numPr>
              <w:jc w:val="center"/>
              <w:outlineLvl w:val="1"/>
              <w:rPr>
                <w:b/>
              </w:rPr>
            </w:pPr>
            <w:r w:rsidRPr="006A7C2E">
              <w:rPr>
                <w:b/>
              </w:rPr>
              <w:t>125</w:t>
            </w:r>
          </w:p>
        </w:tc>
      </w:tr>
      <w:tr w:rsidR="00432DE0" w14:paraId="20C7395A" w14:textId="632946F5" w:rsidTr="00432DE0">
        <w:tc>
          <w:tcPr>
            <w:tcW w:w="4677" w:type="dxa"/>
          </w:tcPr>
          <w:p w14:paraId="20C73957" w14:textId="18ECBEFC" w:rsidR="00432DE0" w:rsidRDefault="00432DE0" w:rsidP="00432DE0">
            <w:pPr>
              <w:pStyle w:val="Heading2"/>
              <w:numPr>
                <w:ilvl w:val="0"/>
                <w:numId w:val="40"/>
              </w:numPr>
              <w:ind w:left="317" w:hanging="317"/>
              <w:outlineLvl w:val="1"/>
            </w:pPr>
            <w:r w:rsidRPr="00421618">
              <w:rPr>
                <w:rFonts w:cs="Arial"/>
                <w:bCs/>
                <w:color w:val="000000"/>
              </w:rPr>
              <w:t>Please provide a transition plan or timeline chart outlining key tasks and milestones in the period between Contract Award and commencement of the service</w:t>
            </w:r>
          </w:p>
        </w:tc>
        <w:tc>
          <w:tcPr>
            <w:tcW w:w="1701" w:type="dxa"/>
            <w:vAlign w:val="center"/>
          </w:tcPr>
          <w:p w14:paraId="20C73959" w14:textId="0703A0C5" w:rsidR="00432DE0" w:rsidRDefault="006A7C2E" w:rsidP="00432DE0">
            <w:pPr>
              <w:pStyle w:val="Heading2"/>
              <w:numPr>
                <w:ilvl w:val="0"/>
                <w:numId w:val="0"/>
              </w:numPr>
              <w:jc w:val="center"/>
              <w:outlineLvl w:val="1"/>
            </w:pPr>
            <w:r>
              <w:t>10</w:t>
            </w:r>
          </w:p>
        </w:tc>
        <w:tc>
          <w:tcPr>
            <w:tcW w:w="1701" w:type="dxa"/>
            <w:vAlign w:val="center"/>
          </w:tcPr>
          <w:p w14:paraId="419406EF" w14:textId="313B5D9D" w:rsidR="00432DE0" w:rsidRDefault="006A7C2E" w:rsidP="00432DE0">
            <w:pPr>
              <w:pStyle w:val="Heading2"/>
              <w:numPr>
                <w:ilvl w:val="0"/>
                <w:numId w:val="0"/>
              </w:numPr>
              <w:jc w:val="center"/>
              <w:outlineLvl w:val="1"/>
            </w:pPr>
            <w:r>
              <w:t>50</w:t>
            </w:r>
          </w:p>
        </w:tc>
      </w:tr>
      <w:tr w:rsidR="00432DE0" w14:paraId="75D58D37" w14:textId="77777777" w:rsidTr="00432DE0">
        <w:tc>
          <w:tcPr>
            <w:tcW w:w="4677" w:type="dxa"/>
          </w:tcPr>
          <w:p w14:paraId="6B113E4C" w14:textId="7D05919D" w:rsidR="00432DE0" w:rsidRDefault="00432DE0" w:rsidP="00797FA3">
            <w:pPr>
              <w:pStyle w:val="Heading2"/>
              <w:numPr>
                <w:ilvl w:val="0"/>
                <w:numId w:val="40"/>
              </w:numPr>
              <w:ind w:left="317" w:hanging="284"/>
              <w:outlineLvl w:val="1"/>
            </w:pPr>
            <w:r w:rsidRPr="00421618">
              <w:rPr>
                <w:rFonts w:cs="Arial"/>
                <w:bCs/>
                <w:color w:val="000000"/>
              </w:rPr>
              <w:t xml:space="preserve">Bidders must describe and confirm that they have, or how they will generate, sufficient capacity to deliver the services including a </w:t>
            </w:r>
            <w:r w:rsidRPr="00421618">
              <w:rPr>
                <w:rFonts w:cs="Arial"/>
                <w:bCs/>
                <w:color w:val="000000"/>
              </w:rPr>
              <w:lastRenderedPageBreak/>
              <w:t xml:space="preserve">detailed staffing/resource plan that </w:t>
            </w:r>
            <w:proofErr w:type="gramStart"/>
            <w:r w:rsidRPr="00421618">
              <w:rPr>
                <w:rFonts w:cs="Arial"/>
                <w:bCs/>
                <w:color w:val="000000"/>
              </w:rPr>
              <w:t>describes</w:t>
            </w:r>
            <w:proofErr w:type="gramEnd"/>
            <w:r w:rsidRPr="00421618">
              <w:rPr>
                <w:rFonts w:cs="Arial"/>
                <w:bCs/>
                <w:color w:val="000000"/>
              </w:rPr>
              <w:t xml:space="preserve"> the staffing /resource arrangements that will enable the delivery of the services for the duration of the Contract. </w:t>
            </w:r>
          </w:p>
        </w:tc>
        <w:tc>
          <w:tcPr>
            <w:tcW w:w="1701" w:type="dxa"/>
            <w:vAlign w:val="center"/>
          </w:tcPr>
          <w:p w14:paraId="0F8FCA45" w14:textId="4D8324C7" w:rsidR="00432DE0" w:rsidRDefault="006A7C2E" w:rsidP="00432DE0">
            <w:pPr>
              <w:pStyle w:val="Heading2"/>
              <w:numPr>
                <w:ilvl w:val="0"/>
                <w:numId w:val="0"/>
              </w:numPr>
              <w:jc w:val="center"/>
              <w:outlineLvl w:val="1"/>
            </w:pPr>
            <w:r>
              <w:lastRenderedPageBreak/>
              <w:t>15</w:t>
            </w:r>
          </w:p>
        </w:tc>
        <w:tc>
          <w:tcPr>
            <w:tcW w:w="1701" w:type="dxa"/>
            <w:vAlign w:val="center"/>
          </w:tcPr>
          <w:p w14:paraId="1A4F78AF" w14:textId="3B26D0D7" w:rsidR="00432DE0" w:rsidRDefault="006A7C2E" w:rsidP="00432DE0">
            <w:pPr>
              <w:pStyle w:val="Heading2"/>
              <w:numPr>
                <w:ilvl w:val="0"/>
                <w:numId w:val="0"/>
              </w:numPr>
              <w:jc w:val="center"/>
              <w:outlineLvl w:val="1"/>
            </w:pPr>
            <w:r>
              <w:t>75</w:t>
            </w:r>
          </w:p>
        </w:tc>
      </w:tr>
      <w:tr w:rsidR="00432DE0" w14:paraId="78500F0C" w14:textId="77777777" w:rsidTr="00432DE0">
        <w:tc>
          <w:tcPr>
            <w:tcW w:w="4677" w:type="dxa"/>
          </w:tcPr>
          <w:p w14:paraId="29A9C072" w14:textId="5304F780" w:rsidR="00432DE0" w:rsidRDefault="00432DE0" w:rsidP="00BF48A1">
            <w:pPr>
              <w:pStyle w:val="Heading2"/>
              <w:numPr>
                <w:ilvl w:val="0"/>
                <w:numId w:val="0"/>
              </w:numPr>
              <w:outlineLvl w:val="1"/>
            </w:pPr>
            <w:r w:rsidRPr="00421618">
              <w:rPr>
                <w:rFonts w:cs="Arial"/>
                <w:b/>
              </w:rPr>
              <w:lastRenderedPageBreak/>
              <w:t>CLINICAL AND TECHNICAL SERVICE DELIVERY</w:t>
            </w:r>
          </w:p>
        </w:tc>
        <w:tc>
          <w:tcPr>
            <w:tcW w:w="1701" w:type="dxa"/>
            <w:vAlign w:val="center"/>
          </w:tcPr>
          <w:p w14:paraId="7048946D" w14:textId="5B26AD2F" w:rsidR="00432DE0" w:rsidRPr="006A7C2E" w:rsidRDefault="006A7C2E" w:rsidP="00432DE0">
            <w:pPr>
              <w:pStyle w:val="Heading2"/>
              <w:numPr>
                <w:ilvl w:val="0"/>
                <w:numId w:val="0"/>
              </w:numPr>
              <w:jc w:val="center"/>
              <w:outlineLvl w:val="1"/>
              <w:rPr>
                <w:b/>
              </w:rPr>
            </w:pPr>
            <w:r w:rsidRPr="006A7C2E">
              <w:rPr>
                <w:b/>
              </w:rPr>
              <w:t>40</w:t>
            </w:r>
          </w:p>
        </w:tc>
        <w:tc>
          <w:tcPr>
            <w:tcW w:w="1701" w:type="dxa"/>
            <w:vAlign w:val="center"/>
          </w:tcPr>
          <w:p w14:paraId="2B731096" w14:textId="75CEBF2F" w:rsidR="00432DE0" w:rsidRPr="006A7C2E" w:rsidRDefault="006A7C2E" w:rsidP="00432DE0">
            <w:pPr>
              <w:pStyle w:val="Heading2"/>
              <w:numPr>
                <w:ilvl w:val="0"/>
                <w:numId w:val="0"/>
              </w:numPr>
              <w:jc w:val="center"/>
              <w:outlineLvl w:val="1"/>
              <w:rPr>
                <w:b/>
              </w:rPr>
            </w:pPr>
            <w:r w:rsidRPr="006A7C2E">
              <w:rPr>
                <w:b/>
              </w:rPr>
              <w:t>200</w:t>
            </w:r>
          </w:p>
        </w:tc>
      </w:tr>
      <w:tr w:rsidR="00432DE0" w14:paraId="13BD95A1" w14:textId="77777777" w:rsidTr="00432DE0">
        <w:tc>
          <w:tcPr>
            <w:tcW w:w="4677" w:type="dxa"/>
          </w:tcPr>
          <w:p w14:paraId="697C1C32" w14:textId="18292F33" w:rsidR="00432DE0" w:rsidRDefault="00432DE0" w:rsidP="00797FA3">
            <w:pPr>
              <w:pStyle w:val="Heading2"/>
              <w:numPr>
                <w:ilvl w:val="0"/>
                <w:numId w:val="41"/>
              </w:numPr>
              <w:outlineLvl w:val="1"/>
            </w:pPr>
            <w:r w:rsidRPr="00421618">
              <w:rPr>
                <w:rFonts w:cs="Arial"/>
                <w:bCs/>
                <w:color w:val="000000"/>
              </w:rPr>
              <w:t>Please describe your proposed service delivery model to enable delivery of the services as detailed in the Service Specification.</w:t>
            </w:r>
          </w:p>
        </w:tc>
        <w:tc>
          <w:tcPr>
            <w:tcW w:w="1701" w:type="dxa"/>
            <w:vAlign w:val="center"/>
          </w:tcPr>
          <w:p w14:paraId="59528799" w14:textId="1789697C" w:rsidR="00432DE0" w:rsidRDefault="006A7C2E" w:rsidP="00432DE0">
            <w:pPr>
              <w:pStyle w:val="Heading2"/>
              <w:numPr>
                <w:ilvl w:val="0"/>
                <w:numId w:val="0"/>
              </w:numPr>
              <w:jc w:val="center"/>
              <w:outlineLvl w:val="1"/>
            </w:pPr>
            <w:r>
              <w:t>10</w:t>
            </w:r>
          </w:p>
        </w:tc>
        <w:tc>
          <w:tcPr>
            <w:tcW w:w="1701" w:type="dxa"/>
            <w:vAlign w:val="center"/>
          </w:tcPr>
          <w:p w14:paraId="4E28F14A" w14:textId="0DA073D2" w:rsidR="00432DE0" w:rsidRDefault="006A7C2E" w:rsidP="00432DE0">
            <w:pPr>
              <w:pStyle w:val="Heading2"/>
              <w:numPr>
                <w:ilvl w:val="0"/>
                <w:numId w:val="0"/>
              </w:numPr>
              <w:jc w:val="center"/>
              <w:outlineLvl w:val="1"/>
            </w:pPr>
            <w:r>
              <w:t>50</w:t>
            </w:r>
          </w:p>
        </w:tc>
      </w:tr>
      <w:tr w:rsidR="00432DE0" w14:paraId="01B3E1F8" w14:textId="77777777" w:rsidTr="00432DE0">
        <w:tc>
          <w:tcPr>
            <w:tcW w:w="4677" w:type="dxa"/>
          </w:tcPr>
          <w:p w14:paraId="61EAC94D" w14:textId="0E68DAB9" w:rsidR="00432DE0" w:rsidRDefault="00432DE0" w:rsidP="00797FA3">
            <w:pPr>
              <w:pStyle w:val="Heading2"/>
              <w:numPr>
                <w:ilvl w:val="0"/>
                <w:numId w:val="41"/>
              </w:numPr>
              <w:outlineLvl w:val="1"/>
            </w:pPr>
            <w:r w:rsidRPr="00421618">
              <w:rPr>
                <w:rFonts w:cs="Arial"/>
                <w:bCs/>
                <w:color w:val="000000"/>
              </w:rPr>
              <w:t>Please describe how clinical governance (CG) is core to your business and governance arrangements and describe how you will ensure your services meet all relevant clinical guideline requirements and applicable service standards</w:t>
            </w:r>
          </w:p>
        </w:tc>
        <w:tc>
          <w:tcPr>
            <w:tcW w:w="1701" w:type="dxa"/>
            <w:vAlign w:val="center"/>
          </w:tcPr>
          <w:p w14:paraId="07397750" w14:textId="5F87F47D" w:rsidR="00432DE0" w:rsidRDefault="006A7C2E" w:rsidP="00432DE0">
            <w:pPr>
              <w:pStyle w:val="Heading2"/>
              <w:numPr>
                <w:ilvl w:val="0"/>
                <w:numId w:val="0"/>
              </w:numPr>
              <w:jc w:val="center"/>
              <w:outlineLvl w:val="1"/>
            </w:pPr>
            <w:r>
              <w:t>10</w:t>
            </w:r>
          </w:p>
        </w:tc>
        <w:tc>
          <w:tcPr>
            <w:tcW w:w="1701" w:type="dxa"/>
            <w:vAlign w:val="center"/>
          </w:tcPr>
          <w:p w14:paraId="42A2FC3F" w14:textId="7DBB37E6" w:rsidR="00432DE0" w:rsidRDefault="006A7C2E" w:rsidP="00432DE0">
            <w:pPr>
              <w:pStyle w:val="Heading2"/>
              <w:numPr>
                <w:ilvl w:val="0"/>
                <w:numId w:val="0"/>
              </w:numPr>
              <w:jc w:val="center"/>
              <w:outlineLvl w:val="1"/>
            </w:pPr>
            <w:r>
              <w:t>50</w:t>
            </w:r>
          </w:p>
        </w:tc>
      </w:tr>
      <w:tr w:rsidR="00432DE0" w14:paraId="47097D10" w14:textId="77777777" w:rsidTr="00432DE0">
        <w:tc>
          <w:tcPr>
            <w:tcW w:w="4677" w:type="dxa"/>
          </w:tcPr>
          <w:p w14:paraId="40AF3947" w14:textId="06B1B312" w:rsidR="00432DE0" w:rsidRPr="00CB3968" w:rsidRDefault="00432DE0" w:rsidP="00274A34">
            <w:pPr>
              <w:pStyle w:val="Heading2"/>
              <w:numPr>
                <w:ilvl w:val="0"/>
                <w:numId w:val="41"/>
              </w:numPr>
              <w:outlineLvl w:val="1"/>
              <w:rPr>
                <w:rFonts w:cs="Arial"/>
                <w:bCs/>
                <w:iCs/>
              </w:rPr>
            </w:pPr>
            <w:r w:rsidRPr="00421618">
              <w:rPr>
                <w:rFonts w:cs="Arial"/>
                <w:bCs/>
                <w:iCs/>
              </w:rPr>
              <w:t>Please describe your previous e</w:t>
            </w:r>
            <w:r w:rsidR="00274A34">
              <w:rPr>
                <w:rFonts w:cs="Arial"/>
                <w:bCs/>
                <w:iCs/>
              </w:rPr>
              <w:t>xperience of delivering insource</w:t>
            </w:r>
            <w:r w:rsidRPr="00421618">
              <w:rPr>
                <w:rFonts w:cs="Arial"/>
                <w:bCs/>
                <w:iCs/>
              </w:rPr>
              <w:t xml:space="preserve"> </w:t>
            </w:r>
            <w:r w:rsidR="00274A34">
              <w:rPr>
                <w:rFonts w:cs="Arial"/>
                <w:bCs/>
                <w:iCs/>
              </w:rPr>
              <w:t>glaucoma outpatient</w:t>
            </w:r>
            <w:r w:rsidRPr="00421618">
              <w:rPr>
                <w:rFonts w:cs="Arial"/>
                <w:bCs/>
                <w:iCs/>
              </w:rPr>
              <w:t xml:space="preserve"> services</w:t>
            </w:r>
          </w:p>
        </w:tc>
        <w:tc>
          <w:tcPr>
            <w:tcW w:w="1701" w:type="dxa"/>
            <w:vAlign w:val="center"/>
          </w:tcPr>
          <w:p w14:paraId="1D352440" w14:textId="125C6041" w:rsidR="00432DE0" w:rsidRDefault="006A7C2E" w:rsidP="00432DE0">
            <w:pPr>
              <w:pStyle w:val="Heading2"/>
              <w:numPr>
                <w:ilvl w:val="0"/>
                <w:numId w:val="0"/>
              </w:numPr>
              <w:jc w:val="center"/>
              <w:outlineLvl w:val="1"/>
            </w:pPr>
            <w:r>
              <w:t>10</w:t>
            </w:r>
          </w:p>
        </w:tc>
        <w:tc>
          <w:tcPr>
            <w:tcW w:w="1701" w:type="dxa"/>
            <w:vAlign w:val="center"/>
          </w:tcPr>
          <w:p w14:paraId="1ABC5B5B" w14:textId="7CE54E17" w:rsidR="00432DE0" w:rsidRDefault="006A7C2E" w:rsidP="00432DE0">
            <w:pPr>
              <w:pStyle w:val="Heading2"/>
              <w:numPr>
                <w:ilvl w:val="0"/>
                <w:numId w:val="0"/>
              </w:numPr>
              <w:jc w:val="center"/>
              <w:outlineLvl w:val="1"/>
            </w:pPr>
            <w:r>
              <w:t>50</w:t>
            </w:r>
          </w:p>
        </w:tc>
      </w:tr>
      <w:tr w:rsidR="00432DE0" w14:paraId="51D82EB7" w14:textId="77777777" w:rsidTr="00432DE0">
        <w:tc>
          <w:tcPr>
            <w:tcW w:w="4677" w:type="dxa"/>
          </w:tcPr>
          <w:p w14:paraId="7D349FF2" w14:textId="5D72ECA7" w:rsidR="00432DE0" w:rsidRPr="00CB3968" w:rsidRDefault="00BD59FC" w:rsidP="00BD59FC">
            <w:pPr>
              <w:pStyle w:val="Heading2"/>
              <w:numPr>
                <w:ilvl w:val="0"/>
                <w:numId w:val="41"/>
              </w:numPr>
              <w:outlineLvl w:val="1"/>
              <w:rPr>
                <w:rFonts w:cs="Arial"/>
                <w:bCs/>
                <w:iCs/>
              </w:rPr>
            </w:pPr>
            <w:r>
              <w:rPr>
                <w:rFonts w:cs="Arial"/>
                <w:bCs/>
                <w:iCs/>
              </w:rPr>
              <w:t xml:space="preserve">Please describe what you consider to be the biggest risks with this project and outline the steps you are taking to minimise the risk. If the risk occurs, what are your plans to ensure business continuity and the continuation of a safe and high quality service? </w:t>
            </w:r>
          </w:p>
        </w:tc>
        <w:tc>
          <w:tcPr>
            <w:tcW w:w="1701" w:type="dxa"/>
            <w:vAlign w:val="center"/>
          </w:tcPr>
          <w:p w14:paraId="66E8F728" w14:textId="03F1B634" w:rsidR="00432DE0" w:rsidRPr="00BD59FC" w:rsidRDefault="006A7C2E" w:rsidP="00432DE0">
            <w:pPr>
              <w:pStyle w:val="Heading2"/>
              <w:numPr>
                <w:ilvl w:val="0"/>
                <w:numId w:val="0"/>
              </w:numPr>
              <w:jc w:val="center"/>
              <w:outlineLvl w:val="1"/>
            </w:pPr>
            <w:r w:rsidRPr="00BD59FC">
              <w:t>10</w:t>
            </w:r>
          </w:p>
        </w:tc>
        <w:tc>
          <w:tcPr>
            <w:tcW w:w="1701" w:type="dxa"/>
            <w:vAlign w:val="center"/>
          </w:tcPr>
          <w:p w14:paraId="125E971F" w14:textId="6AE7A74E" w:rsidR="00432DE0" w:rsidRPr="00BD59FC" w:rsidRDefault="006A7C2E" w:rsidP="00432DE0">
            <w:pPr>
              <w:pStyle w:val="Heading2"/>
              <w:numPr>
                <w:ilvl w:val="0"/>
                <w:numId w:val="0"/>
              </w:numPr>
              <w:jc w:val="center"/>
              <w:outlineLvl w:val="1"/>
            </w:pPr>
            <w:r w:rsidRPr="00BD59FC">
              <w:t>50</w:t>
            </w:r>
          </w:p>
        </w:tc>
      </w:tr>
      <w:tr w:rsidR="00797FA3" w14:paraId="245A59E2" w14:textId="77777777" w:rsidTr="00432DE0">
        <w:tc>
          <w:tcPr>
            <w:tcW w:w="4677" w:type="dxa"/>
          </w:tcPr>
          <w:p w14:paraId="0D2F0CDA" w14:textId="3717DFE2" w:rsidR="00797FA3" w:rsidRPr="00797FA3" w:rsidRDefault="00797FA3" w:rsidP="00797FA3">
            <w:pPr>
              <w:pStyle w:val="Heading2"/>
              <w:numPr>
                <w:ilvl w:val="0"/>
                <w:numId w:val="0"/>
              </w:numPr>
              <w:ind w:firstLine="33"/>
              <w:outlineLvl w:val="1"/>
              <w:rPr>
                <w:rFonts w:cs="Arial"/>
                <w:b/>
                <w:bCs/>
                <w:color w:val="000000"/>
                <w:spacing w:val="-4"/>
              </w:rPr>
            </w:pPr>
            <w:r w:rsidRPr="00797FA3">
              <w:rPr>
                <w:rFonts w:cs="Arial"/>
                <w:b/>
                <w:bCs/>
                <w:color w:val="000000"/>
                <w:spacing w:val="-4"/>
              </w:rPr>
              <w:t>WORKFORCE</w:t>
            </w:r>
          </w:p>
        </w:tc>
        <w:tc>
          <w:tcPr>
            <w:tcW w:w="1701" w:type="dxa"/>
            <w:vAlign w:val="center"/>
          </w:tcPr>
          <w:p w14:paraId="610CC708" w14:textId="540A40F0" w:rsidR="00797FA3" w:rsidRPr="006A7C2E" w:rsidRDefault="006A7C2E" w:rsidP="00432DE0">
            <w:pPr>
              <w:pStyle w:val="Heading2"/>
              <w:numPr>
                <w:ilvl w:val="0"/>
                <w:numId w:val="0"/>
              </w:numPr>
              <w:jc w:val="center"/>
              <w:outlineLvl w:val="1"/>
              <w:rPr>
                <w:b/>
              </w:rPr>
            </w:pPr>
            <w:r w:rsidRPr="006A7C2E">
              <w:rPr>
                <w:b/>
              </w:rPr>
              <w:t>10</w:t>
            </w:r>
          </w:p>
        </w:tc>
        <w:tc>
          <w:tcPr>
            <w:tcW w:w="1701" w:type="dxa"/>
            <w:vAlign w:val="center"/>
          </w:tcPr>
          <w:p w14:paraId="423C74D1" w14:textId="286A1CB8" w:rsidR="00797FA3" w:rsidRPr="006A7C2E" w:rsidRDefault="006A7C2E" w:rsidP="00432DE0">
            <w:pPr>
              <w:pStyle w:val="Heading2"/>
              <w:numPr>
                <w:ilvl w:val="0"/>
                <w:numId w:val="0"/>
              </w:numPr>
              <w:jc w:val="center"/>
              <w:outlineLvl w:val="1"/>
              <w:rPr>
                <w:b/>
              </w:rPr>
            </w:pPr>
            <w:r w:rsidRPr="006A7C2E">
              <w:rPr>
                <w:b/>
              </w:rPr>
              <w:t>50</w:t>
            </w:r>
          </w:p>
        </w:tc>
      </w:tr>
      <w:tr w:rsidR="00797FA3" w14:paraId="6433ECFF" w14:textId="77777777" w:rsidTr="00432DE0">
        <w:tc>
          <w:tcPr>
            <w:tcW w:w="4677" w:type="dxa"/>
          </w:tcPr>
          <w:p w14:paraId="149DCD33" w14:textId="5CA9882A" w:rsidR="00797FA3" w:rsidRPr="00421618" w:rsidRDefault="00797FA3" w:rsidP="00797FA3">
            <w:pPr>
              <w:pStyle w:val="Heading2"/>
              <w:numPr>
                <w:ilvl w:val="0"/>
                <w:numId w:val="42"/>
              </w:numPr>
              <w:outlineLvl w:val="1"/>
              <w:rPr>
                <w:rFonts w:cs="Arial"/>
                <w:bCs/>
                <w:color w:val="000000"/>
                <w:spacing w:val="-4"/>
              </w:rPr>
            </w:pPr>
            <w:r w:rsidRPr="00421618">
              <w:rPr>
                <w:rFonts w:cs="Arial"/>
                <w:bCs/>
                <w:color w:val="000000"/>
              </w:rPr>
              <w:t>Please describe how you will ensure that all proposed workforce policies, processes and practices comply with all relevant employment legislation and codes of practice applicable in the UK.</w:t>
            </w:r>
          </w:p>
        </w:tc>
        <w:tc>
          <w:tcPr>
            <w:tcW w:w="1701" w:type="dxa"/>
            <w:vAlign w:val="center"/>
          </w:tcPr>
          <w:p w14:paraId="04D5C7DE" w14:textId="09DC770B" w:rsidR="00797FA3" w:rsidRDefault="006A7C2E" w:rsidP="00432DE0">
            <w:pPr>
              <w:pStyle w:val="Heading2"/>
              <w:numPr>
                <w:ilvl w:val="0"/>
                <w:numId w:val="0"/>
              </w:numPr>
              <w:jc w:val="center"/>
              <w:outlineLvl w:val="1"/>
            </w:pPr>
            <w:r>
              <w:t>10</w:t>
            </w:r>
          </w:p>
        </w:tc>
        <w:tc>
          <w:tcPr>
            <w:tcW w:w="1701" w:type="dxa"/>
            <w:vAlign w:val="center"/>
          </w:tcPr>
          <w:p w14:paraId="186134D1" w14:textId="69CF9D50" w:rsidR="00797FA3" w:rsidRDefault="006A7C2E" w:rsidP="00432DE0">
            <w:pPr>
              <w:pStyle w:val="Heading2"/>
              <w:numPr>
                <w:ilvl w:val="0"/>
                <w:numId w:val="0"/>
              </w:numPr>
              <w:jc w:val="center"/>
              <w:outlineLvl w:val="1"/>
            </w:pPr>
            <w:r>
              <w:t>50</w:t>
            </w:r>
          </w:p>
        </w:tc>
      </w:tr>
      <w:tr w:rsidR="00797FA3" w14:paraId="31344DCD" w14:textId="77777777" w:rsidTr="00432DE0">
        <w:tc>
          <w:tcPr>
            <w:tcW w:w="4677" w:type="dxa"/>
          </w:tcPr>
          <w:p w14:paraId="10DACF93" w14:textId="230D1E74" w:rsidR="00797FA3" w:rsidRPr="00797FA3" w:rsidRDefault="00797FA3" w:rsidP="00797FA3">
            <w:pPr>
              <w:pStyle w:val="Heading2"/>
              <w:numPr>
                <w:ilvl w:val="0"/>
                <w:numId w:val="0"/>
              </w:numPr>
              <w:outlineLvl w:val="1"/>
              <w:rPr>
                <w:rFonts w:cs="Arial"/>
                <w:b/>
                <w:bCs/>
                <w:color w:val="000000"/>
                <w:spacing w:val="-4"/>
              </w:rPr>
            </w:pPr>
            <w:r w:rsidRPr="00797FA3">
              <w:rPr>
                <w:rFonts w:cs="Arial"/>
                <w:b/>
                <w:bCs/>
                <w:color w:val="000000"/>
                <w:spacing w:val="-4"/>
              </w:rPr>
              <w:t>ADDED VALUE</w:t>
            </w:r>
          </w:p>
        </w:tc>
        <w:tc>
          <w:tcPr>
            <w:tcW w:w="1701" w:type="dxa"/>
            <w:vAlign w:val="center"/>
          </w:tcPr>
          <w:p w14:paraId="3559EAF5" w14:textId="5CD2E85E" w:rsidR="00797FA3" w:rsidRPr="006A7C2E" w:rsidRDefault="006A7C2E" w:rsidP="00432DE0">
            <w:pPr>
              <w:pStyle w:val="Heading2"/>
              <w:numPr>
                <w:ilvl w:val="0"/>
                <w:numId w:val="0"/>
              </w:numPr>
              <w:jc w:val="center"/>
              <w:outlineLvl w:val="1"/>
              <w:rPr>
                <w:b/>
              </w:rPr>
            </w:pPr>
            <w:r w:rsidRPr="006A7C2E">
              <w:rPr>
                <w:b/>
              </w:rPr>
              <w:t>5</w:t>
            </w:r>
          </w:p>
        </w:tc>
        <w:tc>
          <w:tcPr>
            <w:tcW w:w="1701" w:type="dxa"/>
            <w:vAlign w:val="center"/>
          </w:tcPr>
          <w:p w14:paraId="55978774" w14:textId="222943FA" w:rsidR="00797FA3" w:rsidRPr="006A7C2E" w:rsidRDefault="006A7C2E" w:rsidP="00432DE0">
            <w:pPr>
              <w:pStyle w:val="Heading2"/>
              <w:numPr>
                <w:ilvl w:val="0"/>
                <w:numId w:val="0"/>
              </w:numPr>
              <w:jc w:val="center"/>
              <w:outlineLvl w:val="1"/>
              <w:rPr>
                <w:b/>
              </w:rPr>
            </w:pPr>
            <w:r w:rsidRPr="006A7C2E">
              <w:rPr>
                <w:b/>
              </w:rPr>
              <w:t>25</w:t>
            </w:r>
          </w:p>
        </w:tc>
      </w:tr>
      <w:tr w:rsidR="00797FA3" w14:paraId="0F3A651B" w14:textId="77777777" w:rsidTr="00432DE0">
        <w:tc>
          <w:tcPr>
            <w:tcW w:w="4677" w:type="dxa"/>
          </w:tcPr>
          <w:p w14:paraId="5D78DC87" w14:textId="3F272BAB" w:rsidR="00797FA3" w:rsidRPr="00421618" w:rsidRDefault="006A7C2E" w:rsidP="006A7C2E">
            <w:pPr>
              <w:pStyle w:val="Heading2"/>
              <w:numPr>
                <w:ilvl w:val="0"/>
                <w:numId w:val="43"/>
              </w:numPr>
              <w:outlineLvl w:val="1"/>
              <w:rPr>
                <w:rFonts w:cs="Arial"/>
                <w:bCs/>
                <w:color w:val="000000"/>
                <w:spacing w:val="-4"/>
              </w:rPr>
            </w:pPr>
            <w:r w:rsidRPr="00421618">
              <w:rPr>
                <w:rFonts w:cs="Arial"/>
                <w:bCs/>
                <w:color w:val="000000"/>
              </w:rPr>
              <w:t>Please describe any added value you can offer over and above the requirements described in the service specification.</w:t>
            </w:r>
          </w:p>
        </w:tc>
        <w:tc>
          <w:tcPr>
            <w:tcW w:w="1701" w:type="dxa"/>
            <w:vAlign w:val="center"/>
          </w:tcPr>
          <w:p w14:paraId="00B105D5" w14:textId="2421A1E4" w:rsidR="00797FA3" w:rsidRDefault="006A7C2E" w:rsidP="00432DE0">
            <w:pPr>
              <w:pStyle w:val="Heading2"/>
              <w:numPr>
                <w:ilvl w:val="0"/>
                <w:numId w:val="0"/>
              </w:numPr>
              <w:jc w:val="center"/>
              <w:outlineLvl w:val="1"/>
            </w:pPr>
            <w:r>
              <w:t>5</w:t>
            </w:r>
          </w:p>
        </w:tc>
        <w:tc>
          <w:tcPr>
            <w:tcW w:w="1701" w:type="dxa"/>
            <w:vAlign w:val="center"/>
          </w:tcPr>
          <w:p w14:paraId="2239673D" w14:textId="394C7A06" w:rsidR="00797FA3" w:rsidRDefault="006A7C2E" w:rsidP="00432DE0">
            <w:pPr>
              <w:pStyle w:val="Heading2"/>
              <w:numPr>
                <w:ilvl w:val="0"/>
                <w:numId w:val="0"/>
              </w:numPr>
              <w:jc w:val="center"/>
              <w:outlineLvl w:val="1"/>
            </w:pPr>
            <w:r>
              <w:t>25</w:t>
            </w:r>
          </w:p>
        </w:tc>
      </w:tr>
      <w:tr w:rsidR="00432DE0" w14:paraId="20C7395E" w14:textId="66DAE82C" w:rsidTr="00432DE0">
        <w:tc>
          <w:tcPr>
            <w:tcW w:w="4677" w:type="dxa"/>
          </w:tcPr>
          <w:p w14:paraId="20C7395B" w14:textId="77777777" w:rsidR="00432DE0" w:rsidRPr="003318CA" w:rsidRDefault="00432DE0" w:rsidP="00BF48A1">
            <w:pPr>
              <w:pStyle w:val="Heading2"/>
              <w:numPr>
                <w:ilvl w:val="0"/>
                <w:numId w:val="0"/>
              </w:numPr>
              <w:outlineLvl w:val="1"/>
              <w:rPr>
                <w:b/>
              </w:rPr>
            </w:pPr>
            <w:r w:rsidRPr="003318CA">
              <w:rPr>
                <w:b/>
              </w:rPr>
              <w:t>Total</w:t>
            </w:r>
          </w:p>
        </w:tc>
        <w:tc>
          <w:tcPr>
            <w:tcW w:w="1701" w:type="dxa"/>
            <w:vAlign w:val="center"/>
          </w:tcPr>
          <w:p w14:paraId="20C7395D" w14:textId="77777777" w:rsidR="00432DE0" w:rsidRPr="006A7C2E" w:rsidRDefault="00432DE0" w:rsidP="00432DE0">
            <w:pPr>
              <w:pStyle w:val="Heading2"/>
              <w:numPr>
                <w:ilvl w:val="0"/>
                <w:numId w:val="0"/>
              </w:numPr>
              <w:jc w:val="center"/>
              <w:outlineLvl w:val="1"/>
              <w:rPr>
                <w:b/>
              </w:rPr>
            </w:pPr>
            <w:r w:rsidRPr="006A7C2E">
              <w:rPr>
                <w:b/>
              </w:rPr>
              <w:t>100%</w:t>
            </w:r>
          </w:p>
        </w:tc>
        <w:tc>
          <w:tcPr>
            <w:tcW w:w="1701" w:type="dxa"/>
            <w:vAlign w:val="center"/>
          </w:tcPr>
          <w:p w14:paraId="7709C8A8" w14:textId="45F21BFC" w:rsidR="00432DE0" w:rsidRPr="006A7C2E" w:rsidRDefault="006A7C2E" w:rsidP="00432DE0">
            <w:pPr>
              <w:pStyle w:val="Heading2"/>
              <w:numPr>
                <w:ilvl w:val="0"/>
                <w:numId w:val="0"/>
              </w:numPr>
              <w:jc w:val="center"/>
              <w:outlineLvl w:val="1"/>
              <w:rPr>
                <w:b/>
              </w:rPr>
            </w:pPr>
            <w:r w:rsidRPr="006A7C2E">
              <w:rPr>
                <w:b/>
              </w:rPr>
              <w:t>500</w:t>
            </w:r>
          </w:p>
        </w:tc>
      </w:tr>
    </w:tbl>
    <w:p w14:paraId="20C7395F" w14:textId="77777777" w:rsidR="00362AE0" w:rsidRDefault="00362AE0" w:rsidP="0025200C">
      <w:pPr>
        <w:pStyle w:val="Heading2"/>
        <w:numPr>
          <w:ilvl w:val="0"/>
          <w:numId w:val="0"/>
        </w:numPr>
        <w:ind w:firstLine="850"/>
        <w:rPr>
          <w:b/>
        </w:rPr>
      </w:pPr>
    </w:p>
    <w:p w14:paraId="20C73960" w14:textId="77777777" w:rsidR="007C2F2F" w:rsidRPr="007C2F2F" w:rsidRDefault="007C2F2F" w:rsidP="00276E1B">
      <w:pPr>
        <w:pStyle w:val="Heading1"/>
        <w:spacing w:before="240" w:after="0"/>
        <w:ind w:left="851"/>
      </w:pPr>
      <w:bookmarkStart w:id="145" w:name="_Toc403555175"/>
      <w:r w:rsidRPr="007C2F2F">
        <w:t>Criteria – Scored Questions</w:t>
      </w:r>
      <w:r>
        <w:t>:  pricing evaluation</w:t>
      </w:r>
      <w:bookmarkEnd w:id="145"/>
    </w:p>
    <w:p w14:paraId="20C73965" w14:textId="27112921" w:rsidR="007C364A" w:rsidRDefault="00D27579" w:rsidP="007C364A">
      <w:pPr>
        <w:pStyle w:val="Heading2"/>
        <w:numPr>
          <w:ilvl w:val="0"/>
          <w:numId w:val="0"/>
        </w:numPr>
        <w:ind w:left="851" w:firstLine="849"/>
      </w:pPr>
      <w:r>
        <w:t xml:space="preserve"> </w:t>
      </w:r>
    </w:p>
    <w:p w14:paraId="10957A60" w14:textId="05391232" w:rsidR="0064147B" w:rsidRDefault="0064147B" w:rsidP="00E203C9">
      <w:pPr>
        <w:pStyle w:val="MRNumberedHeading2"/>
        <w:tabs>
          <w:tab w:val="clear" w:pos="720"/>
          <w:tab w:val="num" w:pos="851"/>
        </w:tabs>
        <w:ind w:left="851" w:hanging="851"/>
      </w:pPr>
      <w:bookmarkStart w:id="146" w:name="_Toc403555178"/>
      <w:r>
        <w:t>Tender prices will be scored on a comparative basis, with the lowest compliant Tender (excluding any Tender that the Authority rejects as being abnormally low or non-compliant) receiving 100% of the available marks (</w:t>
      </w:r>
      <w:r w:rsidR="006A7C2E">
        <w:t xml:space="preserve">40% </w:t>
      </w:r>
      <w:r>
        <w:t>following weighting). All other Tenders will be scored against the lowest Tender using the formula:</w:t>
      </w:r>
    </w:p>
    <w:p w14:paraId="51847B4F" w14:textId="77777777" w:rsidR="0064147B" w:rsidRDefault="0064147B" w:rsidP="0064147B">
      <w:pPr>
        <w:pStyle w:val="MRNumberedHeading2"/>
        <w:numPr>
          <w:ilvl w:val="0"/>
          <w:numId w:val="0"/>
        </w:numPr>
        <w:ind w:left="851"/>
      </w:pPr>
      <w:r>
        <w:t>(A / B) x 100</w:t>
      </w:r>
    </w:p>
    <w:p w14:paraId="627B55A5" w14:textId="77777777" w:rsidR="0064147B" w:rsidRDefault="0064147B" w:rsidP="0064147B">
      <w:pPr>
        <w:pStyle w:val="MRNumberedHeading2"/>
        <w:numPr>
          <w:ilvl w:val="0"/>
          <w:numId w:val="0"/>
        </w:numPr>
        <w:ind w:left="851"/>
      </w:pPr>
      <w:r>
        <w:t>A = price of lowest compliant Tender</w:t>
      </w:r>
    </w:p>
    <w:p w14:paraId="0B277A6E" w14:textId="309193E0" w:rsidR="0064147B" w:rsidRDefault="0064147B" w:rsidP="0064147B">
      <w:pPr>
        <w:pStyle w:val="MRNumberedHeading2"/>
        <w:numPr>
          <w:ilvl w:val="0"/>
          <w:numId w:val="0"/>
        </w:numPr>
        <w:ind w:left="851"/>
      </w:pPr>
      <w:r>
        <w:t>B = price of the Tender being scored</w:t>
      </w:r>
    </w:p>
    <w:p w14:paraId="20C73967" w14:textId="77777777" w:rsidR="007C2F2F" w:rsidRPr="0025200C" w:rsidRDefault="007C2F2F" w:rsidP="00E203C9">
      <w:pPr>
        <w:pStyle w:val="MRNumberedHeading2"/>
        <w:tabs>
          <w:tab w:val="clear" w:pos="720"/>
          <w:tab w:val="num" w:pos="851"/>
        </w:tabs>
        <w:ind w:left="851" w:hanging="851"/>
      </w:pPr>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46"/>
    </w:p>
    <w:p w14:paraId="20C73968" w14:textId="77777777" w:rsidR="00A77338" w:rsidRPr="007C2F2F" w:rsidRDefault="00A77338" w:rsidP="00276E1B">
      <w:pPr>
        <w:pStyle w:val="Heading1"/>
        <w:spacing w:before="240" w:after="0"/>
        <w:ind w:left="851"/>
      </w:pPr>
      <w:bookmarkStart w:id="147" w:name="_Toc403555179"/>
      <w:r w:rsidRPr="007C2F2F">
        <w:t>Criteria – Scored Questions</w:t>
      </w:r>
      <w:r>
        <w:t>:  technical and quality evaluation</w:t>
      </w:r>
      <w:bookmarkEnd w:id="147"/>
    </w:p>
    <w:p w14:paraId="20C73969" w14:textId="77777777" w:rsidR="006C1E7E" w:rsidRDefault="006C1E7E" w:rsidP="00E203C9">
      <w:pPr>
        <w:pStyle w:val="MRNumberedHeading2"/>
        <w:tabs>
          <w:tab w:val="clear" w:pos="720"/>
          <w:tab w:val="num" w:pos="851"/>
        </w:tabs>
        <w:ind w:left="851" w:hanging="851"/>
      </w:pPr>
      <w:bookmarkStart w:id="148" w:name="_Toc403555180"/>
      <w:bookmarkStart w:id="149" w:name="_Ref405453301"/>
      <w:r>
        <w:t xml:space="preserve">The </w:t>
      </w:r>
      <w:r w:rsidR="006A7F8F">
        <w:t>technical evaluation will be scored in accordance with the table below:</w:t>
      </w:r>
      <w:bookmarkEnd w:id="148"/>
      <w:bookmarkEnd w:id="149"/>
      <w:r w:rsidR="006A7F8F">
        <w:t xml:space="preserve"> </w:t>
      </w:r>
    </w:p>
    <w:p w14:paraId="20C7396A" w14:textId="77777777" w:rsidR="003E3276" w:rsidRDefault="003E3276" w:rsidP="006B54D6">
      <w:pPr>
        <w:pStyle w:val="MRNumberedHeading2"/>
        <w:numPr>
          <w:ilvl w:val="0"/>
          <w:numId w:val="0"/>
        </w:numPr>
        <w:ind w:left="72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387"/>
      </w:tblGrid>
      <w:tr w:rsidR="006A7F8F" w:rsidRPr="00A24900" w14:paraId="20C7396E" w14:textId="77777777" w:rsidTr="0005222A">
        <w:trPr>
          <w:cantSplit/>
          <w:trHeight w:val="538"/>
        </w:trPr>
        <w:tc>
          <w:tcPr>
            <w:tcW w:w="1701" w:type="dxa"/>
            <w:shd w:val="clear" w:color="auto" w:fill="BFBFBF" w:themeFill="background1" w:themeFillShade="BF"/>
            <w:vAlign w:val="center"/>
          </w:tcPr>
          <w:p w14:paraId="20C7396B" w14:textId="77777777" w:rsidR="006A7F8F" w:rsidRPr="0005222A" w:rsidRDefault="0005222A" w:rsidP="001D5911">
            <w:pPr>
              <w:pStyle w:val="Table"/>
              <w:keepNext/>
              <w:rPr>
                <w:b/>
              </w:rPr>
            </w:pPr>
            <w:r w:rsidRPr="0005222A">
              <w:rPr>
                <w:b/>
              </w:rPr>
              <w:t>Grade label</w:t>
            </w:r>
          </w:p>
        </w:tc>
        <w:tc>
          <w:tcPr>
            <w:tcW w:w="992" w:type="dxa"/>
            <w:shd w:val="clear" w:color="auto" w:fill="BFBFBF" w:themeFill="background1" w:themeFillShade="BF"/>
            <w:vAlign w:val="center"/>
          </w:tcPr>
          <w:p w14:paraId="20C7396C" w14:textId="77777777" w:rsidR="006A7F8F" w:rsidRPr="0005222A" w:rsidRDefault="0005222A" w:rsidP="001D5911">
            <w:pPr>
              <w:pStyle w:val="Table"/>
              <w:keepNext/>
              <w:jc w:val="center"/>
              <w:rPr>
                <w:b/>
              </w:rPr>
            </w:pPr>
            <w:r w:rsidRPr="0005222A">
              <w:rPr>
                <w:b/>
              </w:rPr>
              <w:t>Grade</w:t>
            </w:r>
          </w:p>
        </w:tc>
        <w:tc>
          <w:tcPr>
            <w:tcW w:w="5387" w:type="dxa"/>
            <w:shd w:val="clear" w:color="auto" w:fill="BFBFBF" w:themeFill="background1" w:themeFillShade="BF"/>
            <w:vAlign w:val="center"/>
          </w:tcPr>
          <w:p w14:paraId="20C7396D" w14:textId="77777777" w:rsidR="006A7F8F" w:rsidRPr="0005222A" w:rsidRDefault="0005222A" w:rsidP="001D5911">
            <w:pPr>
              <w:pStyle w:val="Table"/>
              <w:keepNext/>
              <w:rPr>
                <w:b/>
              </w:rPr>
            </w:pPr>
            <w:r w:rsidRPr="0005222A">
              <w:rPr>
                <w:b/>
              </w:rPr>
              <w:t>Definition of Grade</w:t>
            </w:r>
          </w:p>
        </w:tc>
      </w:tr>
      <w:tr w:rsidR="0005222A" w:rsidRPr="00A24900" w14:paraId="20C73972" w14:textId="77777777" w:rsidTr="0005222A">
        <w:trPr>
          <w:cantSplit/>
          <w:trHeight w:val="860"/>
        </w:trPr>
        <w:tc>
          <w:tcPr>
            <w:tcW w:w="1701" w:type="dxa"/>
            <w:shd w:val="clear" w:color="auto" w:fill="auto"/>
            <w:vAlign w:val="center"/>
          </w:tcPr>
          <w:p w14:paraId="20C7396F" w14:textId="77777777" w:rsidR="0005222A" w:rsidRPr="00A24900" w:rsidRDefault="0005222A" w:rsidP="008E2B30">
            <w:pPr>
              <w:pStyle w:val="Table"/>
              <w:keepNext/>
            </w:pPr>
            <w:r w:rsidRPr="00A24900">
              <w:t>Unacceptable</w:t>
            </w:r>
          </w:p>
        </w:tc>
        <w:tc>
          <w:tcPr>
            <w:tcW w:w="992" w:type="dxa"/>
            <w:shd w:val="clear" w:color="auto" w:fill="auto"/>
            <w:vAlign w:val="center"/>
          </w:tcPr>
          <w:p w14:paraId="20C73970" w14:textId="77777777" w:rsidR="0005222A" w:rsidRPr="00A24900" w:rsidRDefault="0005222A" w:rsidP="008E2B30">
            <w:pPr>
              <w:pStyle w:val="Table"/>
              <w:keepNext/>
              <w:jc w:val="center"/>
            </w:pPr>
            <w:r w:rsidRPr="00A24900">
              <w:t>0</w:t>
            </w:r>
          </w:p>
        </w:tc>
        <w:tc>
          <w:tcPr>
            <w:tcW w:w="5387" w:type="dxa"/>
            <w:shd w:val="clear" w:color="auto" w:fill="auto"/>
            <w:vAlign w:val="center"/>
          </w:tcPr>
          <w:p w14:paraId="20C73971" w14:textId="77777777" w:rsidR="0005222A" w:rsidRPr="00A24900" w:rsidRDefault="000226A1" w:rsidP="00287834">
            <w:pPr>
              <w:pStyle w:val="Table"/>
              <w:keepNext/>
              <w:jc w:val="both"/>
            </w:pPr>
            <w:r>
              <w:t>The proposal c</w:t>
            </w:r>
            <w:r w:rsidR="00287834">
              <w:t xml:space="preserve">ompletely fails to meet </w:t>
            </w:r>
            <w:r w:rsidR="00A242B7">
              <w:t xml:space="preserve">the </w:t>
            </w:r>
            <w:r w:rsidR="00287834">
              <w:t>required standard or does not provide an answer</w:t>
            </w:r>
          </w:p>
        </w:tc>
      </w:tr>
      <w:tr w:rsidR="0005222A" w:rsidRPr="00A24900" w14:paraId="20C73976" w14:textId="77777777" w:rsidTr="0005222A">
        <w:trPr>
          <w:cantSplit/>
          <w:trHeight w:val="861"/>
        </w:trPr>
        <w:tc>
          <w:tcPr>
            <w:tcW w:w="1701" w:type="dxa"/>
            <w:shd w:val="clear" w:color="auto" w:fill="auto"/>
            <w:vAlign w:val="center"/>
          </w:tcPr>
          <w:p w14:paraId="20C73973" w14:textId="77777777" w:rsidR="0005222A" w:rsidRPr="00A24900" w:rsidRDefault="0005222A" w:rsidP="001D5911">
            <w:pPr>
              <w:pStyle w:val="Table"/>
              <w:keepNext/>
            </w:pPr>
            <w:r w:rsidRPr="00A24900">
              <w:t>Weak</w:t>
            </w:r>
          </w:p>
        </w:tc>
        <w:tc>
          <w:tcPr>
            <w:tcW w:w="992" w:type="dxa"/>
            <w:shd w:val="clear" w:color="auto" w:fill="auto"/>
            <w:vAlign w:val="center"/>
          </w:tcPr>
          <w:p w14:paraId="20C73974" w14:textId="77777777" w:rsidR="0005222A" w:rsidRPr="00A24900" w:rsidRDefault="0005222A" w:rsidP="001D5911">
            <w:pPr>
              <w:pStyle w:val="Table"/>
              <w:keepNext/>
              <w:jc w:val="center"/>
            </w:pPr>
            <w:r w:rsidRPr="00A24900">
              <w:t>1</w:t>
            </w:r>
          </w:p>
        </w:tc>
        <w:tc>
          <w:tcPr>
            <w:tcW w:w="5387" w:type="dxa"/>
            <w:shd w:val="clear" w:color="auto" w:fill="auto"/>
            <w:vAlign w:val="center"/>
          </w:tcPr>
          <w:p w14:paraId="20C73975" w14:textId="77777777" w:rsidR="0005222A" w:rsidRPr="00A24900" w:rsidRDefault="000226A1" w:rsidP="00A242B7">
            <w:pPr>
              <w:pStyle w:val="Table"/>
              <w:keepNext/>
              <w:jc w:val="both"/>
            </w:pPr>
            <w:r>
              <w:t>The proposal s</w:t>
            </w:r>
            <w:r w:rsidR="00287834">
              <w:t>ignificantly fails to meet the standards required, contains significant shortcomings or is inconsistent with other aspects of the Tender</w:t>
            </w:r>
          </w:p>
        </w:tc>
      </w:tr>
      <w:tr w:rsidR="0005222A" w:rsidRPr="00A24900" w14:paraId="20C7397A" w14:textId="77777777" w:rsidTr="0005222A">
        <w:trPr>
          <w:cantSplit/>
          <w:trHeight w:val="860"/>
        </w:trPr>
        <w:tc>
          <w:tcPr>
            <w:tcW w:w="1701" w:type="dxa"/>
            <w:shd w:val="clear" w:color="auto" w:fill="auto"/>
            <w:vAlign w:val="center"/>
          </w:tcPr>
          <w:p w14:paraId="20C73977" w14:textId="77777777" w:rsidR="0005222A" w:rsidRPr="00A24900" w:rsidRDefault="0005222A" w:rsidP="001D5911">
            <w:pPr>
              <w:pStyle w:val="Table"/>
              <w:keepNext/>
            </w:pPr>
            <w:r w:rsidRPr="00A24900">
              <w:t>Satisfactory</w:t>
            </w:r>
          </w:p>
        </w:tc>
        <w:tc>
          <w:tcPr>
            <w:tcW w:w="992" w:type="dxa"/>
            <w:shd w:val="clear" w:color="auto" w:fill="auto"/>
            <w:vAlign w:val="center"/>
          </w:tcPr>
          <w:p w14:paraId="20C73978" w14:textId="77777777" w:rsidR="0005222A" w:rsidRPr="00A24900" w:rsidRDefault="0005222A" w:rsidP="001D5911">
            <w:pPr>
              <w:pStyle w:val="Table"/>
              <w:keepNext/>
              <w:jc w:val="center"/>
            </w:pPr>
            <w:r w:rsidRPr="00A24900">
              <w:t>2</w:t>
            </w:r>
          </w:p>
        </w:tc>
        <w:tc>
          <w:tcPr>
            <w:tcW w:w="5387" w:type="dxa"/>
            <w:shd w:val="clear" w:color="auto" w:fill="auto"/>
            <w:vAlign w:val="center"/>
          </w:tcPr>
          <w:p w14:paraId="20C73979" w14:textId="77777777" w:rsidR="0005222A" w:rsidRPr="00A24900" w:rsidRDefault="000226A1" w:rsidP="0005222A">
            <w:pPr>
              <w:pStyle w:val="Table"/>
              <w:keepNext/>
              <w:jc w:val="both"/>
            </w:pPr>
            <w:r>
              <w:t>The proposal m</w:t>
            </w:r>
            <w:r w:rsidR="00287834">
              <w:t xml:space="preserve">eets the required standard in most material respects, but is lacking or inconsistent in others </w:t>
            </w:r>
          </w:p>
        </w:tc>
      </w:tr>
      <w:tr w:rsidR="0005222A" w:rsidRPr="00A24900" w14:paraId="20C7397E" w14:textId="77777777" w:rsidTr="0005222A">
        <w:trPr>
          <w:cantSplit/>
          <w:trHeight w:val="861"/>
        </w:trPr>
        <w:tc>
          <w:tcPr>
            <w:tcW w:w="1701" w:type="dxa"/>
            <w:shd w:val="clear" w:color="auto" w:fill="auto"/>
            <w:vAlign w:val="center"/>
          </w:tcPr>
          <w:p w14:paraId="20C7397B" w14:textId="77777777" w:rsidR="0005222A" w:rsidRPr="00A24900" w:rsidRDefault="0005222A" w:rsidP="001D5911">
            <w:pPr>
              <w:pStyle w:val="Table"/>
              <w:keepNext/>
            </w:pPr>
            <w:r w:rsidRPr="00A24900">
              <w:t>Good</w:t>
            </w:r>
          </w:p>
        </w:tc>
        <w:tc>
          <w:tcPr>
            <w:tcW w:w="992" w:type="dxa"/>
            <w:shd w:val="clear" w:color="auto" w:fill="auto"/>
            <w:vAlign w:val="center"/>
          </w:tcPr>
          <w:p w14:paraId="20C7397C" w14:textId="77777777" w:rsidR="0005222A" w:rsidRPr="00A24900" w:rsidRDefault="0005222A" w:rsidP="001D5911">
            <w:pPr>
              <w:pStyle w:val="Table"/>
              <w:keepNext/>
              <w:jc w:val="center"/>
            </w:pPr>
            <w:r w:rsidRPr="00A24900">
              <w:t>3</w:t>
            </w:r>
          </w:p>
        </w:tc>
        <w:tc>
          <w:tcPr>
            <w:tcW w:w="5387" w:type="dxa"/>
            <w:shd w:val="clear" w:color="auto" w:fill="auto"/>
            <w:vAlign w:val="center"/>
          </w:tcPr>
          <w:p w14:paraId="20C7397D" w14:textId="77777777" w:rsidR="0005222A" w:rsidRPr="00A24900" w:rsidRDefault="000226A1" w:rsidP="0005222A">
            <w:pPr>
              <w:pStyle w:val="Table"/>
              <w:keepNext/>
              <w:jc w:val="both"/>
            </w:pPr>
            <w:r>
              <w:t>The proposal m</w:t>
            </w:r>
            <w:r w:rsidR="00287834">
              <w:t>eets the required standard in all material respects</w:t>
            </w:r>
          </w:p>
        </w:tc>
      </w:tr>
      <w:tr w:rsidR="0005222A" w:rsidRPr="00A24900" w14:paraId="20C73982" w14:textId="77777777" w:rsidTr="0005222A">
        <w:trPr>
          <w:cantSplit/>
          <w:trHeight w:val="861"/>
        </w:trPr>
        <w:tc>
          <w:tcPr>
            <w:tcW w:w="1701" w:type="dxa"/>
            <w:shd w:val="clear" w:color="auto" w:fill="auto"/>
            <w:vAlign w:val="center"/>
          </w:tcPr>
          <w:p w14:paraId="20C7397F" w14:textId="77777777" w:rsidR="0005222A" w:rsidRPr="00A24900" w:rsidRDefault="0005222A" w:rsidP="001D5911">
            <w:pPr>
              <w:pStyle w:val="Table"/>
              <w:keepNext/>
            </w:pPr>
            <w:r w:rsidRPr="00A24900">
              <w:t>Excellent</w:t>
            </w:r>
          </w:p>
        </w:tc>
        <w:tc>
          <w:tcPr>
            <w:tcW w:w="992" w:type="dxa"/>
            <w:shd w:val="clear" w:color="auto" w:fill="auto"/>
            <w:vAlign w:val="center"/>
          </w:tcPr>
          <w:p w14:paraId="20C73980" w14:textId="77777777" w:rsidR="0005222A" w:rsidRPr="00A24900" w:rsidRDefault="0005222A" w:rsidP="001D5911">
            <w:pPr>
              <w:pStyle w:val="Table"/>
              <w:keepNext/>
              <w:jc w:val="center"/>
            </w:pPr>
            <w:r w:rsidRPr="00A24900">
              <w:t>4</w:t>
            </w:r>
          </w:p>
        </w:tc>
        <w:tc>
          <w:tcPr>
            <w:tcW w:w="5387" w:type="dxa"/>
            <w:shd w:val="clear" w:color="auto" w:fill="auto"/>
            <w:vAlign w:val="center"/>
          </w:tcPr>
          <w:p w14:paraId="20C73981" w14:textId="5863AA62" w:rsidR="0005222A" w:rsidRPr="00A24900" w:rsidRDefault="00547486" w:rsidP="00287834">
            <w:pPr>
              <w:pStyle w:val="Table"/>
              <w:keepNext/>
              <w:jc w:val="both"/>
            </w:pPr>
            <w:r>
              <w:t>The proposal m</w:t>
            </w:r>
            <w:r w:rsidR="00287834">
              <w:t xml:space="preserve">eets the required standard in all material respects and exceeds some or all of the major requirements </w:t>
            </w:r>
          </w:p>
        </w:tc>
      </w:tr>
    </w:tbl>
    <w:p w14:paraId="2A7E6A55" w14:textId="77777777" w:rsidR="002D12B7" w:rsidRDefault="002D12B7" w:rsidP="000E189B">
      <w:pPr>
        <w:pStyle w:val="Heading2"/>
        <w:numPr>
          <w:ilvl w:val="0"/>
          <w:numId w:val="0"/>
        </w:numPr>
        <w:rPr>
          <w:i/>
          <w:color w:val="808080" w:themeColor="background1" w:themeShade="80"/>
        </w:rPr>
      </w:pPr>
    </w:p>
    <w:p w14:paraId="20C73983" w14:textId="4B7F7D31" w:rsidR="006A7F8F" w:rsidRPr="002D12B7" w:rsidRDefault="002D12B7" w:rsidP="000E189B">
      <w:pPr>
        <w:pStyle w:val="Heading2"/>
        <w:numPr>
          <w:ilvl w:val="0"/>
          <w:numId w:val="0"/>
        </w:numPr>
        <w:rPr>
          <w:b/>
          <w:i/>
          <w:color w:val="auto"/>
        </w:rPr>
      </w:pPr>
      <w:r>
        <w:rPr>
          <w:i/>
          <w:color w:val="808080" w:themeColor="background1" w:themeShade="80"/>
        </w:rPr>
        <w:tab/>
      </w:r>
      <w:r w:rsidRPr="002D12B7">
        <w:rPr>
          <w:b/>
          <w:color w:val="auto"/>
        </w:rPr>
        <w:t>Evaluation of variant bids</w:t>
      </w:r>
    </w:p>
    <w:p w14:paraId="400820AD" w14:textId="070E8FBF" w:rsidR="002D12B7" w:rsidRDefault="002D12B7" w:rsidP="00E203C9">
      <w:pPr>
        <w:pStyle w:val="MRNumberedHeading2"/>
        <w:tabs>
          <w:tab w:val="clear" w:pos="720"/>
          <w:tab w:val="num" w:pos="851"/>
        </w:tabs>
        <w:ind w:left="851" w:hanging="851"/>
      </w:pPr>
      <w:bookmarkStart w:id="150" w:name="_Toc403555182"/>
      <w:bookmarkStart w:id="151" w:name="_Ref405453307"/>
      <w:r>
        <w:t>If a Bidder submits a variant bid, this will be treated as a second Tender. The Authority will score it using the methodology described above.</w:t>
      </w:r>
    </w:p>
    <w:p w14:paraId="162D2329" w14:textId="5CAA8840" w:rsidR="002D12B7" w:rsidRDefault="002D12B7" w:rsidP="00E203C9">
      <w:pPr>
        <w:pStyle w:val="MRNumberedHeading2"/>
        <w:tabs>
          <w:tab w:val="clear" w:pos="720"/>
          <w:tab w:val="num" w:pos="851"/>
        </w:tabs>
        <w:ind w:left="851" w:hanging="851"/>
      </w:pPr>
      <w:bookmarkStart w:id="152" w:name="_Ref403484421"/>
      <w:bookmarkStart w:id="153" w:name="_Toc403555183"/>
      <w:bookmarkEnd w:id="150"/>
      <w:bookmarkEnd w:id="151"/>
      <w:r>
        <w:t>The successful Tender will be selected on the basis of the highest mark, regardless of whether it is a variant bid or a fully compliant bid.</w:t>
      </w:r>
    </w:p>
    <w:p w14:paraId="6A57F5D9" w14:textId="77777777" w:rsidR="002D12B7" w:rsidRDefault="002D12B7">
      <w:pPr>
        <w:spacing w:after="240"/>
        <w:jc w:val="left"/>
        <w:rPr>
          <w:b/>
        </w:rPr>
      </w:pPr>
      <w:bookmarkStart w:id="154" w:name="_Toc403556511"/>
      <w:bookmarkStart w:id="155" w:name="_Toc406674974"/>
      <w:bookmarkStart w:id="156" w:name="_Toc412621216"/>
      <w:bookmarkEnd w:id="152"/>
      <w:bookmarkEnd w:id="153"/>
      <w:r>
        <w:rPr>
          <w:b/>
        </w:rPr>
        <w:br w:type="page"/>
      </w:r>
    </w:p>
    <w:p w14:paraId="20C73993" w14:textId="1539ED79" w:rsidR="005E4E9D" w:rsidRPr="00C344CB" w:rsidRDefault="005E4E9D" w:rsidP="009A6967">
      <w:pPr>
        <w:spacing w:after="240"/>
        <w:jc w:val="center"/>
        <w:rPr>
          <w:b/>
        </w:rPr>
      </w:pPr>
      <w:r w:rsidRPr="005B59B7">
        <w:rPr>
          <w:b/>
        </w:rPr>
        <w:lastRenderedPageBreak/>
        <w:t>ANNEX A1</w:t>
      </w:r>
      <w:r w:rsidR="00E84532" w:rsidRPr="005B59B7">
        <w:rPr>
          <w:b/>
        </w:rPr>
        <w:br/>
      </w:r>
      <w:r w:rsidRPr="00C344CB">
        <w:rPr>
          <w:b/>
        </w:rPr>
        <w:t>NHS TERMS AND CONDITIONS</w:t>
      </w:r>
      <w:bookmarkEnd w:id="154"/>
      <w:bookmarkEnd w:id="155"/>
      <w:bookmarkEnd w:id="156"/>
    </w:p>
    <w:p w14:paraId="20C73994" w14:textId="1E0C1EDF" w:rsidR="005E4E9D" w:rsidRDefault="005E4E9D" w:rsidP="005E4E9D">
      <w:pPr>
        <w:pStyle w:val="Body1"/>
        <w:ind w:left="0"/>
      </w:pPr>
      <w:r w:rsidRPr="008D5AE1">
        <w:t>The Authority intends to enter into a contract with th</w:t>
      </w:r>
      <w:r w:rsidR="00CC4072" w:rsidRPr="008D5AE1">
        <w:t>e successful Bidder</w:t>
      </w:r>
      <w:r w:rsidR="00CC4072">
        <w:t xml:space="preserve"> on the </w:t>
      </w:r>
      <w:r w:rsidR="00D17D49">
        <w:t>‘</w:t>
      </w:r>
      <w:hyperlink r:id="rId21" w:history="1">
        <w:r w:rsidR="00D17D49" w:rsidRPr="00D17D49">
          <w:rPr>
            <w:rStyle w:val="Hyperlink"/>
          </w:rPr>
          <w:t>Template sub-contract for the provision of clinical services (for use with NHS Standard Contract (full length) 2017/18 and 2018/19</w:t>
        </w:r>
      </w:hyperlink>
      <w:r w:rsidR="00D17D49">
        <w:t>’</w:t>
      </w:r>
    </w:p>
    <w:p w14:paraId="015FE11F" w14:textId="5454B937" w:rsidR="00830388" w:rsidRPr="00EE57C8" w:rsidRDefault="00830388" w:rsidP="005E4E9D">
      <w:pPr>
        <w:pStyle w:val="Body1"/>
        <w:ind w:left="0"/>
      </w:pPr>
      <w:proofErr w:type="gramStart"/>
      <w:r>
        <w:t>Attached as separate document.</w:t>
      </w:r>
      <w:proofErr w:type="gramEnd"/>
    </w:p>
    <w:p w14:paraId="20C739A4" w14:textId="68AF1F84" w:rsidR="00D17D49" w:rsidRDefault="009D7244" w:rsidP="0064147B">
      <w:pPr>
        <w:pStyle w:val="Body1"/>
        <w:ind w:left="0"/>
      </w:pPr>
      <w:r>
        <w:t xml:space="preserve"> </w:t>
      </w:r>
    </w:p>
    <w:p w14:paraId="2158F38E" w14:textId="77777777" w:rsidR="00D17D49" w:rsidRDefault="00D17D49">
      <w:pPr>
        <w:spacing w:after="240"/>
        <w:jc w:val="left"/>
        <w:rPr>
          <w:rFonts w:eastAsia="Times New Roman" w:cs="Times New Roman"/>
          <w:color w:val="000000" w:themeColor="text1"/>
          <w:lang w:eastAsia="en-GB"/>
        </w:rPr>
      </w:pPr>
      <w:r>
        <w:br w:type="page"/>
      </w:r>
    </w:p>
    <w:p w14:paraId="7DDC079E" w14:textId="188E6898" w:rsidR="00964CF4" w:rsidRDefault="00964CF4" w:rsidP="00964CF4">
      <w:pPr>
        <w:spacing w:after="240"/>
        <w:jc w:val="center"/>
        <w:rPr>
          <w:b/>
        </w:rPr>
      </w:pPr>
      <w:r w:rsidRPr="005B59B7">
        <w:rPr>
          <w:b/>
        </w:rPr>
        <w:lastRenderedPageBreak/>
        <w:t>ANNEX A</w:t>
      </w:r>
      <w:r>
        <w:rPr>
          <w:b/>
        </w:rPr>
        <w:t>2</w:t>
      </w:r>
      <w:r w:rsidRPr="005B59B7">
        <w:rPr>
          <w:b/>
        </w:rPr>
        <w:br/>
      </w:r>
      <w:r w:rsidR="008D5AE1">
        <w:rPr>
          <w:b/>
        </w:rPr>
        <w:t xml:space="preserve">SERVICE </w:t>
      </w:r>
      <w:r>
        <w:rPr>
          <w:b/>
        </w:rPr>
        <w:t>SPECIFICATION</w:t>
      </w:r>
    </w:p>
    <w:p w14:paraId="37C874F5" w14:textId="77777777" w:rsidR="00830388" w:rsidRDefault="00830388" w:rsidP="00830388">
      <w:pPr>
        <w:spacing w:after="240"/>
      </w:pPr>
    </w:p>
    <w:p w14:paraId="5E3CFBBE" w14:textId="7741F106" w:rsidR="00830388" w:rsidRPr="00830388" w:rsidRDefault="00830388" w:rsidP="00830388">
      <w:pPr>
        <w:spacing w:after="240"/>
      </w:pPr>
      <w:proofErr w:type="gramStart"/>
      <w:r w:rsidRPr="00830388">
        <w:t>Attached as separate document.</w:t>
      </w:r>
      <w:proofErr w:type="gramEnd"/>
    </w:p>
    <w:p w14:paraId="3EA20539" w14:textId="77777777" w:rsidR="00CF6718" w:rsidRDefault="00CF6718" w:rsidP="00964CF4">
      <w:pPr>
        <w:pStyle w:val="Body1"/>
        <w:ind w:left="0"/>
        <w:jc w:val="center"/>
        <w:rPr>
          <w:b/>
        </w:rPr>
      </w:pPr>
    </w:p>
    <w:sectPr w:rsidR="00CF6718" w:rsidSect="00B02442">
      <w:headerReference w:type="even" r:id="rId22"/>
      <w:headerReference w:type="default" r:id="rId23"/>
      <w:footerReference w:type="default" r:id="rId24"/>
      <w:headerReference w:type="first" r:id="rId25"/>
      <w:footerReference w:type="first" r:id="rId26"/>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739EF" w14:textId="77777777" w:rsidR="0016453A" w:rsidRDefault="0016453A" w:rsidP="00C82318">
      <w:r>
        <w:separator/>
      </w:r>
    </w:p>
  </w:endnote>
  <w:endnote w:type="continuationSeparator" w:id="0">
    <w:p w14:paraId="20C739F0" w14:textId="77777777" w:rsidR="0016453A" w:rsidRDefault="0016453A"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AF5E7" w14:textId="77777777" w:rsidR="0016453A" w:rsidRDefault="00164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39F9" w14:textId="77777777" w:rsidR="0016453A" w:rsidRDefault="0016453A">
    <w:pPr>
      <w:pStyle w:val="Footer"/>
      <w:jc w:val="center"/>
    </w:pPr>
  </w:p>
  <w:p w14:paraId="20C739FA" w14:textId="77777777" w:rsidR="0016453A" w:rsidRDefault="0016453A" w:rsidP="00C06438">
    <w:pPr>
      <w:pStyle w:val="Footer"/>
      <w:tabs>
        <w:tab w:val="clear" w:pos="4678"/>
        <w:tab w:val="clear" w:pos="9356"/>
        <w:tab w:val="center" w:pos="4536"/>
        <w:tab w:val="right"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531154"/>
      <w:docPartObj>
        <w:docPartGallery w:val="Page Numbers (Bottom of Page)"/>
        <w:docPartUnique/>
      </w:docPartObj>
    </w:sdtPr>
    <w:sdtEndPr>
      <w:rPr>
        <w:noProof/>
      </w:rPr>
    </w:sdtEndPr>
    <w:sdtContent>
      <w:p w14:paraId="57162602" w14:textId="7777EAEA" w:rsidR="0016453A" w:rsidRDefault="0016453A">
        <w:pPr>
          <w:pStyle w:val="Footer"/>
          <w:jc w:val="center"/>
        </w:pPr>
        <w:r>
          <w:fldChar w:fldCharType="begin"/>
        </w:r>
        <w:r>
          <w:instrText xml:space="preserve"> PAGE   \* MERGEFORMAT </w:instrText>
        </w:r>
        <w:r>
          <w:fldChar w:fldCharType="separate"/>
        </w:r>
        <w:r w:rsidR="00BD59FC">
          <w:rPr>
            <w:noProof/>
          </w:rPr>
          <w:t>1</w:t>
        </w:r>
        <w:r>
          <w:rPr>
            <w:noProof/>
          </w:rPr>
          <w:fldChar w:fldCharType="end"/>
        </w:r>
      </w:p>
    </w:sdtContent>
  </w:sdt>
  <w:p w14:paraId="20C739FD" w14:textId="77777777" w:rsidR="0016453A" w:rsidRDefault="001645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14:paraId="20C739FE" w14:textId="55C5B4D0" w:rsidR="0016453A" w:rsidRPr="00100953" w:rsidRDefault="0016453A" w:rsidP="00D3489C">
        <w:pPr>
          <w:pStyle w:val="Footer"/>
          <w:rPr>
            <w:color w:val="808080" w:themeColor="background1" w:themeShade="80"/>
          </w:rPr>
        </w:pPr>
      </w:p>
      <w:p w14:paraId="20C739FF" w14:textId="77777777" w:rsidR="0016453A" w:rsidRDefault="0016453A">
        <w:pPr>
          <w:pStyle w:val="Footer"/>
          <w:jc w:val="center"/>
        </w:pPr>
        <w:r>
          <w:fldChar w:fldCharType="begin"/>
        </w:r>
        <w:r>
          <w:instrText xml:space="preserve"> PAGE   \* MERGEFORMAT </w:instrText>
        </w:r>
        <w:r>
          <w:fldChar w:fldCharType="separate"/>
        </w:r>
        <w:r w:rsidR="00A83AF2">
          <w:rPr>
            <w:noProof/>
          </w:rPr>
          <w:t>4</w:t>
        </w:r>
        <w:r>
          <w:rPr>
            <w:noProof/>
          </w:rPr>
          <w:fldChar w:fldCharType="end"/>
        </w:r>
      </w:p>
    </w:sdtContent>
  </w:sdt>
  <w:p w14:paraId="20C73A00" w14:textId="77777777" w:rsidR="0016453A" w:rsidRDefault="0016453A" w:rsidP="00C06438">
    <w:pPr>
      <w:pStyle w:val="Footer"/>
      <w:tabs>
        <w:tab w:val="clear" w:pos="4678"/>
        <w:tab w:val="clear" w:pos="9356"/>
        <w:tab w:val="center" w:pos="4536"/>
        <w:tab w:val="right" w:pos="907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14:paraId="20C73A01" w14:textId="6CFA4F63" w:rsidR="0016453A" w:rsidRPr="00100953" w:rsidRDefault="0016453A" w:rsidP="00D3489C">
        <w:pPr>
          <w:pStyle w:val="Footer"/>
          <w:rPr>
            <w:color w:val="808080" w:themeColor="background1" w:themeShade="80"/>
          </w:rPr>
        </w:pPr>
      </w:p>
      <w:p w14:paraId="20C73A02" w14:textId="77777777" w:rsidR="0016453A" w:rsidRDefault="0016453A">
        <w:pPr>
          <w:pStyle w:val="Footer"/>
          <w:jc w:val="center"/>
        </w:pPr>
        <w:r>
          <w:fldChar w:fldCharType="begin"/>
        </w:r>
        <w:r>
          <w:instrText xml:space="preserve"> PAGE   \* MERGEFORMAT </w:instrText>
        </w:r>
        <w:r>
          <w:fldChar w:fldCharType="separate"/>
        </w:r>
        <w:r w:rsidR="00BD59FC">
          <w:rPr>
            <w:noProof/>
          </w:rPr>
          <w:t>1</w:t>
        </w:r>
        <w:r>
          <w:rPr>
            <w:noProof/>
          </w:rPr>
          <w:fldChar w:fldCharType="end"/>
        </w:r>
      </w:p>
    </w:sdtContent>
  </w:sdt>
  <w:p w14:paraId="20C73A03" w14:textId="77777777" w:rsidR="0016453A" w:rsidRDefault="00164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39ED" w14:textId="77777777" w:rsidR="0016453A" w:rsidRDefault="0016453A" w:rsidP="00C82318">
      <w:r>
        <w:separator/>
      </w:r>
    </w:p>
  </w:footnote>
  <w:footnote w:type="continuationSeparator" w:id="0">
    <w:p w14:paraId="20C739EE" w14:textId="77777777" w:rsidR="0016453A" w:rsidRDefault="0016453A" w:rsidP="00C82318">
      <w:r>
        <w:continuationSeparator/>
      </w:r>
    </w:p>
  </w:footnote>
  <w:footnote w:id="1">
    <w:p w14:paraId="24111D5F" w14:textId="77777777" w:rsidR="0016453A" w:rsidRDefault="0016453A" w:rsidP="00134D04">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14:paraId="43C66C86" w14:textId="3FA08E58" w:rsidR="0016453A" w:rsidRPr="001409AB" w:rsidRDefault="00A83AF2" w:rsidP="00134D04">
      <w:pPr>
        <w:pStyle w:val="FootnoteText"/>
        <w:rPr>
          <w:sz w:val="16"/>
          <w:szCs w:val="16"/>
        </w:rPr>
      </w:pPr>
      <w:hyperlink r:id="rId1" w:history="1">
        <w:r w:rsidR="0016453A" w:rsidRPr="001409AB">
          <w:rPr>
            <w:rStyle w:val="Hyperlink"/>
            <w:sz w:val="16"/>
            <w:szCs w:val="16"/>
            <w:lang w:val="en-US"/>
          </w:rPr>
          <w:t>https://www.gov.uk/government/uploads/system/uploads/attachment_data/file/551130/List_of_Mandatory_and_Discretionary_Exclusions.pdf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515C2" w14:textId="72020441" w:rsidR="0016453A" w:rsidRDefault="00A83AF2">
    <w:pPr>
      <w:pStyle w:val="Header"/>
    </w:pPr>
    <w:r>
      <w:rPr>
        <w:noProof/>
      </w:rPr>
      <w:pict w14:anchorId="1DE4E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283" o:spid="_x0000_s217093" type="#_x0000_t136" style="position:absolute;margin-left:0;margin-top:0;width:456.75pt;height:182.7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AF717" w14:textId="3B6B1D33" w:rsidR="0016453A" w:rsidRDefault="00A83AF2">
    <w:pPr>
      <w:pStyle w:val="Header"/>
    </w:pPr>
    <w:r>
      <w:rPr>
        <w:noProof/>
      </w:rPr>
      <w:pict w14:anchorId="05918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284" o:spid="_x0000_s217094" type="#_x0000_t136" style="position:absolute;margin-left:0;margin-top:0;width:456.75pt;height:182.7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9455F" w14:textId="242535EA" w:rsidR="0016453A" w:rsidRDefault="00A83AF2">
    <w:pPr>
      <w:pStyle w:val="Header"/>
    </w:pPr>
    <w:r>
      <w:rPr>
        <w:noProof/>
      </w:rPr>
      <w:pict w14:anchorId="47545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282" o:spid="_x0000_s217092" type="#_x0000_t136" style="position:absolute;margin-left:0;margin-top:0;width:456.75pt;height:182.7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BAB62" w14:textId="092208C0" w:rsidR="0016453A" w:rsidRDefault="00A83AF2">
    <w:pPr>
      <w:pStyle w:val="Header"/>
    </w:pPr>
    <w:r>
      <w:rPr>
        <w:noProof/>
      </w:rPr>
      <w:pict w14:anchorId="0CE6B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286" o:spid="_x0000_s217096" type="#_x0000_t136" style="position:absolute;margin-left:0;margin-top:0;width:456.75pt;height:182.7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AE308" w14:textId="017F8F8B" w:rsidR="0016453A" w:rsidRDefault="00A83AF2">
    <w:pPr>
      <w:pStyle w:val="Header"/>
    </w:pPr>
    <w:r>
      <w:rPr>
        <w:noProof/>
      </w:rPr>
      <w:pict w14:anchorId="4F802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287" o:spid="_x0000_s217097" type="#_x0000_t136" style="position:absolute;margin-left:0;margin-top:0;width:456.75pt;height:182.7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4C763" w14:textId="07DBF985" w:rsidR="0016453A" w:rsidRDefault="00A83AF2">
    <w:pPr>
      <w:pStyle w:val="Header"/>
    </w:pPr>
    <w:r>
      <w:rPr>
        <w:noProof/>
      </w:rPr>
      <w:pict w14:anchorId="5FCAF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285" o:spid="_x0000_s217095" type="#_x0000_t136" style="position:absolute;margin-left:0;margin-top:0;width:456.75pt;height:182.7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82022"/>
    <w:multiLevelType w:val="hybridMultilevel"/>
    <w:tmpl w:val="06E86888"/>
    <w:lvl w:ilvl="0" w:tplc="684A53C4">
      <w:start w:val="1"/>
      <w:numFmt w:val="decimal"/>
      <w:lvlText w:val="%1."/>
      <w:lvlJc w:val="left"/>
      <w:pPr>
        <w:ind w:left="360" w:hanging="360"/>
      </w:pPr>
      <w:rPr>
        <w:rFonts w:cs="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EF1168"/>
    <w:multiLevelType w:val="hybridMultilevel"/>
    <w:tmpl w:val="8E5E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A604E3"/>
    <w:multiLevelType w:val="multilevel"/>
    <w:tmpl w:val="391658C0"/>
    <w:name w:val="M&amp;R"/>
    <w:lvl w:ilvl="0">
      <w:start w:val="1"/>
      <w:numFmt w:val="decimal"/>
      <w:pStyle w:val="MRNumberedHeading1"/>
      <w:lvlText w:val="%1"/>
      <w:lvlJc w:val="left"/>
      <w:pPr>
        <w:tabs>
          <w:tab w:val="num" w:pos="798"/>
        </w:tabs>
        <w:ind w:left="798"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nsid w:val="20825D0F"/>
    <w:multiLevelType w:val="hybridMultilevel"/>
    <w:tmpl w:val="842AC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7">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D661989"/>
    <w:multiLevelType w:val="hybridMultilevel"/>
    <w:tmpl w:val="AF666262"/>
    <w:lvl w:ilvl="0" w:tplc="B2EE0964">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nsid w:val="5CC24589"/>
    <w:multiLevelType w:val="hybridMultilevel"/>
    <w:tmpl w:val="D6680A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1741AE"/>
    <w:multiLevelType w:val="hybridMultilevel"/>
    <w:tmpl w:val="B9243C86"/>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2">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D82AEF"/>
    <w:multiLevelType w:val="hybridMultilevel"/>
    <w:tmpl w:val="F49A7A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08E57A4"/>
    <w:multiLevelType w:val="multilevel"/>
    <w:tmpl w:val="EAEE3EB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7">
    <w:nsid w:val="7654481B"/>
    <w:multiLevelType w:val="hybridMultilevel"/>
    <w:tmpl w:val="F7F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nsid w:val="7F0369B6"/>
    <w:multiLevelType w:val="hybridMultilevel"/>
    <w:tmpl w:val="A6E0624A"/>
    <w:lvl w:ilvl="0" w:tplc="31001868">
      <w:start w:val="1"/>
      <w:numFmt w:val="decimal"/>
      <w:lvlText w:val="%1."/>
      <w:lvlJc w:val="left"/>
      <w:pPr>
        <w:ind w:left="360" w:hanging="360"/>
      </w:pPr>
      <w:rPr>
        <w:rFonts w:cs="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5"/>
  </w:num>
  <w:num w:numId="3">
    <w:abstractNumId w:val="18"/>
  </w:num>
  <w:num w:numId="4">
    <w:abstractNumId w:val="20"/>
  </w:num>
  <w:num w:numId="5">
    <w:abstractNumId w:val="20"/>
  </w:num>
  <w:num w:numId="6">
    <w:abstractNumId w:val="3"/>
  </w:num>
  <w:num w:numId="7">
    <w:abstractNumId w:val="11"/>
  </w:num>
  <w:num w:numId="8">
    <w:abstractNumId w:val="27"/>
  </w:num>
  <w:num w:numId="9">
    <w:abstractNumId w:val="0"/>
  </w:num>
  <w:num w:numId="10">
    <w:abstractNumId w:val="35"/>
  </w:num>
  <w:num w:numId="11">
    <w:abstractNumId w:val="23"/>
  </w:num>
  <w:num w:numId="12">
    <w:abstractNumId w:val="24"/>
  </w:num>
  <w:num w:numId="13">
    <w:abstractNumId w:val="29"/>
  </w:num>
  <w:num w:numId="14">
    <w:abstractNumId w:val="10"/>
  </w:num>
  <w:num w:numId="15">
    <w:abstractNumId w:val="12"/>
  </w:num>
  <w:num w:numId="16">
    <w:abstractNumId w:val="36"/>
  </w:num>
  <w:num w:numId="17">
    <w:abstractNumId w:val="16"/>
  </w:num>
  <w:num w:numId="18">
    <w:abstractNumId w:val="28"/>
  </w:num>
  <w:num w:numId="19">
    <w:abstractNumId w:val="2"/>
  </w:num>
  <w:num w:numId="20">
    <w:abstractNumId w:val="4"/>
  </w:num>
  <w:num w:numId="21">
    <w:abstractNumId w:val="17"/>
  </w:num>
  <w:num w:numId="22">
    <w:abstractNumId w:val="2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2"/>
  </w:num>
  <w:num w:numId="29">
    <w:abstractNumId w:val="8"/>
  </w:num>
  <w:num w:numId="30">
    <w:abstractNumId w:val="19"/>
  </w:num>
  <w:num w:numId="31">
    <w:abstractNumId w:val="13"/>
  </w:num>
  <w:num w:numId="32">
    <w:abstractNumId w:val="30"/>
  </w:num>
  <w:num w:numId="33">
    <w:abstractNumId w:val="3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4"/>
  </w:num>
  <w:num w:numId="37">
    <w:abstractNumId w:val="14"/>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5"/>
  </w:num>
  <w:num w:numId="40">
    <w:abstractNumId w:val="21"/>
  </w:num>
  <w:num w:numId="41">
    <w:abstractNumId w:val="39"/>
  </w:num>
  <w:num w:numId="42">
    <w:abstractNumId w:val="33"/>
  </w:num>
  <w:num w:numId="43">
    <w:abstractNumId w:val="25"/>
  </w:num>
  <w:num w:numId="44">
    <w:abstractNumId w:val="14"/>
  </w:num>
  <w:num w:numId="45">
    <w:abstractNumId w:val="20"/>
  </w:num>
  <w:num w:numId="46">
    <w:abstractNumId w:val="31"/>
  </w:num>
  <w:num w:numId="47">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0"/>
  <w:characterSpacingControl w:val="doNotCompress"/>
  <w:hdrShapeDefaults>
    <o:shapedefaults v:ext="edit" spidmax="217098"/>
    <o:shapelayout v:ext="edit">
      <o:idmap v:ext="edit" data="2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52A2"/>
    <w:rsid w:val="00007458"/>
    <w:rsid w:val="00010DCA"/>
    <w:rsid w:val="0001507C"/>
    <w:rsid w:val="00017AD9"/>
    <w:rsid w:val="000226A1"/>
    <w:rsid w:val="00030477"/>
    <w:rsid w:val="00030FC3"/>
    <w:rsid w:val="000320FF"/>
    <w:rsid w:val="000354F5"/>
    <w:rsid w:val="00036C7D"/>
    <w:rsid w:val="00040181"/>
    <w:rsid w:val="00041C11"/>
    <w:rsid w:val="0005222A"/>
    <w:rsid w:val="00053672"/>
    <w:rsid w:val="00060F58"/>
    <w:rsid w:val="000627AD"/>
    <w:rsid w:val="00065291"/>
    <w:rsid w:val="00070790"/>
    <w:rsid w:val="00076883"/>
    <w:rsid w:val="00076CFE"/>
    <w:rsid w:val="000800FA"/>
    <w:rsid w:val="00081B88"/>
    <w:rsid w:val="000831C0"/>
    <w:rsid w:val="00083AC5"/>
    <w:rsid w:val="000849EC"/>
    <w:rsid w:val="00087CBF"/>
    <w:rsid w:val="00094EC7"/>
    <w:rsid w:val="00097408"/>
    <w:rsid w:val="000974B1"/>
    <w:rsid w:val="000A0DF7"/>
    <w:rsid w:val="000A1883"/>
    <w:rsid w:val="000A4844"/>
    <w:rsid w:val="000B1075"/>
    <w:rsid w:val="000B31A2"/>
    <w:rsid w:val="000C031E"/>
    <w:rsid w:val="000C7354"/>
    <w:rsid w:val="000D1451"/>
    <w:rsid w:val="000D5CAA"/>
    <w:rsid w:val="000D7C50"/>
    <w:rsid w:val="000E0132"/>
    <w:rsid w:val="000E07E4"/>
    <w:rsid w:val="000E189B"/>
    <w:rsid w:val="000E363E"/>
    <w:rsid w:val="000E408B"/>
    <w:rsid w:val="000E5634"/>
    <w:rsid w:val="000E56A8"/>
    <w:rsid w:val="000E5C37"/>
    <w:rsid w:val="000E7C13"/>
    <w:rsid w:val="000F79D6"/>
    <w:rsid w:val="0010037F"/>
    <w:rsid w:val="00101BB9"/>
    <w:rsid w:val="001039C4"/>
    <w:rsid w:val="00105BDB"/>
    <w:rsid w:val="001065C5"/>
    <w:rsid w:val="00107124"/>
    <w:rsid w:val="00112B59"/>
    <w:rsid w:val="00113020"/>
    <w:rsid w:val="00116860"/>
    <w:rsid w:val="001215FE"/>
    <w:rsid w:val="0012295A"/>
    <w:rsid w:val="00127E19"/>
    <w:rsid w:val="00130B5F"/>
    <w:rsid w:val="00131271"/>
    <w:rsid w:val="001338B0"/>
    <w:rsid w:val="00134D04"/>
    <w:rsid w:val="00134E47"/>
    <w:rsid w:val="00136596"/>
    <w:rsid w:val="001375C3"/>
    <w:rsid w:val="0013762C"/>
    <w:rsid w:val="00145A4D"/>
    <w:rsid w:val="00151149"/>
    <w:rsid w:val="00152C7C"/>
    <w:rsid w:val="001601C8"/>
    <w:rsid w:val="00161FF0"/>
    <w:rsid w:val="00162244"/>
    <w:rsid w:val="0016453A"/>
    <w:rsid w:val="001664D9"/>
    <w:rsid w:val="0017043F"/>
    <w:rsid w:val="00173842"/>
    <w:rsid w:val="00173E4A"/>
    <w:rsid w:val="00173FAB"/>
    <w:rsid w:val="00181236"/>
    <w:rsid w:val="00184371"/>
    <w:rsid w:val="00193011"/>
    <w:rsid w:val="001930C3"/>
    <w:rsid w:val="00194490"/>
    <w:rsid w:val="001945BD"/>
    <w:rsid w:val="001A0407"/>
    <w:rsid w:val="001A0E3F"/>
    <w:rsid w:val="001A3B2A"/>
    <w:rsid w:val="001A504D"/>
    <w:rsid w:val="001A5DF8"/>
    <w:rsid w:val="001A786B"/>
    <w:rsid w:val="001B1C55"/>
    <w:rsid w:val="001B25EC"/>
    <w:rsid w:val="001B5F4F"/>
    <w:rsid w:val="001B7E88"/>
    <w:rsid w:val="001C30BB"/>
    <w:rsid w:val="001C4CA0"/>
    <w:rsid w:val="001C747B"/>
    <w:rsid w:val="001D1FC8"/>
    <w:rsid w:val="001D268B"/>
    <w:rsid w:val="001D28DA"/>
    <w:rsid w:val="001D5911"/>
    <w:rsid w:val="001D79DD"/>
    <w:rsid w:val="001E27EC"/>
    <w:rsid w:val="001E5F7F"/>
    <w:rsid w:val="001E7C74"/>
    <w:rsid w:val="001E7D3C"/>
    <w:rsid w:val="001F110F"/>
    <w:rsid w:val="001F3352"/>
    <w:rsid w:val="001F37D7"/>
    <w:rsid w:val="00200E60"/>
    <w:rsid w:val="00203270"/>
    <w:rsid w:val="00204EF0"/>
    <w:rsid w:val="0020513D"/>
    <w:rsid w:val="00210AD3"/>
    <w:rsid w:val="002110DD"/>
    <w:rsid w:val="00211D34"/>
    <w:rsid w:val="002151AE"/>
    <w:rsid w:val="00220C70"/>
    <w:rsid w:val="00223555"/>
    <w:rsid w:val="00223569"/>
    <w:rsid w:val="002236C5"/>
    <w:rsid w:val="00223A3D"/>
    <w:rsid w:val="00223F6E"/>
    <w:rsid w:val="0022652F"/>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57EB"/>
    <w:rsid w:val="00257686"/>
    <w:rsid w:val="00257EF9"/>
    <w:rsid w:val="0026116A"/>
    <w:rsid w:val="00262D1B"/>
    <w:rsid w:val="002651E8"/>
    <w:rsid w:val="00270180"/>
    <w:rsid w:val="002705A5"/>
    <w:rsid w:val="002734C0"/>
    <w:rsid w:val="002741B5"/>
    <w:rsid w:val="00274A34"/>
    <w:rsid w:val="0027505F"/>
    <w:rsid w:val="00276E1B"/>
    <w:rsid w:val="00277BB6"/>
    <w:rsid w:val="002820AF"/>
    <w:rsid w:val="0028393A"/>
    <w:rsid w:val="002869D0"/>
    <w:rsid w:val="00287298"/>
    <w:rsid w:val="00287614"/>
    <w:rsid w:val="00287834"/>
    <w:rsid w:val="00296E12"/>
    <w:rsid w:val="002A718A"/>
    <w:rsid w:val="002A73DD"/>
    <w:rsid w:val="002B3866"/>
    <w:rsid w:val="002B7BAF"/>
    <w:rsid w:val="002C0B25"/>
    <w:rsid w:val="002C1FFB"/>
    <w:rsid w:val="002C28D2"/>
    <w:rsid w:val="002C56F6"/>
    <w:rsid w:val="002C6631"/>
    <w:rsid w:val="002D12B7"/>
    <w:rsid w:val="002D2E91"/>
    <w:rsid w:val="002D35EC"/>
    <w:rsid w:val="002E072D"/>
    <w:rsid w:val="002E0D88"/>
    <w:rsid w:val="002E1DD8"/>
    <w:rsid w:val="002E22B8"/>
    <w:rsid w:val="002E2E62"/>
    <w:rsid w:val="002E370E"/>
    <w:rsid w:val="002F1591"/>
    <w:rsid w:val="002F18DD"/>
    <w:rsid w:val="002F23DC"/>
    <w:rsid w:val="002F4080"/>
    <w:rsid w:val="003003CB"/>
    <w:rsid w:val="00302870"/>
    <w:rsid w:val="003039A0"/>
    <w:rsid w:val="00305D5B"/>
    <w:rsid w:val="0030746C"/>
    <w:rsid w:val="00307758"/>
    <w:rsid w:val="00311BD5"/>
    <w:rsid w:val="003219DA"/>
    <w:rsid w:val="00322A20"/>
    <w:rsid w:val="003273D3"/>
    <w:rsid w:val="003318CA"/>
    <w:rsid w:val="00334102"/>
    <w:rsid w:val="00334F1A"/>
    <w:rsid w:val="003369CD"/>
    <w:rsid w:val="00337F61"/>
    <w:rsid w:val="0034181A"/>
    <w:rsid w:val="00343763"/>
    <w:rsid w:val="00345B84"/>
    <w:rsid w:val="00345E83"/>
    <w:rsid w:val="00347CA3"/>
    <w:rsid w:val="003549F4"/>
    <w:rsid w:val="0035766D"/>
    <w:rsid w:val="00362AE0"/>
    <w:rsid w:val="00366F30"/>
    <w:rsid w:val="003702BE"/>
    <w:rsid w:val="00376306"/>
    <w:rsid w:val="0038098B"/>
    <w:rsid w:val="00390E8B"/>
    <w:rsid w:val="003A031F"/>
    <w:rsid w:val="003A0A98"/>
    <w:rsid w:val="003A0D57"/>
    <w:rsid w:val="003A1D39"/>
    <w:rsid w:val="003A1E3E"/>
    <w:rsid w:val="003A2543"/>
    <w:rsid w:val="003A5CAB"/>
    <w:rsid w:val="003A7F41"/>
    <w:rsid w:val="003B0F3B"/>
    <w:rsid w:val="003B7C51"/>
    <w:rsid w:val="003B7E1D"/>
    <w:rsid w:val="003C35CA"/>
    <w:rsid w:val="003C3C19"/>
    <w:rsid w:val="003D6B24"/>
    <w:rsid w:val="003E082E"/>
    <w:rsid w:val="003E1425"/>
    <w:rsid w:val="003E3276"/>
    <w:rsid w:val="003E3454"/>
    <w:rsid w:val="003E3EE7"/>
    <w:rsid w:val="003E4AC6"/>
    <w:rsid w:val="003F5716"/>
    <w:rsid w:val="004010FB"/>
    <w:rsid w:val="00401301"/>
    <w:rsid w:val="00401FF0"/>
    <w:rsid w:val="004164C8"/>
    <w:rsid w:val="004230E7"/>
    <w:rsid w:val="00424A57"/>
    <w:rsid w:val="004251F8"/>
    <w:rsid w:val="00425400"/>
    <w:rsid w:val="004270D9"/>
    <w:rsid w:val="00430158"/>
    <w:rsid w:val="00432DE0"/>
    <w:rsid w:val="004411D8"/>
    <w:rsid w:val="00442895"/>
    <w:rsid w:val="00453A99"/>
    <w:rsid w:val="00456FE6"/>
    <w:rsid w:val="00457D9A"/>
    <w:rsid w:val="00461A05"/>
    <w:rsid w:val="00465EF9"/>
    <w:rsid w:val="004736F8"/>
    <w:rsid w:val="004834F5"/>
    <w:rsid w:val="00486F32"/>
    <w:rsid w:val="004900DB"/>
    <w:rsid w:val="00490EBA"/>
    <w:rsid w:val="00491808"/>
    <w:rsid w:val="00496B53"/>
    <w:rsid w:val="004B1A24"/>
    <w:rsid w:val="004B6544"/>
    <w:rsid w:val="004C3605"/>
    <w:rsid w:val="004C3B98"/>
    <w:rsid w:val="004C58D8"/>
    <w:rsid w:val="004D1477"/>
    <w:rsid w:val="004D33A7"/>
    <w:rsid w:val="004E1ABD"/>
    <w:rsid w:val="004E51D1"/>
    <w:rsid w:val="004E71FF"/>
    <w:rsid w:val="004E775C"/>
    <w:rsid w:val="004F02F9"/>
    <w:rsid w:val="004F391B"/>
    <w:rsid w:val="00503BB6"/>
    <w:rsid w:val="00504FA1"/>
    <w:rsid w:val="00505AD7"/>
    <w:rsid w:val="00520787"/>
    <w:rsid w:val="005207B7"/>
    <w:rsid w:val="00523CAB"/>
    <w:rsid w:val="005275E6"/>
    <w:rsid w:val="005308BB"/>
    <w:rsid w:val="00533CB2"/>
    <w:rsid w:val="0053546C"/>
    <w:rsid w:val="00541CDA"/>
    <w:rsid w:val="00547486"/>
    <w:rsid w:val="00550EFF"/>
    <w:rsid w:val="00556A0A"/>
    <w:rsid w:val="00557DBA"/>
    <w:rsid w:val="00561F1C"/>
    <w:rsid w:val="00562B64"/>
    <w:rsid w:val="00570C7F"/>
    <w:rsid w:val="005717F4"/>
    <w:rsid w:val="00581A29"/>
    <w:rsid w:val="00585FA5"/>
    <w:rsid w:val="00586837"/>
    <w:rsid w:val="005957B2"/>
    <w:rsid w:val="005A16A5"/>
    <w:rsid w:val="005A1CC2"/>
    <w:rsid w:val="005A2E47"/>
    <w:rsid w:val="005A2EA3"/>
    <w:rsid w:val="005A53CA"/>
    <w:rsid w:val="005A5EF5"/>
    <w:rsid w:val="005A7AD6"/>
    <w:rsid w:val="005B39A7"/>
    <w:rsid w:val="005B4FA2"/>
    <w:rsid w:val="005B59B7"/>
    <w:rsid w:val="005C16F0"/>
    <w:rsid w:val="005C423B"/>
    <w:rsid w:val="005C47BD"/>
    <w:rsid w:val="005C55FB"/>
    <w:rsid w:val="005C5973"/>
    <w:rsid w:val="005C64CE"/>
    <w:rsid w:val="005D52ED"/>
    <w:rsid w:val="005D7098"/>
    <w:rsid w:val="005D7549"/>
    <w:rsid w:val="005E10B8"/>
    <w:rsid w:val="005E16C4"/>
    <w:rsid w:val="005E195E"/>
    <w:rsid w:val="005E4E9D"/>
    <w:rsid w:val="005E7402"/>
    <w:rsid w:val="005F3F33"/>
    <w:rsid w:val="005F42C5"/>
    <w:rsid w:val="005F4C9F"/>
    <w:rsid w:val="00600BCE"/>
    <w:rsid w:val="00601937"/>
    <w:rsid w:val="006032F2"/>
    <w:rsid w:val="00603452"/>
    <w:rsid w:val="00603A0D"/>
    <w:rsid w:val="00605580"/>
    <w:rsid w:val="00610AC8"/>
    <w:rsid w:val="00611712"/>
    <w:rsid w:val="00612B4A"/>
    <w:rsid w:val="00623252"/>
    <w:rsid w:val="00630843"/>
    <w:rsid w:val="00631612"/>
    <w:rsid w:val="00636468"/>
    <w:rsid w:val="00637C62"/>
    <w:rsid w:val="0064147B"/>
    <w:rsid w:val="00643075"/>
    <w:rsid w:val="0064464B"/>
    <w:rsid w:val="00645517"/>
    <w:rsid w:val="00647144"/>
    <w:rsid w:val="00647ADF"/>
    <w:rsid w:val="006501D8"/>
    <w:rsid w:val="0065066E"/>
    <w:rsid w:val="00651438"/>
    <w:rsid w:val="00652792"/>
    <w:rsid w:val="006534CF"/>
    <w:rsid w:val="00653DCC"/>
    <w:rsid w:val="006550B3"/>
    <w:rsid w:val="006705FE"/>
    <w:rsid w:val="00675C18"/>
    <w:rsid w:val="00680879"/>
    <w:rsid w:val="00685432"/>
    <w:rsid w:val="006856A7"/>
    <w:rsid w:val="00690AAF"/>
    <w:rsid w:val="0069159F"/>
    <w:rsid w:val="00692B07"/>
    <w:rsid w:val="00693E67"/>
    <w:rsid w:val="00694024"/>
    <w:rsid w:val="00696981"/>
    <w:rsid w:val="006A3BFB"/>
    <w:rsid w:val="006A7C2E"/>
    <w:rsid w:val="006A7F8F"/>
    <w:rsid w:val="006B3EFA"/>
    <w:rsid w:val="006B54D6"/>
    <w:rsid w:val="006B60E4"/>
    <w:rsid w:val="006C158D"/>
    <w:rsid w:val="006C1E7E"/>
    <w:rsid w:val="006C2646"/>
    <w:rsid w:val="006C6F4A"/>
    <w:rsid w:val="006D186C"/>
    <w:rsid w:val="006D2CD0"/>
    <w:rsid w:val="006D312E"/>
    <w:rsid w:val="006E2D76"/>
    <w:rsid w:val="006E3892"/>
    <w:rsid w:val="006E500B"/>
    <w:rsid w:val="006E7E7E"/>
    <w:rsid w:val="006F4A5B"/>
    <w:rsid w:val="006F6ABF"/>
    <w:rsid w:val="006F782D"/>
    <w:rsid w:val="0070095E"/>
    <w:rsid w:val="0070356D"/>
    <w:rsid w:val="00703A4B"/>
    <w:rsid w:val="00706A06"/>
    <w:rsid w:val="0071468F"/>
    <w:rsid w:val="00721F4F"/>
    <w:rsid w:val="00727643"/>
    <w:rsid w:val="007301E9"/>
    <w:rsid w:val="00730C14"/>
    <w:rsid w:val="0073556F"/>
    <w:rsid w:val="00737549"/>
    <w:rsid w:val="00740710"/>
    <w:rsid w:val="00740C0F"/>
    <w:rsid w:val="00742A8D"/>
    <w:rsid w:val="00746CCF"/>
    <w:rsid w:val="00750F40"/>
    <w:rsid w:val="0075474E"/>
    <w:rsid w:val="0075483B"/>
    <w:rsid w:val="00761ADB"/>
    <w:rsid w:val="00767557"/>
    <w:rsid w:val="0077089B"/>
    <w:rsid w:val="007724D1"/>
    <w:rsid w:val="007779DB"/>
    <w:rsid w:val="007829E9"/>
    <w:rsid w:val="00785747"/>
    <w:rsid w:val="00785D65"/>
    <w:rsid w:val="00785DDF"/>
    <w:rsid w:val="00791CF0"/>
    <w:rsid w:val="007920B3"/>
    <w:rsid w:val="0079332F"/>
    <w:rsid w:val="00797FA3"/>
    <w:rsid w:val="007A3602"/>
    <w:rsid w:val="007B03E7"/>
    <w:rsid w:val="007B2282"/>
    <w:rsid w:val="007B6206"/>
    <w:rsid w:val="007B74E1"/>
    <w:rsid w:val="007C0526"/>
    <w:rsid w:val="007C198C"/>
    <w:rsid w:val="007C2491"/>
    <w:rsid w:val="007C2F2F"/>
    <w:rsid w:val="007C364A"/>
    <w:rsid w:val="007C3AE6"/>
    <w:rsid w:val="007D7562"/>
    <w:rsid w:val="007E1147"/>
    <w:rsid w:val="007E124C"/>
    <w:rsid w:val="007E269D"/>
    <w:rsid w:val="007E379F"/>
    <w:rsid w:val="007F5F02"/>
    <w:rsid w:val="00807CF7"/>
    <w:rsid w:val="00811FA0"/>
    <w:rsid w:val="00814588"/>
    <w:rsid w:val="00815813"/>
    <w:rsid w:val="00816028"/>
    <w:rsid w:val="00824926"/>
    <w:rsid w:val="00824E99"/>
    <w:rsid w:val="00825FC5"/>
    <w:rsid w:val="00830388"/>
    <w:rsid w:val="008306CC"/>
    <w:rsid w:val="00830FE1"/>
    <w:rsid w:val="00831204"/>
    <w:rsid w:val="00831521"/>
    <w:rsid w:val="008347D9"/>
    <w:rsid w:val="0083677A"/>
    <w:rsid w:val="008371D6"/>
    <w:rsid w:val="008413F3"/>
    <w:rsid w:val="00844254"/>
    <w:rsid w:val="00846B8F"/>
    <w:rsid w:val="008523D8"/>
    <w:rsid w:val="00852A24"/>
    <w:rsid w:val="00852C8E"/>
    <w:rsid w:val="008543D2"/>
    <w:rsid w:val="00861604"/>
    <w:rsid w:val="00863629"/>
    <w:rsid w:val="008644BC"/>
    <w:rsid w:val="0087001B"/>
    <w:rsid w:val="00871C8E"/>
    <w:rsid w:val="008731E8"/>
    <w:rsid w:val="00873854"/>
    <w:rsid w:val="00874EA8"/>
    <w:rsid w:val="00876C2C"/>
    <w:rsid w:val="008824CC"/>
    <w:rsid w:val="008852C8"/>
    <w:rsid w:val="0088639D"/>
    <w:rsid w:val="00891FFA"/>
    <w:rsid w:val="00893339"/>
    <w:rsid w:val="00896B94"/>
    <w:rsid w:val="00897556"/>
    <w:rsid w:val="0089780F"/>
    <w:rsid w:val="008A00B3"/>
    <w:rsid w:val="008A3CBB"/>
    <w:rsid w:val="008A56A2"/>
    <w:rsid w:val="008B0CA8"/>
    <w:rsid w:val="008B2936"/>
    <w:rsid w:val="008D2128"/>
    <w:rsid w:val="008D3217"/>
    <w:rsid w:val="008D5AE1"/>
    <w:rsid w:val="008E2B30"/>
    <w:rsid w:val="008E363A"/>
    <w:rsid w:val="008E6BB3"/>
    <w:rsid w:val="008E6EC7"/>
    <w:rsid w:val="008E7E5A"/>
    <w:rsid w:val="008E7F55"/>
    <w:rsid w:val="008F25B4"/>
    <w:rsid w:val="008F3D2C"/>
    <w:rsid w:val="008F6885"/>
    <w:rsid w:val="008F79E8"/>
    <w:rsid w:val="00901017"/>
    <w:rsid w:val="0090173A"/>
    <w:rsid w:val="00905CAE"/>
    <w:rsid w:val="00911444"/>
    <w:rsid w:val="00912243"/>
    <w:rsid w:val="00914926"/>
    <w:rsid w:val="00914D91"/>
    <w:rsid w:val="009158CB"/>
    <w:rsid w:val="009206F3"/>
    <w:rsid w:val="0092512E"/>
    <w:rsid w:val="0092538F"/>
    <w:rsid w:val="0092698E"/>
    <w:rsid w:val="0093337B"/>
    <w:rsid w:val="009349DC"/>
    <w:rsid w:val="00935045"/>
    <w:rsid w:val="009353CA"/>
    <w:rsid w:val="00944251"/>
    <w:rsid w:val="009443CF"/>
    <w:rsid w:val="009464EA"/>
    <w:rsid w:val="00947820"/>
    <w:rsid w:val="0095006A"/>
    <w:rsid w:val="00951656"/>
    <w:rsid w:val="00951B7E"/>
    <w:rsid w:val="00953953"/>
    <w:rsid w:val="00953B6C"/>
    <w:rsid w:val="00955490"/>
    <w:rsid w:val="00955E7B"/>
    <w:rsid w:val="009570B6"/>
    <w:rsid w:val="0095789C"/>
    <w:rsid w:val="00964CF4"/>
    <w:rsid w:val="0096561D"/>
    <w:rsid w:val="009675E1"/>
    <w:rsid w:val="009719DE"/>
    <w:rsid w:val="0097584E"/>
    <w:rsid w:val="00982C42"/>
    <w:rsid w:val="009852C1"/>
    <w:rsid w:val="00986ACE"/>
    <w:rsid w:val="00986C82"/>
    <w:rsid w:val="00990CF5"/>
    <w:rsid w:val="00993534"/>
    <w:rsid w:val="00994051"/>
    <w:rsid w:val="009A32E3"/>
    <w:rsid w:val="009A3E29"/>
    <w:rsid w:val="009A5AE5"/>
    <w:rsid w:val="009A6967"/>
    <w:rsid w:val="009A6B8A"/>
    <w:rsid w:val="009B12C4"/>
    <w:rsid w:val="009B2F74"/>
    <w:rsid w:val="009B4115"/>
    <w:rsid w:val="009C0417"/>
    <w:rsid w:val="009C41C3"/>
    <w:rsid w:val="009C4CA5"/>
    <w:rsid w:val="009C5E46"/>
    <w:rsid w:val="009C79CE"/>
    <w:rsid w:val="009D5F0B"/>
    <w:rsid w:val="009D7244"/>
    <w:rsid w:val="009E25A6"/>
    <w:rsid w:val="009E4D46"/>
    <w:rsid w:val="009E70CC"/>
    <w:rsid w:val="009F2165"/>
    <w:rsid w:val="009F7574"/>
    <w:rsid w:val="009F79AA"/>
    <w:rsid w:val="00A04307"/>
    <w:rsid w:val="00A109FC"/>
    <w:rsid w:val="00A14C3B"/>
    <w:rsid w:val="00A15ADC"/>
    <w:rsid w:val="00A21DFB"/>
    <w:rsid w:val="00A242B7"/>
    <w:rsid w:val="00A30764"/>
    <w:rsid w:val="00A3127A"/>
    <w:rsid w:val="00A34191"/>
    <w:rsid w:val="00A432D4"/>
    <w:rsid w:val="00A4489A"/>
    <w:rsid w:val="00A51144"/>
    <w:rsid w:val="00A52A19"/>
    <w:rsid w:val="00A53B21"/>
    <w:rsid w:val="00A57D02"/>
    <w:rsid w:val="00A60BD1"/>
    <w:rsid w:val="00A62099"/>
    <w:rsid w:val="00A6558E"/>
    <w:rsid w:val="00A66B5D"/>
    <w:rsid w:val="00A7044C"/>
    <w:rsid w:val="00A740CF"/>
    <w:rsid w:val="00A7423D"/>
    <w:rsid w:val="00A77338"/>
    <w:rsid w:val="00A80B50"/>
    <w:rsid w:val="00A80F52"/>
    <w:rsid w:val="00A83AF2"/>
    <w:rsid w:val="00A858C9"/>
    <w:rsid w:val="00A93755"/>
    <w:rsid w:val="00A93A32"/>
    <w:rsid w:val="00A9537F"/>
    <w:rsid w:val="00AA2C15"/>
    <w:rsid w:val="00AA3CCC"/>
    <w:rsid w:val="00AA402D"/>
    <w:rsid w:val="00AA56AE"/>
    <w:rsid w:val="00AB7050"/>
    <w:rsid w:val="00AC04A3"/>
    <w:rsid w:val="00AC10C4"/>
    <w:rsid w:val="00AC1844"/>
    <w:rsid w:val="00AD0C96"/>
    <w:rsid w:val="00AD14A4"/>
    <w:rsid w:val="00AD3446"/>
    <w:rsid w:val="00AD4DB1"/>
    <w:rsid w:val="00AE18C1"/>
    <w:rsid w:val="00AE4ABC"/>
    <w:rsid w:val="00AE7ABC"/>
    <w:rsid w:val="00AF3418"/>
    <w:rsid w:val="00AF3925"/>
    <w:rsid w:val="00AF5CF2"/>
    <w:rsid w:val="00AF6234"/>
    <w:rsid w:val="00B00C70"/>
    <w:rsid w:val="00B02442"/>
    <w:rsid w:val="00B12F1E"/>
    <w:rsid w:val="00B30006"/>
    <w:rsid w:val="00B3307D"/>
    <w:rsid w:val="00B33B1E"/>
    <w:rsid w:val="00B33EB1"/>
    <w:rsid w:val="00B35665"/>
    <w:rsid w:val="00B35FD1"/>
    <w:rsid w:val="00B42156"/>
    <w:rsid w:val="00B44457"/>
    <w:rsid w:val="00B44E25"/>
    <w:rsid w:val="00B45130"/>
    <w:rsid w:val="00B46DA5"/>
    <w:rsid w:val="00B471B3"/>
    <w:rsid w:val="00B50EAD"/>
    <w:rsid w:val="00B51C48"/>
    <w:rsid w:val="00B61061"/>
    <w:rsid w:val="00B667F9"/>
    <w:rsid w:val="00B76F47"/>
    <w:rsid w:val="00B80A50"/>
    <w:rsid w:val="00B853EE"/>
    <w:rsid w:val="00B863A2"/>
    <w:rsid w:val="00B97D75"/>
    <w:rsid w:val="00BA0984"/>
    <w:rsid w:val="00BA09A1"/>
    <w:rsid w:val="00BA0AB7"/>
    <w:rsid w:val="00BA173E"/>
    <w:rsid w:val="00BA1850"/>
    <w:rsid w:val="00BB03F9"/>
    <w:rsid w:val="00BB233A"/>
    <w:rsid w:val="00BC2A7C"/>
    <w:rsid w:val="00BC373F"/>
    <w:rsid w:val="00BC39C2"/>
    <w:rsid w:val="00BC4757"/>
    <w:rsid w:val="00BC5E86"/>
    <w:rsid w:val="00BD09FF"/>
    <w:rsid w:val="00BD1F42"/>
    <w:rsid w:val="00BD2C5B"/>
    <w:rsid w:val="00BD4D8C"/>
    <w:rsid w:val="00BD53EA"/>
    <w:rsid w:val="00BD59FC"/>
    <w:rsid w:val="00BD5DCC"/>
    <w:rsid w:val="00BD5DF5"/>
    <w:rsid w:val="00BE0FBA"/>
    <w:rsid w:val="00BE10FD"/>
    <w:rsid w:val="00BE38AA"/>
    <w:rsid w:val="00BE3F9E"/>
    <w:rsid w:val="00BE4069"/>
    <w:rsid w:val="00BE6503"/>
    <w:rsid w:val="00BF22E3"/>
    <w:rsid w:val="00BF396F"/>
    <w:rsid w:val="00BF48A1"/>
    <w:rsid w:val="00BF698B"/>
    <w:rsid w:val="00C03863"/>
    <w:rsid w:val="00C06438"/>
    <w:rsid w:val="00C07130"/>
    <w:rsid w:val="00C12C7F"/>
    <w:rsid w:val="00C1440D"/>
    <w:rsid w:val="00C14AA9"/>
    <w:rsid w:val="00C14D48"/>
    <w:rsid w:val="00C2061F"/>
    <w:rsid w:val="00C21DD3"/>
    <w:rsid w:val="00C23B02"/>
    <w:rsid w:val="00C259A7"/>
    <w:rsid w:val="00C261A8"/>
    <w:rsid w:val="00C26BAF"/>
    <w:rsid w:val="00C27CC2"/>
    <w:rsid w:val="00C30389"/>
    <w:rsid w:val="00C3315C"/>
    <w:rsid w:val="00C33C6D"/>
    <w:rsid w:val="00C344CB"/>
    <w:rsid w:val="00C34D42"/>
    <w:rsid w:val="00C4191F"/>
    <w:rsid w:val="00C41E96"/>
    <w:rsid w:val="00C45A8E"/>
    <w:rsid w:val="00C45B3B"/>
    <w:rsid w:val="00C50E44"/>
    <w:rsid w:val="00C516F4"/>
    <w:rsid w:val="00C52D6B"/>
    <w:rsid w:val="00C571B3"/>
    <w:rsid w:val="00C573A4"/>
    <w:rsid w:val="00C577E6"/>
    <w:rsid w:val="00C66EE9"/>
    <w:rsid w:val="00C7276F"/>
    <w:rsid w:val="00C76F69"/>
    <w:rsid w:val="00C77F13"/>
    <w:rsid w:val="00C80692"/>
    <w:rsid w:val="00C81A31"/>
    <w:rsid w:val="00C82318"/>
    <w:rsid w:val="00C863F5"/>
    <w:rsid w:val="00C9108B"/>
    <w:rsid w:val="00C92F81"/>
    <w:rsid w:val="00C95CD4"/>
    <w:rsid w:val="00CA690D"/>
    <w:rsid w:val="00CA6C8A"/>
    <w:rsid w:val="00CB1B63"/>
    <w:rsid w:val="00CB3968"/>
    <w:rsid w:val="00CB46F9"/>
    <w:rsid w:val="00CB59C3"/>
    <w:rsid w:val="00CC15CC"/>
    <w:rsid w:val="00CC2B5A"/>
    <w:rsid w:val="00CC3915"/>
    <w:rsid w:val="00CC3C75"/>
    <w:rsid w:val="00CC4072"/>
    <w:rsid w:val="00CC6A3C"/>
    <w:rsid w:val="00CD1C9B"/>
    <w:rsid w:val="00CD3F79"/>
    <w:rsid w:val="00CD6046"/>
    <w:rsid w:val="00CD62B6"/>
    <w:rsid w:val="00CD778C"/>
    <w:rsid w:val="00CE0756"/>
    <w:rsid w:val="00CE0819"/>
    <w:rsid w:val="00CE133E"/>
    <w:rsid w:val="00CE2251"/>
    <w:rsid w:val="00CE2FEF"/>
    <w:rsid w:val="00CE369C"/>
    <w:rsid w:val="00CE4B87"/>
    <w:rsid w:val="00CE66B9"/>
    <w:rsid w:val="00CF3319"/>
    <w:rsid w:val="00CF3813"/>
    <w:rsid w:val="00CF3C3F"/>
    <w:rsid w:val="00CF5955"/>
    <w:rsid w:val="00CF60B2"/>
    <w:rsid w:val="00CF6718"/>
    <w:rsid w:val="00CF6B32"/>
    <w:rsid w:val="00CF72F4"/>
    <w:rsid w:val="00D11BC1"/>
    <w:rsid w:val="00D11C17"/>
    <w:rsid w:val="00D134FB"/>
    <w:rsid w:val="00D146E1"/>
    <w:rsid w:val="00D17D49"/>
    <w:rsid w:val="00D27579"/>
    <w:rsid w:val="00D27683"/>
    <w:rsid w:val="00D3206D"/>
    <w:rsid w:val="00D3489C"/>
    <w:rsid w:val="00D375C0"/>
    <w:rsid w:val="00D4251F"/>
    <w:rsid w:val="00D433DF"/>
    <w:rsid w:val="00D55969"/>
    <w:rsid w:val="00D64977"/>
    <w:rsid w:val="00D64EA9"/>
    <w:rsid w:val="00D66B01"/>
    <w:rsid w:val="00D77AFC"/>
    <w:rsid w:val="00D82A34"/>
    <w:rsid w:val="00D92C7C"/>
    <w:rsid w:val="00D938CE"/>
    <w:rsid w:val="00D944E3"/>
    <w:rsid w:val="00D94FBD"/>
    <w:rsid w:val="00D9565A"/>
    <w:rsid w:val="00DA07F4"/>
    <w:rsid w:val="00DA1E23"/>
    <w:rsid w:val="00DA7146"/>
    <w:rsid w:val="00DB5CBF"/>
    <w:rsid w:val="00DB6EAC"/>
    <w:rsid w:val="00DC0F21"/>
    <w:rsid w:val="00DC3206"/>
    <w:rsid w:val="00DC6E9A"/>
    <w:rsid w:val="00DD5A7F"/>
    <w:rsid w:val="00DE48E3"/>
    <w:rsid w:val="00DE4917"/>
    <w:rsid w:val="00DE4A99"/>
    <w:rsid w:val="00DE6938"/>
    <w:rsid w:val="00DE72A1"/>
    <w:rsid w:val="00DE7630"/>
    <w:rsid w:val="00DE7A8C"/>
    <w:rsid w:val="00DF0331"/>
    <w:rsid w:val="00DF2836"/>
    <w:rsid w:val="00DF5E45"/>
    <w:rsid w:val="00DF6087"/>
    <w:rsid w:val="00E015A3"/>
    <w:rsid w:val="00E02618"/>
    <w:rsid w:val="00E0262D"/>
    <w:rsid w:val="00E02FBA"/>
    <w:rsid w:val="00E0408F"/>
    <w:rsid w:val="00E17A66"/>
    <w:rsid w:val="00E203C9"/>
    <w:rsid w:val="00E20603"/>
    <w:rsid w:val="00E2328D"/>
    <w:rsid w:val="00E23574"/>
    <w:rsid w:val="00E271B9"/>
    <w:rsid w:val="00E273FD"/>
    <w:rsid w:val="00E27AC2"/>
    <w:rsid w:val="00E30C8C"/>
    <w:rsid w:val="00E335DF"/>
    <w:rsid w:val="00E35A17"/>
    <w:rsid w:val="00E37725"/>
    <w:rsid w:val="00E41C42"/>
    <w:rsid w:val="00E427D8"/>
    <w:rsid w:val="00E43AB8"/>
    <w:rsid w:val="00E44C87"/>
    <w:rsid w:val="00E47F1B"/>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355"/>
    <w:rsid w:val="00E95B41"/>
    <w:rsid w:val="00E971AF"/>
    <w:rsid w:val="00EA15AE"/>
    <w:rsid w:val="00EA3E9E"/>
    <w:rsid w:val="00EA7D29"/>
    <w:rsid w:val="00EB00F8"/>
    <w:rsid w:val="00EB54A1"/>
    <w:rsid w:val="00ED0968"/>
    <w:rsid w:val="00ED2376"/>
    <w:rsid w:val="00ED4669"/>
    <w:rsid w:val="00EE2543"/>
    <w:rsid w:val="00EE3A88"/>
    <w:rsid w:val="00EE3E27"/>
    <w:rsid w:val="00EE5E83"/>
    <w:rsid w:val="00EE5EB0"/>
    <w:rsid w:val="00EF19F5"/>
    <w:rsid w:val="00EF6D74"/>
    <w:rsid w:val="00EF71DD"/>
    <w:rsid w:val="00F00FE7"/>
    <w:rsid w:val="00F02C90"/>
    <w:rsid w:val="00F03443"/>
    <w:rsid w:val="00F102F0"/>
    <w:rsid w:val="00F10ACE"/>
    <w:rsid w:val="00F204D3"/>
    <w:rsid w:val="00F23ECD"/>
    <w:rsid w:val="00F24035"/>
    <w:rsid w:val="00F269B7"/>
    <w:rsid w:val="00F30D1D"/>
    <w:rsid w:val="00F3175D"/>
    <w:rsid w:val="00F34B65"/>
    <w:rsid w:val="00F35E09"/>
    <w:rsid w:val="00F36F19"/>
    <w:rsid w:val="00F36FE2"/>
    <w:rsid w:val="00F370BE"/>
    <w:rsid w:val="00F4540C"/>
    <w:rsid w:val="00F5045A"/>
    <w:rsid w:val="00F53CC3"/>
    <w:rsid w:val="00F54160"/>
    <w:rsid w:val="00F54543"/>
    <w:rsid w:val="00F6415F"/>
    <w:rsid w:val="00F64183"/>
    <w:rsid w:val="00F70121"/>
    <w:rsid w:val="00F7166A"/>
    <w:rsid w:val="00F721F3"/>
    <w:rsid w:val="00F72447"/>
    <w:rsid w:val="00F72C04"/>
    <w:rsid w:val="00F73857"/>
    <w:rsid w:val="00F76258"/>
    <w:rsid w:val="00F77A11"/>
    <w:rsid w:val="00F80535"/>
    <w:rsid w:val="00F81325"/>
    <w:rsid w:val="00F821A1"/>
    <w:rsid w:val="00F82598"/>
    <w:rsid w:val="00F85C8C"/>
    <w:rsid w:val="00F867C8"/>
    <w:rsid w:val="00F86EC6"/>
    <w:rsid w:val="00F9018D"/>
    <w:rsid w:val="00F91289"/>
    <w:rsid w:val="00F91F7B"/>
    <w:rsid w:val="00F92753"/>
    <w:rsid w:val="00F94E38"/>
    <w:rsid w:val="00F96E05"/>
    <w:rsid w:val="00F977E8"/>
    <w:rsid w:val="00FA1419"/>
    <w:rsid w:val="00FA504A"/>
    <w:rsid w:val="00FA6C22"/>
    <w:rsid w:val="00FB0878"/>
    <w:rsid w:val="00FB21E9"/>
    <w:rsid w:val="00FB2FE9"/>
    <w:rsid w:val="00FB4014"/>
    <w:rsid w:val="00FB6821"/>
    <w:rsid w:val="00FB6FA0"/>
    <w:rsid w:val="00FC24F6"/>
    <w:rsid w:val="00FC39E4"/>
    <w:rsid w:val="00FD597F"/>
    <w:rsid w:val="00FD6702"/>
    <w:rsid w:val="00FD68D3"/>
    <w:rsid w:val="00FE07BA"/>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098"/>
    <o:shapelayout v:ext="edit">
      <o:idmap v:ext="edit" data="1"/>
    </o:shapelayout>
  </w:shapeDefaults>
  <w:decimalSymbol w:val="."/>
  <w:listSeparator w:val=","/>
  <w14:docId w14:val="20C7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gov.uk/government/publications/2010-to-2015-government-policy-government-buying/2010-to-2015-government-policy-government-buying"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s://www.england.nhs.uk/publication/template-sub-contract-for-the-provision-of-clinical-services-for-use-with-nhs-standard-contract-full-length-201718-and-201819-2/"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mailto:help@bravosolution.co.uk"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nhs.bravosolution.co.uk/nhs_collaborative/web/login.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912E-C9B6-4948-93C7-9CA7DC50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6B57F66B</Template>
  <TotalTime>81</TotalTime>
  <Pages>20</Pages>
  <Words>6060</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40527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Pam Kelsall</cp:lastModifiedBy>
  <cp:revision>12</cp:revision>
  <cp:lastPrinted>2017-10-05T11:03:00Z</cp:lastPrinted>
  <dcterms:created xsi:type="dcterms:W3CDTF">2017-09-26T13:44:00Z</dcterms:created>
  <dcterms:modified xsi:type="dcterms:W3CDTF">2017-10-05T15:46:00Z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