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11C44" w14:textId="77777777" w:rsidR="00FE18AC" w:rsidRDefault="00FE18AC" w:rsidP="00FE18AC">
      <w:pPr>
        <w:pStyle w:val="bodystrongcentred"/>
      </w:pPr>
      <w:r>
        <w:t>CONTENTS</w:t>
      </w:r>
    </w:p>
    <w:p w14:paraId="757634AA" w14:textId="77777777" w:rsidR="00FE18AC" w:rsidRDefault="00FE18AC" w:rsidP="00FE18AC"/>
    <w:p w14:paraId="3B44EA51" w14:textId="7C3ABDAE" w:rsidR="00E03658"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495310897" w:history="1">
        <w:r w:rsidR="00E03658" w:rsidRPr="004C0DA4">
          <w:rPr>
            <w:rStyle w:val="Hyperlink"/>
            <w:noProof/>
          </w:rPr>
          <w:t>1.</w:t>
        </w:r>
        <w:r w:rsidR="00E03658">
          <w:rPr>
            <w:rFonts w:asciiTheme="minorHAnsi" w:eastAsiaTheme="minorEastAsia" w:hAnsiTheme="minorHAnsi" w:cstheme="minorBidi"/>
            <w:caps w:val="0"/>
            <w:noProof/>
            <w:szCs w:val="22"/>
            <w:lang w:eastAsia="en-GB"/>
          </w:rPr>
          <w:tab/>
        </w:r>
        <w:r w:rsidR="00E03658" w:rsidRPr="004C0DA4">
          <w:rPr>
            <w:rStyle w:val="Hyperlink"/>
            <w:noProof/>
          </w:rPr>
          <w:t>PURPOSE</w:t>
        </w:r>
        <w:r w:rsidR="00E03658">
          <w:rPr>
            <w:noProof/>
            <w:webHidden/>
          </w:rPr>
          <w:tab/>
        </w:r>
        <w:r w:rsidR="00E03658">
          <w:rPr>
            <w:noProof/>
            <w:webHidden/>
          </w:rPr>
          <w:fldChar w:fldCharType="begin"/>
        </w:r>
        <w:r w:rsidR="00E03658">
          <w:rPr>
            <w:noProof/>
            <w:webHidden/>
          </w:rPr>
          <w:instrText xml:space="preserve"> PAGEREF _Toc495310897 \h </w:instrText>
        </w:r>
        <w:r w:rsidR="00E03658">
          <w:rPr>
            <w:noProof/>
            <w:webHidden/>
          </w:rPr>
        </w:r>
        <w:r w:rsidR="00E03658">
          <w:rPr>
            <w:noProof/>
            <w:webHidden/>
          </w:rPr>
          <w:fldChar w:fldCharType="separate"/>
        </w:r>
        <w:r w:rsidR="00E03658">
          <w:rPr>
            <w:noProof/>
            <w:webHidden/>
          </w:rPr>
          <w:t>2</w:t>
        </w:r>
        <w:r w:rsidR="00E03658">
          <w:rPr>
            <w:noProof/>
            <w:webHidden/>
          </w:rPr>
          <w:fldChar w:fldCharType="end"/>
        </w:r>
      </w:hyperlink>
    </w:p>
    <w:p w14:paraId="5DDDF646" w14:textId="748BB37E" w:rsidR="00E03658" w:rsidRDefault="00A5195B">
      <w:pPr>
        <w:pStyle w:val="TOC1"/>
        <w:rPr>
          <w:rFonts w:asciiTheme="minorHAnsi" w:eastAsiaTheme="minorEastAsia" w:hAnsiTheme="minorHAnsi" w:cstheme="minorBidi"/>
          <w:caps w:val="0"/>
          <w:noProof/>
          <w:szCs w:val="22"/>
          <w:lang w:eastAsia="en-GB"/>
        </w:rPr>
      </w:pPr>
      <w:hyperlink w:anchor="_Toc495310898" w:history="1">
        <w:r w:rsidR="00E03658" w:rsidRPr="004C0DA4">
          <w:rPr>
            <w:rStyle w:val="Hyperlink"/>
            <w:noProof/>
          </w:rPr>
          <w:t>2.</w:t>
        </w:r>
        <w:r w:rsidR="00E03658">
          <w:rPr>
            <w:rFonts w:asciiTheme="minorHAnsi" w:eastAsiaTheme="minorEastAsia" w:hAnsiTheme="minorHAnsi" w:cstheme="minorBidi"/>
            <w:caps w:val="0"/>
            <w:noProof/>
            <w:szCs w:val="22"/>
            <w:lang w:eastAsia="en-GB"/>
          </w:rPr>
          <w:tab/>
        </w:r>
        <w:r w:rsidR="00E03658" w:rsidRPr="004C0DA4">
          <w:rPr>
            <w:rStyle w:val="Hyperlink"/>
            <w:noProof/>
          </w:rPr>
          <w:t>BACKGROUND TO THE CONTRACTING aUTHORITY</w:t>
        </w:r>
        <w:r w:rsidR="00E03658">
          <w:rPr>
            <w:noProof/>
            <w:webHidden/>
          </w:rPr>
          <w:tab/>
        </w:r>
        <w:r w:rsidR="00E03658">
          <w:rPr>
            <w:noProof/>
            <w:webHidden/>
          </w:rPr>
          <w:fldChar w:fldCharType="begin"/>
        </w:r>
        <w:r w:rsidR="00E03658">
          <w:rPr>
            <w:noProof/>
            <w:webHidden/>
          </w:rPr>
          <w:instrText xml:space="preserve"> PAGEREF _Toc495310898 \h </w:instrText>
        </w:r>
        <w:r w:rsidR="00E03658">
          <w:rPr>
            <w:noProof/>
            <w:webHidden/>
          </w:rPr>
        </w:r>
        <w:r w:rsidR="00E03658">
          <w:rPr>
            <w:noProof/>
            <w:webHidden/>
          </w:rPr>
          <w:fldChar w:fldCharType="separate"/>
        </w:r>
        <w:r w:rsidR="00E03658">
          <w:rPr>
            <w:noProof/>
            <w:webHidden/>
          </w:rPr>
          <w:t>2</w:t>
        </w:r>
        <w:r w:rsidR="00E03658">
          <w:rPr>
            <w:noProof/>
            <w:webHidden/>
          </w:rPr>
          <w:fldChar w:fldCharType="end"/>
        </w:r>
      </w:hyperlink>
    </w:p>
    <w:p w14:paraId="273DB4E5" w14:textId="2E71EF92" w:rsidR="00E03658" w:rsidRDefault="00A5195B">
      <w:pPr>
        <w:pStyle w:val="TOC1"/>
        <w:rPr>
          <w:rFonts w:asciiTheme="minorHAnsi" w:eastAsiaTheme="minorEastAsia" w:hAnsiTheme="minorHAnsi" w:cstheme="minorBidi"/>
          <w:caps w:val="0"/>
          <w:noProof/>
          <w:szCs w:val="22"/>
          <w:lang w:eastAsia="en-GB"/>
        </w:rPr>
      </w:pPr>
      <w:hyperlink w:anchor="_Toc495310899" w:history="1">
        <w:r w:rsidR="00E03658" w:rsidRPr="004C0DA4">
          <w:rPr>
            <w:rStyle w:val="Hyperlink"/>
            <w:noProof/>
          </w:rPr>
          <w:t>3.</w:t>
        </w:r>
        <w:r w:rsidR="00E03658">
          <w:rPr>
            <w:rFonts w:asciiTheme="minorHAnsi" w:eastAsiaTheme="minorEastAsia" w:hAnsiTheme="minorHAnsi" w:cstheme="minorBidi"/>
            <w:caps w:val="0"/>
            <w:noProof/>
            <w:szCs w:val="22"/>
            <w:lang w:eastAsia="en-GB"/>
          </w:rPr>
          <w:tab/>
        </w:r>
        <w:r w:rsidR="00E03658" w:rsidRPr="004C0DA4">
          <w:rPr>
            <w:rStyle w:val="Hyperlink"/>
            <w:noProof/>
          </w:rPr>
          <w:t>Background to requirement/OVERVIEW of requirement</w:t>
        </w:r>
        <w:r w:rsidR="00E03658">
          <w:rPr>
            <w:noProof/>
            <w:webHidden/>
          </w:rPr>
          <w:tab/>
        </w:r>
        <w:r w:rsidR="00E03658">
          <w:rPr>
            <w:noProof/>
            <w:webHidden/>
          </w:rPr>
          <w:fldChar w:fldCharType="begin"/>
        </w:r>
        <w:r w:rsidR="00E03658">
          <w:rPr>
            <w:noProof/>
            <w:webHidden/>
          </w:rPr>
          <w:instrText xml:space="preserve"> PAGEREF _Toc495310899 \h </w:instrText>
        </w:r>
        <w:r w:rsidR="00E03658">
          <w:rPr>
            <w:noProof/>
            <w:webHidden/>
          </w:rPr>
        </w:r>
        <w:r w:rsidR="00E03658">
          <w:rPr>
            <w:noProof/>
            <w:webHidden/>
          </w:rPr>
          <w:fldChar w:fldCharType="separate"/>
        </w:r>
        <w:r w:rsidR="00E03658">
          <w:rPr>
            <w:noProof/>
            <w:webHidden/>
          </w:rPr>
          <w:t>2</w:t>
        </w:r>
        <w:r w:rsidR="00E03658">
          <w:rPr>
            <w:noProof/>
            <w:webHidden/>
          </w:rPr>
          <w:fldChar w:fldCharType="end"/>
        </w:r>
      </w:hyperlink>
    </w:p>
    <w:p w14:paraId="05518A64" w14:textId="6400852F" w:rsidR="00E03658" w:rsidRDefault="00A5195B">
      <w:pPr>
        <w:pStyle w:val="TOC1"/>
        <w:rPr>
          <w:rFonts w:asciiTheme="minorHAnsi" w:eastAsiaTheme="minorEastAsia" w:hAnsiTheme="minorHAnsi" w:cstheme="minorBidi"/>
          <w:caps w:val="0"/>
          <w:noProof/>
          <w:szCs w:val="22"/>
          <w:lang w:eastAsia="en-GB"/>
        </w:rPr>
      </w:pPr>
      <w:hyperlink w:anchor="_Toc495310900" w:history="1">
        <w:r w:rsidR="00E03658" w:rsidRPr="004C0DA4">
          <w:rPr>
            <w:rStyle w:val="Hyperlink"/>
            <w:noProof/>
          </w:rPr>
          <w:t>4.</w:t>
        </w:r>
        <w:r w:rsidR="00E03658">
          <w:rPr>
            <w:rFonts w:asciiTheme="minorHAnsi" w:eastAsiaTheme="minorEastAsia" w:hAnsiTheme="minorHAnsi" w:cstheme="minorBidi"/>
            <w:caps w:val="0"/>
            <w:noProof/>
            <w:szCs w:val="22"/>
            <w:lang w:eastAsia="en-GB"/>
          </w:rPr>
          <w:tab/>
        </w:r>
        <w:r w:rsidR="00E03658" w:rsidRPr="004C0DA4">
          <w:rPr>
            <w:rStyle w:val="Hyperlink"/>
            <w:noProof/>
          </w:rPr>
          <w:t>definitions</w:t>
        </w:r>
        <w:r w:rsidR="00E03658">
          <w:rPr>
            <w:noProof/>
            <w:webHidden/>
          </w:rPr>
          <w:tab/>
        </w:r>
        <w:r w:rsidR="00E03658">
          <w:rPr>
            <w:noProof/>
            <w:webHidden/>
          </w:rPr>
          <w:fldChar w:fldCharType="begin"/>
        </w:r>
        <w:r w:rsidR="00E03658">
          <w:rPr>
            <w:noProof/>
            <w:webHidden/>
          </w:rPr>
          <w:instrText xml:space="preserve"> PAGEREF _Toc495310900 \h </w:instrText>
        </w:r>
        <w:r w:rsidR="00E03658">
          <w:rPr>
            <w:noProof/>
            <w:webHidden/>
          </w:rPr>
        </w:r>
        <w:r w:rsidR="00E03658">
          <w:rPr>
            <w:noProof/>
            <w:webHidden/>
          </w:rPr>
          <w:fldChar w:fldCharType="separate"/>
        </w:r>
        <w:r w:rsidR="00E03658">
          <w:rPr>
            <w:noProof/>
            <w:webHidden/>
          </w:rPr>
          <w:t>4</w:t>
        </w:r>
        <w:r w:rsidR="00E03658">
          <w:rPr>
            <w:noProof/>
            <w:webHidden/>
          </w:rPr>
          <w:fldChar w:fldCharType="end"/>
        </w:r>
      </w:hyperlink>
    </w:p>
    <w:p w14:paraId="2436BF99" w14:textId="0302516A" w:rsidR="00E03658" w:rsidRDefault="00A5195B">
      <w:pPr>
        <w:pStyle w:val="TOC1"/>
        <w:rPr>
          <w:rFonts w:asciiTheme="minorHAnsi" w:eastAsiaTheme="minorEastAsia" w:hAnsiTheme="minorHAnsi" w:cstheme="minorBidi"/>
          <w:caps w:val="0"/>
          <w:noProof/>
          <w:szCs w:val="22"/>
          <w:lang w:eastAsia="en-GB"/>
        </w:rPr>
      </w:pPr>
      <w:hyperlink w:anchor="_Toc495310901" w:history="1">
        <w:r w:rsidR="00E03658" w:rsidRPr="004C0DA4">
          <w:rPr>
            <w:rStyle w:val="Hyperlink"/>
            <w:noProof/>
          </w:rPr>
          <w:t>5.</w:t>
        </w:r>
        <w:r w:rsidR="00E03658">
          <w:rPr>
            <w:rFonts w:asciiTheme="minorHAnsi" w:eastAsiaTheme="minorEastAsia" w:hAnsiTheme="minorHAnsi" w:cstheme="minorBidi"/>
            <w:caps w:val="0"/>
            <w:noProof/>
            <w:szCs w:val="22"/>
            <w:lang w:eastAsia="en-GB"/>
          </w:rPr>
          <w:tab/>
        </w:r>
        <w:r w:rsidR="00E03658" w:rsidRPr="004C0DA4">
          <w:rPr>
            <w:rStyle w:val="Hyperlink"/>
            <w:noProof/>
          </w:rPr>
          <w:t>scope of requirement</w:t>
        </w:r>
        <w:r w:rsidR="00E03658">
          <w:rPr>
            <w:noProof/>
            <w:webHidden/>
          </w:rPr>
          <w:tab/>
        </w:r>
        <w:r w:rsidR="00E03658">
          <w:rPr>
            <w:noProof/>
            <w:webHidden/>
          </w:rPr>
          <w:fldChar w:fldCharType="begin"/>
        </w:r>
        <w:r w:rsidR="00E03658">
          <w:rPr>
            <w:noProof/>
            <w:webHidden/>
          </w:rPr>
          <w:instrText xml:space="preserve"> PAGEREF _Toc495310901 \h </w:instrText>
        </w:r>
        <w:r w:rsidR="00E03658">
          <w:rPr>
            <w:noProof/>
            <w:webHidden/>
          </w:rPr>
        </w:r>
        <w:r w:rsidR="00E03658">
          <w:rPr>
            <w:noProof/>
            <w:webHidden/>
          </w:rPr>
          <w:fldChar w:fldCharType="separate"/>
        </w:r>
        <w:r w:rsidR="00E03658">
          <w:rPr>
            <w:noProof/>
            <w:webHidden/>
          </w:rPr>
          <w:t>4</w:t>
        </w:r>
        <w:r w:rsidR="00E03658">
          <w:rPr>
            <w:noProof/>
            <w:webHidden/>
          </w:rPr>
          <w:fldChar w:fldCharType="end"/>
        </w:r>
      </w:hyperlink>
    </w:p>
    <w:p w14:paraId="63611CEF" w14:textId="0AFA1438" w:rsidR="00E03658" w:rsidRDefault="00A5195B">
      <w:pPr>
        <w:pStyle w:val="TOC1"/>
        <w:rPr>
          <w:rFonts w:asciiTheme="minorHAnsi" w:eastAsiaTheme="minorEastAsia" w:hAnsiTheme="minorHAnsi" w:cstheme="minorBidi"/>
          <w:caps w:val="0"/>
          <w:noProof/>
          <w:szCs w:val="22"/>
          <w:lang w:eastAsia="en-GB"/>
        </w:rPr>
      </w:pPr>
      <w:hyperlink w:anchor="_Toc495310902" w:history="1">
        <w:r w:rsidR="00E03658" w:rsidRPr="004C0DA4">
          <w:rPr>
            <w:rStyle w:val="Hyperlink"/>
            <w:noProof/>
          </w:rPr>
          <w:t>6.</w:t>
        </w:r>
        <w:r w:rsidR="00E03658">
          <w:rPr>
            <w:rFonts w:asciiTheme="minorHAnsi" w:eastAsiaTheme="minorEastAsia" w:hAnsiTheme="minorHAnsi" w:cstheme="minorBidi"/>
            <w:caps w:val="0"/>
            <w:noProof/>
            <w:szCs w:val="22"/>
            <w:lang w:eastAsia="en-GB"/>
          </w:rPr>
          <w:tab/>
        </w:r>
        <w:r w:rsidR="00E03658" w:rsidRPr="004C0DA4">
          <w:rPr>
            <w:rStyle w:val="Hyperlink"/>
            <w:noProof/>
          </w:rPr>
          <w:t>The requirement</w:t>
        </w:r>
        <w:r w:rsidR="00E03658">
          <w:rPr>
            <w:noProof/>
            <w:webHidden/>
          </w:rPr>
          <w:tab/>
        </w:r>
        <w:r w:rsidR="00E03658">
          <w:rPr>
            <w:noProof/>
            <w:webHidden/>
          </w:rPr>
          <w:fldChar w:fldCharType="begin"/>
        </w:r>
        <w:r w:rsidR="00E03658">
          <w:rPr>
            <w:noProof/>
            <w:webHidden/>
          </w:rPr>
          <w:instrText xml:space="preserve"> PAGEREF _Toc495310902 \h </w:instrText>
        </w:r>
        <w:r w:rsidR="00E03658">
          <w:rPr>
            <w:noProof/>
            <w:webHidden/>
          </w:rPr>
        </w:r>
        <w:r w:rsidR="00E03658">
          <w:rPr>
            <w:noProof/>
            <w:webHidden/>
          </w:rPr>
          <w:fldChar w:fldCharType="separate"/>
        </w:r>
        <w:r w:rsidR="00E03658">
          <w:rPr>
            <w:noProof/>
            <w:webHidden/>
          </w:rPr>
          <w:t>5</w:t>
        </w:r>
        <w:r w:rsidR="00E03658">
          <w:rPr>
            <w:noProof/>
            <w:webHidden/>
          </w:rPr>
          <w:fldChar w:fldCharType="end"/>
        </w:r>
      </w:hyperlink>
    </w:p>
    <w:p w14:paraId="1F9FDA30" w14:textId="36E6717A" w:rsidR="00E03658" w:rsidRDefault="00A5195B">
      <w:pPr>
        <w:pStyle w:val="TOC1"/>
        <w:rPr>
          <w:rFonts w:asciiTheme="minorHAnsi" w:eastAsiaTheme="minorEastAsia" w:hAnsiTheme="minorHAnsi" w:cstheme="minorBidi"/>
          <w:caps w:val="0"/>
          <w:noProof/>
          <w:szCs w:val="22"/>
          <w:lang w:eastAsia="en-GB"/>
        </w:rPr>
      </w:pPr>
      <w:hyperlink w:anchor="_Toc495310903" w:history="1">
        <w:r w:rsidR="00E03658" w:rsidRPr="004C0DA4">
          <w:rPr>
            <w:rStyle w:val="Hyperlink"/>
            <w:noProof/>
          </w:rPr>
          <w:t>7.</w:t>
        </w:r>
        <w:r w:rsidR="00E03658">
          <w:rPr>
            <w:rFonts w:asciiTheme="minorHAnsi" w:eastAsiaTheme="minorEastAsia" w:hAnsiTheme="minorHAnsi" w:cstheme="minorBidi"/>
            <w:caps w:val="0"/>
            <w:noProof/>
            <w:szCs w:val="22"/>
            <w:lang w:eastAsia="en-GB"/>
          </w:rPr>
          <w:tab/>
        </w:r>
        <w:r w:rsidR="00E03658" w:rsidRPr="004C0DA4">
          <w:rPr>
            <w:rStyle w:val="Hyperlink"/>
            <w:noProof/>
          </w:rPr>
          <w:t>key milestones</w:t>
        </w:r>
        <w:r w:rsidR="00E03658">
          <w:rPr>
            <w:noProof/>
            <w:webHidden/>
          </w:rPr>
          <w:tab/>
        </w:r>
        <w:r w:rsidR="00E03658">
          <w:rPr>
            <w:noProof/>
            <w:webHidden/>
          </w:rPr>
          <w:fldChar w:fldCharType="begin"/>
        </w:r>
        <w:r w:rsidR="00E03658">
          <w:rPr>
            <w:noProof/>
            <w:webHidden/>
          </w:rPr>
          <w:instrText xml:space="preserve"> PAGEREF _Toc495310903 \h </w:instrText>
        </w:r>
        <w:r w:rsidR="00E03658">
          <w:rPr>
            <w:noProof/>
            <w:webHidden/>
          </w:rPr>
        </w:r>
        <w:r w:rsidR="00E03658">
          <w:rPr>
            <w:noProof/>
            <w:webHidden/>
          </w:rPr>
          <w:fldChar w:fldCharType="separate"/>
        </w:r>
        <w:r w:rsidR="00E03658">
          <w:rPr>
            <w:noProof/>
            <w:webHidden/>
          </w:rPr>
          <w:t>6</w:t>
        </w:r>
        <w:r w:rsidR="00E03658">
          <w:rPr>
            <w:noProof/>
            <w:webHidden/>
          </w:rPr>
          <w:fldChar w:fldCharType="end"/>
        </w:r>
      </w:hyperlink>
    </w:p>
    <w:p w14:paraId="5282235A" w14:textId="419C2A94" w:rsidR="00E03658" w:rsidRDefault="00A5195B">
      <w:pPr>
        <w:pStyle w:val="TOC1"/>
        <w:rPr>
          <w:rFonts w:asciiTheme="minorHAnsi" w:eastAsiaTheme="minorEastAsia" w:hAnsiTheme="minorHAnsi" w:cstheme="minorBidi"/>
          <w:caps w:val="0"/>
          <w:noProof/>
          <w:szCs w:val="22"/>
          <w:lang w:eastAsia="en-GB"/>
        </w:rPr>
      </w:pPr>
      <w:hyperlink w:anchor="_Toc495310904" w:history="1">
        <w:r w:rsidR="00E03658" w:rsidRPr="004C0DA4">
          <w:rPr>
            <w:rStyle w:val="Hyperlink"/>
            <w:rFonts w:cs="Arial"/>
            <w:noProof/>
          </w:rPr>
          <w:t>8.</w:t>
        </w:r>
        <w:r w:rsidR="00E03658">
          <w:rPr>
            <w:rFonts w:asciiTheme="minorHAnsi" w:eastAsiaTheme="minorEastAsia" w:hAnsiTheme="minorHAnsi" w:cstheme="minorBidi"/>
            <w:caps w:val="0"/>
            <w:noProof/>
            <w:szCs w:val="22"/>
            <w:lang w:eastAsia="en-GB"/>
          </w:rPr>
          <w:tab/>
        </w:r>
        <w:r w:rsidR="00E03658" w:rsidRPr="004C0DA4">
          <w:rPr>
            <w:rStyle w:val="Hyperlink"/>
            <w:rFonts w:cs="Arial"/>
            <w:noProof/>
          </w:rPr>
          <w:t>authority’s responsibilities</w:t>
        </w:r>
        <w:r w:rsidR="00E03658">
          <w:rPr>
            <w:noProof/>
            <w:webHidden/>
          </w:rPr>
          <w:tab/>
        </w:r>
        <w:r w:rsidR="00E03658">
          <w:rPr>
            <w:noProof/>
            <w:webHidden/>
          </w:rPr>
          <w:fldChar w:fldCharType="begin"/>
        </w:r>
        <w:r w:rsidR="00E03658">
          <w:rPr>
            <w:noProof/>
            <w:webHidden/>
          </w:rPr>
          <w:instrText xml:space="preserve"> PAGEREF _Toc495310904 \h </w:instrText>
        </w:r>
        <w:r w:rsidR="00E03658">
          <w:rPr>
            <w:noProof/>
            <w:webHidden/>
          </w:rPr>
        </w:r>
        <w:r w:rsidR="00E03658">
          <w:rPr>
            <w:noProof/>
            <w:webHidden/>
          </w:rPr>
          <w:fldChar w:fldCharType="separate"/>
        </w:r>
        <w:r w:rsidR="00E03658">
          <w:rPr>
            <w:noProof/>
            <w:webHidden/>
          </w:rPr>
          <w:t>7</w:t>
        </w:r>
        <w:r w:rsidR="00E03658">
          <w:rPr>
            <w:noProof/>
            <w:webHidden/>
          </w:rPr>
          <w:fldChar w:fldCharType="end"/>
        </w:r>
      </w:hyperlink>
    </w:p>
    <w:p w14:paraId="65930B36" w14:textId="1F1A5572" w:rsidR="00E03658" w:rsidRDefault="00A5195B">
      <w:pPr>
        <w:pStyle w:val="TOC1"/>
        <w:rPr>
          <w:rFonts w:asciiTheme="minorHAnsi" w:eastAsiaTheme="minorEastAsia" w:hAnsiTheme="minorHAnsi" w:cstheme="minorBidi"/>
          <w:caps w:val="0"/>
          <w:noProof/>
          <w:szCs w:val="22"/>
          <w:lang w:eastAsia="en-GB"/>
        </w:rPr>
      </w:pPr>
      <w:hyperlink w:anchor="_Toc495310905" w:history="1">
        <w:r w:rsidR="00E03658" w:rsidRPr="004C0DA4">
          <w:rPr>
            <w:rStyle w:val="Hyperlink"/>
            <w:rFonts w:cs="Arial"/>
            <w:noProof/>
          </w:rPr>
          <w:t>9.</w:t>
        </w:r>
        <w:r w:rsidR="00E03658">
          <w:rPr>
            <w:rFonts w:asciiTheme="minorHAnsi" w:eastAsiaTheme="minorEastAsia" w:hAnsiTheme="minorHAnsi" w:cstheme="minorBidi"/>
            <w:caps w:val="0"/>
            <w:noProof/>
            <w:szCs w:val="22"/>
            <w:lang w:eastAsia="en-GB"/>
          </w:rPr>
          <w:tab/>
        </w:r>
        <w:r w:rsidR="00E03658" w:rsidRPr="004C0DA4">
          <w:rPr>
            <w:rStyle w:val="Hyperlink"/>
            <w:rFonts w:cs="Arial"/>
            <w:noProof/>
          </w:rPr>
          <w:t>reporting</w:t>
        </w:r>
        <w:r w:rsidR="00E03658">
          <w:rPr>
            <w:noProof/>
            <w:webHidden/>
          </w:rPr>
          <w:tab/>
        </w:r>
        <w:r w:rsidR="00E03658">
          <w:rPr>
            <w:noProof/>
            <w:webHidden/>
          </w:rPr>
          <w:fldChar w:fldCharType="begin"/>
        </w:r>
        <w:r w:rsidR="00E03658">
          <w:rPr>
            <w:noProof/>
            <w:webHidden/>
          </w:rPr>
          <w:instrText xml:space="preserve"> PAGEREF _Toc495310905 \h </w:instrText>
        </w:r>
        <w:r w:rsidR="00E03658">
          <w:rPr>
            <w:noProof/>
            <w:webHidden/>
          </w:rPr>
        </w:r>
        <w:r w:rsidR="00E03658">
          <w:rPr>
            <w:noProof/>
            <w:webHidden/>
          </w:rPr>
          <w:fldChar w:fldCharType="separate"/>
        </w:r>
        <w:r w:rsidR="00E03658">
          <w:rPr>
            <w:noProof/>
            <w:webHidden/>
          </w:rPr>
          <w:t>7</w:t>
        </w:r>
        <w:r w:rsidR="00E03658">
          <w:rPr>
            <w:noProof/>
            <w:webHidden/>
          </w:rPr>
          <w:fldChar w:fldCharType="end"/>
        </w:r>
      </w:hyperlink>
    </w:p>
    <w:p w14:paraId="5521F673" w14:textId="504CBC8C" w:rsidR="00E03658" w:rsidRDefault="00A5195B">
      <w:pPr>
        <w:pStyle w:val="TOC1"/>
        <w:rPr>
          <w:rFonts w:asciiTheme="minorHAnsi" w:eastAsiaTheme="minorEastAsia" w:hAnsiTheme="minorHAnsi" w:cstheme="minorBidi"/>
          <w:caps w:val="0"/>
          <w:noProof/>
          <w:szCs w:val="22"/>
          <w:lang w:eastAsia="en-GB"/>
        </w:rPr>
      </w:pPr>
      <w:hyperlink w:anchor="_Toc495310906" w:history="1">
        <w:r w:rsidR="00E03658" w:rsidRPr="004C0DA4">
          <w:rPr>
            <w:rStyle w:val="Hyperlink"/>
            <w:rFonts w:cs="Arial"/>
            <w:noProof/>
          </w:rPr>
          <w:t>10.</w:t>
        </w:r>
        <w:r w:rsidR="00E03658">
          <w:rPr>
            <w:rFonts w:asciiTheme="minorHAnsi" w:eastAsiaTheme="minorEastAsia" w:hAnsiTheme="minorHAnsi" w:cstheme="minorBidi"/>
            <w:caps w:val="0"/>
            <w:noProof/>
            <w:szCs w:val="22"/>
            <w:lang w:eastAsia="en-GB"/>
          </w:rPr>
          <w:tab/>
        </w:r>
        <w:r w:rsidR="00E03658" w:rsidRPr="004C0DA4">
          <w:rPr>
            <w:rStyle w:val="Hyperlink"/>
            <w:rFonts w:cs="Arial"/>
            <w:noProof/>
          </w:rPr>
          <w:t>VOLUMES</w:t>
        </w:r>
        <w:r w:rsidR="00E03658">
          <w:rPr>
            <w:noProof/>
            <w:webHidden/>
          </w:rPr>
          <w:tab/>
        </w:r>
        <w:r w:rsidR="00E03658">
          <w:rPr>
            <w:noProof/>
            <w:webHidden/>
          </w:rPr>
          <w:fldChar w:fldCharType="begin"/>
        </w:r>
        <w:r w:rsidR="00E03658">
          <w:rPr>
            <w:noProof/>
            <w:webHidden/>
          </w:rPr>
          <w:instrText xml:space="preserve"> PAGEREF _Toc495310906 \h </w:instrText>
        </w:r>
        <w:r w:rsidR="00E03658">
          <w:rPr>
            <w:noProof/>
            <w:webHidden/>
          </w:rPr>
        </w:r>
        <w:r w:rsidR="00E03658">
          <w:rPr>
            <w:noProof/>
            <w:webHidden/>
          </w:rPr>
          <w:fldChar w:fldCharType="separate"/>
        </w:r>
        <w:r w:rsidR="00E03658">
          <w:rPr>
            <w:noProof/>
            <w:webHidden/>
          </w:rPr>
          <w:t>8</w:t>
        </w:r>
        <w:r w:rsidR="00E03658">
          <w:rPr>
            <w:noProof/>
            <w:webHidden/>
          </w:rPr>
          <w:fldChar w:fldCharType="end"/>
        </w:r>
      </w:hyperlink>
    </w:p>
    <w:p w14:paraId="12F87FD5" w14:textId="2AEA214D" w:rsidR="00E03658" w:rsidRDefault="00A5195B">
      <w:pPr>
        <w:pStyle w:val="TOC1"/>
        <w:rPr>
          <w:rFonts w:asciiTheme="minorHAnsi" w:eastAsiaTheme="minorEastAsia" w:hAnsiTheme="minorHAnsi" w:cstheme="minorBidi"/>
          <w:caps w:val="0"/>
          <w:noProof/>
          <w:szCs w:val="22"/>
          <w:lang w:eastAsia="en-GB"/>
        </w:rPr>
      </w:pPr>
      <w:hyperlink w:anchor="_Toc495310907" w:history="1">
        <w:r w:rsidR="00E03658" w:rsidRPr="004C0DA4">
          <w:rPr>
            <w:rStyle w:val="Hyperlink"/>
            <w:rFonts w:cs="Arial"/>
            <w:noProof/>
          </w:rPr>
          <w:t>11.</w:t>
        </w:r>
        <w:r w:rsidR="00E03658">
          <w:rPr>
            <w:rFonts w:asciiTheme="minorHAnsi" w:eastAsiaTheme="minorEastAsia" w:hAnsiTheme="minorHAnsi" w:cstheme="minorBidi"/>
            <w:caps w:val="0"/>
            <w:noProof/>
            <w:szCs w:val="22"/>
            <w:lang w:eastAsia="en-GB"/>
          </w:rPr>
          <w:tab/>
        </w:r>
        <w:r w:rsidR="00E03658" w:rsidRPr="004C0DA4">
          <w:rPr>
            <w:rStyle w:val="Hyperlink"/>
            <w:rFonts w:cs="Arial"/>
            <w:noProof/>
          </w:rPr>
          <w:t>continuous improvement</w:t>
        </w:r>
        <w:r w:rsidR="00E03658">
          <w:rPr>
            <w:noProof/>
            <w:webHidden/>
          </w:rPr>
          <w:tab/>
        </w:r>
        <w:r w:rsidR="00E03658">
          <w:rPr>
            <w:noProof/>
            <w:webHidden/>
          </w:rPr>
          <w:fldChar w:fldCharType="begin"/>
        </w:r>
        <w:r w:rsidR="00E03658">
          <w:rPr>
            <w:noProof/>
            <w:webHidden/>
          </w:rPr>
          <w:instrText xml:space="preserve"> PAGEREF _Toc495310907 \h </w:instrText>
        </w:r>
        <w:r w:rsidR="00E03658">
          <w:rPr>
            <w:noProof/>
            <w:webHidden/>
          </w:rPr>
        </w:r>
        <w:r w:rsidR="00E03658">
          <w:rPr>
            <w:noProof/>
            <w:webHidden/>
          </w:rPr>
          <w:fldChar w:fldCharType="separate"/>
        </w:r>
        <w:r w:rsidR="00E03658">
          <w:rPr>
            <w:noProof/>
            <w:webHidden/>
          </w:rPr>
          <w:t>8</w:t>
        </w:r>
        <w:r w:rsidR="00E03658">
          <w:rPr>
            <w:noProof/>
            <w:webHidden/>
          </w:rPr>
          <w:fldChar w:fldCharType="end"/>
        </w:r>
      </w:hyperlink>
    </w:p>
    <w:p w14:paraId="624CD0FD" w14:textId="730C43A9" w:rsidR="00E03658" w:rsidRDefault="00A5195B">
      <w:pPr>
        <w:pStyle w:val="TOC1"/>
        <w:rPr>
          <w:rFonts w:asciiTheme="minorHAnsi" w:eastAsiaTheme="minorEastAsia" w:hAnsiTheme="minorHAnsi" w:cstheme="minorBidi"/>
          <w:caps w:val="0"/>
          <w:noProof/>
          <w:szCs w:val="22"/>
          <w:lang w:eastAsia="en-GB"/>
        </w:rPr>
      </w:pPr>
      <w:hyperlink w:anchor="_Toc495310908" w:history="1">
        <w:r w:rsidR="00E03658" w:rsidRPr="004C0DA4">
          <w:rPr>
            <w:rStyle w:val="Hyperlink"/>
            <w:rFonts w:cs="Arial"/>
            <w:noProof/>
          </w:rPr>
          <w:t>12.</w:t>
        </w:r>
        <w:r w:rsidR="00E03658">
          <w:rPr>
            <w:rFonts w:asciiTheme="minorHAnsi" w:eastAsiaTheme="minorEastAsia" w:hAnsiTheme="minorHAnsi" w:cstheme="minorBidi"/>
            <w:caps w:val="0"/>
            <w:noProof/>
            <w:szCs w:val="22"/>
            <w:lang w:eastAsia="en-GB"/>
          </w:rPr>
          <w:tab/>
        </w:r>
        <w:r w:rsidR="00E03658" w:rsidRPr="004C0DA4">
          <w:rPr>
            <w:rStyle w:val="Hyperlink"/>
            <w:rFonts w:cs="Arial"/>
            <w:noProof/>
          </w:rPr>
          <w:t>SUSTAINABILITY</w:t>
        </w:r>
        <w:r w:rsidR="00E03658">
          <w:rPr>
            <w:noProof/>
            <w:webHidden/>
          </w:rPr>
          <w:tab/>
        </w:r>
        <w:r w:rsidR="00E03658">
          <w:rPr>
            <w:noProof/>
            <w:webHidden/>
          </w:rPr>
          <w:fldChar w:fldCharType="begin"/>
        </w:r>
        <w:r w:rsidR="00E03658">
          <w:rPr>
            <w:noProof/>
            <w:webHidden/>
          </w:rPr>
          <w:instrText xml:space="preserve"> PAGEREF _Toc495310908 \h </w:instrText>
        </w:r>
        <w:r w:rsidR="00E03658">
          <w:rPr>
            <w:noProof/>
            <w:webHidden/>
          </w:rPr>
        </w:r>
        <w:r w:rsidR="00E03658">
          <w:rPr>
            <w:noProof/>
            <w:webHidden/>
          </w:rPr>
          <w:fldChar w:fldCharType="separate"/>
        </w:r>
        <w:r w:rsidR="00E03658">
          <w:rPr>
            <w:noProof/>
            <w:webHidden/>
          </w:rPr>
          <w:t>8</w:t>
        </w:r>
        <w:r w:rsidR="00E03658">
          <w:rPr>
            <w:noProof/>
            <w:webHidden/>
          </w:rPr>
          <w:fldChar w:fldCharType="end"/>
        </w:r>
      </w:hyperlink>
    </w:p>
    <w:p w14:paraId="37FA661C" w14:textId="388CAF8B" w:rsidR="00E03658" w:rsidRDefault="00A5195B">
      <w:pPr>
        <w:pStyle w:val="TOC1"/>
        <w:rPr>
          <w:rFonts w:asciiTheme="minorHAnsi" w:eastAsiaTheme="minorEastAsia" w:hAnsiTheme="minorHAnsi" w:cstheme="minorBidi"/>
          <w:caps w:val="0"/>
          <w:noProof/>
          <w:szCs w:val="22"/>
          <w:lang w:eastAsia="en-GB"/>
        </w:rPr>
      </w:pPr>
      <w:hyperlink w:anchor="_Toc495310909" w:history="1">
        <w:r w:rsidR="00E03658" w:rsidRPr="004C0DA4">
          <w:rPr>
            <w:rStyle w:val="Hyperlink"/>
            <w:rFonts w:cs="Arial"/>
            <w:noProof/>
          </w:rPr>
          <w:t>13.</w:t>
        </w:r>
        <w:r w:rsidR="00E03658">
          <w:rPr>
            <w:rFonts w:asciiTheme="minorHAnsi" w:eastAsiaTheme="minorEastAsia" w:hAnsiTheme="minorHAnsi" w:cstheme="minorBidi"/>
            <w:caps w:val="0"/>
            <w:noProof/>
            <w:szCs w:val="22"/>
            <w:lang w:eastAsia="en-GB"/>
          </w:rPr>
          <w:tab/>
        </w:r>
        <w:r w:rsidR="00E03658" w:rsidRPr="004C0DA4">
          <w:rPr>
            <w:rStyle w:val="Hyperlink"/>
            <w:rFonts w:cs="Arial"/>
            <w:noProof/>
          </w:rPr>
          <w:t>quality</w:t>
        </w:r>
        <w:r w:rsidR="00E03658">
          <w:rPr>
            <w:noProof/>
            <w:webHidden/>
          </w:rPr>
          <w:tab/>
        </w:r>
        <w:r w:rsidR="00E03658">
          <w:rPr>
            <w:noProof/>
            <w:webHidden/>
          </w:rPr>
          <w:fldChar w:fldCharType="begin"/>
        </w:r>
        <w:r w:rsidR="00E03658">
          <w:rPr>
            <w:noProof/>
            <w:webHidden/>
          </w:rPr>
          <w:instrText xml:space="preserve"> PAGEREF _Toc495310909 \h </w:instrText>
        </w:r>
        <w:r w:rsidR="00E03658">
          <w:rPr>
            <w:noProof/>
            <w:webHidden/>
          </w:rPr>
        </w:r>
        <w:r w:rsidR="00E03658">
          <w:rPr>
            <w:noProof/>
            <w:webHidden/>
          </w:rPr>
          <w:fldChar w:fldCharType="separate"/>
        </w:r>
        <w:r w:rsidR="00E03658">
          <w:rPr>
            <w:noProof/>
            <w:webHidden/>
          </w:rPr>
          <w:t>8</w:t>
        </w:r>
        <w:r w:rsidR="00E03658">
          <w:rPr>
            <w:noProof/>
            <w:webHidden/>
          </w:rPr>
          <w:fldChar w:fldCharType="end"/>
        </w:r>
      </w:hyperlink>
    </w:p>
    <w:p w14:paraId="1C2BFEBD" w14:textId="083738CC" w:rsidR="00E03658" w:rsidRDefault="00A5195B">
      <w:pPr>
        <w:pStyle w:val="TOC1"/>
        <w:rPr>
          <w:rFonts w:asciiTheme="minorHAnsi" w:eastAsiaTheme="minorEastAsia" w:hAnsiTheme="minorHAnsi" w:cstheme="minorBidi"/>
          <w:caps w:val="0"/>
          <w:noProof/>
          <w:szCs w:val="22"/>
          <w:lang w:eastAsia="en-GB"/>
        </w:rPr>
      </w:pPr>
      <w:hyperlink w:anchor="_Toc495310910" w:history="1">
        <w:r w:rsidR="00E03658" w:rsidRPr="004C0DA4">
          <w:rPr>
            <w:rStyle w:val="Hyperlink"/>
            <w:rFonts w:cs="Arial"/>
            <w:noProof/>
          </w:rPr>
          <w:t>14.</w:t>
        </w:r>
        <w:r w:rsidR="00E03658">
          <w:rPr>
            <w:rFonts w:asciiTheme="minorHAnsi" w:eastAsiaTheme="minorEastAsia" w:hAnsiTheme="minorHAnsi" w:cstheme="minorBidi"/>
            <w:caps w:val="0"/>
            <w:noProof/>
            <w:szCs w:val="22"/>
            <w:lang w:eastAsia="en-GB"/>
          </w:rPr>
          <w:tab/>
        </w:r>
        <w:r w:rsidR="00E03658" w:rsidRPr="004C0DA4">
          <w:rPr>
            <w:rStyle w:val="Hyperlink"/>
            <w:rFonts w:cs="Arial"/>
            <w:noProof/>
          </w:rPr>
          <w:t>PRICE</w:t>
        </w:r>
        <w:r w:rsidR="00E03658">
          <w:rPr>
            <w:noProof/>
            <w:webHidden/>
          </w:rPr>
          <w:tab/>
        </w:r>
        <w:r w:rsidR="00E03658">
          <w:rPr>
            <w:noProof/>
            <w:webHidden/>
          </w:rPr>
          <w:fldChar w:fldCharType="begin"/>
        </w:r>
        <w:r w:rsidR="00E03658">
          <w:rPr>
            <w:noProof/>
            <w:webHidden/>
          </w:rPr>
          <w:instrText xml:space="preserve"> PAGEREF _Toc495310910 \h </w:instrText>
        </w:r>
        <w:r w:rsidR="00E03658">
          <w:rPr>
            <w:noProof/>
            <w:webHidden/>
          </w:rPr>
        </w:r>
        <w:r w:rsidR="00E03658">
          <w:rPr>
            <w:noProof/>
            <w:webHidden/>
          </w:rPr>
          <w:fldChar w:fldCharType="separate"/>
        </w:r>
        <w:r w:rsidR="00E03658">
          <w:rPr>
            <w:noProof/>
            <w:webHidden/>
          </w:rPr>
          <w:t>8</w:t>
        </w:r>
        <w:r w:rsidR="00E03658">
          <w:rPr>
            <w:noProof/>
            <w:webHidden/>
          </w:rPr>
          <w:fldChar w:fldCharType="end"/>
        </w:r>
      </w:hyperlink>
    </w:p>
    <w:p w14:paraId="5ED865D6" w14:textId="498AA0A8" w:rsidR="00E03658" w:rsidRDefault="00A5195B">
      <w:pPr>
        <w:pStyle w:val="TOC1"/>
        <w:rPr>
          <w:rFonts w:asciiTheme="minorHAnsi" w:eastAsiaTheme="minorEastAsia" w:hAnsiTheme="minorHAnsi" w:cstheme="minorBidi"/>
          <w:caps w:val="0"/>
          <w:noProof/>
          <w:szCs w:val="22"/>
          <w:lang w:eastAsia="en-GB"/>
        </w:rPr>
      </w:pPr>
      <w:hyperlink w:anchor="_Toc495310911" w:history="1">
        <w:r w:rsidR="00E03658" w:rsidRPr="004C0DA4">
          <w:rPr>
            <w:rStyle w:val="Hyperlink"/>
            <w:rFonts w:cs="Arial"/>
            <w:noProof/>
          </w:rPr>
          <w:t>15.</w:t>
        </w:r>
        <w:r w:rsidR="00E03658">
          <w:rPr>
            <w:rFonts w:asciiTheme="minorHAnsi" w:eastAsiaTheme="minorEastAsia" w:hAnsiTheme="minorHAnsi" w:cstheme="minorBidi"/>
            <w:caps w:val="0"/>
            <w:noProof/>
            <w:szCs w:val="22"/>
            <w:lang w:eastAsia="en-GB"/>
          </w:rPr>
          <w:tab/>
        </w:r>
        <w:r w:rsidR="00E03658" w:rsidRPr="004C0DA4">
          <w:rPr>
            <w:rStyle w:val="Hyperlink"/>
            <w:rFonts w:cs="Arial"/>
            <w:noProof/>
          </w:rPr>
          <w:t>STAFF AND CUSTOMER SERVICE</w:t>
        </w:r>
        <w:r w:rsidR="00E03658">
          <w:rPr>
            <w:noProof/>
            <w:webHidden/>
          </w:rPr>
          <w:tab/>
        </w:r>
        <w:r w:rsidR="00E03658">
          <w:rPr>
            <w:noProof/>
            <w:webHidden/>
          </w:rPr>
          <w:fldChar w:fldCharType="begin"/>
        </w:r>
        <w:r w:rsidR="00E03658">
          <w:rPr>
            <w:noProof/>
            <w:webHidden/>
          </w:rPr>
          <w:instrText xml:space="preserve"> PAGEREF _Toc495310911 \h </w:instrText>
        </w:r>
        <w:r w:rsidR="00E03658">
          <w:rPr>
            <w:noProof/>
            <w:webHidden/>
          </w:rPr>
        </w:r>
        <w:r w:rsidR="00E03658">
          <w:rPr>
            <w:noProof/>
            <w:webHidden/>
          </w:rPr>
          <w:fldChar w:fldCharType="separate"/>
        </w:r>
        <w:r w:rsidR="00E03658">
          <w:rPr>
            <w:noProof/>
            <w:webHidden/>
          </w:rPr>
          <w:t>8</w:t>
        </w:r>
        <w:r w:rsidR="00E03658">
          <w:rPr>
            <w:noProof/>
            <w:webHidden/>
          </w:rPr>
          <w:fldChar w:fldCharType="end"/>
        </w:r>
      </w:hyperlink>
    </w:p>
    <w:p w14:paraId="2EC7A007" w14:textId="66422FDC" w:rsidR="00E03658" w:rsidRDefault="00A5195B">
      <w:pPr>
        <w:pStyle w:val="TOC1"/>
        <w:rPr>
          <w:rFonts w:asciiTheme="minorHAnsi" w:eastAsiaTheme="minorEastAsia" w:hAnsiTheme="minorHAnsi" w:cstheme="minorBidi"/>
          <w:caps w:val="0"/>
          <w:noProof/>
          <w:szCs w:val="22"/>
          <w:lang w:eastAsia="en-GB"/>
        </w:rPr>
      </w:pPr>
      <w:hyperlink w:anchor="_Toc495310912" w:history="1">
        <w:r w:rsidR="00E03658" w:rsidRPr="004C0DA4">
          <w:rPr>
            <w:rStyle w:val="Hyperlink"/>
            <w:rFonts w:cs="Arial"/>
            <w:noProof/>
          </w:rPr>
          <w:t>16.</w:t>
        </w:r>
        <w:r w:rsidR="00E03658">
          <w:rPr>
            <w:rFonts w:asciiTheme="minorHAnsi" w:eastAsiaTheme="minorEastAsia" w:hAnsiTheme="minorHAnsi" w:cstheme="minorBidi"/>
            <w:caps w:val="0"/>
            <w:noProof/>
            <w:szCs w:val="22"/>
            <w:lang w:eastAsia="en-GB"/>
          </w:rPr>
          <w:tab/>
        </w:r>
        <w:r w:rsidR="00E03658" w:rsidRPr="004C0DA4">
          <w:rPr>
            <w:rStyle w:val="Hyperlink"/>
            <w:rFonts w:cs="Arial"/>
            <w:noProof/>
          </w:rPr>
          <w:t>service levels and performance</w:t>
        </w:r>
        <w:r w:rsidR="00E03658">
          <w:rPr>
            <w:noProof/>
            <w:webHidden/>
          </w:rPr>
          <w:tab/>
        </w:r>
        <w:r w:rsidR="00E03658">
          <w:rPr>
            <w:noProof/>
            <w:webHidden/>
          </w:rPr>
          <w:fldChar w:fldCharType="begin"/>
        </w:r>
        <w:r w:rsidR="00E03658">
          <w:rPr>
            <w:noProof/>
            <w:webHidden/>
          </w:rPr>
          <w:instrText xml:space="preserve"> PAGEREF _Toc495310912 \h </w:instrText>
        </w:r>
        <w:r w:rsidR="00E03658">
          <w:rPr>
            <w:noProof/>
            <w:webHidden/>
          </w:rPr>
        </w:r>
        <w:r w:rsidR="00E03658">
          <w:rPr>
            <w:noProof/>
            <w:webHidden/>
          </w:rPr>
          <w:fldChar w:fldCharType="separate"/>
        </w:r>
        <w:r w:rsidR="00E03658">
          <w:rPr>
            <w:noProof/>
            <w:webHidden/>
          </w:rPr>
          <w:t>9</w:t>
        </w:r>
        <w:r w:rsidR="00E03658">
          <w:rPr>
            <w:noProof/>
            <w:webHidden/>
          </w:rPr>
          <w:fldChar w:fldCharType="end"/>
        </w:r>
      </w:hyperlink>
    </w:p>
    <w:p w14:paraId="3B530BDA" w14:textId="1432FB2B" w:rsidR="00E03658" w:rsidRDefault="00A5195B">
      <w:pPr>
        <w:pStyle w:val="TOC1"/>
        <w:rPr>
          <w:rFonts w:asciiTheme="minorHAnsi" w:eastAsiaTheme="minorEastAsia" w:hAnsiTheme="minorHAnsi" w:cstheme="minorBidi"/>
          <w:caps w:val="0"/>
          <w:noProof/>
          <w:szCs w:val="22"/>
          <w:lang w:eastAsia="en-GB"/>
        </w:rPr>
      </w:pPr>
      <w:hyperlink w:anchor="_Toc495310913" w:history="1">
        <w:r w:rsidR="00E03658" w:rsidRPr="004C0DA4">
          <w:rPr>
            <w:rStyle w:val="Hyperlink"/>
            <w:noProof/>
          </w:rPr>
          <w:t>17.</w:t>
        </w:r>
        <w:r w:rsidR="00E03658">
          <w:rPr>
            <w:rFonts w:asciiTheme="minorHAnsi" w:eastAsiaTheme="minorEastAsia" w:hAnsiTheme="minorHAnsi" w:cstheme="minorBidi"/>
            <w:caps w:val="0"/>
            <w:noProof/>
            <w:szCs w:val="22"/>
            <w:lang w:eastAsia="en-GB"/>
          </w:rPr>
          <w:tab/>
        </w:r>
        <w:r w:rsidR="00E03658" w:rsidRPr="004C0DA4">
          <w:rPr>
            <w:rStyle w:val="Hyperlink"/>
            <w:noProof/>
          </w:rPr>
          <w:t>Security requirements</w:t>
        </w:r>
        <w:r w:rsidR="00E03658">
          <w:rPr>
            <w:noProof/>
            <w:webHidden/>
          </w:rPr>
          <w:tab/>
        </w:r>
        <w:r w:rsidR="00E03658">
          <w:rPr>
            <w:noProof/>
            <w:webHidden/>
          </w:rPr>
          <w:fldChar w:fldCharType="begin"/>
        </w:r>
        <w:r w:rsidR="00E03658">
          <w:rPr>
            <w:noProof/>
            <w:webHidden/>
          </w:rPr>
          <w:instrText xml:space="preserve"> PAGEREF _Toc495310913 \h </w:instrText>
        </w:r>
        <w:r w:rsidR="00E03658">
          <w:rPr>
            <w:noProof/>
            <w:webHidden/>
          </w:rPr>
        </w:r>
        <w:r w:rsidR="00E03658">
          <w:rPr>
            <w:noProof/>
            <w:webHidden/>
          </w:rPr>
          <w:fldChar w:fldCharType="separate"/>
        </w:r>
        <w:r w:rsidR="00E03658">
          <w:rPr>
            <w:noProof/>
            <w:webHidden/>
          </w:rPr>
          <w:t>9</w:t>
        </w:r>
        <w:r w:rsidR="00E03658">
          <w:rPr>
            <w:noProof/>
            <w:webHidden/>
          </w:rPr>
          <w:fldChar w:fldCharType="end"/>
        </w:r>
      </w:hyperlink>
    </w:p>
    <w:p w14:paraId="7BFA85D4" w14:textId="02DA57D9" w:rsidR="00E03658" w:rsidRDefault="00A5195B">
      <w:pPr>
        <w:pStyle w:val="TOC1"/>
        <w:rPr>
          <w:rFonts w:asciiTheme="minorHAnsi" w:eastAsiaTheme="minorEastAsia" w:hAnsiTheme="minorHAnsi" w:cstheme="minorBidi"/>
          <w:caps w:val="0"/>
          <w:noProof/>
          <w:szCs w:val="22"/>
          <w:lang w:eastAsia="en-GB"/>
        </w:rPr>
      </w:pPr>
      <w:hyperlink w:anchor="_Toc495310914" w:history="1">
        <w:r w:rsidR="00E03658" w:rsidRPr="004C0DA4">
          <w:rPr>
            <w:rStyle w:val="Hyperlink"/>
            <w:rFonts w:cs="Arial"/>
            <w:noProof/>
          </w:rPr>
          <w:t>18.</w:t>
        </w:r>
        <w:r w:rsidR="00E03658">
          <w:rPr>
            <w:rFonts w:asciiTheme="minorHAnsi" w:eastAsiaTheme="minorEastAsia" w:hAnsiTheme="minorHAnsi" w:cstheme="minorBidi"/>
            <w:caps w:val="0"/>
            <w:noProof/>
            <w:szCs w:val="22"/>
            <w:lang w:eastAsia="en-GB"/>
          </w:rPr>
          <w:tab/>
        </w:r>
        <w:r w:rsidR="00E03658" w:rsidRPr="004C0DA4">
          <w:rPr>
            <w:rStyle w:val="Hyperlink"/>
            <w:rFonts w:cs="Arial"/>
            <w:noProof/>
          </w:rPr>
          <w:t>INTELLECTUAL PROPERTY RIGHTS (IPR)</w:t>
        </w:r>
        <w:r w:rsidR="00E03658">
          <w:rPr>
            <w:noProof/>
            <w:webHidden/>
          </w:rPr>
          <w:tab/>
        </w:r>
        <w:r w:rsidR="00E03658">
          <w:rPr>
            <w:noProof/>
            <w:webHidden/>
          </w:rPr>
          <w:fldChar w:fldCharType="begin"/>
        </w:r>
        <w:r w:rsidR="00E03658">
          <w:rPr>
            <w:noProof/>
            <w:webHidden/>
          </w:rPr>
          <w:instrText xml:space="preserve"> PAGEREF _Toc495310914 \h </w:instrText>
        </w:r>
        <w:r w:rsidR="00E03658">
          <w:rPr>
            <w:noProof/>
            <w:webHidden/>
          </w:rPr>
        </w:r>
        <w:r w:rsidR="00E03658">
          <w:rPr>
            <w:noProof/>
            <w:webHidden/>
          </w:rPr>
          <w:fldChar w:fldCharType="separate"/>
        </w:r>
        <w:r w:rsidR="00E03658">
          <w:rPr>
            <w:noProof/>
            <w:webHidden/>
          </w:rPr>
          <w:t>10</w:t>
        </w:r>
        <w:r w:rsidR="00E03658">
          <w:rPr>
            <w:noProof/>
            <w:webHidden/>
          </w:rPr>
          <w:fldChar w:fldCharType="end"/>
        </w:r>
      </w:hyperlink>
    </w:p>
    <w:p w14:paraId="54ED1BD6" w14:textId="0D68CE4A" w:rsidR="00E03658" w:rsidRDefault="00A5195B">
      <w:pPr>
        <w:pStyle w:val="TOC1"/>
        <w:rPr>
          <w:rFonts w:asciiTheme="minorHAnsi" w:eastAsiaTheme="minorEastAsia" w:hAnsiTheme="minorHAnsi" w:cstheme="minorBidi"/>
          <w:caps w:val="0"/>
          <w:noProof/>
          <w:szCs w:val="22"/>
          <w:lang w:eastAsia="en-GB"/>
        </w:rPr>
      </w:pPr>
      <w:hyperlink w:anchor="_Toc495310915" w:history="1">
        <w:r w:rsidR="00E03658" w:rsidRPr="004C0DA4">
          <w:rPr>
            <w:rStyle w:val="Hyperlink"/>
            <w:rFonts w:cs="Arial"/>
            <w:noProof/>
          </w:rPr>
          <w:t>19.</w:t>
        </w:r>
        <w:r w:rsidR="00E03658">
          <w:rPr>
            <w:rFonts w:asciiTheme="minorHAnsi" w:eastAsiaTheme="minorEastAsia" w:hAnsiTheme="minorHAnsi" w:cstheme="minorBidi"/>
            <w:caps w:val="0"/>
            <w:noProof/>
            <w:szCs w:val="22"/>
            <w:lang w:eastAsia="en-GB"/>
          </w:rPr>
          <w:tab/>
        </w:r>
        <w:r w:rsidR="00E03658" w:rsidRPr="004C0DA4">
          <w:rPr>
            <w:rStyle w:val="Hyperlink"/>
            <w:rFonts w:cs="Arial"/>
            <w:noProof/>
          </w:rPr>
          <w:t>payment</w:t>
        </w:r>
        <w:r w:rsidR="00E03658">
          <w:rPr>
            <w:noProof/>
            <w:webHidden/>
          </w:rPr>
          <w:tab/>
        </w:r>
        <w:r w:rsidR="00E03658">
          <w:rPr>
            <w:noProof/>
            <w:webHidden/>
          </w:rPr>
          <w:fldChar w:fldCharType="begin"/>
        </w:r>
        <w:r w:rsidR="00E03658">
          <w:rPr>
            <w:noProof/>
            <w:webHidden/>
          </w:rPr>
          <w:instrText xml:space="preserve"> PAGEREF _Toc495310915 \h </w:instrText>
        </w:r>
        <w:r w:rsidR="00E03658">
          <w:rPr>
            <w:noProof/>
            <w:webHidden/>
          </w:rPr>
        </w:r>
        <w:r w:rsidR="00E03658">
          <w:rPr>
            <w:noProof/>
            <w:webHidden/>
          </w:rPr>
          <w:fldChar w:fldCharType="separate"/>
        </w:r>
        <w:r w:rsidR="00E03658">
          <w:rPr>
            <w:noProof/>
            <w:webHidden/>
          </w:rPr>
          <w:t>10</w:t>
        </w:r>
        <w:r w:rsidR="00E03658">
          <w:rPr>
            <w:noProof/>
            <w:webHidden/>
          </w:rPr>
          <w:fldChar w:fldCharType="end"/>
        </w:r>
      </w:hyperlink>
    </w:p>
    <w:p w14:paraId="2751CA78" w14:textId="08BEB80B" w:rsidR="00E03658" w:rsidRDefault="00A5195B">
      <w:pPr>
        <w:pStyle w:val="TOC1"/>
        <w:rPr>
          <w:rFonts w:asciiTheme="minorHAnsi" w:eastAsiaTheme="minorEastAsia" w:hAnsiTheme="minorHAnsi" w:cstheme="minorBidi"/>
          <w:caps w:val="0"/>
          <w:noProof/>
          <w:szCs w:val="22"/>
          <w:lang w:eastAsia="en-GB"/>
        </w:rPr>
      </w:pPr>
      <w:hyperlink w:anchor="_Toc495310916" w:history="1">
        <w:r w:rsidR="00E03658" w:rsidRPr="004C0DA4">
          <w:rPr>
            <w:rStyle w:val="Hyperlink"/>
            <w:noProof/>
          </w:rPr>
          <w:t>20.</w:t>
        </w:r>
        <w:r w:rsidR="00E03658">
          <w:rPr>
            <w:rFonts w:asciiTheme="minorHAnsi" w:eastAsiaTheme="minorEastAsia" w:hAnsiTheme="minorHAnsi" w:cstheme="minorBidi"/>
            <w:caps w:val="0"/>
            <w:noProof/>
            <w:szCs w:val="22"/>
            <w:lang w:eastAsia="en-GB"/>
          </w:rPr>
          <w:tab/>
        </w:r>
        <w:r w:rsidR="00E03658" w:rsidRPr="004C0DA4">
          <w:rPr>
            <w:rStyle w:val="Hyperlink"/>
            <w:noProof/>
          </w:rPr>
          <w:t>ADDITIONAL INFORMATION</w:t>
        </w:r>
        <w:r w:rsidR="00E03658">
          <w:rPr>
            <w:noProof/>
            <w:webHidden/>
          </w:rPr>
          <w:tab/>
        </w:r>
        <w:r w:rsidR="00E03658">
          <w:rPr>
            <w:noProof/>
            <w:webHidden/>
          </w:rPr>
          <w:fldChar w:fldCharType="begin"/>
        </w:r>
        <w:r w:rsidR="00E03658">
          <w:rPr>
            <w:noProof/>
            <w:webHidden/>
          </w:rPr>
          <w:instrText xml:space="preserve"> PAGEREF _Toc495310916 \h </w:instrText>
        </w:r>
        <w:r w:rsidR="00E03658">
          <w:rPr>
            <w:noProof/>
            <w:webHidden/>
          </w:rPr>
        </w:r>
        <w:r w:rsidR="00E03658">
          <w:rPr>
            <w:noProof/>
            <w:webHidden/>
          </w:rPr>
          <w:fldChar w:fldCharType="separate"/>
        </w:r>
        <w:r w:rsidR="00E03658">
          <w:rPr>
            <w:noProof/>
            <w:webHidden/>
          </w:rPr>
          <w:t>10</w:t>
        </w:r>
        <w:r w:rsidR="00E03658">
          <w:rPr>
            <w:noProof/>
            <w:webHidden/>
          </w:rPr>
          <w:fldChar w:fldCharType="end"/>
        </w:r>
      </w:hyperlink>
    </w:p>
    <w:p w14:paraId="07D11C63" w14:textId="17A7293C" w:rsidR="00E03658" w:rsidRDefault="00A5195B">
      <w:pPr>
        <w:pStyle w:val="TOC1"/>
        <w:rPr>
          <w:rFonts w:asciiTheme="minorHAnsi" w:eastAsiaTheme="minorEastAsia" w:hAnsiTheme="minorHAnsi" w:cstheme="minorBidi"/>
          <w:caps w:val="0"/>
          <w:noProof/>
          <w:szCs w:val="22"/>
          <w:lang w:eastAsia="en-GB"/>
        </w:rPr>
      </w:pPr>
      <w:hyperlink w:anchor="_Toc495310917" w:history="1">
        <w:r w:rsidR="00E03658" w:rsidRPr="004C0DA4">
          <w:rPr>
            <w:rStyle w:val="Hyperlink"/>
            <w:noProof/>
          </w:rPr>
          <w:t>21.</w:t>
        </w:r>
        <w:r w:rsidR="00E03658">
          <w:rPr>
            <w:rFonts w:asciiTheme="minorHAnsi" w:eastAsiaTheme="minorEastAsia" w:hAnsiTheme="minorHAnsi" w:cstheme="minorBidi"/>
            <w:caps w:val="0"/>
            <w:noProof/>
            <w:szCs w:val="22"/>
            <w:lang w:eastAsia="en-GB"/>
          </w:rPr>
          <w:tab/>
        </w:r>
        <w:r w:rsidR="00E03658" w:rsidRPr="004C0DA4">
          <w:rPr>
            <w:rStyle w:val="Hyperlink"/>
            <w:noProof/>
          </w:rPr>
          <w:t>Location</w:t>
        </w:r>
        <w:r w:rsidR="00E03658">
          <w:rPr>
            <w:noProof/>
            <w:webHidden/>
          </w:rPr>
          <w:tab/>
        </w:r>
        <w:r w:rsidR="00E03658">
          <w:rPr>
            <w:noProof/>
            <w:webHidden/>
          </w:rPr>
          <w:fldChar w:fldCharType="begin"/>
        </w:r>
        <w:r w:rsidR="00E03658">
          <w:rPr>
            <w:noProof/>
            <w:webHidden/>
          </w:rPr>
          <w:instrText xml:space="preserve"> PAGEREF _Toc495310917 \h </w:instrText>
        </w:r>
        <w:r w:rsidR="00E03658">
          <w:rPr>
            <w:noProof/>
            <w:webHidden/>
          </w:rPr>
        </w:r>
        <w:r w:rsidR="00E03658">
          <w:rPr>
            <w:noProof/>
            <w:webHidden/>
          </w:rPr>
          <w:fldChar w:fldCharType="separate"/>
        </w:r>
        <w:r w:rsidR="00E03658">
          <w:rPr>
            <w:noProof/>
            <w:webHidden/>
          </w:rPr>
          <w:t>10</w:t>
        </w:r>
        <w:r w:rsidR="00E03658">
          <w:rPr>
            <w:noProof/>
            <w:webHidden/>
          </w:rPr>
          <w:fldChar w:fldCharType="end"/>
        </w:r>
      </w:hyperlink>
    </w:p>
    <w:p w14:paraId="656F4A80" w14:textId="734B29C5" w:rsidR="00FE18AC" w:rsidRPr="008541D2" w:rsidRDefault="00E10E97" w:rsidP="008541D2">
      <w:pPr>
        <w:spacing w:after="120"/>
        <w:jc w:val="center"/>
        <w:rPr>
          <w:b/>
        </w:rPr>
      </w:pPr>
      <w:r w:rsidRPr="00FA5229">
        <w:rPr>
          <w:rFonts w:cs="Arial"/>
          <w:caps/>
        </w:rPr>
        <w:fldChar w:fldCharType="end"/>
      </w:r>
      <w:bookmarkStart w:id="0" w:name="_Toc297554772"/>
      <w:r w:rsidR="00433AD3">
        <w:rPr>
          <w:szCs w:val="22"/>
        </w:rPr>
        <w:t xml:space="preserve">                                                                                                                                                                                                                                                                                                                                                                                                                                                                                                                                                                                                                                                                                                                                                                                                                                                                                                                                                                                                                                                                                                                                                                                                                                                                                                                                                                                                                                      </w:t>
      </w:r>
      <w:r w:rsidR="00FE18AC">
        <w:rPr>
          <w:szCs w:val="22"/>
        </w:rPr>
        <w:br w:type="page"/>
      </w:r>
    </w:p>
    <w:p w14:paraId="7989F07B" w14:textId="439263FB" w:rsidR="00FE18AC" w:rsidRPr="00CE295C" w:rsidRDefault="00FE18AC" w:rsidP="009762BE">
      <w:pPr>
        <w:pStyle w:val="Heading1"/>
        <w:tabs>
          <w:tab w:val="clear" w:pos="720"/>
        </w:tabs>
        <w:overflowPunct w:val="0"/>
        <w:autoSpaceDE w:val="0"/>
        <w:autoSpaceDN w:val="0"/>
        <w:spacing w:after="120"/>
        <w:textAlignment w:val="baseline"/>
        <w:rPr>
          <w:szCs w:val="22"/>
        </w:rPr>
      </w:pPr>
      <w:bookmarkStart w:id="1" w:name="_Toc368573027"/>
      <w:bookmarkStart w:id="2" w:name="_Toc495310897"/>
      <w:r w:rsidRPr="009762BE">
        <w:rPr>
          <w:szCs w:val="22"/>
        </w:rPr>
        <w:lastRenderedPageBreak/>
        <w:t>PURPOSE</w:t>
      </w:r>
      <w:bookmarkEnd w:id="0"/>
      <w:bookmarkEnd w:id="1"/>
      <w:bookmarkEnd w:id="2"/>
    </w:p>
    <w:p w14:paraId="3BDB92AC" w14:textId="412AF009" w:rsidR="00FE18AC" w:rsidRPr="000C5836" w:rsidRDefault="00262C6F" w:rsidP="008F3470">
      <w:pPr>
        <w:pStyle w:val="Heading2"/>
        <w:tabs>
          <w:tab w:val="clear" w:pos="720"/>
          <w:tab w:val="num" w:pos="709"/>
        </w:tabs>
        <w:overflowPunct w:val="0"/>
        <w:autoSpaceDE w:val="0"/>
        <w:autoSpaceDN w:val="0"/>
        <w:spacing w:after="120"/>
        <w:ind w:left="709" w:hanging="709"/>
        <w:textAlignment w:val="baseline"/>
        <w:rPr>
          <w:szCs w:val="22"/>
        </w:rPr>
      </w:pPr>
      <w:bookmarkStart w:id="3" w:name="_Toc296415791"/>
      <w:r w:rsidRPr="000C5836">
        <w:rPr>
          <w:szCs w:val="22"/>
        </w:rPr>
        <w:t>The Department for Communities and Local Government (DCLG) (hereafter referred to as The Authority) requires a Supplier to conduct a data collection and modelling exercise into drivers of children’s services ‘need to spend’.  The study will comprise:</w:t>
      </w:r>
    </w:p>
    <w:p w14:paraId="27476189" w14:textId="023E790D" w:rsidR="00262C6F" w:rsidRPr="000C5836" w:rsidRDefault="000C5836" w:rsidP="00262C6F">
      <w:pPr>
        <w:pStyle w:val="Heading3"/>
      </w:pPr>
      <w:r w:rsidRPr="000C5836">
        <w:t xml:space="preserve">Design and collection of sub-LA level data (proposed </w:t>
      </w:r>
      <w:r w:rsidR="00231DA8">
        <w:t>Lower Super Output Area (</w:t>
      </w:r>
      <w:r w:rsidRPr="000C5836">
        <w:t>LSOA</w:t>
      </w:r>
      <w:r w:rsidR="00231DA8">
        <w:t>)</w:t>
      </w:r>
      <w:r w:rsidRPr="000C5836">
        <w:t xml:space="preserve"> level), from a sample of authorities, on Children’s Services activity.  The cleaning and interrogation of the data to produce an activity dataset.</w:t>
      </w:r>
    </w:p>
    <w:p w14:paraId="0C414029" w14:textId="32A14081" w:rsidR="000C5836" w:rsidRPr="000C5836" w:rsidRDefault="000C5836" w:rsidP="00262C6F">
      <w:pPr>
        <w:pStyle w:val="Heading3"/>
      </w:pPr>
      <w:r w:rsidRPr="000C5836">
        <w:t>Design and building of a multi-level model to indicate the relative ‘need to spend’ of authorities on Children’s Services.</w:t>
      </w:r>
    </w:p>
    <w:p w14:paraId="7196B137" w14:textId="77777777" w:rsidR="00671798" w:rsidRPr="004E78BC" w:rsidRDefault="00FE18AC">
      <w:pPr>
        <w:pStyle w:val="Heading1"/>
        <w:tabs>
          <w:tab w:val="clear" w:pos="720"/>
        </w:tabs>
        <w:overflowPunct w:val="0"/>
        <w:autoSpaceDE w:val="0"/>
        <w:autoSpaceDN w:val="0"/>
        <w:spacing w:after="120"/>
        <w:textAlignment w:val="baseline"/>
        <w:rPr>
          <w:szCs w:val="22"/>
        </w:rPr>
      </w:pPr>
      <w:bookmarkStart w:id="4" w:name="_Toc368573028"/>
      <w:bookmarkStart w:id="5" w:name="_Toc495310898"/>
      <w:bookmarkStart w:id="6" w:name="_Toc297554773"/>
      <w:bookmarkStart w:id="7" w:name="_Toc296415805"/>
      <w:bookmarkStart w:id="8" w:name="_Toc296415793"/>
      <w:bookmarkEnd w:id="3"/>
      <w:r w:rsidRPr="004E78BC">
        <w:rPr>
          <w:szCs w:val="22"/>
        </w:rPr>
        <w:t>BACKGROUND TO THE CONTRACTING aUTHORITY</w:t>
      </w:r>
      <w:bookmarkEnd w:id="4"/>
      <w:bookmarkEnd w:id="5"/>
    </w:p>
    <w:p w14:paraId="3D1977ED" w14:textId="5678D7C5" w:rsidR="00671798" w:rsidRPr="000A4F69" w:rsidRDefault="000C5836">
      <w:pPr>
        <w:pStyle w:val="Heading2"/>
        <w:tabs>
          <w:tab w:val="clear" w:pos="720"/>
          <w:tab w:val="num" w:pos="709"/>
        </w:tabs>
        <w:spacing w:after="120"/>
        <w:ind w:left="709" w:hanging="709"/>
      </w:pPr>
      <w:r w:rsidRPr="000A4F69">
        <w:t>The Authority is a ministerial department, supported by 11 agencies and public bodies.</w:t>
      </w:r>
    </w:p>
    <w:p w14:paraId="19546A25" w14:textId="4023288E" w:rsidR="000C5836" w:rsidRPr="000A4F69" w:rsidRDefault="000C5836">
      <w:pPr>
        <w:pStyle w:val="Heading2"/>
        <w:tabs>
          <w:tab w:val="clear" w:pos="720"/>
          <w:tab w:val="num" w:pos="709"/>
        </w:tabs>
        <w:spacing w:after="120"/>
        <w:ind w:left="709" w:hanging="709"/>
      </w:pPr>
      <w:r w:rsidRPr="000A4F69">
        <w:t>The Authority’s job is to create great places to work and give more power to local people to shape what happens in their local area.  Key responsibilities include driving up housing supply; increasing home ownership; devolving powers and budget to boost local growth in England; and supporting strong communities with excellent public services.</w:t>
      </w:r>
    </w:p>
    <w:p w14:paraId="3B8D8B3B" w14:textId="7EF04D82" w:rsidR="000C5836" w:rsidRPr="000A4F69" w:rsidRDefault="000A4F69">
      <w:pPr>
        <w:pStyle w:val="Heading2"/>
        <w:tabs>
          <w:tab w:val="clear" w:pos="720"/>
          <w:tab w:val="num" w:pos="709"/>
        </w:tabs>
        <w:spacing w:after="120"/>
        <w:ind w:left="709" w:hanging="709"/>
      </w:pPr>
      <w:r w:rsidRPr="000A4F69">
        <w:t>This research links to the Authority’s key aim of supporting strong communities with excellent public services.</w:t>
      </w:r>
    </w:p>
    <w:p w14:paraId="151A9D23" w14:textId="77777777" w:rsidR="00FE18AC" w:rsidRPr="002C546C" w:rsidRDefault="00FE18AC" w:rsidP="008F3470">
      <w:pPr>
        <w:pStyle w:val="Heading1"/>
        <w:tabs>
          <w:tab w:val="clear" w:pos="720"/>
        </w:tabs>
        <w:overflowPunct w:val="0"/>
        <w:autoSpaceDE w:val="0"/>
        <w:autoSpaceDN w:val="0"/>
        <w:spacing w:after="120"/>
        <w:textAlignment w:val="baseline"/>
        <w:rPr>
          <w:szCs w:val="22"/>
        </w:rPr>
      </w:pPr>
      <w:bookmarkStart w:id="9" w:name="_Toc368573029"/>
      <w:bookmarkStart w:id="10" w:name="_Toc495310899"/>
      <w:r>
        <w:rPr>
          <w:szCs w:val="22"/>
        </w:rPr>
        <w:t>Background to requirement/</w:t>
      </w:r>
      <w:r w:rsidRPr="002C546C">
        <w:rPr>
          <w:szCs w:val="22"/>
        </w:rPr>
        <w:t>OVERVIEW</w:t>
      </w:r>
      <w:bookmarkEnd w:id="6"/>
      <w:r>
        <w:rPr>
          <w:szCs w:val="22"/>
        </w:rPr>
        <w:t xml:space="preserve"> of requirement</w:t>
      </w:r>
      <w:bookmarkEnd w:id="9"/>
      <w:bookmarkEnd w:id="10"/>
    </w:p>
    <w:p w14:paraId="1E55B441" w14:textId="38F2931D" w:rsidR="00675D88" w:rsidRDefault="00675D88">
      <w:pPr>
        <w:pStyle w:val="Heading2"/>
      </w:pPr>
      <w:bookmarkStart w:id="11" w:name="_Toc297554774"/>
      <w:bookmarkStart w:id="12" w:name="_Toc368573030"/>
      <w:bookmarkEnd w:id="7"/>
      <w:r w:rsidRPr="00675D88">
        <w:t xml:space="preserve">The Government has made a commitment to review local government funding through the Fair Funding Review.  </w:t>
      </w:r>
      <w:r>
        <w:t>This is a wholesale review of the way in which a quantum of funding is allocated across funded authorities (Shire Counties, Metropolitan Districts, Unitary Authorities, Shire Districts, London Boroughs</w:t>
      </w:r>
      <w:r w:rsidR="00F04B56">
        <w:t>,</w:t>
      </w:r>
      <w:r w:rsidR="00314D6F">
        <w:t xml:space="preserve"> </w:t>
      </w:r>
      <w:r>
        <w:t>Fire Authorities</w:t>
      </w:r>
      <w:r w:rsidR="00F04B56">
        <w:t>, the Greater London Authority and Combined Authorities</w:t>
      </w:r>
      <w:r>
        <w:t>).  Funding to date has been distributed through a number of Relative Needs Formulas, which aim to assess the re</w:t>
      </w:r>
      <w:r w:rsidR="004E6724">
        <w:t>lative ‘need to spend’ of each A</w:t>
      </w:r>
      <w:r>
        <w:t xml:space="preserve">uthority and distribute the quantum of funding according to this.  Further information about the current system can be found in the Local Government </w:t>
      </w:r>
      <w:r w:rsidR="009E3F97">
        <w:t>Finance report.</w:t>
      </w:r>
      <w:r>
        <w:t xml:space="preserve"> </w:t>
      </w:r>
      <w:hyperlink r:id="rId9" w:history="1">
        <w:r w:rsidR="004B7F08" w:rsidRPr="004B7F08">
          <w:rPr>
            <w:rStyle w:val="Hyperlink"/>
          </w:rPr>
          <w:t>https://www.gov.uk/government/uploads/system/uploads/attachment_data/file/498420/HC789_Local_government_finance_report.pdf</w:t>
        </w:r>
      </w:hyperlink>
    </w:p>
    <w:p w14:paraId="0DD5E348" w14:textId="3035D045" w:rsidR="00745EA0" w:rsidRDefault="00675D88" w:rsidP="00745EA0">
      <w:pPr>
        <w:pStyle w:val="Heading2"/>
      </w:pPr>
      <w:r w:rsidRPr="00675D88">
        <w:t>The Fair Funding Review is currently considering whether service specific funding may be most appropriate in some areas.  Children’s Services has been identified as an area that may benefit from a more detailed approach</w:t>
      </w:r>
      <w:r w:rsidR="003E2377">
        <w:t xml:space="preserve"> to measuring relative need</w:t>
      </w:r>
      <w:r w:rsidRPr="00675D88">
        <w:t>.  It is one of the larger areas of service spend for local government, totalling around £</w:t>
      </w:r>
      <w:r w:rsidR="00AC4711">
        <w:t>11</w:t>
      </w:r>
      <w:r w:rsidRPr="00675D88">
        <w:t>bn per year and receives a high level of scrutiny.</w:t>
      </w:r>
    </w:p>
    <w:p w14:paraId="75C4E73C" w14:textId="60F95DD1" w:rsidR="00675D88" w:rsidRPr="00675D88" w:rsidRDefault="00556CF9" w:rsidP="00745EA0">
      <w:pPr>
        <w:pStyle w:val="Heading2"/>
      </w:pPr>
      <w:r>
        <w:t>This proposed research and</w:t>
      </w:r>
      <w:r w:rsidR="00953768">
        <w:t xml:space="preserve"> model w</w:t>
      </w:r>
      <w:r w:rsidR="004A5CFD">
        <w:t>ill</w:t>
      </w:r>
      <w:r w:rsidR="00953768">
        <w:t xml:space="preserve"> focus on </w:t>
      </w:r>
      <w:r w:rsidR="006308E6">
        <w:t>children’s social care spending,</w:t>
      </w:r>
      <w:r w:rsidR="00953768">
        <w:t xml:space="preserve"> which is the biggest service pressure within</w:t>
      </w:r>
      <w:r w:rsidR="004A5CFD">
        <w:t xml:space="preserve"> </w:t>
      </w:r>
      <w:r w:rsidR="00231DA8">
        <w:t>Local Authority (</w:t>
      </w:r>
      <w:r w:rsidR="004A5CFD">
        <w:t>LA</w:t>
      </w:r>
      <w:r w:rsidR="00231DA8">
        <w:t>)</w:t>
      </w:r>
      <w:r w:rsidR="00953768">
        <w:t xml:space="preserve"> Children’s Services</w:t>
      </w:r>
      <w:r w:rsidR="004A5CFD">
        <w:t>,</w:t>
      </w:r>
      <w:r w:rsidR="006308E6">
        <w:t xml:space="preserve"> however </w:t>
      </w:r>
      <w:r w:rsidR="004A5CFD">
        <w:t>it</w:t>
      </w:r>
      <w:r w:rsidR="006308E6">
        <w:t xml:space="preserve"> will also need to account for ‘need to spend’ on other functions such as Early Intervention funding, Youth and Community funding and funding to meet authorities’ statutory home to school transport responsibilities.  Further details on the breakdown of Children’s Services spending can be found in the </w:t>
      </w:r>
      <w:r w:rsidR="00231DA8">
        <w:t xml:space="preserve">Department for </w:t>
      </w:r>
      <w:r w:rsidR="00231DA8">
        <w:lastRenderedPageBreak/>
        <w:t>Education (</w:t>
      </w:r>
      <w:r w:rsidR="00745EA0">
        <w:t>DfE</w:t>
      </w:r>
      <w:r w:rsidR="00231DA8">
        <w:t>) s</w:t>
      </w:r>
      <w:r w:rsidR="00745EA0">
        <w:t xml:space="preserve">ection 251 data return from Local Authorities </w:t>
      </w:r>
      <w:hyperlink r:id="rId10" w:history="1">
        <w:r w:rsidR="00745EA0" w:rsidRPr="00745EA0">
          <w:rPr>
            <w:rStyle w:val="Hyperlink"/>
          </w:rPr>
          <w:t>https://www.gov.uk/guidance/section-251-2016-to-2017</w:t>
        </w:r>
      </w:hyperlink>
    </w:p>
    <w:p w14:paraId="1DE7F13E" w14:textId="5B941A52" w:rsidR="00675D88" w:rsidRPr="00675D88" w:rsidRDefault="004A5CFD" w:rsidP="00675D88">
      <w:pPr>
        <w:pStyle w:val="Heading2"/>
        <w:spacing w:after="120"/>
        <w:ind w:left="709" w:hanging="709"/>
      </w:pPr>
      <w:r>
        <w:t>During an initial scoping phase, the</w:t>
      </w:r>
      <w:r w:rsidR="00675D88" w:rsidRPr="00675D88">
        <w:t xml:space="preserve"> Fair Funding </w:t>
      </w:r>
      <w:r>
        <w:t xml:space="preserve">produced </w:t>
      </w:r>
      <w:r w:rsidR="00675D88" w:rsidRPr="00675D88">
        <w:t xml:space="preserve">options </w:t>
      </w:r>
      <w:r>
        <w:t xml:space="preserve">appraisal </w:t>
      </w:r>
      <w:r w:rsidR="00675D88" w:rsidRPr="00675D88">
        <w:t>papers for specific service areas</w:t>
      </w:r>
      <w:r>
        <w:t xml:space="preserve"> during the </w:t>
      </w:r>
      <w:r w:rsidR="00DC5BEC">
        <w:t>spring</w:t>
      </w:r>
      <w:r>
        <w:t xml:space="preserve"> of 2017</w:t>
      </w:r>
      <w:r w:rsidR="00675D88" w:rsidRPr="00675D88">
        <w:t xml:space="preserve">.  These </w:t>
      </w:r>
      <w:r>
        <w:t>were</w:t>
      </w:r>
      <w:r w:rsidR="00675D88" w:rsidRPr="00675D88">
        <w:t xml:space="preserve"> prepared in close partnership with other </w:t>
      </w:r>
      <w:r>
        <w:t>Government D</w:t>
      </w:r>
      <w:r w:rsidRPr="00675D88">
        <w:t xml:space="preserve">epartments </w:t>
      </w:r>
      <w:r w:rsidR="00556CF9">
        <w:t xml:space="preserve">with respective policy interests, such as </w:t>
      </w:r>
      <w:r w:rsidR="00231DA8">
        <w:t>(</w:t>
      </w:r>
      <w:r w:rsidR="00556CF9">
        <w:t>DfE</w:t>
      </w:r>
      <w:r w:rsidR="00231DA8">
        <w:t>)</w:t>
      </w:r>
      <w:r w:rsidR="00675D88">
        <w:t>.</w:t>
      </w:r>
    </w:p>
    <w:p w14:paraId="661EA885" w14:textId="447ACFDD" w:rsidR="00675D88" w:rsidRPr="00675D88" w:rsidRDefault="00675D88" w:rsidP="00675D88">
      <w:pPr>
        <w:pStyle w:val="Heading2"/>
        <w:spacing w:after="120"/>
        <w:ind w:left="709" w:hanging="709"/>
      </w:pPr>
      <w:r w:rsidRPr="00675D88">
        <w:t xml:space="preserve">While a final decision on which options to </w:t>
      </w:r>
      <w:r w:rsidR="00556CF9">
        <w:t>carry</w:t>
      </w:r>
      <w:r w:rsidR="00556CF9" w:rsidRPr="00675D88">
        <w:t xml:space="preserve"> </w:t>
      </w:r>
      <w:r w:rsidRPr="00675D88">
        <w:t xml:space="preserve">forward will need to be made </w:t>
      </w:r>
      <w:r w:rsidR="00556CF9">
        <w:t>by Ministers</w:t>
      </w:r>
      <w:r w:rsidRPr="00675D88">
        <w:t xml:space="preserve">, </w:t>
      </w:r>
      <w:r w:rsidR="00556CF9">
        <w:t>the most</w:t>
      </w:r>
      <w:r>
        <w:t xml:space="preserve"> analytically </w:t>
      </w:r>
      <w:r w:rsidR="00556CF9">
        <w:t xml:space="preserve">robust </w:t>
      </w:r>
      <w:r w:rsidRPr="00675D88">
        <w:t xml:space="preserve">option for </w:t>
      </w:r>
      <w:r w:rsidR="00556CF9">
        <w:t xml:space="preserve">measuring need for </w:t>
      </w:r>
      <w:r w:rsidRPr="00675D88">
        <w:t xml:space="preserve">Children’s Services </w:t>
      </w:r>
      <w:r>
        <w:t xml:space="preserve">would be the development of a multi-level model </w:t>
      </w:r>
      <w:r w:rsidR="00231DA8">
        <w:t>at a low geographical level (</w:t>
      </w:r>
      <w:r w:rsidRPr="00675D88">
        <w:t xml:space="preserve">LSOA). This level of detail is appropriate for such </w:t>
      </w:r>
      <w:r w:rsidR="00556CF9">
        <w:t>a</w:t>
      </w:r>
      <w:r w:rsidRPr="00675D88">
        <w:t xml:space="preserve"> high cost, difficult to predict </w:t>
      </w:r>
      <w:r w:rsidR="00556CF9">
        <w:t xml:space="preserve">area of funding </w:t>
      </w:r>
      <w:r w:rsidRPr="00675D88">
        <w:t>and w</w:t>
      </w:r>
      <w:r w:rsidR="00556CF9">
        <w:t>hich</w:t>
      </w:r>
      <w:r w:rsidRPr="00675D88">
        <w:t xml:space="preserve"> receive</w:t>
      </w:r>
      <w:r w:rsidR="00556CF9">
        <w:t>s</w:t>
      </w:r>
      <w:r w:rsidRPr="00675D88">
        <w:t xml:space="preserve"> high levels of public scrutiny. This is </w:t>
      </w:r>
      <w:r w:rsidR="004022A5">
        <w:t xml:space="preserve">broadly </w:t>
      </w:r>
      <w:r w:rsidRPr="00675D88">
        <w:t>consistent wi</w:t>
      </w:r>
      <w:r w:rsidR="004022A5">
        <w:t>th the current formula approach, which has a multi-level model based on OA level data.</w:t>
      </w:r>
    </w:p>
    <w:p w14:paraId="4133DDB8" w14:textId="36851EC3" w:rsidR="00675D88" w:rsidRPr="00675D88" w:rsidRDefault="00675D88" w:rsidP="00675D88">
      <w:pPr>
        <w:pStyle w:val="Heading2"/>
        <w:spacing w:after="120"/>
        <w:ind w:left="709" w:hanging="709"/>
      </w:pPr>
      <w:r w:rsidRPr="00675D88">
        <w:t>The Department of Health conducted a similar large scale data collection exercise for Adult S</w:t>
      </w:r>
      <w:r w:rsidR="004022A5">
        <w:t>ocial Care in 201</w:t>
      </w:r>
      <w:r w:rsidR="002F33AC">
        <w:t>2.</w:t>
      </w:r>
    </w:p>
    <w:p w14:paraId="53D34CBD" w14:textId="62CCB629" w:rsidR="007E0D74" w:rsidRDefault="00AC3E76" w:rsidP="005F5BEB">
      <w:pPr>
        <w:pStyle w:val="Heading2"/>
        <w:spacing w:after="120"/>
        <w:ind w:left="709" w:hanging="709"/>
      </w:pPr>
      <w:r>
        <w:t>The purpose of this R</w:t>
      </w:r>
      <w:r w:rsidR="00793CE3">
        <w:t xml:space="preserve">esearch </w:t>
      </w:r>
      <w:r>
        <w:t xml:space="preserve">Project required by DCLG </w:t>
      </w:r>
      <w:r w:rsidR="00793CE3">
        <w:t>is split into two phases</w:t>
      </w:r>
      <w:r w:rsidR="007E0D74">
        <w:t>:</w:t>
      </w:r>
    </w:p>
    <w:p w14:paraId="6A69490E" w14:textId="2EB7C90A" w:rsidR="007E0D74" w:rsidRDefault="007E0D74" w:rsidP="007E0D74">
      <w:pPr>
        <w:pStyle w:val="Heading3"/>
      </w:pPr>
      <w:r>
        <w:t xml:space="preserve">Phase </w:t>
      </w:r>
      <w:r w:rsidR="002F5547">
        <w:t>1</w:t>
      </w:r>
      <w:r w:rsidR="0075747E">
        <w:t>: To produce</w:t>
      </w:r>
      <w:r>
        <w:t xml:space="preserve"> a </w:t>
      </w:r>
      <w:r w:rsidR="002F33AC">
        <w:t>cleaned data file from the data collection part of the exercise</w:t>
      </w:r>
      <w:r>
        <w:t>,</w:t>
      </w:r>
      <w:r w:rsidR="002F33AC">
        <w:t xml:space="preserve"> which can be shared by both DCLG and DfE colleagues</w:t>
      </w:r>
      <w:r>
        <w:t xml:space="preserve">.  This </w:t>
      </w:r>
      <w:r w:rsidR="006308E6">
        <w:t xml:space="preserve">will </w:t>
      </w:r>
      <w:r w:rsidR="002F33AC">
        <w:t>provide contemporary data on activity within the Children’s</w:t>
      </w:r>
      <w:r>
        <w:t xml:space="preserve"> Services sector.</w:t>
      </w:r>
    </w:p>
    <w:p w14:paraId="213532AF" w14:textId="696BC7DB" w:rsidR="006308E6" w:rsidRDefault="007E0D74" w:rsidP="007E0D74">
      <w:pPr>
        <w:pStyle w:val="Heading3"/>
      </w:pPr>
      <w:r>
        <w:t xml:space="preserve">Phase </w:t>
      </w:r>
      <w:r w:rsidR="002F5547">
        <w:t>2</w:t>
      </w:r>
      <w:r>
        <w:t xml:space="preserve"> will comprise a </w:t>
      </w:r>
      <w:r w:rsidR="002F33AC">
        <w:t xml:space="preserve">multi-level model specified </w:t>
      </w:r>
      <w:r w:rsidR="006308E6">
        <w:t xml:space="preserve">from </w:t>
      </w:r>
      <w:r>
        <w:t xml:space="preserve">the Phase One </w:t>
      </w:r>
      <w:r w:rsidR="006308E6">
        <w:t>data</w:t>
      </w:r>
      <w:r>
        <w:t>,</w:t>
      </w:r>
      <w:r w:rsidR="006308E6">
        <w:t xml:space="preserve"> in order to exemplify funding allocations using this methodology.</w:t>
      </w:r>
    </w:p>
    <w:p w14:paraId="34CD7612" w14:textId="5BA861C4" w:rsidR="007E0D74" w:rsidRDefault="007E0D74" w:rsidP="005F5BEB">
      <w:pPr>
        <w:pStyle w:val="Heading2"/>
        <w:spacing w:after="120"/>
        <w:ind w:left="709" w:hanging="709"/>
      </w:pPr>
      <w:r>
        <w:t xml:space="preserve">The Authority expects that the project will continue to Phase Two, however they would require a break clause in the contract if, for any reason, </w:t>
      </w:r>
      <w:r w:rsidR="00FB2B55">
        <w:t>the Authority decides not to proceed</w:t>
      </w:r>
      <w:r>
        <w:t>.</w:t>
      </w:r>
    </w:p>
    <w:p w14:paraId="7EEF18CE" w14:textId="450A1C37" w:rsidR="005F5BEB" w:rsidRDefault="006308E6" w:rsidP="005F5BEB">
      <w:pPr>
        <w:pStyle w:val="Heading2"/>
        <w:spacing w:after="120"/>
        <w:ind w:left="709" w:hanging="709"/>
      </w:pPr>
      <w:r>
        <w:t xml:space="preserve">It is </w:t>
      </w:r>
      <w:r w:rsidR="00675D88" w:rsidRPr="00675D88">
        <w:t>important to emphasise that the purpose of conducting this work is to avoid closing down possible options for potential implementation in 2020/21</w:t>
      </w:r>
      <w:r w:rsidR="00A539CE">
        <w:t>.</w:t>
      </w:r>
      <w:r w:rsidR="00675D88" w:rsidRPr="00675D88">
        <w:t xml:space="preserve"> </w:t>
      </w:r>
      <w:r w:rsidR="00A539CE">
        <w:t>It will</w:t>
      </w:r>
      <w:r w:rsidR="00796456">
        <w:t xml:space="preserve"> </w:t>
      </w:r>
      <w:r w:rsidR="00675D88" w:rsidRPr="00675D88">
        <w:t>provide the data and evidence needed for what we consider to be the strongest and most defensible analytical option for this service area</w:t>
      </w:r>
      <w:r w:rsidR="00A539CE">
        <w:t>, although</w:t>
      </w:r>
      <w:r>
        <w:t xml:space="preserve"> </w:t>
      </w:r>
      <w:r w:rsidR="00A539CE">
        <w:t>whether</w:t>
      </w:r>
      <w:r>
        <w:t xml:space="preserve"> we </w:t>
      </w:r>
      <w:r w:rsidR="00A539CE">
        <w:t>use</w:t>
      </w:r>
      <w:r>
        <w:t xml:space="preserve"> this model for the final allocation process</w:t>
      </w:r>
      <w:r w:rsidR="00A539CE">
        <w:t xml:space="preserve"> is for Ministers to decide</w:t>
      </w:r>
      <w:r>
        <w:t xml:space="preserve">.  As there are likely to be changes in the input data for a model between the exemplification required by this project and the final </w:t>
      </w:r>
      <w:r w:rsidR="00745EA0">
        <w:t>allocations, the model provided should allow DCLG analysts to run updated allocations based on new data</w:t>
      </w:r>
      <w:r w:rsidR="007E0D74">
        <w:t xml:space="preserve"> inputs, where and if required.</w:t>
      </w:r>
    </w:p>
    <w:p w14:paraId="60941BC6" w14:textId="792D9121" w:rsidR="007E0D74" w:rsidRPr="00E11FF7" w:rsidRDefault="007E0D74" w:rsidP="005F5BEB">
      <w:pPr>
        <w:pStyle w:val="Heading2"/>
        <w:spacing w:after="120"/>
        <w:ind w:left="709" w:hanging="709"/>
      </w:pPr>
      <w:r>
        <w:t xml:space="preserve">The Authority would expect the potential provider to produce an engagement plan, detailing how best to engage a suitable sample of Local Authorities in the data collection work and </w:t>
      </w:r>
      <w:r w:rsidRPr="00E11FF7">
        <w:t>how to maintain this engagement over the course of the project.</w:t>
      </w:r>
    </w:p>
    <w:p w14:paraId="59EAF2CE" w14:textId="71450A7E" w:rsidR="007E0D74" w:rsidRPr="00E11FF7" w:rsidRDefault="007E0D74" w:rsidP="005F5BEB">
      <w:pPr>
        <w:pStyle w:val="Heading2"/>
        <w:spacing w:after="120"/>
        <w:ind w:left="709" w:hanging="709"/>
      </w:pPr>
      <w:r w:rsidRPr="00E11FF7">
        <w:t xml:space="preserve">The Authority will require outputs </w:t>
      </w:r>
      <w:r w:rsidRPr="00FF7D8D">
        <w:t>as detailed in 6.7</w:t>
      </w:r>
      <w:r w:rsidRPr="00E11FF7">
        <w:t>.</w:t>
      </w:r>
    </w:p>
    <w:p w14:paraId="12FCC51B" w14:textId="7E8B639A" w:rsidR="007E0D74" w:rsidRDefault="007E0D74">
      <w:pPr>
        <w:rPr>
          <w:rFonts w:eastAsia="STZhongsong"/>
          <w:b/>
          <w:caps/>
          <w:szCs w:val="22"/>
        </w:rPr>
      </w:pPr>
      <w:r>
        <w:rPr>
          <w:szCs w:val="22"/>
        </w:rPr>
        <w:br w:type="page"/>
      </w:r>
    </w:p>
    <w:p w14:paraId="081CFAE7" w14:textId="796E71CA" w:rsidR="00C4233A" w:rsidRDefault="00106F24" w:rsidP="00675D88">
      <w:pPr>
        <w:pStyle w:val="Heading1"/>
        <w:rPr>
          <w:szCs w:val="22"/>
        </w:rPr>
      </w:pPr>
      <w:bookmarkStart w:id="13" w:name="_Toc495310900"/>
      <w:r>
        <w:rPr>
          <w:szCs w:val="22"/>
        </w:rPr>
        <w:lastRenderedPageBreak/>
        <w:t>definitions</w:t>
      </w:r>
      <w:bookmarkEnd w:id="13"/>
      <w:r>
        <w:rPr>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106F24" w14:paraId="553CCD95" w14:textId="77777777" w:rsidTr="00106F24">
        <w:tc>
          <w:tcPr>
            <w:tcW w:w="1827" w:type="dxa"/>
            <w:shd w:val="clear" w:color="auto" w:fill="C6D9F1" w:themeFill="text2" w:themeFillTint="33"/>
          </w:tcPr>
          <w:p w14:paraId="2E04E555" w14:textId="1E410DA5" w:rsidR="00106F24" w:rsidRPr="006308E6" w:rsidRDefault="00106F24" w:rsidP="0081061A">
            <w:pPr>
              <w:pStyle w:val="Heading2"/>
              <w:numPr>
                <w:ilvl w:val="0"/>
                <w:numId w:val="0"/>
              </w:numPr>
              <w:spacing w:after="120"/>
              <w:ind w:left="18" w:hanging="18"/>
              <w:jc w:val="left"/>
              <w:outlineLvl w:val="1"/>
            </w:pPr>
            <w:r w:rsidRPr="006308E6">
              <w:t>Expression</w:t>
            </w:r>
            <w:r w:rsidR="0081061A" w:rsidRPr="006308E6">
              <w:t xml:space="preserve"> or </w:t>
            </w:r>
            <w:r w:rsidRPr="006308E6">
              <w:t>Acronym</w:t>
            </w:r>
          </w:p>
        </w:tc>
        <w:tc>
          <w:tcPr>
            <w:tcW w:w="6472" w:type="dxa"/>
            <w:shd w:val="clear" w:color="auto" w:fill="C6D9F1" w:themeFill="text2" w:themeFillTint="33"/>
          </w:tcPr>
          <w:p w14:paraId="0CDEAA6D" w14:textId="00739683" w:rsidR="00106F24" w:rsidRPr="006308E6" w:rsidRDefault="00106F24" w:rsidP="0081061A">
            <w:pPr>
              <w:pStyle w:val="Heading2"/>
              <w:numPr>
                <w:ilvl w:val="0"/>
                <w:numId w:val="0"/>
              </w:numPr>
              <w:spacing w:after="120"/>
              <w:ind w:left="720" w:hanging="720"/>
              <w:outlineLvl w:val="1"/>
            </w:pPr>
            <w:r w:rsidRPr="006308E6">
              <w:t>Definition</w:t>
            </w:r>
          </w:p>
        </w:tc>
      </w:tr>
      <w:tr w:rsidR="00106F24" w14:paraId="722819D3" w14:textId="77777777" w:rsidTr="00106F24">
        <w:tc>
          <w:tcPr>
            <w:tcW w:w="1827" w:type="dxa"/>
          </w:tcPr>
          <w:p w14:paraId="18A7B53F" w14:textId="1C52EDA3" w:rsidR="00106F24" w:rsidRPr="006308E6" w:rsidRDefault="000C5836" w:rsidP="0081061A">
            <w:pPr>
              <w:pStyle w:val="Heading2"/>
              <w:numPr>
                <w:ilvl w:val="0"/>
                <w:numId w:val="0"/>
              </w:numPr>
              <w:spacing w:after="120"/>
              <w:ind w:left="720" w:hanging="720"/>
              <w:outlineLvl w:val="1"/>
            </w:pPr>
            <w:r w:rsidRPr="006308E6">
              <w:t>DCLG</w:t>
            </w:r>
          </w:p>
        </w:tc>
        <w:tc>
          <w:tcPr>
            <w:tcW w:w="6472" w:type="dxa"/>
          </w:tcPr>
          <w:p w14:paraId="74E0E117" w14:textId="1169C746" w:rsidR="00106F24" w:rsidRPr="006308E6" w:rsidRDefault="00040594" w:rsidP="000C5836">
            <w:pPr>
              <w:pStyle w:val="Heading2"/>
              <w:numPr>
                <w:ilvl w:val="0"/>
                <w:numId w:val="0"/>
              </w:numPr>
              <w:spacing w:after="120"/>
              <w:outlineLvl w:val="1"/>
            </w:pPr>
            <w:r>
              <w:t>Means</w:t>
            </w:r>
            <w:r w:rsidR="006308E6">
              <w:t xml:space="preserve"> the</w:t>
            </w:r>
            <w:r w:rsidR="0036555C" w:rsidRPr="006308E6">
              <w:t xml:space="preserve"> </w:t>
            </w:r>
            <w:r w:rsidR="000C5836" w:rsidRPr="006308E6">
              <w:t>Department for Communities and Local Government, also referred to as The Authority</w:t>
            </w:r>
            <w:r>
              <w:t>.</w:t>
            </w:r>
          </w:p>
        </w:tc>
      </w:tr>
      <w:tr w:rsidR="006308E6" w14:paraId="0632A67A" w14:textId="77777777" w:rsidTr="00106F24">
        <w:tc>
          <w:tcPr>
            <w:tcW w:w="1827" w:type="dxa"/>
          </w:tcPr>
          <w:p w14:paraId="21632E83" w14:textId="60E99EFE" w:rsidR="006308E6" w:rsidRPr="006308E6" w:rsidRDefault="006308E6" w:rsidP="0081061A">
            <w:pPr>
              <w:pStyle w:val="Heading2"/>
              <w:numPr>
                <w:ilvl w:val="0"/>
                <w:numId w:val="0"/>
              </w:numPr>
              <w:spacing w:after="120"/>
              <w:ind w:left="720" w:hanging="720"/>
              <w:outlineLvl w:val="1"/>
            </w:pPr>
            <w:r>
              <w:t>DfE</w:t>
            </w:r>
          </w:p>
        </w:tc>
        <w:tc>
          <w:tcPr>
            <w:tcW w:w="6472" w:type="dxa"/>
          </w:tcPr>
          <w:p w14:paraId="74FC1806" w14:textId="220E8EA4" w:rsidR="006308E6" w:rsidRPr="006308E6" w:rsidRDefault="00040594" w:rsidP="000C5836">
            <w:pPr>
              <w:pStyle w:val="Heading2"/>
              <w:numPr>
                <w:ilvl w:val="0"/>
                <w:numId w:val="0"/>
              </w:numPr>
              <w:spacing w:after="120"/>
              <w:ind w:left="720" w:hanging="720"/>
              <w:outlineLvl w:val="1"/>
            </w:pPr>
            <w:r>
              <w:t>Means</w:t>
            </w:r>
            <w:r w:rsidR="006308E6">
              <w:t xml:space="preserve"> Department for Education</w:t>
            </w:r>
            <w:r>
              <w:t>.</w:t>
            </w:r>
          </w:p>
        </w:tc>
      </w:tr>
      <w:tr w:rsidR="00106F24" w14:paraId="0ED1505B" w14:textId="77777777" w:rsidTr="00106F24">
        <w:tc>
          <w:tcPr>
            <w:tcW w:w="1827" w:type="dxa"/>
          </w:tcPr>
          <w:p w14:paraId="0773B834" w14:textId="54094814" w:rsidR="00106F24" w:rsidRPr="006308E6" w:rsidRDefault="000C5836" w:rsidP="0081061A">
            <w:pPr>
              <w:pStyle w:val="Heading2"/>
              <w:numPr>
                <w:ilvl w:val="0"/>
                <w:numId w:val="0"/>
              </w:numPr>
              <w:spacing w:after="120"/>
              <w:ind w:left="720" w:hanging="720"/>
              <w:outlineLvl w:val="1"/>
            </w:pPr>
            <w:r w:rsidRPr="006308E6">
              <w:t>LA</w:t>
            </w:r>
          </w:p>
        </w:tc>
        <w:tc>
          <w:tcPr>
            <w:tcW w:w="6472" w:type="dxa"/>
          </w:tcPr>
          <w:p w14:paraId="7D6E62CD" w14:textId="2382E4A0" w:rsidR="00106F24" w:rsidRPr="006308E6" w:rsidRDefault="00F242C1" w:rsidP="00A539CE">
            <w:pPr>
              <w:pStyle w:val="Heading2"/>
              <w:numPr>
                <w:ilvl w:val="0"/>
                <w:numId w:val="0"/>
              </w:numPr>
              <w:spacing w:after="120"/>
              <w:ind w:left="5" w:hanging="5"/>
              <w:outlineLvl w:val="1"/>
            </w:pPr>
            <w:r w:rsidRPr="006308E6">
              <w:t xml:space="preserve">means </w:t>
            </w:r>
            <w:r w:rsidR="000C5836" w:rsidRPr="006308E6">
              <w:t>Local Authority</w:t>
            </w:r>
            <w:r w:rsidR="009762BE">
              <w:t xml:space="preserve">, as Children’s Services is an </w:t>
            </w:r>
            <w:r w:rsidR="00A539CE">
              <w:t xml:space="preserve">upper </w:t>
            </w:r>
            <w:r w:rsidR="009762BE">
              <w:t>tier function</w:t>
            </w:r>
            <w:r w:rsidR="00A539CE">
              <w:t>,</w:t>
            </w:r>
            <w:r w:rsidR="009762BE">
              <w:t xml:space="preserve"> LA as used in this document refers to upper tier authorities in England, exclusively</w:t>
            </w:r>
            <w:r w:rsidR="00040594">
              <w:t>.</w:t>
            </w:r>
          </w:p>
        </w:tc>
      </w:tr>
      <w:tr w:rsidR="00106F24" w14:paraId="03344AB3" w14:textId="77777777" w:rsidTr="00106F24">
        <w:tc>
          <w:tcPr>
            <w:tcW w:w="1827" w:type="dxa"/>
          </w:tcPr>
          <w:p w14:paraId="0F046C88" w14:textId="683C73B3" w:rsidR="00106F24" w:rsidRPr="006308E6" w:rsidRDefault="000C5836" w:rsidP="0081061A">
            <w:pPr>
              <w:pStyle w:val="Heading2"/>
              <w:numPr>
                <w:ilvl w:val="0"/>
                <w:numId w:val="0"/>
              </w:numPr>
              <w:spacing w:after="120"/>
              <w:ind w:left="720" w:hanging="720"/>
              <w:outlineLvl w:val="1"/>
            </w:pPr>
            <w:r w:rsidRPr="006308E6">
              <w:t>LSOA</w:t>
            </w:r>
          </w:p>
        </w:tc>
        <w:tc>
          <w:tcPr>
            <w:tcW w:w="6472" w:type="dxa"/>
          </w:tcPr>
          <w:p w14:paraId="37C45D19" w14:textId="6F8986B1" w:rsidR="00106F24" w:rsidRPr="006308E6" w:rsidRDefault="00040594" w:rsidP="000C5836">
            <w:pPr>
              <w:pStyle w:val="Heading2"/>
              <w:numPr>
                <w:ilvl w:val="0"/>
                <w:numId w:val="0"/>
              </w:numPr>
              <w:spacing w:after="120"/>
              <w:outlineLvl w:val="1"/>
            </w:pPr>
            <w:r w:rsidRPr="006308E6">
              <w:t>Means</w:t>
            </w:r>
            <w:r w:rsidR="00F242C1" w:rsidRPr="006308E6">
              <w:t xml:space="preserve"> </w:t>
            </w:r>
            <w:r w:rsidR="000C5836" w:rsidRPr="006308E6">
              <w:t>Lower Super Output Area</w:t>
            </w:r>
            <w:r w:rsidR="003C6AF1">
              <w:t xml:space="preserve"> (one of the ONS defined geographies below LA level)</w:t>
            </w:r>
            <w:r>
              <w:t>.</w:t>
            </w:r>
          </w:p>
        </w:tc>
      </w:tr>
      <w:tr w:rsidR="004022A5" w14:paraId="14351D4E" w14:textId="77777777" w:rsidTr="00106F24">
        <w:tc>
          <w:tcPr>
            <w:tcW w:w="1827" w:type="dxa"/>
          </w:tcPr>
          <w:p w14:paraId="2D75DBE5" w14:textId="54B202D7" w:rsidR="004022A5" w:rsidRPr="006308E6" w:rsidRDefault="004022A5" w:rsidP="0081061A">
            <w:pPr>
              <w:pStyle w:val="Heading2"/>
              <w:numPr>
                <w:ilvl w:val="0"/>
                <w:numId w:val="0"/>
              </w:numPr>
              <w:spacing w:after="120"/>
              <w:ind w:left="720" w:hanging="720"/>
              <w:outlineLvl w:val="1"/>
            </w:pPr>
            <w:r w:rsidRPr="006308E6">
              <w:t>OA</w:t>
            </w:r>
          </w:p>
        </w:tc>
        <w:tc>
          <w:tcPr>
            <w:tcW w:w="6472" w:type="dxa"/>
          </w:tcPr>
          <w:p w14:paraId="1D81B623" w14:textId="0A0139D4" w:rsidR="004022A5" w:rsidRPr="006308E6" w:rsidRDefault="00040594" w:rsidP="000C5836">
            <w:pPr>
              <w:pStyle w:val="Heading2"/>
              <w:numPr>
                <w:ilvl w:val="0"/>
                <w:numId w:val="0"/>
              </w:numPr>
              <w:spacing w:after="120"/>
              <w:outlineLvl w:val="1"/>
            </w:pPr>
            <w:r>
              <w:t>Means</w:t>
            </w:r>
            <w:r w:rsidR="004022A5" w:rsidRPr="006308E6">
              <w:t xml:space="preserve"> Output Area</w:t>
            </w:r>
            <w:r w:rsidR="003C6AF1">
              <w:t xml:space="preserve"> (one of the ONS defined geographies below LA level)</w:t>
            </w:r>
            <w:r>
              <w:t>.</w:t>
            </w:r>
          </w:p>
        </w:tc>
      </w:tr>
      <w:tr w:rsidR="003C6AF1" w14:paraId="64EE0DC3" w14:textId="77777777" w:rsidTr="00106F24">
        <w:tc>
          <w:tcPr>
            <w:tcW w:w="1827" w:type="dxa"/>
          </w:tcPr>
          <w:p w14:paraId="71A649CC" w14:textId="1B92CCF5" w:rsidR="003C6AF1" w:rsidRPr="006308E6" w:rsidRDefault="003C6AF1" w:rsidP="0081061A">
            <w:pPr>
              <w:pStyle w:val="Heading2"/>
              <w:numPr>
                <w:ilvl w:val="0"/>
                <w:numId w:val="0"/>
              </w:numPr>
              <w:spacing w:after="120"/>
              <w:ind w:left="720" w:hanging="720"/>
              <w:outlineLvl w:val="1"/>
            </w:pPr>
            <w:r>
              <w:t>ONS</w:t>
            </w:r>
          </w:p>
        </w:tc>
        <w:tc>
          <w:tcPr>
            <w:tcW w:w="6472" w:type="dxa"/>
          </w:tcPr>
          <w:p w14:paraId="136A027C" w14:textId="6C142180" w:rsidR="003C6AF1" w:rsidRDefault="00040594" w:rsidP="003C6AF1">
            <w:pPr>
              <w:pStyle w:val="Heading2"/>
              <w:numPr>
                <w:ilvl w:val="0"/>
                <w:numId w:val="0"/>
              </w:numPr>
              <w:spacing w:after="120"/>
              <w:outlineLvl w:val="1"/>
            </w:pPr>
            <w:r>
              <w:t>Means</w:t>
            </w:r>
            <w:r w:rsidR="003C6AF1">
              <w:t xml:space="preserve"> Office of National Statistics</w:t>
            </w:r>
            <w:r>
              <w:t>.</w:t>
            </w:r>
          </w:p>
        </w:tc>
      </w:tr>
    </w:tbl>
    <w:p w14:paraId="0DAF43A5" w14:textId="77777777" w:rsidR="00671798" w:rsidRDefault="00FE18AC" w:rsidP="00106F24">
      <w:pPr>
        <w:pStyle w:val="Heading1"/>
        <w:tabs>
          <w:tab w:val="clear" w:pos="720"/>
        </w:tabs>
        <w:overflowPunct w:val="0"/>
        <w:autoSpaceDE w:val="0"/>
        <w:autoSpaceDN w:val="0"/>
        <w:spacing w:before="240" w:after="120"/>
        <w:textAlignment w:val="baseline"/>
        <w:rPr>
          <w:szCs w:val="22"/>
        </w:rPr>
      </w:pPr>
      <w:bookmarkStart w:id="14" w:name="_Toc495310901"/>
      <w:r w:rsidRPr="00B9425F">
        <w:rPr>
          <w:szCs w:val="22"/>
        </w:rPr>
        <w:t>scope of requirement</w:t>
      </w:r>
      <w:bookmarkEnd w:id="11"/>
      <w:bookmarkEnd w:id="12"/>
      <w:bookmarkEnd w:id="14"/>
      <w:r w:rsidRPr="00B9425F">
        <w:rPr>
          <w:szCs w:val="22"/>
        </w:rPr>
        <w:t xml:space="preserve"> </w:t>
      </w:r>
    </w:p>
    <w:bookmarkEnd w:id="8"/>
    <w:p w14:paraId="1EB16136" w14:textId="6A948B7D" w:rsidR="00BD7E53" w:rsidRDefault="00C35B96" w:rsidP="00BD7E53">
      <w:pPr>
        <w:pStyle w:val="Heading2"/>
        <w:tabs>
          <w:tab w:val="clear" w:pos="720"/>
          <w:tab w:val="num" w:pos="862"/>
        </w:tabs>
        <w:overflowPunct w:val="0"/>
        <w:autoSpaceDE w:val="0"/>
        <w:autoSpaceDN w:val="0"/>
        <w:spacing w:after="120"/>
        <w:ind w:left="709" w:hanging="709"/>
        <w:textAlignment w:val="baseline"/>
        <w:rPr>
          <w:szCs w:val="22"/>
        </w:rPr>
      </w:pPr>
      <w:r>
        <w:rPr>
          <w:szCs w:val="22"/>
        </w:rPr>
        <w:t>As part of the Fair Funding Review, t</w:t>
      </w:r>
      <w:r w:rsidR="003C6AF1" w:rsidRPr="00A769B4">
        <w:rPr>
          <w:szCs w:val="22"/>
        </w:rPr>
        <w:t xml:space="preserve">he research </w:t>
      </w:r>
      <w:r w:rsidR="00A769B4" w:rsidRPr="00A769B4">
        <w:rPr>
          <w:szCs w:val="22"/>
        </w:rPr>
        <w:t xml:space="preserve">will produce a model for Children’s Services activity and ‘need to spend’ that will </w:t>
      </w:r>
      <w:r>
        <w:rPr>
          <w:szCs w:val="22"/>
        </w:rPr>
        <w:t>become a part of</w:t>
      </w:r>
      <w:r w:rsidR="00A769B4" w:rsidRPr="00A769B4">
        <w:rPr>
          <w:szCs w:val="22"/>
        </w:rPr>
        <w:t xml:space="preserve"> the Local Government</w:t>
      </w:r>
      <w:r>
        <w:rPr>
          <w:szCs w:val="22"/>
        </w:rPr>
        <w:t xml:space="preserve"> Finance</w:t>
      </w:r>
      <w:r w:rsidR="00793CE3">
        <w:rPr>
          <w:szCs w:val="22"/>
        </w:rPr>
        <w:t xml:space="preserve"> Settlement</w:t>
      </w:r>
      <w:r>
        <w:rPr>
          <w:szCs w:val="22"/>
        </w:rPr>
        <w:t>.</w:t>
      </w:r>
      <w:r w:rsidR="00793CE3">
        <w:rPr>
          <w:szCs w:val="22"/>
        </w:rPr>
        <w:t xml:space="preserve"> </w:t>
      </w:r>
      <w:r>
        <w:rPr>
          <w:szCs w:val="22"/>
        </w:rPr>
        <w:t>It will also provide</w:t>
      </w:r>
      <w:r w:rsidR="00A769B4" w:rsidRPr="00A769B4">
        <w:rPr>
          <w:szCs w:val="22"/>
        </w:rPr>
        <w:t xml:space="preserve"> data on future modelling for demand and pressures within Children’s Services, specifically focussing on Children’s Social Care.</w:t>
      </w:r>
      <w:r w:rsidR="009762BE">
        <w:rPr>
          <w:szCs w:val="22"/>
        </w:rPr>
        <w:t xml:space="preserve">  Children’s S</w:t>
      </w:r>
      <w:r w:rsidR="004E6724">
        <w:rPr>
          <w:szCs w:val="22"/>
        </w:rPr>
        <w:t>ervices is an upper tier local A</w:t>
      </w:r>
      <w:r w:rsidR="009762BE">
        <w:rPr>
          <w:szCs w:val="22"/>
        </w:rPr>
        <w:t>uthority function, therefore this work will require data collection from upper tier authorities in England only.</w:t>
      </w:r>
    </w:p>
    <w:p w14:paraId="10C68F1D" w14:textId="15FD17F9" w:rsidR="00C74CB3" w:rsidRPr="00BD7E53" w:rsidRDefault="00A769B4" w:rsidP="00BD7E53">
      <w:pPr>
        <w:pStyle w:val="Heading2"/>
        <w:tabs>
          <w:tab w:val="clear" w:pos="720"/>
          <w:tab w:val="num" w:pos="862"/>
        </w:tabs>
        <w:overflowPunct w:val="0"/>
        <w:autoSpaceDE w:val="0"/>
        <w:autoSpaceDN w:val="0"/>
        <w:spacing w:after="120"/>
        <w:ind w:left="709" w:hanging="709"/>
        <w:textAlignment w:val="baseline"/>
        <w:rPr>
          <w:szCs w:val="22"/>
        </w:rPr>
      </w:pPr>
      <w:r w:rsidRPr="00BD7E53">
        <w:rPr>
          <w:szCs w:val="22"/>
        </w:rPr>
        <w:t xml:space="preserve">The Authority expects the research will consist of two phases.  The first phase will consist of a data collection stage after which the Authority will decide whether to continue on to stage 2.  </w:t>
      </w:r>
      <w:r w:rsidR="00C74CB3" w:rsidRPr="00BD7E53">
        <w:rPr>
          <w:szCs w:val="22"/>
        </w:rPr>
        <w:t xml:space="preserve">As phase 2 of the contract relates only to the Fair Funding Review, a break clause is included before this stage should policy developments, timetabling issues or other factors indicate that model exemplifications are no longer required at this time.  </w:t>
      </w:r>
      <w:r w:rsidRPr="00BD7E53">
        <w:rPr>
          <w:szCs w:val="22"/>
        </w:rPr>
        <w:t xml:space="preserve">It is anticipated that the decision </w:t>
      </w:r>
      <w:r w:rsidR="003E4D32" w:rsidRPr="00BD7E53">
        <w:rPr>
          <w:szCs w:val="22"/>
        </w:rPr>
        <w:t xml:space="preserve">to activate the break clause </w:t>
      </w:r>
      <w:r w:rsidRPr="00BD7E53">
        <w:rPr>
          <w:szCs w:val="22"/>
        </w:rPr>
        <w:t>will be made before finalisation of the data collection phase.</w:t>
      </w:r>
      <w:r w:rsidR="003E4D32" w:rsidRPr="00BD7E53">
        <w:rPr>
          <w:szCs w:val="22"/>
        </w:rPr>
        <w:t xml:space="preserve">  The Authority will notify the Supplier in writing at the earliest possible opportunity if the break clause is to be activated.  </w:t>
      </w:r>
    </w:p>
    <w:p w14:paraId="156E86E7" w14:textId="3864C801" w:rsidR="00A769B4" w:rsidRPr="00A769B4" w:rsidRDefault="0075747E">
      <w:pPr>
        <w:pStyle w:val="Heading2"/>
        <w:tabs>
          <w:tab w:val="clear" w:pos="720"/>
          <w:tab w:val="num" w:pos="862"/>
        </w:tabs>
        <w:overflowPunct w:val="0"/>
        <w:autoSpaceDE w:val="0"/>
        <w:autoSpaceDN w:val="0"/>
        <w:spacing w:after="120"/>
        <w:ind w:left="709" w:hanging="709"/>
        <w:textAlignment w:val="baseline"/>
        <w:rPr>
          <w:szCs w:val="22"/>
        </w:rPr>
      </w:pPr>
      <w:r>
        <w:rPr>
          <w:szCs w:val="22"/>
        </w:rPr>
        <w:t>Phase 1</w:t>
      </w:r>
      <w:r w:rsidR="00A769B4" w:rsidRPr="00A769B4">
        <w:rPr>
          <w:szCs w:val="22"/>
        </w:rPr>
        <w:t xml:space="preserve"> will involve:</w:t>
      </w:r>
    </w:p>
    <w:p w14:paraId="2B938FBB" w14:textId="1E23619D" w:rsidR="002A6870" w:rsidRDefault="002A6870" w:rsidP="00CB4C8B">
      <w:pPr>
        <w:pStyle w:val="Heading3"/>
      </w:pPr>
      <w:r>
        <w:t>Project inception, including specification for both activity level data collection from LAs and identification of key drivers to be collected from other data sources (e.g. administrative data);</w:t>
      </w:r>
    </w:p>
    <w:p w14:paraId="6C2687E6" w14:textId="41D5C1B9" w:rsidR="00A769B4" w:rsidRDefault="00A769B4" w:rsidP="00BD7E53">
      <w:pPr>
        <w:pStyle w:val="Heading3"/>
      </w:pPr>
      <w:r>
        <w:t>Establishing eligibility in terms of data collection;</w:t>
      </w:r>
    </w:p>
    <w:p w14:paraId="5AEA2C0F" w14:textId="7F681D16" w:rsidR="00A769B4" w:rsidRDefault="00A769B4" w:rsidP="00BD7E53">
      <w:pPr>
        <w:pStyle w:val="Heading3"/>
      </w:pPr>
      <w:r>
        <w:t>Sample selection;</w:t>
      </w:r>
    </w:p>
    <w:p w14:paraId="4075B9DD" w14:textId="271A0CD1" w:rsidR="00A769B4" w:rsidRDefault="00A769B4" w:rsidP="00BD7E53">
      <w:pPr>
        <w:pStyle w:val="Heading3"/>
      </w:pPr>
      <w:r>
        <w:t>Agreeing data protection requirements and secure data transfer processes and completing a pilot data collection exercise;</w:t>
      </w:r>
    </w:p>
    <w:p w14:paraId="644E337C" w14:textId="172F1893" w:rsidR="00A769B4" w:rsidRDefault="00A769B4" w:rsidP="00BD7E53">
      <w:pPr>
        <w:pStyle w:val="Heading3"/>
      </w:pPr>
      <w:r>
        <w:lastRenderedPageBreak/>
        <w:t>Feedback from the pilot process and changes made to the data collection process to account for this;</w:t>
      </w:r>
    </w:p>
    <w:p w14:paraId="2D6A6F90" w14:textId="1761B924" w:rsidR="00A769B4" w:rsidRDefault="002A6870" w:rsidP="00BD7E53">
      <w:pPr>
        <w:pStyle w:val="Heading3"/>
      </w:pPr>
      <w:r>
        <w:t>Data collection and on site work with all LAs;</w:t>
      </w:r>
    </w:p>
    <w:p w14:paraId="4D642EBC" w14:textId="7ED0F3B1" w:rsidR="002A6870" w:rsidRDefault="002A6870" w:rsidP="00BD7E53">
      <w:pPr>
        <w:pStyle w:val="Heading3"/>
      </w:pPr>
      <w:r>
        <w:t>Collection of model data from non-LA sources (e.g. administrative data);</w:t>
      </w:r>
    </w:p>
    <w:p w14:paraId="4E64745D" w14:textId="790684EA" w:rsidR="002A6870" w:rsidRDefault="002A6870" w:rsidP="00BD7E53">
      <w:pPr>
        <w:pStyle w:val="Heading3"/>
      </w:pPr>
      <w:r>
        <w:t>Data cleaning, manipulation, analysis and interpretation;</w:t>
      </w:r>
      <w:r w:rsidR="009D4179">
        <w:t xml:space="preserve"> and</w:t>
      </w:r>
    </w:p>
    <w:p w14:paraId="43AC3D1A" w14:textId="300B0850" w:rsidR="002A6870" w:rsidRDefault="002A6870" w:rsidP="00BD7E53">
      <w:pPr>
        <w:pStyle w:val="Heading3"/>
      </w:pPr>
      <w:r>
        <w:t xml:space="preserve">Draft technical report covering </w:t>
      </w:r>
      <w:r w:rsidR="006959EF">
        <w:t>details of data collection phase.</w:t>
      </w:r>
    </w:p>
    <w:p w14:paraId="36D0C8DA" w14:textId="0D598E81" w:rsidR="003B19A0" w:rsidRDefault="0075747E" w:rsidP="003B19A0">
      <w:pPr>
        <w:pStyle w:val="Heading2"/>
        <w:tabs>
          <w:tab w:val="clear" w:pos="720"/>
          <w:tab w:val="num" w:pos="862"/>
        </w:tabs>
        <w:overflowPunct w:val="0"/>
        <w:autoSpaceDE w:val="0"/>
        <w:autoSpaceDN w:val="0"/>
        <w:spacing w:after="120"/>
        <w:ind w:left="709" w:hanging="709"/>
        <w:textAlignment w:val="baseline"/>
      </w:pPr>
      <w:r>
        <w:t>Phase 2</w:t>
      </w:r>
      <w:r w:rsidR="003B19A0">
        <w:t xml:space="preserve"> will involve:</w:t>
      </w:r>
    </w:p>
    <w:p w14:paraId="0984F0E9" w14:textId="12E68365" w:rsidR="00BD7E53" w:rsidRDefault="00BD7E53" w:rsidP="00BD7E53">
      <w:pPr>
        <w:pStyle w:val="Heading3"/>
      </w:pPr>
      <w:r>
        <w:t xml:space="preserve">Specification of the model; </w:t>
      </w:r>
    </w:p>
    <w:p w14:paraId="2475B260" w14:textId="38398F31" w:rsidR="003B19A0" w:rsidRDefault="003B19A0" w:rsidP="00BD7E53">
      <w:pPr>
        <w:pStyle w:val="Heading3"/>
      </w:pPr>
      <w:r>
        <w:t>Estimation and testing, including iterative testing based on integration with the wider Fair Funding Review updated model allocations;</w:t>
      </w:r>
    </w:p>
    <w:p w14:paraId="4CC5C5D5" w14:textId="51BF7007" w:rsidR="003B19A0" w:rsidRDefault="003B19A0" w:rsidP="00BD7E53">
      <w:pPr>
        <w:pStyle w:val="Heading3"/>
      </w:pPr>
      <w:r>
        <w:t>Impact assessment and sensitivity testing;</w:t>
      </w:r>
    </w:p>
    <w:p w14:paraId="63B9FABD" w14:textId="1D54EBAF" w:rsidR="003B19A0" w:rsidRDefault="003B19A0" w:rsidP="00BD7E53">
      <w:pPr>
        <w:pStyle w:val="Heading3"/>
      </w:pPr>
      <w:r>
        <w:t>Production of exemplifications of relative needs spending allocations;</w:t>
      </w:r>
    </w:p>
    <w:p w14:paraId="7E4E4FB6" w14:textId="2E26428D" w:rsidR="003B19A0" w:rsidRDefault="003B19A0" w:rsidP="00BD7E53">
      <w:pPr>
        <w:pStyle w:val="Heading3"/>
      </w:pPr>
      <w:r>
        <w:t>Teach-in on using the model to update</w:t>
      </w:r>
      <w:r w:rsidR="00FC2B05">
        <w:t xml:space="preserve"> key drivers and interpret outputs around demand and relative allocations; and</w:t>
      </w:r>
    </w:p>
    <w:p w14:paraId="07EC50E2" w14:textId="0F50E9CE" w:rsidR="00FC2B05" w:rsidRPr="00A769B4" w:rsidRDefault="00FC2B05" w:rsidP="00BD7E53">
      <w:pPr>
        <w:pStyle w:val="Heading3"/>
      </w:pPr>
      <w:r>
        <w:t>Final technical report and exemplified funding allocations.</w:t>
      </w:r>
    </w:p>
    <w:p w14:paraId="3491B80B" w14:textId="77777777" w:rsidR="00671798" w:rsidRPr="00A769B4" w:rsidRDefault="00FE18AC">
      <w:pPr>
        <w:pStyle w:val="Heading1"/>
        <w:spacing w:after="120"/>
      </w:pPr>
      <w:bookmarkStart w:id="15" w:name="_Toc368573031"/>
      <w:bookmarkStart w:id="16" w:name="_Toc495310902"/>
      <w:r w:rsidRPr="00A769B4">
        <w:t>The requirement</w:t>
      </w:r>
      <w:bookmarkEnd w:id="15"/>
      <w:bookmarkEnd w:id="16"/>
    </w:p>
    <w:p w14:paraId="554E3C7C" w14:textId="1BAB32BC" w:rsidR="00671798" w:rsidRPr="008F3384" w:rsidRDefault="001244BC">
      <w:pPr>
        <w:pStyle w:val="Heading2"/>
        <w:tabs>
          <w:tab w:val="clear" w:pos="720"/>
          <w:tab w:val="num" w:pos="709"/>
        </w:tabs>
        <w:spacing w:after="120"/>
        <w:ind w:left="709" w:hanging="709"/>
      </w:pPr>
      <w:r w:rsidRPr="008F3384">
        <w:t>The Supplier will scope and specify necessary data collection to use as dependent and independent variable inputs to a multi-level model to explain differences in Children’s Services funding both within</w:t>
      </w:r>
      <w:r w:rsidR="00CB4C8B">
        <w:t xml:space="preserve"> and across Local Authorities. </w:t>
      </w:r>
      <w:r w:rsidRPr="008F3384">
        <w:t>The Supplier will involve views from subject-matter experts and relevant literature in order to draw up a specification as well as liaising closely with DCLG and DfE.</w:t>
      </w:r>
    </w:p>
    <w:p w14:paraId="1ECD3A15" w14:textId="177156D2" w:rsidR="001244BC" w:rsidRPr="006F2935" w:rsidRDefault="008541D2">
      <w:pPr>
        <w:pStyle w:val="Heading2"/>
        <w:tabs>
          <w:tab w:val="clear" w:pos="720"/>
          <w:tab w:val="num" w:pos="709"/>
        </w:tabs>
        <w:spacing w:after="120"/>
        <w:ind w:left="709" w:hanging="709"/>
      </w:pPr>
      <w:r w:rsidRPr="008F3384">
        <w:t>The supplier will design and implement a data collection plan to gather data from Local Authorities and from othe</w:t>
      </w:r>
      <w:r w:rsidR="00CB4C8B">
        <w:t xml:space="preserve">r administrative data sources. </w:t>
      </w:r>
      <w:r w:rsidRPr="008F3384">
        <w:t xml:space="preserve">This will include developing a communications plan for interacting with LAs and selecting a representative sample.  It is anticipated that an IT solution will be required for data collection from LAs, however we are open to innovative data collection solutions from the Supplier.  Given the sensitivity of data within Children’s Services the Supplier will need to ensure </w:t>
      </w:r>
      <w:r w:rsidR="008F3384" w:rsidRPr="008F3384">
        <w:t xml:space="preserve">data </w:t>
      </w:r>
      <w:r w:rsidR="008F3384" w:rsidRPr="006F2935">
        <w:t>protection requirements and secure transfer of data are adequately addressed</w:t>
      </w:r>
      <w:r w:rsidR="00796456">
        <w:t>.</w:t>
      </w:r>
    </w:p>
    <w:p w14:paraId="74A0BFC1" w14:textId="4AFAA8DF" w:rsidR="008541D2" w:rsidRPr="006F2935" w:rsidRDefault="008541D2">
      <w:pPr>
        <w:pStyle w:val="Heading2"/>
        <w:tabs>
          <w:tab w:val="clear" w:pos="720"/>
          <w:tab w:val="num" w:pos="709"/>
        </w:tabs>
        <w:spacing w:after="120"/>
        <w:ind w:left="709" w:hanging="709"/>
      </w:pPr>
      <w:r w:rsidRPr="006F2935">
        <w:t xml:space="preserve">The Supplier will conduct </w:t>
      </w:r>
      <w:r w:rsidR="008F3384" w:rsidRPr="006F2935">
        <w:t>a pilot data collection exercise to test the proposed solution and secure data tra</w:t>
      </w:r>
      <w:r w:rsidR="00CB4C8B">
        <w:t xml:space="preserve">nsfer methods. </w:t>
      </w:r>
      <w:r w:rsidR="008F3384" w:rsidRPr="006F2935">
        <w:t>Feedback from the pilot exercise will be used to inform the full data collection exercise.</w:t>
      </w:r>
    </w:p>
    <w:p w14:paraId="6FC893AF" w14:textId="525A9239" w:rsidR="008F3384" w:rsidRPr="006F2935" w:rsidRDefault="008F3384">
      <w:pPr>
        <w:pStyle w:val="Heading2"/>
        <w:tabs>
          <w:tab w:val="clear" w:pos="720"/>
          <w:tab w:val="num" w:pos="709"/>
        </w:tabs>
        <w:spacing w:after="120"/>
        <w:ind w:left="709" w:hanging="709"/>
      </w:pPr>
      <w:r w:rsidRPr="006F2935">
        <w:t>The Supplier will undertake a full data collection exercise to extract necessary data from Local Authorities.  At the same time the Supplier will ensure that any relevant ad</w:t>
      </w:r>
      <w:r w:rsidR="00CB4C8B">
        <w:t xml:space="preserve">ministrative data is gathered. </w:t>
      </w:r>
      <w:r w:rsidRPr="006F2935">
        <w:t>The Supplier will be responsible for cleaning and processing all data collected so that this is in a data file which can</w:t>
      </w:r>
      <w:r w:rsidR="00CB4C8B">
        <w:t xml:space="preserve"> be used by both DfE and DCLG. </w:t>
      </w:r>
      <w:r w:rsidRPr="006F2935">
        <w:t xml:space="preserve">The Supplier will produce an interim technical report detailing the scoping </w:t>
      </w:r>
      <w:r w:rsidRPr="006F2935">
        <w:lastRenderedPageBreak/>
        <w:t>and specification and data collection stages of the work.  This will conclude Phase One of the work.</w:t>
      </w:r>
    </w:p>
    <w:p w14:paraId="0B3DA134" w14:textId="7829634D" w:rsidR="008F3384" w:rsidRPr="006F2935" w:rsidRDefault="00614A6D">
      <w:pPr>
        <w:pStyle w:val="Heading2"/>
        <w:tabs>
          <w:tab w:val="clear" w:pos="720"/>
          <w:tab w:val="num" w:pos="709"/>
        </w:tabs>
        <w:spacing w:after="120"/>
        <w:ind w:left="709" w:hanging="709"/>
      </w:pPr>
      <w:r w:rsidRPr="006F2935">
        <w:t>For Phase Two the Supplier</w:t>
      </w:r>
      <w:r w:rsidR="00AB227C" w:rsidRPr="006F2935">
        <w:t>, in close collaboration with analysts from DCLG and DfE,</w:t>
      </w:r>
      <w:r w:rsidRPr="006F2935">
        <w:t xml:space="preserve"> will produce a multi-level model </w:t>
      </w:r>
      <w:r w:rsidR="00AB227C" w:rsidRPr="006F2935">
        <w:t xml:space="preserve">(LSOA and LA levels) </w:t>
      </w:r>
      <w:r w:rsidRPr="006F2935">
        <w:t xml:space="preserve">which can be used to both </w:t>
      </w:r>
      <w:r w:rsidR="009762BE" w:rsidRPr="006F2935">
        <w:t>model demand for Children’s Services at an LA level and to allocate funding at a Local Authority level based on the r</w:t>
      </w:r>
      <w:r w:rsidR="00CB4C8B">
        <w:t xml:space="preserve">elative need of the authorities. </w:t>
      </w:r>
      <w:r w:rsidR="00AB227C" w:rsidRPr="006F2935">
        <w:t>The Authority envisions this model being built in an iterative fashion and time will need to be allowed for appropriate quality assu</w:t>
      </w:r>
      <w:r w:rsidR="00CB4C8B">
        <w:t>rance and sensitivity analysis.</w:t>
      </w:r>
      <w:r w:rsidR="00AB227C" w:rsidRPr="006F2935">
        <w:t xml:space="preserve"> Interim outputs from the model will also need to be available to DCLG to be tested as an integrated part of the wider Fair Funding Review exemplifications.</w:t>
      </w:r>
    </w:p>
    <w:p w14:paraId="0BFDD132" w14:textId="19DCAF05" w:rsidR="00AB227C" w:rsidRPr="006F2935" w:rsidRDefault="00AB227C" w:rsidP="00AB227C">
      <w:pPr>
        <w:pStyle w:val="Heading2"/>
        <w:spacing w:after="120"/>
        <w:ind w:left="709" w:hanging="709"/>
      </w:pPr>
      <w:r w:rsidRPr="006F2935">
        <w:t xml:space="preserve">The Authority would welcome Supplier views on how </w:t>
      </w:r>
      <w:r w:rsidR="00CB4C8B">
        <w:t>DCLG, DfE and the successful Supplier</w:t>
      </w:r>
      <w:r w:rsidRPr="006F2935">
        <w:t xml:space="preserve"> can best work together to ensure the model is fit for purpose.</w:t>
      </w:r>
    </w:p>
    <w:p w14:paraId="788E7E84" w14:textId="234F1760" w:rsidR="00AB227C" w:rsidRPr="006F2935" w:rsidRDefault="00AB227C" w:rsidP="00AB227C">
      <w:pPr>
        <w:pStyle w:val="Heading2"/>
        <w:spacing w:after="120"/>
        <w:ind w:left="709" w:hanging="709"/>
        <w:rPr>
          <w:b/>
        </w:rPr>
      </w:pPr>
      <w:r w:rsidRPr="006F2935">
        <w:rPr>
          <w:b/>
        </w:rPr>
        <w:t>Outputs</w:t>
      </w:r>
    </w:p>
    <w:p w14:paraId="077ECE58" w14:textId="2E8438F6" w:rsidR="00AB227C" w:rsidRPr="006F2935" w:rsidRDefault="00AB227C" w:rsidP="00CB4C8B">
      <w:pPr>
        <w:pStyle w:val="Heading2"/>
        <w:numPr>
          <w:ilvl w:val="0"/>
          <w:numId w:val="0"/>
        </w:numPr>
        <w:spacing w:after="120"/>
        <w:rPr>
          <w:b/>
        </w:rPr>
      </w:pPr>
      <w:r w:rsidRPr="006F2935">
        <w:rPr>
          <w:b/>
        </w:rPr>
        <w:tab/>
        <w:t>Phase One</w:t>
      </w:r>
    </w:p>
    <w:p w14:paraId="7D4A82AE" w14:textId="5188D53B" w:rsidR="00AB227C" w:rsidRPr="006F2935" w:rsidRDefault="00AB227C" w:rsidP="00CB4C8B">
      <w:pPr>
        <w:pStyle w:val="Heading3"/>
      </w:pPr>
      <w:r w:rsidRPr="006F2935">
        <w:t>A scoping and specification documen</w:t>
      </w:r>
      <w:r w:rsidR="006F2935" w:rsidRPr="006F2935">
        <w:t>t for the data collection phase</w:t>
      </w:r>
      <w:r w:rsidR="00CB4C8B">
        <w:t>.</w:t>
      </w:r>
    </w:p>
    <w:p w14:paraId="21F6D519" w14:textId="096912F3" w:rsidR="00AB227C" w:rsidRPr="006F2935" w:rsidRDefault="00AB227C" w:rsidP="00CB4C8B">
      <w:pPr>
        <w:pStyle w:val="Heading3"/>
      </w:pPr>
      <w:r w:rsidRPr="006F2935">
        <w:t>Cleaned and quality assured datasets from data collected during this phase of the work, provided in both .csv and SPSS formats</w:t>
      </w:r>
      <w:r w:rsidR="00CB4C8B">
        <w:t>.</w:t>
      </w:r>
    </w:p>
    <w:p w14:paraId="7590BEA2" w14:textId="1F08B7F1" w:rsidR="00AB227C" w:rsidRPr="006F2935" w:rsidRDefault="00AB227C" w:rsidP="00CB4C8B">
      <w:pPr>
        <w:pStyle w:val="Heading3"/>
      </w:pPr>
      <w:r w:rsidRPr="006F2935">
        <w:t>Interim technical report providing details of this stage of the work</w:t>
      </w:r>
      <w:r w:rsidR="00CB4C8B">
        <w:t>.</w:t>
      </w:r>
    </w:p>
    <w:p w14:paraId="6C9BE901" w14:textId="42CC8292" w:rsidR="00AB227C" w:rsidRPr="006F2935" w:rsidRDefault="00AB227C" w:rsidP="00AB227C">
      <w:pPr>
        <w:pStyle w:val="Heading2"/>
        <w:numPr>
          <w:ilvl w:val="0"/>
          <w:numId w:val="0"/>
        </w:numPr>
        <w:spacing w:after="120"/>
        <w:rPr>
          <w:b/>
        </w:rPr>
      </w:pPr>
      <w:r w:rsidRPr="006F2935">
        <w:tab/>
      </w:r>
      <w:r w:rsidRPr="006F2935">
        <w:rPr>
          <w:b/>
        </w:rPr>
        <w:t>Phase Two</w:t>
      </w:r>
    </w:p>
    <w:p w14:paraId="3AB9F614" w14:textId="2C854CDA" w:rsidR="00AB227C" w:rsidRPr="006F2935" w:rsidRDefault="00AB227C" w:rsidP="00CB4C8B">
      <w:pPr>
        <w:pStyle w:val="Heading3"/>
        <w:rPr>
          <w:b/>
        </w:rPr>
      </w:pPr>
      <w:r w:rsidRPr="006F2935">
        <w:t>Multi-level model which can be used to both model demand for Children’s Services at an LA level and to allocate funding at a Local Authority level based on the relative need of the authorities</w:t>
      </w:r>
      <w:r w:rsidR="00CB4C8B">
        <w:t>.</w:t>
      </w:r>
    </w:p>
    <w:p w14:paraId="2AA2FAB2" w14:textId="10E218CC" w:rsidR="00AB227C" w:rsidRPr="006F2935" w:rsidRDefault="00AB227C" w:rsidP="00CB4C8B">
      <w:pPr>
        <w:pStyle w:val="Heading3"/>
        <w:rPr>
          <w:b/>
        </w:rPr>
      </w:pPr>
      <w:r w:rsidRPr="006F2935">
        <w:t>Exemplifications of relative funding based on the model</w:t>
      </w:r>
      <w:r w:rsidR="00CB4C8B">
        <w:t>.</w:t>
      </w:r>
    </w:p>
    <w:p w14:paraId="185E7331" w14:textId="4CDDF62B" w:rsidR="00AB227C" w:rsidRPr="006F2935" w:rsidRDefault="00AB227C" w:rsidP="00CB4C8B">
      <w:pPr>
        <w:pStyle w:val="Heading3"/>
        <w:rPr>
          <w:b/>
        </w:rPr>
      </w:pPr>
      <w:r w:rsidRPr="006F2935">
        <w:t>Final technical report providing technical and method</w:t>
      </w:r>
      <w:r w:rsidR="006F2935" w:rsidRPr="006F2935">
        <w:t>ological details of the project</w:t>
      </w:r>
      <w:r w:rsidR="00CB4C8B">
        <w:t>.</w:t>
      </w:r>
    </w:p>
    <w:p w14:paraId="6EE7C8C4" w14:textId="606ACD87" w:rsidR="00671798" w:rsidRPr="00B91CAD" w:rsidRDefault="00FE18AC" w:rsidP="00B91CAD">
      <w:pPr>
        <w:pStyle w:val="Heading1"/>
        <w:spacing w:after="120"/>
      </w:pPr>
      <w:bookmarkStart w:id="17" w:name="_Toc368573032"/>
      <w:bookmarkStart w:id="18" w:name="_Toc495310903"/>
      <w:r>
        <w:t>key milestones</w:t>
      </w:r>
      <w:bookmarkEnd w:id="17"/>
      <w:bookmarkEnd w:id="18"/>
    </w:p>
    <w:p w14:paraId="4D0E0CBA" w14:textId="5B03ED9C" w:rsidR="00FE18AC" w:rsidRPr="00CA3806" w:rsidRDefault="003438D3" w:rsidP="008F3470">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3438D3">
        <w:rPr>
          <w:rFonts w:cs="Arial"/>
          <w:szCs w:val="22"/>
        </w:rPr>
        <w:t>The Potential Provider should note the following pr</w:t>
      </w:r>
      <w:r w:rsidR="00A57B4E">
        <w:rPr>
          <w:rFonts w:cs="Arial"/>
          <w:szCs w:val="22"/>
        </w:rPr>
        <w:t>oject milestones that the Authority</w:t>
      </w:r>
      <w:r w:rsidRPr="003438D3">
        <w:rPr>
          <w:rFonts w:cs="Arial"/>
          <w:szCs w:val="22"/>
        </w:rPr>
        <w:t xml:space="preserve"> will measure the quality of delivery against</w:t>
      </w:r>
      <w:r w:rsidR="00FB2B55">
        <w:rPr>
          <w:rFonts w:cs="Arial"/>
          <w:szCs w:val="22"/>
        </w:rPr>
        <w:t xml:space="preserve">.  Milestone 9 is required to be provided by the end of June 2019 for consultation on full exemplification.  Should this approach be preferred this will feed into the </w:t>
      </w:r>
      <w:r w:rsidR="00CB4C8B">
        <w:rPr>
          <w:rFonts w:cs="Arial"/>
          <w:szCs w:val="22"/>
        </w:rPr>
        <w:t>autumn</w:t>
      </w:r>
      <w:r w:rsidR="00FB2B55">
        <w:rPr>
          <w:rFonts w:cs="Arial"/>
          <w:szCs w:val="22"/>
        </w:rPr>
        <w:t xml:space="preserve"> 2019 announcement of the provisional Local Government Finance Settlement.</w:t>
      </w:r>
    </w:p>
    <w:tbl>
      <w:tblPr>
        <w:tblStyle w:val="TableGrid"/>
        <w:tblW w:w="5000" w:type="pct"/>
        <w:tblLook w:val="04A0" w:firstRow="1" w:lastRow="0" w:firstColumn="1" w:lastColumn="0" w:noHBand="0" w:noVBand="1"/>
      </w:tblPr>
      <w:tblGrid>
        <w:gridCol w:w="1620"/>
        <w:gridCol w:w="4473"/>
        <w:gridCol w:w="2926"/>
      </w:tblGrid>
      <w:tr w:rsidR="00FE18AC" w:rsidRPr="00297CF4" w14:paraId="6BF78E35" w14:textId="77777777" w:rsidTr="00106F24">
        <w:tc>
          <w:tcPr>
            <w:tcW w:w="898" w:type="pct"/>
            <w:shd w:val="clear" w:color="auto" w:fill="C6D9F1" w:themeFill="text2" w:themeFillTint="33"/>
            <w:vAlign w:val="center"/>
          </w:tcPr>
          <w:p w14:paraId="2F0B096C" w14:textId="77777777" w:rsidR="00671798" w:rsidRPr="00C55E90" w:rsidRDefault="00FE18AC">
            <w:pPr>
              <w:pStyle w:val="Heading3"/>
              <w:numPr>
                <w:ilvl w:val="0"/>
                <w:numId w:val="0"/>
              </w:numPr>
              <w:spacing w:after="120"/>
              <w:jc w:val="center"/>
              <w:outlineLvl w:val="2"/>
              <w:rPr>
                <w:b/>
                <w:szCs w:val="24"/>
              </w:rPr>
            </w:pPr>
            <w:r w:rsidRPr="00C55E90">
              <w:rPr>
                <w:b/>
              </w:rPr>
              <w:t>Milestone</w:t>
            </w:r>
          </w:p>
        </w:tc>
        <w:tc>
          <w:tcPr>
            <w:tcW w:w="2480" w:type="pct"/>
            <w:shd w:val="clear" w:color="auto" w:fill="C6D9F1" w:themeFill="text2" w:themeFillTint="33"/>
            <w:vAlign w:val="center"/>
          </w:tcPr>
          <w:p w14:paraId="55754382" w14:textId="77777777" w:rsidR="00671798" w:rsidRPr="00C55E90" w:rsidRDefault="00FE18AC">
            <w:pPr>
              <w:pStyle w:val="Heading3"/>
              <w:numPr>
                <w:ilvl w:val="0"/>
                <w:numId w:val="0"/>
              </w:numPr>
              <w:spacing w:after="120"/>
              <w:jc w:val="center"/>
              <w:outlineLvl w:val="2"/>
              <w:rPr>
                <w:b/>
                <w:szCs w:val="24"/>
              </w:rPr>
            </w:pPr>
            <w:r w:rsidRPr="00C55E90">
              <w:rPr>
                <w:b/>
              </w:rPr>
              <w:t>Description</w:t>
            </w:r>
          </w:p>
        </w:tc>
        <w:tc>
          <w:tcPr>
            <w:tcW w:w="1622" w:type="pct"/>
            <w:shd w:val="clear" w:color="auto" w:fill="C6D9F1" w:themeFill="text2" w:themeFillTint="33"/>
            <w:vAlign w:val="center"/>
          </w:tcPr>
          <w:p w14:paraId="0EABB2D0" w14:textId="77777777" w:rsidR="00671798" w:rsidRPr="00C55E90" w:rsidRDefault="00FE18AC">
            <w:pPr>
              <w:pStyle w:val="Heading3"/>
              <w:numPr>
                <w:ilvl w:val="0"/>
                <w:numId w:val="0"/>
              </w:numPr>
              <w:spacing w:after="120"/>
              <w:jc w:val="center"/>
              <w:outlineLvl w:val="2"/>
              <w:rPr>
                <w:b/>
                <w:szCs w:val="24"/>
              </w:rPr>
            </w:pPr>
            <w:r w:rsidRPr="00C55E90">
              <w:rPr>
                <w:b/>
              </w:rPr>
              <w:t>Timeframe</w:t>
            </w:r>
          </w:p>
        </w:tc>
      </w:tr>
      <w:tr w:rsidR="00FE18AC" w:rsidRPr="00297CF4" w14:paraId="2B6EAC37" w14:textId="77777777" w:rsidTr="00E245A6">
        <w:tc>
          <w:tcPr>
            <w:tcW w:w="898" w:type="pct"/>
            <w:vAlign w:val="center"/>
          </w:tcPr>
          <w:p w14:paraId="13176D62" w14:textId="77777777" w:rsidR="00671798" w:rsidRPr="00C55E90" w:rsidRDefault="00FE18AC">
            <w:pPr>
              <w:pStyle w:val="Heading3"/>
              <w:numPr>
                <w:ilvl w:val="0"/>
                <w:numId w:val="0"/>
              </w:numPr>
              <w:spacing w:after="120"/>
              <w:jc w:val="center"/>
              <w:outlineLvl w:val="2"/>
              <w:rPr>
                <w:szCs w:val="24"/>
              </w:rPr>
            </w:pPr>
            <w:r w:rsidRPr="00C55E90">
              <w:t>1</w:t>
            </w:r>
          </w:p>
        </w:tc>
        <w:tc>
          <w:tcPr>
            <w:tcW w:w="2480" w:type="pct"/>
            <w:vAlign w:val="center"/>
          </w:tcPr>
          <w:p w14:paraId="04CC1243" w14:textId="7A39A1F7" w:rsidR="00671798" w:rsidRPr="00C55E90" w:rsidRDefault="00C55E90" w:rsidP="00C55E90">
            <w:pPr>
              <w:pStyle w:val="Heading3"/>
              <w:numPr>
                <w:ilvl w:val="0"/>
                <w:numId w:val="0"/>
              </w:numPr>
              <w:spacing w:after="120"/>
              <w:jc w:val="left"/>
              <w:outlineLvl w:val="2"/>
              <w:rPr>
                <w:szCs w:val="24"/>
              </w:rPr>
            </w:pPr>
            <w:r w:rsidRPr="00C55E90">
              <w:t>An initial face to face meeting with Authority officials for draft agreement of work plan and outline of specification</w:t>
            </w:r>
            <w:r w:rsidR="00CB4C8B">
              <w:t>.</w:t>
            </w:r>
          </w:p>
        </w:tc>
        <w:tc>
          <w:tcPr>
            <w:tcW w:w="1622" w:type="pct"/>
            <w:vAlign w:val="center"/>
          </w:tcPr>
          <w:p w14:paraId="23E536A9" w14:textId="192FA42A" w:rsidR="00671798" w:rsidRPr="00C55E90" w:rsidRDefault="00C55E90" w:rsidP="00C55E90">
            <w:pPr>
              <w:pStyle w:val="Heading3"/>
              <w:numPr>
                <w:ilvl w:val="0"/>
                <w:numId w:val="0"/>
              </w:numPr>
              <w:spacing w:after="120"/>
              <w:jc w:val="center"/>
              <w:outlineLvl w:val="2"/>
              <w:rPr>
                <w:szCs w:val="24"/>
              </w:rPr>
            </w:pPr>
            <w:r w:rsidRPr="00C55E90">
              <w:t>Within 2 weeks of Contract Award</w:t>
            </w:r>
            <w:r w:rsidR="00CB4C8B">
              <w:t>.</w:t>
            </w:r>
          </w:p>
        </w:tc>
      </w:tr>
      <w:tr w:rsidR="00FE18AC" w:rsidRPr="00297CF4" w14:paraId="16F113EC" w14:textId="77777777" w:rsidTr="00E245A6">
        <w:tc>
          <w:tcPr>
            <w:tcW w:w="898" w:type="pct"/>
            <w:vAlign w:val="center"/>
          </w:tcPr>
          <w:p w14:paraId="4FD18402" w14:textId="77777777" w:rsidR="00671798" w:rsidRPr="00C55E90" w:rsidRDefault="00FE18AC">
            <w:pPr>
              <w:pStyle w:val="Heading3"/>
              <w:numPr>
                <w:ilvl w:val="0"/>
                <w:numId w:val="0"/>
              </w:numPr>
              <w:spacing w:after="120"/>
              <w:jc w:val="center"/>
              <w:outlineLvl w:val="2"/>
              <w:rPr>
                <w:szCs w:val="24"/>
              </w:rPr>
            </w:pPr>
            <w:r w:rsidRPr="00C55E90">
              <w:t>2</w:t>
            </w:r>
          </w:p>
        </w:tc>
        <w:tc>
          <w:tcPr>
            <w:tcW w:w="2480" w:type="pct"/>
            <w:vAlign w:val="center"/>
          </w:tcPr>
          <w:p w14:paraId="33C22C40" w14:textId="1007727A" w:rsidR="00671798" w:rsidRPr="00C55E90" w:rsidRDefault="00C55E90">
            <w:pPr>
              <w:pStyle w:val="Heading3"/>
              <w:numPr>
                <w:ilvl w:val="0"/>
                <w:numId w:val="0"/>
              </w:numPr>
              <w:spacing w:after="120"/>
              <w:jc w:val="left"/>
              <w:outlineLvl w:val="2"/>
              <w:rPr>
                <w:szCs w:val="24"/>
              </w:rPr>
            </w:pPr>
            <w:r w:rsidRPr="00C55E90">
              <w:t>Specification for data collection</w:t>
            </w:r>
            <w:r w:rsidR="00CB4C8B">
              <w:t>.</w:t>
            </w:r>
          </w:p>
        </w:tc>
        <w:tc>
          <w:tcPr>
            <w:tcW w:w="1622" w:type="pct"/>
            <w:vAlign w:val="center"/>
          </w:tcPr>
          <w:p w14:paraId="3B285FD4" w14:textId="53B9A919" w:rsidR="00671798" w:rsidRPr="00C55E90" w:rsidRDefault="00FE18AC" w:rsidP="00C55E90">
            <w:pPr>
              <w:pStyle w:val="Heading3"/>
              <w:numPr>
                <w:ilvl w:val="0"/>
                <w:numId w:val="0"/>
              </w:numPr>
              <w:spacing w:after="120"/>
              <w:jc w:val="center"/>
              <w:outlineLvl w:val="2"/>
              <w:rPr>
                <w:szCs w:val="24"/>
              </w:rPr>
            </w:pPr>
            <w:r w:rsidRPr="00C55E90">
              <w:t xml:space="preserve">Within </w:t>
            </w:r>
            <w:r w:rsidR="00CB4C8B">
              <w:t>1</w:t>
            </w:r>
            <w:r w:rsidR="00C55E90" w:rsidRPr="00C55E90">
              <w:t xml:space="preserve"> month of </w:t>
            </w:r>
            <w:r w:rsidRPr="00C55E90">
              <w:t>Contract Award</w:t>
            </w:r>
            <w:r w:rsidR="00CB4C8B">
              <w:t>.</w:t>
            </w:r>
          </w:p>
        </w:tc>
      </w:tr>
      <w:tr w:rsidR="00FE18AC" w:rsidRPr="00297CF4" w14:paraId="3FD394DC" w14:textId="77777777" w:rsidTr="00E245A6">
        <w:tc>
          <w:tcPr>
            <w:tcW w:w="898" w:type="pct"/>
            <w:vAlign w:val="center"/>
          </w:tcPr>
          <w:p w14:paraId="3995F849" w14:textId="77777777" w:rsidR="00671798" w:rsidRPr="00C55E90" w:rsidRDefault="00FE18AC">
            <w:pPr>
              <w:pStyle w:val="Heading3"/>
              <w:numPr>
                <w:ilvl w:val="0"/>
                <w:numId w:val="0"/>
              </w:numPr>
              <w:spacing w:after="120"/>
              <w:jc w:val="center"/>
              <w:outlineLvl w:val="2"/>
              <w:rPr>
                <w:szCs w:val="24"/>
              </w:rPr>
            </w:pPr>
            <w:r w:rsidRPr="00C55E90">
              <w:t>3</w:t>
            </w:r>
          </w:p>
        </w:tc>
        <w:tc>
          <w:tcPr>
            <w:tcW w:w="2480" w:type="pct"/>
            <w:vAlign w:val="center"/>
          </w:tcPr>
          <w:p w14:paraId="4962E129" w14:textId="08BF5B9C" w:rsidR="00671798" w:rsidRPr="00C55E90" w:rsidRDefault="00C55E90">
            <w:pPr>
              <w:pStyle w:val="Heading3"/>
              <w:numPr>
                <w:ilvl w:val="0"/>
                <w:numId w:val="0"/>
              </w:numPr>
              <w:spacing w:after="120"/>
              <w:jc w:val="left"/>
              <w:outlineLvl w:val="2"/>
              <w:rPr>
                <w:szCs w:val="24"/>
              </w:rPr>
            </w:pPr>
            <w:r w:rsidRPr="00C55E90">
              <w:rPr>
                <w:szCs w:val="24"/>
              </w:rPr>
              <w:t>Establish sample of LAs for data collection</w:t>
            </w:r>
            <w:r w:rsidR="00CB4C8B">
              <w:rPr>
                <w:szCs w:val="24"/>
              </w:rPr>
              <w:t>.</w:t>
            </w:r>
          </w:p>
        </w:tc>
        <w:tc>
          <w:tcPr>
            <w:tcW w:w="1622" w:type="pct"/>
            <w:vAlign w:val="center"/>
          </w:tcPr>
          <w:p w14:paraId="7164B729" w14:textId="1499115E" w:rsidR="00671798" w:rsidRPr="00C55E90" w:rsidRDefault="00FE18AC" w:rsidP="00C55E90">
            <w:pPr>
              <w:pStyle w:val="Heading3"/>
              <w:numPr>
                <w:ilvl w:val="0"/>
                <w:numId w:val="0"/>
              </w:numPr>
              <w:spacing w:after="120"/>
              <w:jc w:val="center"/>
              <w:outlineLvl w:val="2"/>
              <w:rPr>
                <w:szCs w:val="24"/>
              </w:rPr>
            </w:pPr>
            <w:r w:rsidRPr="00C55E90">
              <w:t xml:space="preserve">Within </w:t>
            </w:r>
            <w:r w:rsidR="00C55E90" w:rsidRPr="00C55E90">
              <w:t xml:space="preserve">2 months of </w:t>
            </w:r>
            <w:r w:rsidRPr="00C55E90">
              <w:t>Contract Award</w:t>
            </w:r>
            <w:r w:rsidR="00CB4C8B">
              <w:t>.</w:t>
            </w:r>
          </w:p>
        </w:tc>
      </w:tr>
      <w:tr w:rsidR="00FE18AC" w14:paraId="6A3230F6" w14:textId="77777777" w:rsidTr="00E245A6">
        <w:tc>
          <w:tcPr>
            <w:tcW w:w="898" w:type="pct"/>
            <w:vAlign w:val="center"/>
          </w:tcPr>
          <w:p w14:paraId="3302843B" w14:textId="77777777" w:rsidR="00671798" w:rsidRPr="00C55E90" w:rsidRDefault="00FE18AC">
            <w:pPr>
              <w:pStyle w:val="Heading3"/>
              <w:numPr>
                <w:ilvl w:val="0"/>
                <w:numId w:val="0"/>
              </w:numPr>
              <w:spacing w:after="120"/>
              <w:jc w:val="center"/>
              <w:outlineLvl w:val="2"/>
              <w:rPr>
                <w:szCs w:val="24"/>
              </w:rPr>
            </w:pPr>
            <w:r w:rsidRPr="00C55E90">
              <w:t>4</w:t>
            </w:r>
          </w:p>
        </w:tc>
        <w:tc>
          <w:tcPr>
            <w:tcW w:w="2480" w:type="pct"/>
            <w:vAlign w:val="center"/>
          </w:tcPr>
          <w:p w14:paraId="029789C7" w14:textId="302A265F" w:rsidR="00671798" w:rsidRPr="00C55E90" w:rsidRDefault="00C55E90">
            <w:pPr>
              <w:pStyle w:val="Heading3"/>
              <w:numPr>
                <w:ilvl w:val="0"/>
                <w:numId w:val="0"/>
              </w:numPr>
              <w:spacing w:after="120"/>
              <w:jc w:val="left"/>
              <w:outlineLvl w:val="2"/>
              <w:rPr>
                <w:szCs w:val="24"/>
              </w:rPr>
            </w:pPr>
            <w:r>
              <w:t>P</w:t>
            </w:r>
            <w:r w:rsidRPr="00C55E90">
              <w:t>ilot data collection</w:t>
            </w:r>
            <w:r w:rsidR="00CB4C8B">
              <w:t>.</w:t>
            </w:r>
          </w:p>
        </w:tc>
        <w:tc>
          <w:tcPr>
            <w:tcW w:w="1622" w:type="pct"/>
            <w:vAlign w:val="center"/>
          </w:tcPr>
          <w:p w14:paraId="0A8D4F91" w14:textId="298D70EB" w:rsidR="00671798" w:rsidRPr="00C55E90" w:rsidRDefault="00C55E90">
            <w:pPr>
              <w:pStyle w:val="Heading3"/>
              <w:numPr>
                <w:ilvl w:val="0"/>
                <w:numId w:val="0"/>
              </w:numPr>
              <w:spacing w:after="120"/>
              <w:jc w:val="center"/>
              <w:outlineLvl w:val="2"/>
              <w:rPr>
                <w:szCs w:val="24"/>
              </w:rPr>
            </w:pPr>
            <w:r w:rsidRPr="00C55E90">
              <w:t xml:space="preserve">Within </w:t>
            </w:r>
            <w:r w:rsidR="0054492B">
              <w:t>3 months</w:t>
            </w:r>
            <w:r w:rsidRPr="00C55E90">
              <w:t xml:space="preserve"> of Contract Award</w:t>
            </w:r>
            <w:r w:rsidR="00CB4C8B">
              <w:t>.</w:t>
            </w:r>
          </w:p>
        </w:tc>
      </w:tr>
      <w:tr w:rsidR="00C55E90" w14:paraId="44922E01" w14:textId="77777777" w:rsidTr="00E245A6">
        <w:tc>
          <w:tcPr>
            <w:tcW w:w="898" w:type="pct"/>
            <w:vAlign w:val="center"/>
          </w:tcPr>
          <w:p w14:paraId="4ED6B139" w14:textId="36FBC809" w:rsidR="00C55E90" w:rsidRPr="00C55E90" w:rsidRDefault="00C55E90">
            <w:pPr>
              <w:pStyle w:val="Heading3"/>
              <w:numPr>
                <w:ilvl w:val="0"/>
                <w:numId w:val="0"/>
              </w:numPr>
              <w:spacing w:after="120"/>
              <w:jc w:val="center"/>
              <w:outlineLvl w:val="2"/>
            </w:pPr>
            <w:r w:rsidRPr="00C55E90">
              <w:t>5</w:t>
            </w:r>
          </w:p>
        </w:tc>
        <w:tc>
          <w:tcPr>
            <w:tcW w:w="2480" w:type="pct"/>
            <w:vAlign w:val="center"/>
          </w:tcPr>
          <w:p w14:paraId="1D59BF1C" w14:textId="5C0ED4EA" w:rsidR="00C55E90" w:rsidRPr="00C55E90" w:rsidRDefault="00C55E90">
            <w:pPr>
              <w:pStyle w:val="Heading3"/>
              <w:numPr>
                <w:ilvl w:val="0"/>
                <w:numId w:val="0"/>
              </w:numPr>
              <w:spacing w:after="120"/>
              <w:jc w:val="left"/>
              <w:outlineLvl w:val="2"/>
            </w:pPr>
            <w:r>
              <w:t>Full LA and administrative data collection exercise</w:t>
            </w:r>
            <w:r w:rsidR="00CB4C8B">
              <w:t>.</w:t>
            </w:r>
          </w:p>
        </w:tc>
        <w:tc>
          <w:tcPr>
            <w:tcW w:w="1622" w:type="pct"/>
            <w:vAlign w:val="center"/>
          </w:tcPr>
          <w:p w14:paraId="17056220" w14:textId="4CE0EDBC" w:rsidR="00C55E90" w:rsidRPr="00C55E90" w:rsidRDefault="00A62B42">
            <w:pPr>
              <w:pStyle w:val="Heading3"/>
              <w:numPr>
                <w:ilvl w:val="0"/>
                <w:numId w:val="0"/>
              </w:numPr>
              <w:spacing w:after="120"/>
              <w:jc w:val="center"/>
              <w:outlineLvl w:val="2"/>
            </w:pPr>
            <w:r>
              <w:t>Within 12</w:t>
            </w:r>
            <w:r w:rsidR="00C55E90">
              <w:t xml:space="preserve"> months from end of Milestone 4 (pilot data collection)</w:t>
            </w:r>
            <w:r w:rsidR="00CB4C8B">
              <w:t>.</w:t>
            </w:r>
          </w:p>
        </w:tc>
      </w:tr>
      <w:tr w:rsidR="00C55E90" w14:paraId="5F3EAD72" w14:textId="77777777" w:rsidTr="00E245A6">
        <w:tc>
          <w:tcPr>
            <w:tcW w:w="898" w:type="pct"/>
            <w:vAlign w:val="center"/>
          </w:tcPr>
          <w:p w14:paraId="6F80CE9F" w14:textId="0290C569" w:rsidR="00C55E90" w:rsidRPr="00C55E90" w:rsidRDefault="00C55E90">
            <w:pPr>
              <w:pStyle w:val="Heading3"/>
              <w:numPr>
                <w:ilvl w:val="0"/>
                <w:numId w:val="0"/>
              </w:numPr>
              <w:spacing w:after="120"/>
              <w:jc w:val="center"/>
              <w:outlineLvl w:val="2"/>
            </w:pPr>
            <w:r>
              <w:t>6</w:t>
            </w:r>
          </w:p>
        </w:tc>
        <w:tc>
          <w:tcPr>
            <w:tcW w:w="2480" w:type="pct"/>
            <w:vAlign w:val="center"/>
          </w:tcPr>
          <w:p w14:paraId="3B83A40C" w14:textId="400AFD02" w:rsidR="00C55E90" w:rsidRDefault="00A62B42">
            <w:pPr>
              <w:pStyle w:val="Heading3"/>
              <w:numPr>
                <w:ilvl w:val="0"/>
                <w:numId w:val="0"/>
              </w:numPr>
              <w:spacing w:after="120"/>
              <w:jc w:val="left"/>
              <w:outlineLvl w:val="2"/>
            </w:pPr>
            <w:r>
              <w:t>Data cleaning and manipulation</w:t>
            </w:r>
            <w:r w:rsidR="0042703F">
              <w:t xml:space="preserve"> and delivery of dataset</w:t>
            </w:r>
            <w:r w:rsidR="00CB4C8B">
              <w:t>.</w:t>
            </w:r>
          </w:p>
        </w:tc>
        <w:tc>
          <w:tcPr>
            <w:tcW w:w="1622" w:type="pct"/>
            <w:vAlign w:val="center"/>
          </w:tcPr>
          <w:p w14:paraId="4439249E" w14:textId="6C0D12C5" w:rsidR="00C55E90" w:rsidRDefault="00A62B42" w:rsidP="00A62B42">
            <w:pPr>
              <w:pStyle w:val="Heading3"/>
              <w:numPr>
                <w:ilvl w:val="0"/>
                <w:numId w:val="0"/>
              </w:numPr>
              <w:spacing w:after="120"/>
              <w:jc w:val="center"/>
              <w:outlineLvl w:val="2"/>
            </w:pPr>
            <w:r>
              <w:t>Within 1 month from end of Milestone 5 (full data collection)</w:t>
            </w:r>
            <w:r w:rsidR="00CB4C8B">
              <w:t>.</w:t>
            </w:r>
          </w:p>
        </w:tc>
      </w:tr>
      <w:tr w:rsidR="00A62B42" w14:paraId="134F3896" w14:textId="77777777" w:rsidTr="00E245A6">
        <w:tc>
          <w:tcPr>
            <w:tcW w:w="898" w:type="pct"/>
            <w:vAlign w:val="center"/>
          </w:tcPr>
          <w:p w14:paraId="556D7F2E" w14:textId="34911FBF" w:rsidR="00A62B42" w:rsidRDefault="002F5B77">
            <w:pPr>
              <w:pStyle w:val="Heading3"/>
              <w:numPr>
                <w:ilvl w:val="0"/>
                <w:numId w:val="0"/>
              </w:numPr>
              <w:spacing w:after="120"/>
              <w:jc w:val="center"/>
              <w:outlineLvl w:val="2"/>
            </w:pPr>
            <w:r>
              <w:t>7</w:t>
            </w:r>
          </w:p>
        </w:tc>
        <w:tc>
          <w:tcPr>
            <w:tcW w:w="2480" w:type="pct"/>
            <w:vAlign w:val="center"/>
          </w:tcPr>
          <w:p w14:paraId="64B4DD64" w14:textId="606E5DB2" w:rsidR="00A62B42" w:rsidRDefault="00A62B42">
            <w:pPr>
              <w:pStyle w:val="Heading3"/>
              <w:numPr>
                <w:ilvl w:val="0"/>
                <w:numId w:val="0"/>
              </w:numPr>
              <w:spacing w:after="120"/>
              <w:jc w:val="left"/>
              <w:outlineLvl w:val="2"/>
            </w:pPr>
            <w:r>
              <w:t>Delivery of draft technical report covering phase 1</w:t>
            </w:r>
            <w:r w:rsidR="00CB4C8B">
              <w:t>.</w:t>
            </w:r>
          </w:p>
        </w:tc>
        <w:tc>
          <w:tcPr>
            <w:tcW w:w="1622" w:type="pct"/>
            <w:vAlign w:val="center"/>
          </w:tcPr>
          <w:p w14:paraId="099E271D" w14:textId="050D6948" w:rsidR="00A62B42" w:rsidRDefault="00A62B42" w:rsidP="00A62B42">
            <w:pPr>
              <w:pStyle w:val="Heading3"/>
              <w:numPr>
                <w:ilvl w:val="0"/>
                <w:numId w:val="0"/>
              </w:numPr>
              <w:spacing w:after="120"/>
              <w:jc w:val="center"/>
              <w:outlineLvl w:val="2"/>
            </w:pPr>
            <w:r>
              <w:t>1 month from end of Milestone 5 (full data collection)</w:t>
            </w:r>
            <w:r w:rsidR="00CB4C8B">
              <w:t>.</w:t>
            </w:r>
          </w:p>
        </w:tc>
      </w:tr>
      <w:tr w:rsidR="002F5B77" w14:paraId="17D81C20" w14:textId="77777777" w:rsidTr="00C82F23">
        <w:tc>
          <w:tcPr>
            <w:tcW w:w="898" w:type="pct"/>
            <w:vAlign w:val="center"/>
          </w:tcPr>
          <w:p w14:paraId="4C4CFDC3" w14:textId="28841630" w:rsidR="002F5B77" w:rsidRDefault="002F5B77" w:rsidP="00C82F23">
            <w:pPr>
              <w:pStyle w:val="Heading3"/>
              <w:numPr>
                <w:ilvl w:val="0"/>
                <w:numId w:val="0"/>
              </w:numPr>
              <w:spacing w:after="120"/>
              <w:jc w:val="center"/>
              <w:outlineLvl w:val="2"/>
            </w:pPr>
            <w:r>
              <w:t>8</w:t>
            </w:r>
          </w:p>
        </w:tc>
        <w:tc>
          <w:tcPr>
            <w:tcW w:w="2480" w:type="pct"/>
            <w:vAlign w:val="center"/>
          </w:tcPr>
          <w:p w14:paraId="40B00844" w14:textId="77777777" w:rsidR="002F5B77" w:rsidRDefault="002F5B77" w:rsidP="00C82F23">
            <w:pPr>
              <w:pStyle w:val="Heading3"/>
              <w:numPr>
                <w:ilvl w:val="0"/>
                <w:numId w:val="0"/>
              </w:numPr>
              <w:spacing w:after="120"/>
              <w:jc w:val="left"/>
              <w:outlineLvl w:val="2"/>
            </w:pPr>
            <w:r>
              <w:t>Break clause invoked.</w:t>
            </w:r>
          </w:p>
        </w:tc>
        <w:tc>
          <w:tcPr>
            <w:tcW w:w="1622" w:type="pct"/>
            <w:vAlign w:val="center"/>
          </w:tcPr>
          <w:p w14:paraId="3C39FE28" w14:textId="1B8704B2" w:rsidR="002F5B77" w:rsidRDefault="002F5B77" w:rsidP="00C82F23">
            <w:pPr>
              <w:pStyle w:val="Heading3"/>
              <w:numPr>
                <w:ilvl w:val="0"/>
                <w:numId w:val="0"/>
              </w:numPr>
              <w:spacing w:after="120"/>
              <w:jc w:val="center"/>
              <w:outlineLvl w:val="2"/>
            </w:pPr>
            <w:r>
              <w:t>To take effect after Milestone 7.</w:t>
            </w:r>
          </w:p>
        </w:tc>
      </w:tr>
      <w:tr w:rsidR="00A62B42" w14:paraId="00A866F8" w14:textId="77777777" w:rsidTr="00E245A6">
        <w:tc>
          <w:tcPr>
            <w:tcW w:w="898" w:type="pct"/>
            <w:vAlign w:val="center"/>
          </w:tcPr>
          <w:p w14:paraId="17CE399A" w14:textId="2A933098" w:rsidR="00A62B42" w:rsidRDefault="0042703F">
            <w:pPr>
              <w:pStyle w:val="Heading3"/>
              <w:numPr>
                <w:ilvl w:val="0"/>
                <w:numId w:val="0"/>
              </w:numPr>
              <w:spacing w:after="120"/>
              <w:jc w:val="center"/>
              <w:outlineLvl w:val="2"/>
            </w:pPr>
            <w:r>
              <w:t>9</w:t>
            </w:r>
          </w:p>
        </w:tc>
        <w:tc>
          <w:tcPr>
            <w:tcW w:w="2480" w:type="pct"/>
            <w:vAlign w:val="center"/>
          </w:tcPr>
          <w:p w14:paraId="5D8496F2" w14:textId="6E8CAD0B" w:rsidR="00A62B42" w:rsidRDefault="00A62B42">
            <w:pPr>
              <w:pStyle w:val="Heading3"/>
              <w:numPr>
                <w:ilvl w:val="0"/>
                <w:numId w:val="0"/>
              </w:numPr>
              <w:spacing w:after="120"/>
              <w:jc w:val="left"/>
              <w:outlineLvl w:val="2"/>
            </w:pPr>
            <w:r>
              <w:t>Provision of finalised multi-level model</w:t>
            </w:r>
            <w:r w:rsidR="00AB227C">
              <w:t xml:space="preserve"> and exemplifications of funding distribution</w:t>
            </w:r>
            <w:r w:rsidR="00CB4C8B">
              <w:t>.</w:t>
            </w:r>
          </w:p>
        </w:tc>
        <w:tc>
          <w:tcPr>
            <w:tcW w:w="1622" w:type="pct"/>
            <w:vAlign w:val="center"/>
          </w:tcPr>
          <w:p w14:paraId="429F9F20" w14:textId="25D7808D" w:rsidR="00A62B42" w:rsidRDefault="00A62B42" w:rsidP="00A62B42">
            <w:pPr>
              <w:pStyle w:val="Heading3"/>
              <w:numPr>
                <w:ilvl w:val="0"/>
                <w:numId w:val="0"/>
              </w:numPr>
              <w:spacing w:after="120"/>
              <w:jc w:val="center"/>
              <w:outlineLvl w:val="2"/>
            </w:pPr>
            <w:r>
              <w:t>Within 4 months of Milestone 6 (data cleaning)</w:t>
            </w:r>
            <w:r w:rsidR="00CB4C8B">
              <w:t>.</w:t>
            </w:r>
          </w:p>
        </w:tc>
      </w:tr>
      <w:tr w:rsidR="00A62B42" w14:paraId="53E6DBC9" w14:textId="77777777" w:rsidTr="00E245A6">
        <w:tc>
          <w:tcPr>
            <w:tcW w:w="898" w:type="pct"/>
            <w:vAlign w:val="center"/>
          </w:tcPr>
          <w:p w14:paraId="61DF74BF" w14:textId="270FD355" w:rsidR="00A62B42" w:rsidRDefault="0042703F">
            <w:pPr>
              <w:pStyle w:val="Heading3"/>
              <w:numPr>
                <w:ilvl w:val="0"/>
                <w:numId w:val="0"/>
              </w:numPr>
              <w:spacing w:after="120"/>
              <w:jc w:val="center"/>
              <w:outlineLvl w:val="2"/>
            </w:pPr>
            <w:r>
              <w:t>10</w:t>
            </w:r>
          </w:p>
        </w:tc>
        <w:tc>
          <w:tcPr>
            <w:tcW w:w="2480" w:type="pct"/>
            <w:vAlign w:val="center"/>
          </w:tcPr>
          <w:p w14:paraId="548EBB1F" w14:textId="576B56F2" w:rsidR="00A62B42" w:rsidRDefault="00A62B42">
            <w:pPr>
              <w:pStyle w:val="Heading3"/>
              <w:numPr>
                <w:ilvl w:val="0"/>
                <w:numId w:val="0"/>
              </w:numPr>
              <w:spacing w:after="120"/>
              <w:jc w:val="left"/>
              <w:outlineLvl w:val="2"/>
            </w:pPr>
            <w:r>
              <w:t>Provision of final technical report covering both phases of work</w:t>
            </w:r>
            <w:r w:rsidR="00CB4C8B">
              <w:t>.</w:t>
            </w:r>
          </w:p>
        </w:tc>
        <w:tc>
          <w:tcPr>
            <w:tcW w:w="1622" w:type="pct"/>
            <w:vAlign w:val="center"/>
          </w:tcPr>
          <w:p w14:paraId="02AD7825" w14:textId="4BF364D2" w:rsidR="00A62B42" w:rsidRDefault="0042703F" w:rsidP="00A62B42">
            <w:pPr>
              <w:pStyle w:val="Heading3"/>
              <w:numPr>
                <w:ilvl w:val="0"/>
                <w:numId w:val="0"/>
              </w:numPr>
              <w:spacing w:after="120"/>
              <w:jc w:val="center"/>
              <w:outlineLvl w:val="2"/>
            </w:pPr>
            <w:r>
              <w:t>4 months after Milestone 6 (data cleaning)</w:t>
            </w:r>
            <w:r w:rsidR="00CB4C8B">
              <w:t>.</w:t>
            </w:r>
          </w:p>
        </w:tc>
      </w:tr>
    </w:tbl>
    <w:p w14:paraId="228D428C"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19" w:name="_Toc302637211"/>
    </w:p>
    <w:p w14:paraId="3C36765A" w14:textId="482E4F08" w:rsidR="00106F24" w:rsidRDefault="00106F24">
      <w:pPr>
        <w:pStyle w:val="Heading1"/>
        <w:tabs>
          <w:tab w:val="clear" w:pos="720"/>
          <w:tab w:val="num" w:pos="0"/>
        </w:tabs>
        <w:overflowPunct w:val="0"/>
        <w:autoSpaceDE w:val="0"/>
        <w:autoSpaceDN w:val="0"/>
        <w:spacing w:after="120"/>
        <w:ind w:left="709" w:hanging="709"/>
        <w:textAlignment w:val="baseline"/>
        <w:rPr>
          <w:rFonts w:cs="Arial"/>
          <w:szCs w:val="22"/>
        </w:rPr>
      </w:pPr>
      <w:bookmarkStart w:id="20" w:name="_Toc495310904"/>
      <w:bookmarkStart w:id="21" w:name="_Toc368573033"/>
      <w:r>
        <w:rPr>
          <w:rFonts w:cs="Arial"/>
          <w:szCs w:val="22"/>
        </w:rPr>
        <w:t>authority’s responsibilities</w:t>
      </w:r>
      <w:bookmarkEnd w:id="20"/>
    </w:p>
    <w:p w14:paraId="5E7DC69D" w14:textId="5B1D0FC8" w:rsidR="00922D72" w:rsidRPr="00E71E61" w:rsidRDefault="00922D72" w:rsidP="00922D72">
      <w:pPr>
        <w:pStyle w:val="Heading2"/>
      </w:pPr>
      <w:r w:rsidRPr="00E71E61">
        <w:t xml:space="preserve">The Authority will ensure all contractual obligations are adhered to and managed accordingly.  Any supplier queries will be addressed and responded to within </w:t>
      </w:r>
      <w:r w:rsidR="009A682A">
        <w:t>3 working days</w:t>
      </w:r>
      <w:r w:rsidRPr="00E71E61">
        <w:t>. The authority will provide suitably qualified persons to attend and chair supplier meetings when required to do so.</w:t>
      </w:r>
    </w:p>
    <w:p w14:paraId="6417A944" w14:textId="284C3AEC" w:rsidR="00106F24" w:rsidRPr="00FD243A" w:rsidRDefault="00FD243A" w:rsidP="00106F24">
      <w:pPr>
        <w:pStyle w:val="Heading2"/>
      </w:pPr>
      <w:r w:rsidRPr="00FD243A">
        <w:t>The Authority, along with DfE, will facilitate contact with Local Authorities where this is requested by the contractor.</w:t>
      </w:r>
    </w:p>
    <w:p w14:paraId="203EC2B6" w14:textId="77777777" w:rsidR="00671798" w:rsidRDefault="00FE18AC">
      <w:pPr>
        <w:pStyle w:val="Heading1"/>
        <w:tabs>
          <w:tab w:val="clear" w:pos="720"/>
          <w:tab w:val="num" w:pos="0"/>
        </w:tabs>
        <w:overflowPunct w:val="0"/>
        <w:autoSpaceDE w:val="0"/>
        <w:autoSpaceDN w:val="0"/>
        <w:spacing w:after="120"/>
        <w:ind w:left="709" w:hanging="709"/>
        <w:textAlignment w:val="baseline"/>
        <w:rPr>
          <w:rFonts w:cs="Arial"/>
          <w:szCs w:val="22"/>
        </w:rPr>
      </w:pPr>
      <w:bookmarkStart w:id="22" w:name="_Toc495310905"/>
      <w:r w:rsidRPr="00BE6EE0">
        <w:rPr>
          <w:rFonts w:cs="Arial"/>
          <w:szCs w:val="22"/>
        </w:rPr>
        <w:t>reporting</w:t>
      </w:r>
      <w:bookmarkEnd w:id="21"/>
      <w:bookmarkEnd w:id="22"/>
    </w:p>
    <w:p w14:paraId="22C08F65" w14:textId="3F51AFF4" w:rsidR="00671798" w:rsidRPr="0087782A" w:rsidRDefault="0087782A">
      <w:pPr>
        <w:pStyle w:val="Heading2"/>
        <w:tabs>
          <w:tab w:val="clear" w:pos="720"/>
          <w:tab w:val="num" w:pos="709"/>
        </w:tabs>
        <w:spacing w:after="120"/>
        <w:ind w:left="709" w:hanging="709"/>
      </w:pPr>
      <w:r w:rsidRPr="0087782A">
        <w:t>The Supplier will be required to provide all outputs in plain English and for these to be quality assured and proof read by the Supplier before submission to the Authority.</w:t>
      </w:r>
      <w:r w:rsidR="00F46325">
        <w:t xml:space="preserve">  Reporting is to be delivered in a format agreed by the Authority.</w:t>
      </w:r>
    </w:p>
    <w:p w14:paraId="4D2FC384" w14:textId="59D06AB8" w:rsidR="0087782A" w:rsidRDefault="0087782A">
      <w:pPr>
        <w:pStyle w:val="Heading2"/>
        <w:tabs>
          <w:tab w:val="clear" w:pos="720"/>
          <w:tab w:val="num" w:pos="709"/>
        </w:tabs>
        <w:spacing w:after="120"/>
        <w:ind w:left="709" w:hanging="709"/>
      </w:pPr>
      <w:r w:rsidRPr="0087782A">
        <w:t>The Authority will require weekly electronic progress reports throughout the proj</w:t>
      </w:r>
      <w:r w:rsidR="0093178F">
        <w:t xml:space="preserve">ect with regular updates of a </w:t>
      </w:r>
      <w:r w:rsidRPr="0087782A">
        <w:t>risk register.  Quarterly meetings with the steering group of the study may be required to be held at the Authority’s o</w:t>
      </w:r>
      <w:r w:rsidR="00171BB8">
        <w:t>ffices or by teleconference.  Further meetings may need to be arranged depending on the demands of the project.</w:t>
      </w:r>
    </w:p>
    <w:p w14:paraId="7B54A490" w14:textId="3231A976" w:rsidR="00171BB8" w:rsidRPr="0087782A" w:rsidRDefault="00171BB8" w:rsidP="00171BB8">
      <w:pPr>
        <w:pStyle w:val="Heading2"/>
        <w:spacing w:after="120"/>
        <w:ind w:left="709" w:hanging="709"/>
      </w:pPr>
      <w:r>
        <w:t xml:space="preserve">The Authority will require a cleaned, edited and user-friendly dataset in both </w:t>
      </w:r>
      <w:r w:rsidR="002F5B77">
        <w:t>.csv and SPSS file formats of all of the data collected.  The Authority also requires a statistical</w:t>
      </w:r>
      <w:r>
        <w:t xml:space="preserve"> model</w:t>
      </w:r>
      <w:r w:rsidR="00A769B4">
        <w:t xml:space="preserve">, which can be used to model at both </w:t>
      </w:r>
      <w:r w:rsidR="002F5B77">
        <w:t xml:space="preserve">Children’s Services </w:t>
      </w:r>
      <w:r w:rsidR="00A769B4">
        <w:t>activity level and</w:t>
      </w:r>
      <w:r w:rsidR="002F5B77">
        <w:t xml:space="preserve"> includes cost data to provide</w:t>
      </w:r>
      <w:r w:rsidR="00A769B4">
        <w:t xml:space="preserve"> relative ‘need to spend’</w:t>
      </w:r>
      <w:r w:rsidR="002F5B77">
        <w:t xml:space="preserve"> between LAs.  The model should include facility for the Authority to change data inputs.</w:t>
      </w:r>
      <w:r w:rsidR="0054492B">
        <w:t xml:space="preserve"> </w:t>
      </w:r>
      <w:r w:rsidR="002F5B77">
        <w:t xml:space="preserve">These outputs will be accompanied by </w:t>
      </w:r>
      <w:r>
        <w:t>a detailed technical report.</w:t>
      </w:r>
    </w:p>
    <w:p w14:paraId="143FA533" w14:textId="7BB3AFCF" w:rsidR="00CB128E" w:rsidRDefault="00CB128E" w:rsidP="00CB128E">
      <w:pPr>
        <w:pStyle w:val="Heading2"/>
        <w:spacing w:after="120"/>
        <w:ind w:left="709" w:hanging="709"/>
      </w:pPr>
      <w:bookmarkStart w:id="23" w:name="_Toc368573035"/>
      <w:r>
        <w:t>The Supplier shall provide and routinely update the Authority and Contracting Authorities with information about how the professional development, accountability and quality of Researchers a</w:t>
      </w:r>
      <w:r w:rsidR="004E6724">
        <w:t>re being managed</w:t>
      </w:r>
      <w:bookmarkStart w:id="24" w:name="_GoBack"/>
      <w:bookmarkEnd w:id="24"/>
      <w:r>
        <w:t xml:space="preserve">. Such information shall be made available on request to the Authority. </w:t>
      </w:r>
    </w:p>
    <w:p w14:paraId="688C99CC" w14:textId="799C69EA" w:rsidR="00DC5BEC" w:rsidRPr="002F5B77" w:rsidRDefault="00DC5BEC" w:rsidP="00DC5BEC">
      <w:pPr>
        <w:pStyle w:val="Heading1"/>
        <w:tabs>
          <w:tab w:val="clear" w:pos="720"/>
          <w:tab w:val="num" w:pos="0"/>
        </w:tabs>
        <w:overflowPunct w:val="0"/>
        <w:autoSpaceDE w:val="0"/>
        <w:autoSpaceDN w:val="0"/>
        <w:spacing w:after="120"/>
        <w:ind w:left="709" w:hanging="709"/>
        <w:textAlignment w:val="baseline"/>
        <w:rPr>
          <w:rFonts w:cs="Arial"/>
          <w:szCs w:val="22"/>
        </w:rPr>
      </w:pPr>
      <w:bookmarkStart w:id="25" w:name="_Toc495310906"/>
      <w:r w:rsidRPr="00BD7E53">
        <w:rPr>
          <w:rFonts w:cs="Arial"/>
          <w:szCs w:val="22"/>
        </w:rPr>
        <w:t>VOLUMES</w:t>
      </w:r>
      <w:bookmarkEnd w:id="25"/>
    </w:p>
    <w:p w14:paraId="009831A5" w14:textId="22A2FEEF" w:rsidR="00DC5BEC" w:rsidRPr="00BD7E53" w:rsidRDefault="0054492B" w:rsidP="00DC5BEC">
      <w:pPr>
        <w:pStyle w:val="Heading2"/>
      </w:pPr>
      <w:r>
        <w:t>There is a fixed output for phases 1 and 2 of this requirement</w:t>
      </w:r>
      <w:r w:rsidR="002F5B77" w:rsidRPr="00BD7E53">
        <w:t>.</w:t>
      </w:r>
    </w:p>
    <w:p w14:paraId="0C1E78CC"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6" w:name="_Toc495310907"/>
      <w:r w:rsidRPr="00BE6EE0">
        <w:rPr>
          <w:rFonts w:cs="Arial"/>
          <w:szCs w:val="22"/>
        </w:rPr>
        <w:t>continuous improvement</w:t>
      </w:r>
      <w:bookmarkEnd w:id="23"/>
      <w:bookmarkEnd w:id="26"/>
    </w:p>
    <w:p w14:paraId="73ED8F03" w14:textId="16BD45CD" w:rsidR="00671798" w:rsidRDefault="00FE18AC">
      <w:pPr>
        <w:pStyle w:val="Heading2"/>
        <w:tabs>
          <w:tab w:val="clear" w:pos="720"/>
          <w:tab w:val="num" w:pos="709"/>
        </w:tabs>
        <w:spacing w:after="120"/>
        <w:ind w:left="709" w:hanging="709"/>
      </w:pPr>
      <w:r w:rsidRPr="008104E0">
        <w:t xml:space="preserve">The </w:t>
      </w:r>
      <w:r w:rsidR="003047E0">
        <w:t>Supplier</w:t>
      </w:r>
      <w:r w:rsidRPr="008104E0">
        <w:t xml:space="preserve"> will be expected to continually improve the way in which the required Services are to be delivered throughout the </w:t>
      </w:r>
      <w:r w:rsidR="0052086C">
        <w:t xml:space="preserve">Contract </w:t>
      </w:r>
      <w:r w:rsidRPr="008104E0">
        <w:t>duration.</w:t>
      </w:r>
    </w:p>
    <w:p w14:paraId="05FEE543" w14:textId="30597C32" w:rsidR="00C74119" w:rsidRPr="00E71E61" w:rsidRDefault="00C74119" w:rsidP="00C74119">
      <w:pPr>
        <w:pStyle w:val="Heading2"/>
        <w:tabs>
          <w:tab w:val="clear" w:pos="720"/>
          <w:tab w:val="num" w:pos="709"/>
        </w:tabs>
        <w:spacing w:after="120"/>
        <w:ind w:left="709" w:hanging="709"/>
      </w:pPr>
      <w:r w:rsidRPr="00E71E61">
        <w:t>The Supplier should present new ways of work</w:t>
      </w:r>
      <w:r w:rsidR="00C204A9">
        <w:t>ing to the Authority during Contract</w:t>
      </w:r>
      <w:r w:rsidRPr="00E71E61">
        <w:t xml:space="preserve"> review meeting</w:t>
      </w:r>
      <w:r w:rsidR="00C204A9">
        <w:t>s</w:t>
      </w:r>
      <w:r w:rsidRPr="00E71E61">
        <w:t xml:space="preserve">. </w:t>
      </w:r>
    </w:p>
    <w:p w14:paraId="031D2B5A" w14:textId="6E1F43DF" w:rsidR="00671798" w:rsidRDefault="00FE18AC">
      <w:pPr>
        <w:pStyle w:val="Heading2"/>
        <w:tabs>
          <w:tab w:val="clear" w:pos="720"/>
          <w:tab w:val="num" w:pos="709"/>
        </w:tabs>
        <w:spacing w:after="120"/>
        <w:ind w:left="709" w:hanging="709"/>
      </w:pPr>
      <w:r w:rsidRPr="008104E0">
        <w:t>Changes to the way in which the Services are to be delivered must be brought to the</w:t>
      </w:r>
      <w:r>
        <w:t xml:space="preserve"> </w:t>
      </w:r>
      <w:r w:rsidRPr="008104E0">
        <w:t xml:space="preserve">Authority’s attention and agreed prior to any </w:t>
      </w:r>
      <w:r>
        <w:t>changes being implemented.</w:t>
      </w:r>
    </w:p>
    <w:p w14:paraId="2D6CFA81" w14:textId="620288BC" w:rsidR="00DC5BEC" w:rsidRPr="00C204A9" w:rsidRDefault="00DC5BE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7" w:name="_Toc495310908"/>
      <w:bookmarkStart w:id="28" w:name="_Toc368573036"/>
      <w:r w:rsidRPr="00C204A9">
        <w:rPr>
          <w:rFonts w:cs="Arial"/>
          <w:szCs w:val="22"/>
        </w:rPr>
        <w:t>SUSTAINABILITY</w:t>
      </w:r>
      <w:bookmarkEnd w:id="27"/>
      <w:r w:rsidRPr="00C204A9">
        <w:rPr>
          <w:rFonts w:cs="Arial"/>
          <w:szCs w:val="22"/>
        </w:rPr>
        <w:t xml:space="preserve"> </w:t>
      </w:r>
    </w:p>
    <w:p w14:paraId="48D3020D" w14:textId="7A086D1C" w:rsidR="00DC5BEC" w:rsidRPr="00C204A9" w:rsidRDefault="00C204A9" w:rsidP="00DC5BEC">
      <w:pPr>
        <w:pStyle w:val="Heading2"/>
      </w:pPr>
      <w:r w:rsidRPr="00C204A9">
        <w:t>There are no sustainability considerations for this requirement.</w:t>
      </w:r>
    </w:p>
    <w:p w14:paraId="1114BE17" w14:textId="77777777" w:rsidR="00FE18AC" w:rsidRPr="00517FEF"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9" w:name="_Toc495310909"/>
      <w:r w:rsidRPr="00517FEF">
        <w:rPr>
          <w:rFonts w:cs="Arial"/>
          <w:szCs w:val="22"/>
        </w:rPr>
        <w:t>quality</w:t>
      </w:r>
      <w:bookmarkEnd w:id="28"/>
      <w:bookmarkEnd w:id="29"/>
    </w:p>
    <w:p w14:paraId="6133FE1F" w14:textId="77777777" w:rsidR="00E11FF7" w:rsidRDefault="00EB306D" w:rsidP="00EB306D">
      <w:pPr>
        <w:pStyle w:val="Heading2"/>
        <w:tabs>
          <w:tab w:val="clear" w:pos="720"/>
          <w:tab w:val="num" w:pos="0"/>
        </w:tabs>
        <w:overflowPunct w:val="0"/>
        <w:autoSpaceDE w:val="0"/>
        <w:autoSpaceDN w:val="0"/>
        <w:spacing w:after="120"/>
        <w:ind w:left="709" w:hanging="709"/>
        <w:textAlignment w:val="baseline"/>
      </w:pPr>
      <w:bookmarkStart w:id="30" w:name="_Toc368573037"/>
      <w:r w:rsidRPr="00E71E61">
        <w:t>The Potential Provider shall ensure that staff understand the Authority’s vision and objectives and will provide excellent customer service to the Authority throughout the duration of the Contract.</w:t>
      </w:r>
    </w:p>
    <w:p w14:paraId="01D35279" w14:textId="1A4A5477" w:rsidR="00EB306D" w:rsidRPr="00585881" w:rsidRDefault="00E11FF7" w:rsidP="00EB306D">
      <w:pPr>
        <w:pStyle w:val="Heading2"/>
        <w:tabs>
          <w:tab w:val="clear" w:pos="720"/>
          <w:tab w:val="num" w:pos="0"/>
        </w:tabs>
        <w:overflowPunct w:val="0"/>
        <w:autoSpaceDE w:val="0"/>
        <w:autoSpaceDN w:val="0"/>
        <w:spacing w:after="120"/>
        <w:ind w:left="709" w:hanging="709"/>
        <w:textAlignment w:val="baseline"/>
      </w:pPr>
      <w:r>
        <w:t xml:space="preserve">The Potential Provider will be expected to work close with the Authority to address comments arising from </w:t>
      </w:r>
      <w:r w:rsidR="00E45642">
        <w:t>any peer review work undertaken within two months following the end of the peer review process.</w:t>
      </w:r>
    </w:p>
    <w:p w14:paraId="533C7A5A" w14:textId="77777777" w:rsidR="00FE18AC" w:rsidRPr="00FD243A"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1" w:name="_Toc495310910"/>
      <w:r w:rsidRPr="00FD243A">
        <w:rPr>
          <w:rFonts w:cs="Arial"/>
          <w:szCs w:val="22"/>
        </w:rPr>
        <w:t>PRICE</w:t>
      </w:r>
      <w:bookmarkEnd w:id="30"/>
      <w:bookmarkEnd w:id="31"/>
    </w:p>
    <w:p w14:paraId="522EB186" w14:textId="55BE4976" w:rsidR="00671798" w:rsidRPr="00FD243A" w:rsidRDefault="00FD243A">
      <w:pPr>
        <w:pStyle w:val="Heading2"/>
        <w:tabs>
          <w:tab w:val="clear" w:pos="720"/>
          <w:tab w:val="num" w:pos="709"/>
        </w:tabs>
        <w:spacing w:after="120"/>
        <w:ind w:left="709" w:hanging="709"/>
      </w:pPr>
      <w:r w:rsidRPr="00FD243A">
        <w:t>The A</w:t>
      </w:r>
      <w:r w:rsidR="00C204A9">
        <w:t xml:space="preserve">uthority has a budget of </w:t>
      </w:r>
      <w:r w:rsidRPr="00FD243A">
        <w:t>£</w:t>
      </w:r>
      <w:r w:rsidR="00441050">
        <w:t>40</w:t>
      </w:r>
      <w:r w:rsidRPr="00FD243A">
        <w:t>0,000 (inclusive of expenses and exclusive of VAT) for the work.</w:t>
      </w:r>
    </w:p>
    <w:p w14:paraId="52DC890E" w14:textId="4FBDB72F" w:rsidR="00FD243A" w:rsidRPr="00FD243A" w:rsidRDefault="00FD243A">
      <w:pPr>
        <w:pStyle w:val="Heading2"/>
        <w:tabs>
          <w:tab w:val="clear" w:pos="720"/>
          <w:tab w:val="num" w:pos="709"/>
        </w:tabs>
        <w:spacing w:after="120"/>
        <w:ind w:left="709" w:hanging="709"/>
      </w:pPr>
      <w:r w:rsidRPr="00FD243A">
        <w:t>The contractor shall provide a capped cost price for the services described.</w:t>
      </w:r>
    </w:p>
    <w:p w14:paraId="001525EA" w14:textId="77777777" w:rsidR="00C204A9" w:rsidRDefault="00FD243A">
      <w:pPr>
        <w:pStyle w:val="Heading2"/>
        <w:tabs>
          <w:tab w:val="clear" w:pos="720"/>
          <w:tab w:val="num" w:pos="709"/>
        </w:tabs>
        <w:spacing w:after="120"/>
        <w:ind w:left="709" w:hanging="709"/>
      </w:pPr>
      <w:r w:rsidRPr="00FD243A">
        <w:t xml:space="preserve">Bidders are advised that this is an Open Market procurement event and should provide their most competitive price for this work.  </w:t>
      </w:r>
    </w:p>
    <w:p w14:paraId="441E0BF6" w14:textId="465C20A7" w:rsidR="00FD243A" w:rsidRPr="00FD243A" w:rsidRDefault="00FD243A">
      <w:pPr>
        <w:pStyle w:val="Heading2"/>
        <w:tabs>
          <w:tab w:val="clear" w:pos="720"/>
          <w:tab w:val="num" w:pos="709"/>
        </w:tabs>
        <w:spacing w:after="120"/>
        <w:ind w:left="709" w:hanging="709"/>
      </w:pPr>
      <w:r w:rsidRPr="00FD243A">
        <w:t>Prices are to be submitted using Appendix E, Pricing Schedule and should be inclusive of any expenses but exclusive of VAT.</w:t>
      </w:r>
    </w:p>
    <w:p w14:paraId="6B1CA851"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2" w:name="_Toc368573038"/>
      <w:bookmarkStart w:id="33" w:name="_Toc495310911"/>
      <w:r w:rsidRPr="00BE6EE0">
        <w:rPr>
          <w:rFonts w:cs="Arial"/>
          <w:szCs w:val="22"/>
        </w:rPr>
        <w:t>STAFF AND CUSTOMER SERVICE</w:t>
      </w:r>
      <w:bookmarkEnd w:id="32"/>
      <w:bookmarkEnd w:id="33"/>
    </w:p>
    <w:p w14:paraId="62A7AE46" w14:textId="3D220459" w:rsidR="0093178F" w:rsidRDefault="0093178F" w:rsidP="0093178F">
      <w:pPr>
        <w:pStyle w:val="Heading2"/>
        <w:spacing w:after="120"/>
        <w:ind w:left="709" w:hanging="709"/>
      </w:pPr>
      <w:r>
        <w:t>The Authority will require a dedicated project manager from the Supplier.</w:t>
      </w:r>
    </w:p>
    <w:p w14:paraId="473FF9D3" w14:textId="048A914E" w:rsidR="00671798" w:rsidRDefault="00FE18AC">
      <w:pPr>
        <w:pStyle w:val="Heading2"/>
        <w:tabs>
          <w:tab w:val="clear" w:pos="720"/>
          <w:tab w:val="num" w:pos="709"/>
        </w:tabs>
        <w:spacing w:after="120"/>
        <w:ind w:left="709" w:hanging="709"/>
      </w:pPr>
      <w:r w:rsidRPr="002E7082">
        <w:t>The</w:t>
      </w:r>
      <w:r>
        <w:t xml:space="preserve"> </w:t>
      </w:r>
      <w:r w:rsidRPr="002E7082">
        <w:t>Authority requires the Potential Provider to</w:t>
      </w:r>
      <w:r>
        <w:t xml:space="preserve"> provide a sufficient level of resource throughout the duration of the </w:t>
      </w:r>
      <w:r w:rsidR="008E16F9">
        <w:t xml:space="preserve">Children’s Services </w:t>
      </w:r>
      <w:r w:rsidR="00C204A9">
        <w:t>Research Project for DCLG</w:t>
      </w:r>
      <w:r w:rsidR="008E16F9">
        <w:t xml:space="preserve"> </w:t>
      </w:r>
      <w:r>
        <w:t>Contract in order to consistently deliver a quality service to all Parties.</w:t>
      </w:r>
    </w:p>
    <w:p w14:paraId="7C5FF49B" w14:textId="558B597F" w:rsidR="00671798" w:rsidRDefault="00FE18AC">
      <w:pPr>
        <w:pStyle w:val="Heading2"/>
        <w:tabs>
          <w:tab w:val="clear" w:pos="720"/>
          <w:tab w:val="num" w:pos="709"/>
        </w:tabs>
        <w:spacing w:after="120"/>
        <w:ind w:left="709" w:hanging="709"/>
      </w:pPr>
      <w:r>
        <w:t xml:space="preserve">Potential Provider’s staff assigned to the </w:t>
      </w:r>
      <w:r w:rsidR="00C204A9">
        <w:t xml:space="preserve">Children’s Services Research Project for DCLG </w:t>
      </w:r>
      <w:r>
        <w:t>Contract</w:t>
      </w:r>
      <w:r w:rsidRPr="002E7082">
        <w:t xml:space="preserve"> </w:t>
      </w:r>
      <w:r>
        <w:t xml:space="preserve">shall have </w:t>
      </w:r>
      <w:r w:rsidR="00E63412">
        <w:t xml:space="preserve">the </w:t>
      </w:r>
      <w:r w:rsidRPr="002E7082">
        <w:t>relevant qualifications and experience to deliver</w:t>
      </w:r>
      <w:r w:rsidR="00E63412">
        <w:t xml:space="preserve"> the</w:t>
      </w:r>
      <w:r w:rsidRPr="002E7082">
        <w:t xml:space="preserve"> Contract. </w:t>
      </w:r>
    </w:p>
    <w:p w14:paraId="0837E02A" w14:textId="0DAFB85C" w:rsidR="00671798" w:rsidRDefault="00FE18AC">
      <w:pPr>
        <w:pStyle w:val="Heading2"/>
        <w:tabs>
          <w:tab w:val="clear" w:pos="720"/>
          <w:tab w:val="num" w:pos="709"/>
        </w:tabs>
        <w:spacing w:after="120"/>
        <w:ind w:left="709" w:hanging="709"/>
      </w:pPr>
      <w:r w:rsidRPr="002E7082">
        <w:t xml:space="preserve">The Potential Provider shall ensure that </w:t>
      </w:r>
      <w:r>
        <w:t>staff understand</w:t>
      </w:r>
      <w:r w:rsidRPr="002E7082">
        <w:t xml:space="preserve"> the</w:t>
      </w:r>
      <w:r>
        <w:t xml:space="preserve"> </w:t>
      </w:r>
      <w:r w:rsidRPr="002E7082">
        <w:t>Authority’s vi</w:t>
      </w:r>
      <w:r>
        <w:t xml:space="preserve">sion and objectives and </w:t>
      </w:r>
      <w:r w:rsidR="00E63412">
        <w:t xml:space="preserve">will </w:t>
      </w:r>
      <w:r>
        <w:t>provide</w:t>
      </w:r>
      <w:r w:rsidRPr="002E7082">
        <w:t xml:space="preserve"> excellent customer service to the Authority throughout </w:t>
      </w:r>
      <w:r>
        <w:t>the duration of the Contract.</w:t>
      </w:r>
      <w:r w:rsidRPr="002E7082">
        <w:t xml:space="preserve"> </w:t>
      </w:r>
      <w:r>
        <w:t xml:space="preserve"> </w:t>
      </w:r>
    </w:p>
    <w:p w14:paraId="629F567D"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4" w:name="_Toc368573039"/>
      <w:bookmarkStart w:id="35" w:name="_Toc495310912"/>
      <w:r w:rsidRPr="004E1D36">
        <w:rPr>
          <w:rFonts w:cs="Arial"/>
          <w:szCs w:val="22"/>
        </w:rPr>
        <w:t>service levels a</w:t>
      </w:r>
      <w:r>
        <w:rPr>
          <w:rFonts w:cs="Arial"/>
          <w:szCs w:val="22"/>
        </w:rPr>
        <w:t>nd performance</w:t>
      </w:r>
      <w:bookmarkEnd w:id="34"/>
      <w:bookmarkEnd w:id="35"/>
    </w:p>
    <w:p w14:paraId="024621CB" w14:textId="621AE160" w:rsidR="00EE277D" w:rsidRDefault="00EE277D">
      <w:pPr>
        <w:pStyle w:val="Heading2"/>
        <w:tabs>
          <w:tab w:val="clear" w:pos="720"/>
          <w:tab w:val="num" w:pos="132"/>
          <w:tab w:val="num" w:pos="862"/>
        </w:tabs>
        <w:overflowPunct w:val="0"/>
        <w:autoSpaceDE w:val="0"/>
        <w:autoSpaceDN w:val="0"/>
        <w:spacing w:after="120"/>
        <w:ind w:left="709" w:hanging="709"/>
        <w:textAlignment w:val="baseline"/>
      </w:pPr>
      <w:r>
        <w:t>The Authority will require the Supplier to produce a full risk register following the project inception meeting. The risk register will be updated throughout the life of the project and will be included along with weekly progress updates.</w:t>
      </w:r>
    </w:p>
    <w:p w14:paraId="15C5F233" w14:textId="294069E1" w:rsidR="00671798" w:rsidRDefault="00FE18AC">
      <w:pPr>
        <w:pStyle w:val="Heading2"/>
        <w:tabs>
          <w:tab w:val="clear" w:pos="720"/>
          <w:tab w:val="num" w:pos="132"/>
          <w:tab w:val="num" w:pos="862"/>
        </w:tabs>
        <w:overflowPunct w:val="0"/>
        <w:autoSpaceDE w:val="0"/>
        <w:autoSpaceDN w:val="0"/>
        <w:spacing w:after="120"/>
        <w:ind w:left="709" w:hanging="709"/>
        <w:textAlignment w:val="baseline"/>
      </w:pPr>
      <w:r>
        <w:t>The Authority will measure the quality of the Supplier’s delivery by:</w:t>
      </w:r>
    </w:p>
    <w:p w14:paraId="65E93A82" w14:textId="4261D3F8" w:rsidR="00671798" w:rsidRDefault="00671798">
      <w:pPr>
        <w:pStyle w:val="Heading3"/>
        <w:numPr>
          <w:ilvl w:val="0"/>
          <w:numId w:val="0"/>
        </w:numPr>
        <w:spacing w:after="120"/>
        <w:ind w:left="1418"/>
      </w:pPr>
    </w:p>
    <w:tbl>
      <w:tblPr>
        <w:tblStyle w:val="TableGrid"/>
        <w:tblW w:w="0" w:type="auto"/>
        <w:tblInd w:w="720" w:type="dxa"/>
        <w:tblLook w:val="04A0" w:firstRow="1" w:lastRow="0" w:firstColumn="1" w:lastColumn="0" w:noHBand="0" w:noVBand="1"/>
      </w:tblPr>
      <w:tblGrid>
        <w:gridCol w:w="1473"/>
        <w:gridCol w:w="1767"/>
        <w:gridCol w:w="3508"/>
        <w:gridCol w:w="1551"/>
      </w:tblGrid>
      <w:tr w:rsidR="00B13763" w14:paraId="1D82B23D" w14:textId="77777777" w:rsidTr="005F19B8">
        <w:tc>
          <w:tcPr>
            <w:tcW w:w="1502" w:type="dxa"/>
            <w:shd w:val="clear" w:color="auto" w:fill="DBE5F1" w:themeFill="accent1" w:themeFillTint="33"/>
          </w:tcPr>
          <w:p w14:paraId="4E16E6B9" w14:textId="29E5F590" w:rsidR="00B13763" w:rsidRDefault="00B13763" w:rsidP="00B13763">
            <w:pPr>
              <w:pStyle w:val="Heading2"/>
              <w:numPr>
                <w:ilvl w:val="0"/>
                <w:numId w:val="0"/>
              </w:numPr>
              <w:jc w:val="center"/>
              <w:outlineLvl w:val="1"/>
            </w:pPr>
            <w:r>
              <w:t>KPI/SLA</w:t>
            </w:r>
          </w:p>
        </w:tc>
        <w:tc>
          <w:tcPr>
            <w:tcW w:w="1769" w:type="dxa"/>
            <w:shd w:val="clear" w:color="auto" w:fill="DBE5F1" w:themeFill="accent1" w:themeFillTint="33"/>
          </w:tcPr>
          <w:p w14:paraId="5F9E1BA6" w14:textId="07EC3F76" w:rsidR="00B13763" w:rsidRDefault="00B13763" w:rsidP="00B13763">
            <w:pPr>
              <w:pStyle w:val="Heading2"/>
              <w:numPr>
                <w:ilvl w:val="0"/>
                <w:numId w:val="0"/>
              </w:numPr>
              <w:jc w:val="center"/>
              <w:outlineLvl w:val="1"/>
            </w:pPr>
            <w:r>
              <w:t>Service Area</w:t>
            </w:r>
          </w:p>
        </w:tc>
        <w:tc>
          <w:tcPr>
            <w:tcW w:w="3656" w:type="dxa"/>
            <w:shd w:val="clear" w:color="auto" w:fill="DBE5F1" w:themeFill="accent1" w:themeFillTint="33"/>
          </w:tcPr>
          <w:p w14:paraId="4F97A458" w14:textId="14CFE965" w:rsidR="00B13763" w:rsidRDefault="00B13763" w:rsidP="00B13763">
            <w:pPr>
              <w:pStyle w:val="Heading2"/>
              <w:numPr>
                <w:ilvl w:val="0"/>
                <w:numId w:val="0"/>
              </w:numPr>
              <w:jc w:val="center"/>
              <w:outlineLvl w:val="1"/>
            </w:pPr>
            <w:r>
              <w:t>KPI/SLA description</w:t>
            </w:r>
          </w:p>
        </w:tc>
        <w:tc>
          <w:tcPr>
            <w:tcW w:w="1598" w:type="dxa"/>
            <w:shd w:val="clear" w:color="auto" w:fill="DBE5F1" w:themeFill="accent1" w:themeFillTint="33"/>
          </w:tcPr>
          <w:p w14:paraId="0788932C" w14:textId="07398BA8" w:rsidR="00B13763" w:rsidRDefault="00B13763" w:rsidP="00B13763">
            <w:pPr>
              <w:pStyle w:val="Heading2"/>
              <w:numPr>
                <w:ilvl w:val="0"/>
                <w:numId w:val="0"/>
              </w:numPr>
              <w:jc w:val="center"/>
              <w:outlineLvl w:val="1"/>
            </w:pPr>
            <w:r>
              <w:t>Target</w:t>
            </w:r>
          </w:p>
        </w:tc>
      </w:tr>
      <w:tr w:rsidR="00B13763" w14:paraId="136B0B88" w14:textId="77777777" w:rsidTr="005F19B8">
        <w:tc>
          <w:tcPr>
            <w:tcW w:w="1502" w:type="dxa"/>
          </w:tcPr>
          <w:p w14:paraId="39FC8AED" w14:textId="303CF9DF" w:rsidR="00B13763" w:rsidRDefault="00B13763" w:rsidP="00B13763">
            <w:pPr>
              <w:pStyle w:val="Heading2"/>
              <w:numPr>
                <w:ilvl w:val="0"/>
                <w:numId w:val="0"/>
              </w:numPr>
              <w:jc w:val="center"/>
              <w:outlineLvl w:val="1"/>
            </w:pPr>
            <w:r>
              <w:t>1</w:t>
            </w:r>
          </w:p>
        </w:tc>
        <w:tc>
          <w:tcPr>
            <w:tcW w:w="1769" w:type="dxa"/>
          </w:tcPr>
          <w:p w14:paraId="286A8BDA" w14:textId="5F344B83" w:rsidR="00B13763" w:rsidRDefault="00C801A6" w:rsidP="00B13763">
            <w:pPr>
              <w:pStyle w:val="Heading2"/>
              <w:numPr>
                <w:ilvl w:val="0"/>
                <w:numId w:val="0"/>
              </w:numPr>
              <w:jc w:val="left"/>
              <w:outlineLvl w:val="1"/>
            </w:pPr>
            <w:r>
              <w:t>Communication</w:t>
            </w:r>
          </w:p>
        </w:tc>
        <w:tc>
          <w:tcPr>
            <w:tcW w:w="3656" w:type="dxa"/>
          </w:tcPr>
          <w:p w14:paraId="1A83F74D" w14:textId="0EFBA6C0" w:rsidR="00B13763" w:rsidRDefault="00C801A6" w:rsidP="00B13763">
            <w:pPr>
              <w:pStyle w:val="Heading2"/>
              <w:numPr>
                <w:ilvl w:val="0"/>
                <w:numId w:val="0"/>
              </w:numPr>
              <w:jc w:val="left"/>
              <w:outlineLvl w:val="1"/>
            </w:pPr>
            <w:r>
              <w:t>Brief progress reports by email against agreed work milestones circulated by the Supplier no later than one working day before progress meetings.</w:t>
            </w:r>
          </w:p>
        </w:tc>
        <w:tc>
          <w:tcPr>
            <w:tcW w:w="1598" w:type="dxa"/>
          </w:tcPr>
          <w:p w14:paraId="53B2F4ED" w14:textId="2440274F" w:rsidR="00B13763" w:rsidRDefault="00C801A6" w:rsidP="00B13763">
            <w:pPr>
              <w:pStyle w:val="Heading2"/>
              <w:numPr>
                <w:ilvl w:val="0"/>
                <w:numId w:val="0"/>
              </w:numPr>
              <w:outlineLvl w:val="1"/>
            </w:pPr>
            <w:r>
              <w:t>100%</w:t>
            </w:r>
          </w:p>
        </w:tc>
      </w:tr>
      <w:tr w:rsidR="00B13763" w14:paraId="611A7437" w14:textId="77777777" w:rsidTr="005F19B8">
        <w:tc>
          <w:tcPr>
            <w:tcW w:w="1502" w:type="dxa"/>
          </w:tcPr>
          <w:p w14:paraId="0CA6154F" w14:textId="2E4A9E81" w:rsidR="00B13763" w:rsidRDefault="00B13763" w:rsidP="00B13763">
            <w:pPr>
              <w:pStyle w:val="Heading2"/>
              <w:numPr>
                <w:ilvl w:val="0"/>
                <w:numId w:val="0"/>
              </w:numPr>
              <w:jc w:val="center"/>
              <w:outlineLvl w:val="1"/>
            </w:pPr>
            <w:r>
              <w:t>2</w:t>
            </w:r>
          </w:p>
        </w:tc>
        <w:tc>
          <w:tcPr>
            <w:tcW w:w="1769" w:type="dxa"/>
          </w:tcPr>
          <w:p w14:paraId="5A8C3451" w14:textId="4C30D9E4" w:rsidR="00B13763" w:rsidRDefault="00C801A6" w:rsidP="00B13763">
            <w:pPr>
              <w:pStyle w:val="Heading2"/>
              <w:numPr>
                <w:ilvl w:val="0"/>
                <w:numId w:val="0"/>
              </w:numPr>
              <w:outlineLvl w:val="1"/>
            </w:pPr>
            <w:r>
              <w:t>Project management</w:t>
            </w:r>
          </w:p>
        </w:tc>
        <w:tc>
          <w:tcPr>
            <w:tcW w:w="3656" w:type="dxa"/>
          </w:tcPr>
          <w:p w14:paraId="4FBFDF3E" w14:textId="10F98E3F" w:rsidR="00B13763" w:rsidRDefault="00C801A6" w:rsidP="00B13763">
            <w:pPr>
              <w:pStyle w:val="Heading2"/>
              <w:numPr>
                <w:ilvl w:val="0"/>
                <w:numId w:val="0"/>
              </w:numPr>
              <w:outlineLvl w:val="1"/>
            </w:pPr>
            <w:r>
              <w:t>All action points from progress meetings circulated and agreed within two days of meeting.</w:t>
            </w:r>
          </w:p>
        </w:tc>
        <w:tc>
          <w:tcPr>
            <w:tcW w:w="1598" w:type="dxa"/>
          </w:tcPr>
          <w:p w14:paraId="0EE422DF" w14:textId="50D2CBD2" w:rsidR="00B13763" w:rsidRDefault="00C801A6" w:rsidP="00B13763">
            <w:pPr>
              <w:pStyle w:val="Heading2"/>
              <w:numPr>
                <w:ilvl w:val="0"/>
                <w:numId w:val="0"/>
              </w:numPr>
              <w:outlineLvl w:val="1"/>
            </w:pPr>
            <w:r>
              <w:t>100%</w:t>
            </w:r>
          </w:p>
        </w:tc>
      </w:tr>
      <w:tr w:rsidR="00B13763" w14:paraId="368A6710" w14:textId="77777777" w:rsidTr="005F19B8">
        <w:tc>
          <w:tcPr>
            <w:tcW w:w="1502" w:type="dxa"/>
          </w:tcPr>
          <w:p w14:paraId="4EE94C74" w14:textId="7FAF8111" w:rsidR="00B13763" w:rsidRDefault="00B13763" w:rsidP="00B13763">
            <w:pPr>
              <w:pStyle w:val="Heading2"/>
              <w:numPr>
                <w:ilvl w:val="0"/>
                <w:numId w:val="0"/>
              </w:numPr>
              <w:jc w:val="center"/>
              <w:outlineLvl w:val="1"/>
            </w:pPr>
            <w:r>
              <w:t>3</w:t>
            </w:r>
          </w:p>
        </w:tc>
        <w:tc>
          <w:tcPr>
            <w:tcW w:w="1769" w:type="dxa"/>
          </w:tcPr>
          <w:p w14:paraId="6726DC40" w14:textId="71A8D58D" w:rsidR="00B13763" w:rsidRDefault="00C801A6" w:rsidP="0054388B">
            <w:pPr>
              <w:pStyle w:val="Heading2"/>
              <w:numPr>
                <w:ilvl w:val="0"/>
                <w:numId w:val="0"/>
              </w:numPr>
              <w:outlineLvl w:val="1"/>
            </w:pPr>
            <w:r>
              <w:t xml:space="preserve">Completion of Phase </w:t>
            </w:r>
            <w:r w:rsidR="0054388B">
              <w:t>1</w:t>
            </w:r>
          </w:p>
        </w:tc>
        <w:tc>
          <w:tcPr>
            <w:tcW w:w="3656" w:type="dxa"/>
          </w:tcPr>
          <w:p w14:paraId="58DC627C" w14:textId="75157981" w:rsidR="00B13763" w:rsidRDefault="00C801A6" w:rsidP="0054388B">
            <w:pPr>
              <w:pStyle w:val="Heading2"/>
              <w:numPr>
                <w:ilvl w:val="0"/>
                <w:numId w:val="0"/>
              </w:numPr>
              <w:outlineLvl w:val="1"/>
            </w:pPr>
            <w:r>
              <w:t>Final</w:t>
            </w:r>
            <w:r w:rsidR="005A27F2">
              <w:t>,</w:t>
            </w:r>
            <w:r>
              <w:t xml:space="preserve"> cleaned dataset </w:t>
            </w:r>
            <w:r w:rsidR="0054388B">
              <w:t xml:space="preserve">and Phase 1 technical report </w:t>
            </w:r>
            <w:r w:rsidR="005A27F2">
              <w:t>to be submitted to agreed deadline</w:t>
            </w:r>
            <w:r w:rsidR="0054388B">
              <w:t xml:space="preserve"> and accepted and approved by the Authority.</w:t>
            </w:r>
          </w:p>
        </w:tc>
        <w:tc>
          <w:tcPr>
            <w:tcW w:w="1598" w:type="dxa"/>
          </w:tcPr>
          <w:p w14:paraId="19BB03B8" w14:textId="53E350A9" w:rsidR="00B13763" w:rsidRDefault="0054388B" w:rsidP="00B13763">
            <w:pPr>
              <w:pStyle w:val="Heading2"/>
              <w:numPr>
                <w:ilvl w:val="0"/>
                <w:numId w:val="0"/>
              </w:numPr>
              <w:outlineLvl w:val="1"/>
            </w:pPr>
            <w:r>
              <w:t>100%</w:t>
            </w:r>
          </w:p>
        </w:tc>
      </w:tr>
      <w:tr w:rsidR="00B13763" w14:paraId="69ECF5CB" w14:textId="77777777" w:rsidTr="005F19B8">
        <w:tc>
          <w:tcPr>
            <w:tcW w:w="1502" w:type="dxa"/>
          </w:tcPr>
          <w:p w14:paraId="76A093A5" w14:textId="0AF770F3" w:rsidR="00B13763" w:rsidRDefault="00B13763" w:rsidP="00B13763">
            <w:pPr>
              <w:pStyle w:val="Heading2"/>
              <w:numPr>
                <w:ilvl w:val="0"/>
                <w:numId w:val="0"/>
              </w:numPr>
              <w:jc w:val="center"/>
              <w:outlineLvl w:val="1"/>
            </w:pPr>
            <w:r>
              <w:t>4</w:t>
            </w:r>
          </w:p>
        </w:tc>
        <w:tc>
          <w:tcPr>
            <w:tcW w:w="1769" w:type="dxa"/>
          </w:tcPr>
          <w:p w14:paraId="094D220C" w14:textId="00DE877A" w:rsidR="00B13763" w:rsidRDefault="0054388B" w:rsidP="00B13763">
            <w:pPr>
              <w:pStyle w:val="Heading2"/>
              <w:numPr>
                <w:ilvl w:val="0"/>
                <w:numId w:val="0"/>
              </w:numPr>
              <w:outlineLvl w:val="1"/>
            </w:pPr>
            <w:r>
              <w:t>Completion of Phase 2</w:t>
            </w:r>
          </w:p>
        </w:tc>
        <w:tc>
          <w:tcPr>
            <w:tcW w:w="3656" w:type="dxa"/>
          </w:tcPr>
          <w:p w14:paraId="6F1FD8A2" w14:textId="2CE07F64" w:rsidR="00B13763" w:rsidRDefault="0054388B" w:rsidP="00B13763">
            <w:pPr>
              <w:pStyle w:val="Heading2"/>
              <w:numPr>
                <w:ilvl w:val="0"/>
                <w:numId w:val="0"/>
              </w:numPr>
              <w:outlineLvl w:val="1"/>
            </w:pPr>
            <w:r>
              <w:t>Final model, exemplified allocations and technical report for Phase 2 to be submitted to agreed deadline and accepted and approved by the Authority.</w:t>
            </w:r>
          </w:p>
        </w:tc>
        <w:tc>
          <w:tcPr>
            <w:tcW w:w="1598" w:type="dxa"/>
          </w:tcPr>
          <w:p w14:paraId="33C6BA7C" w14:textId="529A348B" w:rsidR="00B13763" w:rsidRDefault="0054388B" w:rsidP="00B13763">
            <w:pPr>
              <w:pStyle w:val="Heading2"/>
              <w:numPr>
                <w:ilvl w:val="0"/>
                <w:numId w:val="0"/>
              </w:numPr>
              <w:outlineLvl w:val="1"/>
            </w:pPr>
            <w:r>
              <w:t>100%</w:t>
            </w:r>
          </w:p>
        </w:tc>
      </w:tr>
    </w:tbl>
    <w:p w14:paraId="0BEBFA59" w14:textId="37630011" w:rsidR="005F19B8" w:rsidRDefault="005F19B8" w:rsidP="00392E2A">
      <w:pPr>
        <w:pStyle w:val="Heading2"/>
        <w:numPr>
          <w:ilvl w:val="0"/>
          <w:numId w:val="0"/>
        </w:numPr>
        <w:rPr>
          <w:highlight w:val="yellow"/>
        </w:rPr>
      </w:pPr>
    </w:p>
    <w:p w14:paraId="704431CD" w14:textId="23D148A6" w:rsidR="005F19B8" w:rsidRPr="00392E2A" w:rsidRDefault="00392E2A" w:rsidP="005F19B8">
      <w:pPr>
        <w:pStyle w:val="Heading2"/>
      </w:pPr>
      <w:r w:rsidRPr="00392E2A">
        <w:t xml:space="preserve">The Authority will maintain a record of provider adherence to the agreed service level and performance timelines. Any non-adherence will result in performance review meetings </w:t>
      </w:r>
      <w:r w:rsidR="00F86172">
        <w:t xml:space="preserve">between the Customer and the Supplier, </w:t>
      </w:r>
      <w:r w:rsidRPr="00392E2A">
        <w:t xml:space="preserve">to provide a full debrief and explanation as to why the service level agreement was not met. Improvement plans will also be </w:t>
      </w:r>
      <w:r w:rsidR="00F86172">
        <w:t>established</w:t>
      </w:r>
      <w:r w:rsidRPr="00392E2A">
        <w:t xml:space="preserve"> here.</w:t>
      </w:r>
      <w:r w:rsidR="004E6724">
        <w:t xml:space="preserve"> Performance Management will be in accordance with Appendix C – Terms and Conditions. </w:t>
      </w:r>
    </w:p>
    <w:p w14:paraId="04FA2A65" w14:textId="0796100A" w:rsidR="00392E2A" w:rsidRPr="00392E2A" w:rsidRDefault="00392E2A" w:rsidP="005F19B8">
      <w:pPr>
        <w:pStyle w:val="Heading2"/>
      </w:pPr>
      <w:r w:rsidRPr="00392E2A">
        <w:t>Continued failure to meet the service level agreements after the performance review meetings could potentially result in the early termination of the contract.</w:t>
      </w:r>
      <w:r w:rsidR="00FB4C08">
        <w:t xml:space="preserve"> As per 16.3, Performance Management will be in accordance with Appendix C – Terms and Conditions. </w:t>
      </w:r>
    </w:p>
    <w:p w14:paraId="3F767EF8" w14:textId="77777777" w:rsidR="00671798" w:rsidRDefault="00FE18AC">
      <w:pPr>
        <w:pStyle w:val="Heading1"/>
        <w:spacing w:after="120"/>
      </w:pPr>
      <w:bookmarkStart w:id="36" w:name="_Toc368573040"/>
      <w:bookmarkStart w:id="37" w:name="_Toc495310913"/>
      <w:r>
        <w:t>Security requirements</w:t>
      </w:r>
      <w:bookmarkEnd w:id="36"/>
      <w:bookmarkEnd w:id="37"/>
    </w:p>
    <w:p w14:paraId="3FF1BF98" w14:textId="53770603" w:rsidR="00671798" w:rsidRPr="00CD55F2" w:rsidRDefault="00CD55F2">
      <w:pPr>
        <w:pStyle w:val="Heading2"/>
        <w:tabs>
          <w:tab w:val="clear" w:pos="720"/>
          <w:tab w:val="num" w:pos="709"/>
        </w:tabs>
        <w:spacing w:after="120"/>
        <w:ind w:left="709" w:hanging="709"/>
      </w:pPr>
      <w:r w:rsidRPr="00CD55F2">
        <w:t>The Supplier will be required to store and transfer data in accordance with the Data Protection Act</w:t>
      </w:r>
      <w:r w:rsidR="005F19B8">
        <w:t xml:space="preserve"> 1998</w:t>
      </w:r>
      <w:r w:rsidRPr="00CD55F2">
        <w:t>.  Details on how this will be done should be provided.</w:t>
      </w:r>
    </w:p>
    <w:p w14:paraId="50D1F34E" w14:textId="340A473B" w:rsidR="00CD55F2" w:rsidRDefault="00CD55F2">
      <w:pPr>
        <w:pStyle w:val="Heading2"/>
        <w:tabs>
          <w:tab w:val="clear" w:pos="720"/>
          <w:tab w:val="num" w:pos="709"/>
        </w:tabs>
        <w:spacing w:after="120"/>
        <w:ind w:left="709" w:hanging="709"/>
      </w:pPr>
      <w:r w:rsidRPr="00CD55F2">
        <w:t>The Supplier will be required to provide assurance to the Authority that all data will be destroyed within a reasonable timeframe from completion of the project.</w:t>
      </w:r>
    </w:p>
    <w:p w14:paraId="0D35EA2A" w14:textId="64BA9530" w:rsidR="00796456" w:rsidRDefault="00796456">
      <w:pPr>
        <w:pStyle w:val="Heading2"/>
        <w:tabs>
          <w:tab w:val="clear" w:pos="720"/>
          <w:tab w:val="num" w:pos="709"/>
        </w:tabs>
        <w:spacing w:after="120"/>
        <w:ind w:left="709" w:hanging="709"/>
      </w:pPr>
      <w:r>
        <w:t>The Supplier will be expected to complete and comply with the DfE Ethics checklist from the inception of the contract.</w:t>
      </w:r>
    </w:p>
    <w:p w14:paraId="0824623B" w14:textId="2074EBF1" w:rsidR="00967A09" w:rsidRDefault="00967A09">
      <w:pPr>
        <w:pStyle w:val="Heading2"/>
        <w:tabs>
          <w:tab w:val="clear" w:pos="720"/>
          <w:tab w:val="num" w:pos="709"/>
        </w:tabs>
        <w:spacing w:after="120"/>
        <w:ind w:left="709" w:hanging="709"/>
      </w:pPr>
      <w:r>
        <w:t>Should Freedom of Information requests be made of the Supplier, the Authority will require final sight of any responses to be made.</w:t>
      </w:r>
    </w:p>
    <w:p w14:paraId="28EFE1DD" w14:textId="666BC7F0" w:rsidR="00040594" w:rsidRPr="005F19B8" w:rsidRDefault="00040594"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8" w:name="_Toc495310914"/>
      <w:bookmarkStart w:id="39" w:name="_Toc368573042"/>
      <w:r w:rsidRPr="005F19B8">
        <w:rPr>
          <w:rFonts w:cs="Arial"/>
          <w:szCs w:val="22"/>
        </w:rPr>
        <w:t>INTELLECTUAL PROPERTY RIGHTS (IPR)</w:t>
      </w:r>
      <w:bookmarkEnd w:id="38"/>
    </w:p>
    <w:p w14:paraId="15B89D00" w14:textId="7E732089" w:rsidR="00040594" w:rsidRDefault="005F19B8" w:rsidP="005F19B8">
      <w:pPr>
        <w:pStyle w:val="Heading2"/>
        <w:spacing w:after="120"/>
        <w:ind w:left="709" w:hanging="709"/>
      </w:pPr>
      <w:r>
        <w:t>The Authority will retain full Intellectual Property Rights for the work completed, i</w:t>
      </w:r>
      <w:r w:rsidR="00466BF4">
        <w:t xml:space="preserve">ncluding the statistical model. </w:t>
      </w:r>
      <w:r w:rsidR="00FB4C08">
        <w:t xml:space="preserve">This is in accordance with the Special Terms added into Appendix C – Terms and Conditions. </w:t>
      </w:r>
    </w:p>
    <w:p w14:paraId="65283656" w14:textId="2FA53B3D" w:rsidR="0081061A" w:rsidRPr="00874062"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0" w:name="_Toc495310915"/>
      <w:r w:rsidRPr="00874062">
        <w:rPr>
          <w:rFonts w:cs="Arial"/>
          <w:szCs w:val="22"/>
        </w:rPr>
        <w:t>payment</w:t>
      </w:r>
      <w:bookmarkEnd w:id="40"/>
    </w:p>
    <w:p w14:paraId="042CA45C" w14:textId="15649CAE" w:rsidR="00331523" w:rsidRPr="00880DA5" w:rsidRDefault="0036555C" w:rsidP="0081061A">
      <w:pPr>
        <w:pStyle w:val="Heading2"/>
        <w:rPr>
          <w:szCs w:val="22"/>
        </w:rPr>
      </w:pPr>
      <w:r w:rsidRPr="00880DA5">
        <w:rPr>
          <w:rFonts w:cs="Arial"/>
          <w:color w:val="000000"/>
          <w:szCs w:val="22"/>
          <w:shd w:val="clear" w:color="auto" w:fill="FFFFFF"/>
        </w:rPr>
        <w:t xml:space="preserve">Payment can only be made following satisfactory delivery of pre-agreed certified products and deliverables. </w:t>
      </w:r>
      <w:r w:rsidR="007F273E">
        <w:rPr>
          <w:rFonts w:cs="Arial"/>
          <w:color w:val="000000"/>
          <w:szCs w:val="22"/>
          <w:shd w:val="clear" w:color="auto" w:fill="FFFFFF"/>
        </w:rPr>
        <w:t xml:space="preserve"> Payment milestones will be agreed with the Supplier based on the schedule of work proposed.</w:t>
      </w:r>
    </w:p>
    <w:p w14:paraId="28B41D85" w14:textId="3FAA0882" w:rsidR="0036555C" w:rsidRPr="005F19B8" w:rsidRDefault="0036555C" w:rsidP="0081061A">
      <w:pPr>
        <w:pStyle w:val="Heading2"/>
        <w:rPr>
          <w:szCs w:val="22"/>
        </w:rPr>
      </w:pPr>
      <w:r w:rsidRPr="00880DA5">
        <w:rPr>
          <w:rFonts w:cs="Arial"/>
          <w:color w:val="000000"/>
          <w:szCs w:val="22"/>
          <w:shd w:val="clear" w:color="auto" w:fill="FFFFFF"/>
        </w:rPr>
        <w:t xml:space="preserve">Before payment can be considered, each invoice must include a detailed elemental </w:t>
      </w:r>
      <w:r w:rsidRPr="005F19B8">
        <w:rPr>
          <w:rFonts w:cs="Arial"/>
          <w:color w:val="000000"/>
          <w:szCs w:val="22"/>
          <w:shd w:val="clear" w:color="auto" w:fill="FFFFFF"/>
        </w:rPr>
        <w:t xml:space="preserve">breakdown of work completed and the associated costs. </w:t>
      </w:r>
    </w:p>
    <w:p w14:paraId="2EDB98D1" w14:textId="588AFB46" w:rsidR="00040594" w:rsidRPr="005F19B8" w:rsidRDefault="00040594">
      <w:pPr>
        <w:pStyle w:val="Heading1"/>
        <w:spacing w:after="120"/>
      </w:pPr>
      <w:bookmarkStart w:id="41" w:name="_Toc495310916"/>
      <w:bookmarkStart w:id="42" w:name="_Toc368573043"/>
      <w:bookmarkEnd w:id="19"/>
      <w:bookmarkEnd w:id="39"/>
      <w:r w:rsidRPr="005F19B8">
        <w:t>ADDITIONAL INFORMATION</w:t>
      </w:r>
      <w:bookmarkEnd w:id="41"/>
      <w:r w:rsidRPr="005F19B8">
        <w:t xml:space="preserve"> </w:t>
      </w:r>
    </w:p>
    <w:p w14:paraId="39825887" w14:textId="454C0225" w:rsidR="00040594" w:rsidRDefault="005F19B8" w:rsidP="00040594">
      <w:pPr>
        <w:pStyle w:val="Heading2"/>
      </w:pPr>
      <w:r>
        <w:t>There is no further additional information relevant to this requirement.</w:t>
      </w:r>
    </w:p>
    <w:p w14:paraId="04BBE808" w14:textId="77777777" w:rsidR="00671798" w:rsidRDefault="00FE18AC">
      <w:pPr>
        <w:pStyle w:val="Heading1"/>
        <w:spacing w:after="120"/>
      </w:pPr>
      <w:bookmarkStart w:id="43" w:name="_Toc495310917"/>
      <w:r>
        <w:t>Location</w:t>
      </w:r>
      <w:bookmarkEnd w:id="42"/>
      <w:bookmarkEnd w:id="43"/>
      <w:r>
        <w:t xml:space="preserve"> </w:t>
      </w:r>
    </w:p>
    <w:p w14:paraId="74C4B2C1" w14:textId="77777777" w:rsidR="00144912" w:rsidRDefault="00FE18AC" w:rsidP="00C17DA2">
      <w:pPr>
        <w:pStyle w:val="Heading2"/>
        <w:spacing w:after="120"/>
        <w:ind w:left="709" w:hanging="709"/>
      </w:pPr>
      <w:r>
        <w:t xml:space="preserve">The location of the Services will be carried out at </w:t>
      </w:r>
      <w:r w:rsidR="008E16F9">
        <w:t>the Supplier address although progress meetings and presentations will also take place at the Authority’s address</w:t>
      </w:r>
      <w:r w:rsidR="00144912">
        <w:t xml:space="preserve"> at:</w:t>
      </w:r>
    </w:p>
    <w:p w14:paraId="280C9323" w14:textId="05756B54" w:rsidR="00144912" w:rsidRDefault="00144912" w:rsidP="00BD7E53">
      <w:pPr>
        <w:pStyle w:val="Heading2"/>
        <w:numPr>
          <w:ilvl w:val="0"/>
          <w:numId w:val="0"/>
        </w:numPr>
        <w:spacing w:after="120"/>
        <w:ind w:left="709"/>
      </w:pPr>
      <w:r>
        <w:t>Department for Communities and Local Government</w:t>
      </w:r>
    </w:p>
    <w:p w14:paraId="63E54DD0" w14:textId="3072534E" w:rsidR="00144912" w:rsidRDefault="00144912" w:rsidP="00BD7E53">
      <w:pPr>
        <w:pStyle w:val="Heading2"/>
        <w:numPr>
          <w:ilvl w:val="0"/>
          <w:numId w:val="0"/>
        </w:numPr>
        <w:spacing w:after="120"/>
        <w:ind w:left="709"/>
      </w:pPr>
      <w:r>
        <w:t>2 Marsham Street</w:t>
      </w:r>
    </w:p>
    <w:p w14:paraId="6EE709DD" w14:textId="72F47A81" w:rsidR="00144912" w:rsidRDefault="00144912" w:rsidP="00BD7E53">
      <w:pPr>
        <w:pStyle w:val="Heading2"/>
        <w:numPr>
          <w:ilvl w:val="0"/>
          <w:numId w:val="0"/>
        </w:numPr>
        <w:spacing w:after="120"/>
        <w:ind w:left="709"/>
      </w:pPr>
      <w:r>
        <w:t>London</w:t>
      </w:r>
    </w:p>
    <w:p w14:paraId="04A31F2E" w14:textId="00EFDAE4" w:rsidR="00144912" w:rsidRDefault="00144912" w:rsidP="00BD7E53">
      <w:pPr>
        <w:pStyle w:val="Heading2"/>
        <w:numPr>
          <w:ilvl w:val="0"/>
          <w:numId w:val="0"/>
        </w:numPr>
        <w:spacing w:after="120"/>
        <w:ind w:left="709"/>
      </w:pPr>
      <w:r>
        <w:t>SW1P 4DF</w:t>
      </w:r>
    </w:p>
    <w:p w14:paraId="56E54D25" w14:textId="3C4515D0" w:rsidR="002F7AA1" w:rsidRPr="002F4D97" w:rsidRDefault="009A682A" w:rsidP="00C17DA2">
      <w:pPr>
        <w:pStyle w:val="Heading2"/>
        <w:spacing w:after="120"/>
        <w:ind w:left="709" w:hanging="709"/>
      </w:pPr>
      <w:r>
        <w:t xml:space="preserve">All travel costs and expenses for attending meetings are to be included within the </w:t>
      </w:r>
      <w:r w:rsidR="007E792F">
        <w:t xml:space="preserve">suppliers pricing schedule. </w:t>
      </w:r>
    </w:p>
    <w:p w14:paraId="35CD56B7" w14:textId="77777777" w:rsidR="002F7AA1" w:rsidRDefault="002F7AA1" w:rsidP="002F7AA1">
      <w:pPr>
        <w:pStyle w:val="Heading1"/>
        <w:numPr>
          <w:ilvl w:val="0"/>
          <w:numId w:val="0"/>
        </w:numPr>
        <w:ind w:left="720" w:hanging="720"/>
        <w:jc w:val="center"/>
      </w:pPr>
    </w:p>
    <w:p w14:paraId="21846EE4" w14:textId="77777777" w:rsidR="002F7AA1" w:rsidRDefault="002F7AA1" w:rsidP="007D431E">
      <w:pPr>
        <w:pStyle w:val="Heading1"/>
        <w:numPr>
          <w:ilvl w:val="0"/>
          <w:numId w:val="0"/>
        </w:numPr>
        <w:ind w:left="720" w:hanging="720"/>
      </w:pPr>
    </w:p>
    <w:p w14:paraId="0E531ACC" w14:textId="77777777" w:rsidR="00926958" w:rsidRPr="00A74FE3" w:rsidRDefault="00926958" w:rsidP="00AF2BB0">
      <w:pPr>
        <w:tabs>
          <w:tab w:val="left" w:pos="1392"/>
        </w:tabs>
        <w:rPr>
          <w:rFonts w:eastAsia="STZhongsong"/>
          <w:szCs w:val="20"/>
        </w:rPr>
      </w:pPr>
    </w:p>
    <w:sectPr w:rsidR="00926958" w:rsidRPr="00A74FE3" w:rsidSect="00985B4D">
      <w:headerReference w:type="default" r:id="rId11"/>
      <w:footerReference w:type="default" r:id="rId12"/>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0E167" w14:textId="77777777" w:rsidR="00A5195B" w:rsidRDefault="00A5195B">
      <w:pPr>
        <w:spacing w:line="20" w:lineRule="exact"/>
      </w:pPr>
    </w:p>
  </w:endnote>
  <w:endnote w:type="continuationSeparator" w:id="0">
    <w:p w14:paraId="1480DF66" w14:textId="77777777" w:rsidR="00A5195B" w:rsidRDefault="00A5195B">
      <w:pPr>
        <w:spacing w:line="20" w:lineRule="exact"/>
      </w:pPr>
      <w:r>
        <w:t xml:space="preserve"> </w:t>
      </w:r>
    </w:p>
  </w:endnote>
  <w:endnote w:type="continuationNotice" w:id="1">
    <w:p w14:paraId="3E122D36" w14:textId="77777777" w:rsidR="00A5195B" w:rsidRDefault="00A5195B">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5E3BDC75" w14:textId="5F0EED6E" w:rsidR="00A5195B" w:rsidRDefault="00A5195B" w:rsidP="00985B4D">
        <w:pPr>
          <w:pStyle w:val="Footer"/>
          <w:jc w:val="center"/>
        </w:pPr>
        <w:r>
          <w:rPr>
            <w:noProof/>
            <w:lang w:eastAsia="en-GB"/>
          </w:rPr>
          <mc:AlternateContent>
            <mc:Choice Requires="wps">
              <w:drawing>
                <wp:anchor distT="0" distB="0" distL="114300" distR="114300" simplePos="0" relativeHeight="251658241" behindDoc="0" locked="0" layoutInCell="1" allowOverlap="1" wp14:anchorId="77CE4AA3" wp14:editId="5E9301CB">
                  <wp:simplePos x="0" y="0"/>
                  <wp:positionH relativeFrom="column">
                    <wp:posOffset>-28575</wp:posOffset>
                  </wp:positionH>
                  <wp:positionV relativeFrom="paragraph">
                    <wp:posOffset>46355</wp:posOffset>
                  </wp:positionV>
                  <wp:extent cx="574357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A35D1" id="Straight Connector 5"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" strokecolor="black [3040]"/>
              </w:pict>
            </mc:Fallback>
          </mc:AlternateContent>
        </w:r>
      </w:p>
      <w:p w14:paraId="6318F05F" w14:textId="39855BD5" w:rsidR="00A5195B" w:rsidRPr="00985B4D" w:rsidRDefault="00A5195B" w:rsidP="00985B4D">
        <w:pPr>
          <w:pStyle w:val="Footer"/>
          <w:jc w:val="center"/>
          <w:rPr>
            <w:sz w:val="20"/>
            <w:szCs w:val="20"/>
          </w:rPr>
        </w:pPr>
        <w:r w:rsidRPr="00985B4D">
          <w:rPr>
            <w:sz w:val="20"/>
            <w:szCs w:val="20"/>
          </w:rPr>
          <w:t>OFFICIAL</w:t>
        </w:r>
      </w:p>
      <w:p w14:paraId="7F67DA18" w14:textId="11B3DC9A" w:rsidR="00A5195B" w:rsidRPr="00985B4D" w:rsidRDefault="00A5195B">
        <w:pPr>
          <w:pStyle w:val="Footer"/>
          <w:rPr>
            <w:sz w:val="20"/>
            <w:szCs w:val="20"/>
          </w:rPr>
        </w:pPr>
        <w:r w:rsidRPr="00985B4D">
          <w:rPr>
            <w:sz w:val="20"/>
            <w:szCs w:val="20"/>
          </w:rPr>
          <w:t>Appendix B – Statement of Requirements</w:t>
        </w:r>
      </w:p>
      <w:p w14:paraId="16D6A64F" w14:textId="25D97AF8" w:rsidR="00A5195B" w:rsidRDefault="00A5195B">
        <w:pPr>
          <w:pStyle w:val="Footer"/>
          <w:rPr>
            <w:rFonts w:cs="Arial"/>
            <w:color w:val="222222"/>
            <w:sz w:val="19"/>
            <w:szCs w:val="19"/>
            <w:shd w:val="clear" w:color="auto" w:fill="FFFFFF"/>
          </w:rPr>
        </w:pPr>
        <w:r>
          <w:rPr>
            <w:rFonts w:cs="Arial"/>
            <w:color w:val="222222"/>
            <w:sz w:val="19"/>
            <w:szCs w:val="19"/>
            <w:shd w:val="clear" w:color="auto" w:fill="FFFFFF"/>
          </w:rPr>
          <w:t>Lewis J Evans</w:t>
        </w:r>
      </w:p>
      <w:p w14:paraId="1CB7D5DC" w14:textId="191B7152" w:rsidR="00A5195B" w:rsidRPr="00985B4D" w:rsidRDefault="00A5195B">
        <w:pPr>
          <w:pStyle w:val="Footer"/>
          <w:rPr>
            <w:sz w:val="20"/>
            <w:szCs w:val="20"/>
          </w:rPr>
        </w:pPr>
        <w:r>
          <w:rPr>
            <w:rFonts w:cs="Arial"/>
            <w:color w:val="222222"/>
            <w:sz w:val="19"/>
            <w:szCs w:val="19"/>
            <w:shd w:val="clear" w:color="auto" w:fill="FFFFFF"/>
          </w:rPr>
          <w:t>© Crown copyright 2016</w:t>
        </w:r>
      </w:p>
      <w:p w14:paraId="42D6E6E6" w14:textId="2AC440B2" w:rsidR="00A5195B" w:rsidRPr="00985B4D" w:rsidRDefault="00A5195B" w:rsidP="00985B4D">
        <w:pPr>
          <w:pStyle w:val="Footer"/>
          <w:jc w:val="right"/>
          <w:rPr>
            <w:sz w:val="20"/>
            <w:szCs w:val="20"/>
          </w:rPr>
        </w:pPr>
        <w:r>
          <w:rPr>
            <w:sz w:val="20"/>
            <w:szCs w:val="20"/>
          </w:rPr>
          <w:t>V1.0 09/10/2017</w:t>
        </w:r>
      </w:p>
      <w:p w14:paraId="5214230D" w14:textId="4ECA52CA" w:rsidR="00A5195B" w:rsidRDefault="00A5195B"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F5665B">
          <w:rPr>
            <w:noProof/>
            <w:sz w:val="20"/>
            <w:szCs w:val="20"/>
          </w:rPr>
          <w:t>10</w:t>
        </w:r>
        <w:r w:rsidRPr="00985B4D">
          <w:rPr>
            <w:noProof/>
            <w:sz w:val="20"/>
            <w:szCs w:val="20"/>
          </w:rPr>
          <w:fldChar w:fldCharType="end"/>
        </w:r>
      </w:p>
    </w:sdtContent>
  </w:sdt>
  <w:p w14:paraId="6CEF1DBF" w14:textId="77777777" w:rsidR="00A5195B" w:rsidRPr="002933F8" w:rsidRDefault="00A5195B"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1DCA7" w14:textId="77777777" w:rsidR="00A5195B" w:rsidRDefault="00A5195B">
      <w:r>
        <w:separator/>
      </w:r>
    </w:p>
  </w:footnote>
  <w:footnote w:type="continuationSeparator" w:id="0">
    <w:p w14:paraId="66EBA21A" w14:textId="77777777" w:rsidR="00A5195B" w:rsidRDefault="00A5195B">
      <w:r>
        <w:continuationSeparator/>
      </w:r>
    </w:p>
  </w:footnote>
  <w:footnote w:type="continuationNotice" w:id="1">
    <w:p w14:paraId="11E3C305" w14:textId="77777777" w:rsidR="00A5195B" w:rsidRDefault="00A519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9588B" w14:textId="19FAB32A" w:rsidR="00A5195B" w:rsidRPr="0065123E" w:rsidRDefault="00A5195B" w:rsidP="0065123E">
    <w:pPr>
      <w:tabs>
        <w:tab w:val="center" w:pos="4153"/>
        <w:tab w:val="right" w:pos="8306"/>
      </w:tabs>
      <w:jc w:val="center"/>
      <w:rPr>
        <w:szCs w:val="22"/>
      </w:rPr>
    </w:pPr>
    <w:r w:rsidRPr="0065123E">
      <w:rPr>
        <w:noProof/>
        <w:szCs w:val="22"/>
        <w:lang w:eastAsia="en-GB"/>
      </w:rPr>
      <w:drawing>
        <wp:anchor distT="0" distB="0" distL="114300" distR="114300" simplePos="0" relativeHeight="251658243" behindDoc="1" locked="0" layoutInCell="1" allowOverlap="1" wp14:anchorId="2344EA36" wp14:editId="3327FD3F">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65123E">
      <w:rPr>
        <w:noProof/>
        <w:szCs w:val="22"/>
        <w:lang w:eastAsia="en-GB"/>
      </w:rPr>
      <w:drawing>
        <wp:anchor distT="0" distB="0" distL="114300" distR="114300" simplePos="0" relativeHeight="251658240" behindDoc="1" locked="0" layoutInCell="1" allowOverlap="1" wp14:anchorId="2344EA36" wp14:editId="202B209F">
          <wp:simplePos x="0" y="0"/>
          <wp:positionH relativeFrom="column">
            <wp:posOffset>-304800</wp:posOffset>
          </wp:positionH>
          <wp:positionV relativeFrom="page">
            <wp:posOffset>91440</wp:posOffset>
          </wp:positionV>
          <wp:extent cx="876300" cy="723900"/>
          <wp:effectExtent l="0" t="0" r="0" b="0"/>
          <wp:wrapSquare wrapText="bothSides"/>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65123E">
      <w:rPr>
        <w:szCs w:val="22"/>
      </w:rPr>
      <w:t>OFFICIAL</w:t>
    </w:r>
  </w:p>
  <w:p w14:paraId="0BC6A7D6" w14:textId="122A3CBC" w:rsidR="00A5195B" w:rsidRPr="007B789A" w:rsidRDefault="00A5195B" w:rsidP="0065123E">
    <w:pPr>
      <w:tabs>
        <w:tab w:val="center" w:pos="4153"/>
        <w:tab w:val="right" w:pos="8306"/>
      </w:tabs>
      <w:jc w:val="center"/>
      <w:rPr>
        <w:szCs w:val="22"/>
      </w:rPr>
    </w:pPr>
    <w:r w:rsidRPr="007B789A">
      <w:rPr>
        <w:szCs w:val="22"/>
      </w:rPr>
      <w:t>Appendix B – Statement of Requirements</w:t>
    </w:r>
  </w:p>
  <w:p w14:paraId="7A76D166" w14:textId="5D3B36F3" w:rsidR="00A5195B" w:rsidRPr="007B789A" w:rsidRDefault="00A5195B" w:rsidP="0065123E">
    <w:pPr>
      <w:tabs>
        <w:tab w:val="center" w:pos="4153"/>
        <w:tab w:val="right" w:pos="8306"/>
      </w:tabs>
      <w:jc w:val="center"/>
      <w:rPr>
        <w:szCs w:val="22"/>
      </w:rPr>
    </w:pPr>
    <w:r>
      <w:rPr>
        <w:szCs w:val="22"/>
      </w:rPr>
      <w:t xml:space="preserve">The Provision of the </w:t>
    </w:r>
    <w:r w:rsidRPr="007B789A">
      <w:rPr>
        <w:szCs w:val="22"/>
      </w:rPr>
      <w:t>Children’s Services</w:t>
    </w:r>
    <w:r>
      <w:rPr>
        <w:szCs w:val="22"/>
      </w:rPr>
      <w:t xml:space="preserve"> Research Project for DCLG</w:t>
    </w:r>
  </w:p>
  <w:p w14:paraId="605B3446" w14:textId="39E24C60" w:rsidR="00A5195B" w:rsidRPr="0065123E" w:rsidRDefault="00A5195B" w:rsidP="0065123E">
    <w:pPr>
      <w:tabs>
        <w:tab w:val="center" w:pos="4153"/>
        <w:tab w:val="right" w:pos="8306"/>
      </w:tabs>
      <w:jc w:val="center"/>
      <w:rPr>
        <w:szCs w:val="22"/>
        <w:highlight w:val="yellow"/>
      </w:rPr>
    </w:pPr>
    <w:r>
      <w:rPr>
        <w:szCs w:val="22"/>
      </w:rPr>
      <w:t xml:space="preserve">Contract Reference: </w:t>
    </w:r>
    <w:r w:rsidRPr="007B789A">
      <w:rPr>
        <w:szCs w:val="22"/>
      </w:rPr>
      <w:t>CCMK17A05</w:t>
    </w:r>
  </w:p>
  <w:p w14:paraId="6F1572B1" w14:textId="18A3CD7D" w:rsidR="00A5195B" w:rsidRPr="00074357" w:rsidRDefault="00A5195B" w:rsidP="00074357">
    <w:pPr>
      <w:pStyle w:val="Header"/>
    </w:pPr>
    <w:r>
      <w:rPr>
        <w:noProof/>
        <w:lang w:eastAsia="en-GB"/>
      </w:rPr>
      <mc:AlternateContent>
        <mc:Choice Requires="wps">
          <w:drawing>
            <wp:anchor distT="0" distB="0" distL="114300" distR="114300" simplePos="0" relativeHeight="251658242" behindDoc="0" locked="0" layoutInCell="1" allowOverlap="1" wp14:anchorId="65490E35" wp14:editId="318F3939">
              <wp:simplePos x="0" y="0"/>
              <wp:positionH relativeFrom="column">
                <wp:posOffset>-304801</wp:posOffset>
              </wp:positionH>
              <wp:positionV relativeFrom="paragraph">
                <wp:posOffset>98425</wp:posOffset>
              </wp:positionV>
              <wp:extent cx="60483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F72F43" id="Straight Connector 4"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2238E5"/>
    <w:multiLevelType w:val="hybridMultilevel"/>
    <w:tmpl w:val="B2ACE4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15:restartNumberingAfterBreak="0">
    <w:nsid w:val="2BCF5483"/>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7"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8"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9"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15:restartNumberingAfterBreak="0">
    <w:nsid w:val="357F7C5D"/>
    <w:multiLevelType w:val="multilevel"/>
    <w:tmpl w:val="C9C0794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Roman"/>
      <w:lvlText w:val="%3."/>
      <w:lvlJc w:val="righ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1"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4B6C2C5C"/>
    <w:multiLevelType w:val="multilevel"/>
    <w:tmpl w:val="1332CCD4"/>
    <w:name w:val="Plato Schedule Numbering List"/>
    <w:numStyleLink w:val="111111"/>
  </w:abstractNum>
  <w:abstractNum w:abstractNumId="26" w15:restartNumberingAfterBreak="0">
    <w:nsid w:val="50965CCA"/>
    <w:multiLevelType w:val="multilevel"/>
    <w:tmpl w:val="1332CCD4"/>
    <w:name w:val="Appendicies Heading List"/>
    <w:numStyleLink w:val="111111"/>
  </w:abstractNum>
  <w:abstractNum w:abstractNumId="27" w15:restartNumberingAfterBreak="0">
    <w:nsid w:val="51200365"/>
    <w:multiLevelType w:val="multilevel"/>
    <w:tmpl w:val="32A66BB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8"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2D485C"/>
    <w:multiLevelType w:val="multilevel"/>
    <w:tmpl w:val="292ABF0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Roman"/>
      <w:lvlText w:val="%3."/>
      <w:lvlJc w:val="righ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0" w15:restartNumberingAfterBreak="0">
    <w:nsid w:val="5D391637"/>
    <w:multiLevelType w:val="hybridMultilevel"/>
    <w:tmpl w:val="D35E4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2"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3"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5"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6" w15:restartNumberingAfterBreak="0">
    <w:nsid w:val="761D0B8D"/>
    <w:multiLevelType w:val="multilevel"/>
    <w:tmpl w:val="2C10CD4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Roman"/>
      <w:lvlText w:val="%3."/>
      <w:lvlJc w:val="righ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7"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8"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9"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abstractNum w:abstractNumId="40" w15:restartNumberingAfterBreak="0">
    <w:nsid w:val="7E7E7DF9"/>
    <w:multiLevelType w:val="multilevel"/>
    <w:tmpl w:val="D43805C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num w:numId="1">
    <w:abstractNumId w:val="6"/>
  </w:num>
  <w:num w:numId="2">
    <w:abstractNumId w:val="27"/>
  </w:num>
  <w:num w:numId="3">
    <w:abstractNumId w:val="15"/>
  </w:num>
  <w:num w:numId="4">
    <w:abstractNumId w:val="17"/>
  </w:num>
  <w:num w:numId="5">
    <w:abstractNumId w:val="5"/>
  </w:num>
  <w:num w:numId="6">
    <w:abstractNumId w:val="23"/>
  </w:num>
  <w:num w:numId="7">
    <w:abstractNumId w:val="19"/>
  </w:num>
  <w:num w:numId="8">
    <w:abstractNumId w:val="14"/>
  </w:num>
  <w:num w:numId="9">
    <w:abstractNumId w:val="4"/>
  </w:num>
  <w:num w:numId="10">
    <w:abstractNumId w:val="3"/>
  </w:num>
  <w:num w:numId="11">
    <w:abstractNumId w:val="2"/>
  </w:num>
  <w:num w:numId="12">
    <w:abstractNumId w:val="1"/>
  </w:num>
  <w:num w:numId="13">
    <w:abstractNumId w:val="0"/>
  </w:num>
  <w:num w:numId="14">
    <w:abstractNumId w:val="38"/>
  </w:num>
  <w:num w:numId="15">
    <w:abstractNumId w:val="10"/>
  </w:num>
  <w:num w:numId="16">
    <w:abstractNumId w:val="33"/>
  </w:num>
  <w:num w:numId="17">
    <w:abstractNumId w:val="9"/>
  </w:num>
  <w:num w:numId="18">
    <w:abstractNumId w:val="21"/>
  </w:num>
  <w:num w:numId="19">
    <w:abstractNumId w:val="18"/>
  </w:num>
  <w:num w:numId="20">
    <w:abstractNumId w:val="31"/>
  </w:num>
  <w:num w:numId="21">
    <w:abstractNumId w:val="13"/>
  </w:num>
  <w:num w:numId="22">
    <w:abstractNumId w:val="35"/>
  </w:num>
  <w:num w:numId="23">
    <w:abstractNumId w:val="24"/>
  </w:num>
  <w:num w:numId="24">
    <w:abstractNumId w:val="12"/>
  </w:num>
  <w:num w:numId="25">
    <w:abstractNumId w:val="34"/>
  </w:num>
  <w:num w:numId="26">
    <w:abstractNumId w:val="7"/>
  </w:num>
  <w:num w:numId="27">
    <w:abstractNumId w:val="28"/>
  </w:num>
  <w:num w:numId="28">
    <w:abstractNumId w:val="22"/>
  </w:num>
  <w:num w:numId="29">
    <w:abstractNumId w:val="37"/>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7"/>
  </w:num>
  <w:num w:numId="33">
    <w:abstractNumId w:val="27"/>
  </w:num>
  <w:num w:numId="34">
    <w:abstractNumId w:val="27"/>
  </w:num>
  <w:num w:numId="35">
    <w:abstractNumId w:val="36"/>
  </w:num>
  <w:num w:numId="36">
    <w:abstractNumId w:val="27"/>
  </w:num>
  <w:num w:numId="37">
    <w:abstractNumId w:val="27"/>
  </w:num>
  <w:num w:numId="38">
    <w:abstractNumId w:val="20"/>
  </w:num>
  <w:num w:numId="39">
    <w:abstractNumId w:val="27"/>
  </w:num>
  <w:num w:numId="40">
    <w:abstractNumId w:val="29"/>
  </w:num>
  <w:num w:numId="41">
    <w:abstractNumId w:val="27"/>
  </w:num>
  <w:num w:numId="42">
    <w:abstractNumId w:val="30"/>
  </w:num>
  <w:num w:numId="43">
    <w:abstractNumId w:val="8"/>
  </w:num>
  <w:num w:numId="44">
    <w:abstractNumId w:val="27"/>
  </w:num>
  <w:num w:numId="45">
    <w:abstractNumId w:val="27"/>
  </w:num>
  <w:num w:numId="46">
    <w:abstractNumId w:val="40"/>
  </w:num>
  <w:num w:numId="47">
    <w:abstractNumId w:val="16"/>
  </w:num>
  <w:num w:numId="48">
    <w:abstractNumId w:val="16"/>
  </w:num>
  <w:num w:numId="49">
    <w:abstractNumId w:val="16"/>
  </w:num>
  <w:num w:numId="50">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A5E"/>
    <w:rsid w:val="000033CA"/>
    <w:rsid w:val="00004DDC"/>
    <w:rsid w:val="0000639C"/>
    <w:rsid w:val="000067FA"/>
    <w:rsid w:val="00007A30"/>
    <w:rsid w:val="000110CC"/>
    <w:rsid w:val="00011988"/>
    <w:rsid w:val="00012987"/>
    <w:rsid w:val="0001386E"/>
    <w:rsid w:val="0001408F"/>
    <w:rsid w:val="00014583"/>
    <w:rsid w:val="00014A44"/>
    <w:rsid w:val="00016A50"/>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7CB6"/>
    <w:rsid w:val="00040594"/>
    <w:rsid w:val="00040A60"/>
    <w:rsid w:val="000459DD"/>
    <w:rsid w:val="00051303"/>
    <w:rsid w:val="000519FB"/>
    <w:rsid w:val="00052A65"/>
    <w:rsid w:val="00053DF7"/>
    <w:rsid w:val="0005414E"/>
    <w:rsid w:val="00056F7F"/>
    <w:rsid w:val="00060D0E"/>
    <w:rsid w:val="000645CC"/>
    <w:rsid w:val="00066D70"/>
    <w:rsid w:val="0007040F"/>
    <w:rsid w:val="00070803"/>
    <w:rsid w:val="000717BE"/>
    <w:rsid w:val="0007280F"/>
    <w:rsid w:val="00072D38"/>
    <w:rsid w:val="00074357"/>
    <w:rsid w:val="00074D97"/>
    <w:rsid w:val="00074DC0"/>
    <w:rsid w:val="000763EA"/>
    <w:rsid w:val="00076448"/>
    <w:rsid w:val="000812AE"/>
    <w:rsid w:val="0008330B"/>
    <w:rsid w:val="00090D6B"/>
    <w:rsid w:val="000910A7"/>
    <w:rsid w:val="00092145"/>
    <w:rsid w:val="00092C56"/>
    <w:rsid w:val="00094E2D"/>
    <w:rsid w:val="00096F76"/>
    <w:rsid w:val="00097EBA"/>
    <w:rsid w:val="000A0BB0"/>
    <w:rsid w:val="000A0C5F"/>
    <w:rsid w:val="000A0D22"/>
    <w:rsid w:val="000A1031"/>
    <w:rsid w:val="000A462F"/>
    <w:rsid w:val="000A4F69"/>
    <w:rsid w:val="000A5E95"/>
    <w:rsid w:val="000A65E5"/>
    <w:rsid w:val="000A72F8"/>
    <w:rsid w:val="000B12A9"/>
    <w:rsid w:val="000B1C66"/>
    <w:rsid w:val="000B29B2"/>
    <w:rsid w:val="000B4297"/>
    <w:rsid w:val="000B473E"/>
    <w:rsid w:val="000B4955"/>
    <w:rsid w:val="000B5C9F"/>
    <w:rsid w:val="000B7E75"/>
    <w:rsid w:val="000C1D0A"/>
    <w:rsid w:val="000C2484"/>
    <w:rsid w:val="000C2E05"/>
    <w:rsid w:val="000C5836"/>
    <w:rsid w:val="000C68BF"/>
    <w:rsid w:val="000C6BD6"/>
    <w:rsid w:val="000C7C2B"/>
    <w:rsid w:val="000D3719"/>
    <w:rsid w:val="000D4605"/>
    <w:rsid w:val="000E031B"/>
    <w:rsid w:val="000E4C53"/>
    <w:rsid w:val="000E6052"/>
    <w:rsid w:val="000F232D"/>
    <w:rsid w:val="000F3348"/>
    <w:rsid w:val="000F3500"/>
    <w:rsid w:val="000F3E1D"/>
    <w:rsid w:val="000F52E6"/>
    <w:rsid w:val="00100B77"/>
    <w:rsid w:val="0010253F"/>
    <w:rsid w:val="0010318E"/>
    <w:rsid w:val="001040CE"/>
    <w:rsid w:val="0010453E"/>
    <w:rsid w:val="0010577C"/>
    <w:rsid w:val="00105FBC"/>
    <w:rsid w:val="0010667E"/>
    <w:rsid w:val="00106F24"/>
    <w:rsid w:val="00110F67"/>
    <w:rsid w:val="00113459"/>
    <w:rsid w:val="00113CF2"/>
    <w:rsid w:val="001173D2"/>
    <w:rsid w:val="001223EC"/>
    <w:rsid w:val="00122891"/>
    <w:rsid w:val="00123FAD"/>
    <w:rsid w:val="001244BC"/>
    <w:rsid w:val="001245F5"/>
    <w:rsid w:val="001256D9"/>
    <w:rsid w:val="0012683D"/>
    <w:rsid w:val="00127773"/>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912"/>
    <w:rsid w:val="00144F3B"/>
    <w:rsid w:val="00145725"/>
    <w:rsid w:val="00147DA6"/>
    <w:rsid w:val="001548AC"/>
    <w:rsid w:val="00156231"/>
    <w:rsid w:val="0015696A"/>
    <w:rsid w:val="00156E2F"/>
    <w:rsid w:val="00157D99"/>
    <w:rsid w:val="00161A2F"/>
    <w:rsid w:val="0016322B"/>
    <w:rsid w:val="0016383C"/>
    <w:rsid w:val="00163EE1"/>
    <w:rsid w:val="00166299"/>
    <w:rsid w:val="0017017C"/>
    <w:rsid w:val="00171BB8"/>
    <w:rsid w:val="0017225B"/>
    <w:rsid w:val="00173352"/>
    <w:rsid w:val="0017368C"/>
    <w:rsid w:val="00176CBE"/>
    <w:rsid w:val="00176DF8"/>
    <w:rsid w:val="0018020B"/>
    <w:rsid w:val="001802DD"/>
    <w:rsid w:val="00181D58"/>
    <w:rsid w:val="00181E75"/>
    <w:rsid w:val="00183DAF"/>
    <w:rsid w:val="00183EB0"/>
    <w:rsid w:val="001842F4"/>
    <w:rsid w:val="00184673"/>
    <w:rsid w:val="001863E6"/>
    <w:rsid w:val="001866C8"/>
    <w:rsid w:val="0018756A"/>
    <w:rsid w:val="00193FB5"/>
    <w:rsid w:val="001962E6"/>
    <w:rsid w:val="001A1780"/>
    <w:rsid w:val="001A3C4D"/>
    <w:rsid w:val="001A7AB1"/>
    <w:rsid w:val="001A7F74"/>
    <w:rsid w:val="001B0587"/>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D7884"/>
    <w:rsid w:val="001E13B3"/>
    <w:rsid w:val="001E378F"/>
    <w:rsid w:val="001E3BC9"/>
    <w:rsid w:val="001E49D6"/>
    <w:rsid w:val="001F0B69"/>
    <w:rsid w:val="001F13E1"/>
    <w:rsid w:val="001F2926"/>
    <w:rsid w:val="001F2F1C"/>
    <w:rsid w:val="001F300D"/>
    <w:rsid w:val="001F3B05"/>
    <w:rsid w:val="001F4B65"/>
    <w:rsid w:val="002014DC"/>
    <w:rsid w:val="00202978"/>
    <w:rsid w:val="00202DAB"/>
    <w:rsid w:val="00204498"/>
    <w:rsid w:val="00205CD6"/>
    <w:rsid w:val="00206015"/>
    <w:rsid w:val="002136EC"/>
    <w:rsid w:val="00215015"/>
    <w:rsid w:val="0022047E"/>
    <w:rsid w:val="00220ACA"/>
    <w:rsid w:val="002222F1"/>
    <w:rsid w:val="002229A8"/>
    <w:rsid w:val="002235BF"/>
    <w:rsid w:val="00224FFC"/>
    <w:rsid w:val="0022513D"/>
    <w:rsid w:val="00225865"/>
    <w:rsid w:val="0022592F"/>
    <w:rsid w:val="002262A5"/>
    <w:rsid w:val="002268D4"/>
    <w:rsid w:val="0022721A"/>
    <w:rsid w:val="00231DA8"/>
    <w:rsid w:val="00233206"/>
    <w:rsid w:val="00234955"/>
    <w:rsid w:val="00235462"/>
    <w:rsid w:val="00241853"/>
    <w:rsid w:val="00243547"/>
    <w:rsid w:val="00245B30"/>
    <w:rsid w:val="00246795"/>
    <w:rsid w:val="00250446"/>
    <w:rsid w:val="00251900"/>
    <w:rsid w:val="00255F6A"/>
    <w:rsid w:val="00257039"/>
    <w:rsid w:val="00257F38"/>
    <w:rsid w:val="002600C6"/>
    <w:rsid w:val="002608F4"/>
    <w:rsid w:val="00260EF5"/>
    <w:rsid w:val="0026119D"/>
    <w:rsid w:val="00262C6F"/>
    <w:rsid w:val="002630FA"/>
    <w:rsid w:val="002634FE"/>
    <w:rsid w:val="002649FC"/>
    <w:rsid w:val="0027062E"/>
    <w:rsid w:val="002723EE"/>
    <w:rsid w:val="00273E03"/>
    <w:rsid w:val="00274391"/>
    <w:rsid w:val="00274416"/>
    <w:rsid w:val="00277524"/>
    <w:rsid w:val="00280B5B"/>
    <w:rsid w:val="002826D7"/>
    <w:rsid w:val="002848C1"/>
    <w:rsid w:val="0028697F"/>
    <w:rsid w:val="00286F62"/>
    <w:rsid w:val="002876FE"/>
    <w:rsid w:val="00287C83"/>
    <w:rsid w:val="00291584"/>
    <w:rsid w:val="002933F8"/>
    <w:rsid w:val="00297D77"/>
    <w:rsid w:val="002A08BF"/>
    <w:rsid w:val="002A5258"/>
    <w:rsid w:val="002A6870"/>
    <w:rsid w:val="002A7D10"/>
    <w:rsid w:val="002A7DA6"/>
    <w:rsid w:val="002B1E1B"/>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268A"/>
    <w:rsid w:val="002D2841"/>
    <w:rsid w:val="002D3A27"/>
    <w:rsid w:val="002D7AC9"/>
    <w:rsid w:val="002E05A6"/>
    <w:rsid w:val="002E317D"/>
    <w:rsid w:val="002E5436"/>
    <w:rsid w:val="002E6400"/>
    <w:rsid w:val="002F13FD"/>
    <w:rsid w:val="002F1F7F"/>
    <w:rsid w:val="002F3129"/>
    <w:rsid w:val="002F33AC"/>
    <w:rsid w:val="002F42F4"/>
    <w:rsid w:val="002F5547"/>
    <w:rsid w:val="002F5B77"/>
    <w:rsid w:val="002F7AA1"/>
    <w:rsid w:val="0030038A"/>
    <w:rsid w:val="0030185A"/>
    <w:rsid w:val="0030285B"/>
    <w:rsid w:val="0030439A"/>
    <w:rsid w:val="003047E0"/>
    <w:rsid w:val="0030606A"/>
    <w:rsid w:val="00314D6F"/>
    <w:rsid w:val="00315091"/>
    <w:rsid w:val="00315C76"/>
    <w:rsid w:val="0032065B"/>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50DB"/>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3FD"/>
    <w:rsid w:val="00386338"/>
    <w:rsid w:val="00386706"/>
    <w:rsid w:val="003874EB"/>
    <w:rsid w:val="003908EB"/>
    <w:rsid w:val="00390BC3"/>
    <w:rsid w:val="0039193D"/>
    <w:rsid w:val="00392E2A"/>
    <w:rsid w:val="00396B62"/>
    <w:rsid w:val="003A0CDA"/>
    <w:rsid w:val="003A199A"/>
    <w:rsid w:val="003A21C8"/>
    <w:rsid w:val="003A2C48"/>
    <w:rsid w:val="003A4DD7"/>
    <w:rsid w:val="003A5A3C"/>
    <w:rsid w:val="003B0599"/>
    <w:rsid w:val="003B19A0"/>
    <w:rsid w:val="003B4727"/>
    <w:rsid w:val="003B4B25"/>
    <w:rsid w:val="003B74BC"/>
    <w:rsid w:val="003C1CB5"/>
    <w:rsid w:val="003C4135"/>
    <w:rsid w:val="003C54C9"/>
    <w:rsid w:val="003C6839"/>
    <w:rsid w:val="003C6AF1"/>
    <w:rsid w:val="003C7811"/>
    <w:rsid w:val="003D0625"/>
    <w:rsid w:val="003D0A36"/>
    <w:rsid w:val="003D1E1C"/>
    <w:rsid w:val="003D1E8B"/>
    <w:rsid w:val="003D2039"/>
    <w:rsid w:val="003D2902"/>
    <w:rsid w:val="003D2F60"/>
    <w:rsid w:val="003D4366"/>
    <w:rsid w:val="003D4F07"/>
    <w:rsid w:val="003D52B7"/>
    <w:rsid w:val="003D6D0B"/>
    <w:rsid w:val="003E2377"/>
    <w:rsid w:val="003E3E8C"/>
    <w:rsid w:val="003E4D32"/>
    <w:rsid w:val="003E4FA3"/>
    <w:rsid w:val="003E7509"/>
    <w:rsid w:val="003F06FF"/>
    <w:rsid w:val="003F1C5D"/>
    <w:rsid w:val="003F626A"/>
    <w:rsid w:val="00400F7C"/>
    <w:rsid w:val="00401C86"/>
    <w:rsid w:val="004022A5"/>
    <w:rsid w:val="00402F0D"/>
    <w:rsid w:val="00404F9C"/>
    <w:rsid w:val="0040508D"/>
    <w:rsid w:val="00405A77"/>
    <w:rsid w:val="004070DF"/>
    <w:rsid w:val="004126C0"/>
    <w:rsid w:val="004128DA"/>
    <w:rsid w:val="00413A43"/>
    <w:rsid w:val="004147A7"/>
    <w:rsid w:val="00415016"/>
    <w:rsid w:val="0041576D"/>
    <w:rsid w:val="00416045"/>
    <w:rsid w:val="00422823"/>
    <w:rsid w:val="0042602C"/>
    <w:rsid w:val="00426AB4"/>
    <w:rsid w:val="0042703F"/>
    <w:rsid w:val="00427A64"/>
    <w:rsid w:val="00430054"/>
    <w:rsid w:val="004300D8"/>
    <w:rsid w:val="0043067F"/>
    <w:rsid w:val="004324B4"/>
    <w:rsid w:val="00433761"/>
    <w:rsid w:val="00433AD3"/>
    <w:rsid w:val="004401D5"/>
    <w:rsid w:val="00441050"/>
    <w:rsid w:val="00442EDE"/>
    <w:rsid w:val="00447F11"/>
    <w:rsid w:val="004516D6"/>
    <w:rsid w:val="0045279B"/>
    <w:rsid w:val="00453EE6"/>
    <w:rsid w:val="0045425C"/>
    <w:rsid w:val="00456D72"/>
    <w:rsid w:val="00461688"/>
    <w:rsid w:val="00462365"/>
    <w:rsid w:val="00462CA4"/>
    <w:rsid w:val="00462E6A"/>
    <w:rsid w:val="00466BF4"/>
    <w:rsid w:val="00470A2A"/>
    <w:rsid w:val="004722DA"/>
    <w:rsid w:val="00476F39"/>
    <w:rsid w:val="004771C4"/>
    <w:rsid w:val="00477C7D"/>
    <w:rsid w:val="00480506"/>
    <w:rsid w:val="00480E50"/>
    <w:rsid w:val="004900A1"/>
    <w:rsid w:val="004909B0"/>
    <w:rsid w:val="0049625F"/>
    <w:rsid w:val="00497D0E"/>
    <w:rsid w:val="004A225E"/>
    <w:rsid w:val="004A2D0B"/>
    <w:rsid w:val="004A2E7B"/>
    <w:rsid w:val="004A31F5"/>
    <w:rsid w:val="004A4371"/>
    <w:rsid w:val="004A48ED"/>
    <w:rsid w:val="004A5CFD"/>
    <w:rsid w:val="004B4E34"/>
    <w:rsid w:val="004B6951"/>
    <w:rsid w:val="004B7B71"/>
    <w:rsid w:val="004B7F08"/>
    <w:rsid w:val="004C0636"/>
    <w:rsid w:val="004C1460"/>
    <w:rsid w:val="004C50CD"/>
    <w:rsid w:val="004C571B"/>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6724"/>
    <w:rsid w:val="004E6FB0"/>
    <w:rsid w:val="004E70A8"/>
    <w:rsid w:val="004E78BC"/>
    <w:rsid w:val="004F2229"/>
    <w:rsid w:val="004F2D68"/>
    <w:rsid w:val="004F4E7F"/>
    <w:rsid w:val="004F6B43"/>
    <w:rsid w:val="004F6EE0"/>
    <w:rsid w:val="0050062B"/>
    <w:rsid w:val="005009A0"/>
    <w:rsid w:val="0050116C"/>
    <w:rsid w:val="00502279"/>
    <w:rsid w:val="00502DB6"/>
    <w:rsid w:val="0050537E"/>
    <w:rsid w:val="00505473"/>
    <w:rsid w:val="005054EC"/>
    <w:rsid w:val="005147FE"/>
    <w:rsid w:val="00515D51"/>
    <w:rsid w:val="00517904"/>
    <w:rsid w:val="0052086C"/>
    <w:rsid w:val="00522AAC"/>
    <w:rsid w:val="0052365A"/>
    <w:rsid w:val="0052487A"/>
    <w:rsid w:val="00527040"/>
    <w:rsid w:val="0052707B"/>
    <w:rsid w:val="00531417"/>
    <w:rsid w:val="0053220D"/>
    <w:rsid w:val="005334EA"/>
    <w:rsid w:val="00533F76"/>
    <w:rsid w:val="005364E3"/>
    <w:rsid w:val="0054388B"/>
    <w:rsid w:val="0054492B"/>
    <w:rsid w:val="0055006C"/>
    <w:rsid w:val="00551203"/>
    <w:rsid w:val="00551397"/>
    <w:rsid w:val="00556CF9"/>
    <w:rsid w:val="005571B2"/>
    <w:rsid w:val="00561AE0"/>
    <w:rsid w:val="00561BB6"/>
    <w:rsid w:val="00563F76"/>
    <w:rsid w:val="00564CCA"/>
    <w:rsid w:val="0056660C"/>
    <w:rsid w:val="005750D7"/>
    <w:rsid w:val="005750F5"/>
    <w:rsid w:val="005759DD"/>
    <w:rsid w:val="00576C34"/>
    <w:rsid w:val="00581887"/>
    <w:rsid w:val="005821EF"/>
    <w:rsid w:val="0058297A"/>
    <w:rsid w:val="0058409F"/>
    <w:rsid w:val="00586640"/>
    <w:rsid w:val="00586CC2"/>
    <w:rsid w:val="00590FFC"/>
    <w:rsid w:val="005924FF"/>
    <w:rsid w:val="00593CFF"/>
    <w:rsid w:val="005974F7"/>
    <w:rsid w:val="00597B02"/>
    <w:rsid w:val="005A137B"/>
    <w:rsid w:val="005A1F60"/>
    <w:rsid w:val="005A27F2"/>
    <w:rsid w:val="005A49EA"/>
    <w:rsid w:val="005B228D"/>
    <w:rsid w:val="005B28B1"/>
    <w:rsid w:val="005B2BA5"/>
    <w:rsid w:val="005B466A"/>
    <w:rsid w:val="005B4A89"/>
    <w:rsid w:val="005B57D2"/>
    <w:rsid w:val="005C0826"/>
    <w:rsid w:val="005C2951"/>
    <w:rsid w:val="005C3B95"/>
    <w:rsid w:val="005C6291"/>
    <w:rsid w:val="005C6503"/>
    <w:rsid w:val="005D1196"/>
    <w:rsid w:val="005D2362"/>
    <w:rsid w:val="005E00DA"/>
    <w:rsid w:val="005E2029"/>
    <w:rsid w:val="005E29A1"/>
    <w:rsid w:val="005E4205"/>
    <w:rsid w:val="005E4793"/>
    <w:rsid w:val="005E4B73"/>
    <w:rsid w:val="005E4F6C"/>
    <w:rsid w:val="005E5DD9"/>
    <w:rsid w:val="005E77ED"/>
    <w:rsid w:val="005E7C19"/>
    <w:rsid w:val="005F03AB"/>
    <w:rsid w:val="005F11AF"/>
    <w:rsid w:val="005F162D"/>
    <w:rsid w:val="005F19B8"/>
    <w:rsid w:val="005F2A14"/>
    <w:rsid w:val="005F2F66"/>
    <w:rsid w:val="005F3867"/>
    <w:rsid w:val="005F3E1B"/>
    <w:rsid w:val="005F52F5"/>
    <w:rsid w:val="005F5BEB"/>
    <w:rsid w:val="005F6E6D"/>
    <w:rsid w:val="005F79C0"/>
    <w:rsid w:val="00600D97"/>
    <w:rsid w:val="00600EA9"/>
    <w:rsid w:val="0060374B"/>
    <w:rsid w:val="00604AB1"/>
    <w:rsid w:val="00605194"/>
    <w:rsid w:val="006054F0"/>
    <w:rsid w:val="006061D3"/>
    <w:rsid w:val="006072D7"/>
    <w:rsid w:val="00610600"/>
    <w:rsid w:val="0061104D"/>
    <w:rsid w:val="00612171"/>
    <w:rsid w:val="006121F2"/>
    <w:rsid w:val="00613C61"/>
    <w:rsid w:val="00614A6D"/>
    <w:rsid w:val="00616BD2"/>
    <w:rsid w:val="00617027"/>
    <w:rsid w:val="006231D2"/>
    <w:rsid w:val="00627B4B"/>
    <w:rsid w:val="00627D1B"/>
    <w:rsid w:val="006308E6"/>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123E"/>
    <w:rsid w:val="00653D40"/>
    <w:rsid w:val="00654173"/>
    <w:rsid w:val="006549BE"/>
    <w:rsid w:val="00657DE2"/>
    <w:rsid w:val="006600A8"/>
    <w:rsid w:val="00660E0B"/>
    <w:rsid w:val="006641E1"/>
    <w:rsid w:val="006645BF"/>
    <w:rsid w:val="00671798"/>
    <w:rsid w:val="00671C2E"/>
    <w:rsid w:val="006754B9"/>
    <w:rsid w:val="00675D88"/>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59EF"/>
    <w:rsid w:val="006968E6"/>
    <w:rsid w:val="006A0E9A"/>
    <w:rsid w:val="006A385C"/>
    <w:rsid w:val="006A3DBC"/>
    <w:rsid w:val="006A3F51"/>
    <w:rsid w:val="006A4316"/>
    <w:rsid w:val="006A4943"/>
    <w:rsid w:val="006B1F15"/>
    <w:rsid w:val="006B2181"/>
    <w:rsid w:val="006B32CD"/>
    <w:rsid w:val="006B3676"/>
    <w:rsid w:val="006B4F77"/>
    <w:rsid w:val="006B556B"/>
    <w:rsid w:val="006B5A7E"/>
    <w:rsid w:val="006B62D2"/>
    <w:rsid w:val="006C0828"/>
    <w:rsid w:val="006C2069"/>
    <w:rsid w:val="006C3BF0"/>
    <w:rsid w:val="006C3DF5"/>
    <w:rsid w:val="006C3FE6"/>
    <w:rsid w:val="006C466F"/>
    <w:rsid w:val="006C7377"/>
    <w:rsid w:val="006D0B91"/>
    <w:rsid w:val="006D2324"/>
    <w:rsid w:val="006D3910"/>
    <w:rsid w:val="006D50D6"/>
    <w:rsid w:val="006D5BAD"/>
    <w:rsid w:val="006D6196"/>
    <w:rsid w:val="006D64A7"/>
    <w:rsid w:val="006D7362"/>
    <w:rsid w:val="006E13AE"/>
    <w:rsid w:val="006E28A2"/>
    <w:rsid w:val="006E5B51"/>
    <w:rsid w:val="006E5FFB"/>
    <w:rsid w:val="006F0564"/>
    <w:rsid w:val="006F098A"/>
    <w:rsid w:val="006F0C06"/>
    <w:rsid w:val="006F2935"/>
    <w:rsid w:val="006F299C"/>
    <w:rsid w:val="006F46DC"/>
    <w:rsid w:val="006F490F"/>
    <w:rsid w:val="006F5CE9"/>
    <w:rsid w:val="006F6878"/>
    <w:rsid w:val="006F6F85"/>
    <w:rsid w:val="007003CC"/>
    <w:rsid w:val="00702C1F"/>
    <w:rsid w:val="00704A4D"/>
    <w:rsid w:val="00706205"/>
    <w:rsid w:val="00706FCC"/>
    <w:rsid w:val="007110A9"/>
    <w:rsid w:val="007145F1"/>
    <w:rsid w:val="0072081F"/>
    <w:rsid w:val="007217F8"/>
    <w:rsid w:val="00724885"/>
    <w:rsid w:val="00733ACF"/>
    <w:rsid w:val="0073540C"/>
    <w:rsid w:val="00735596"/>
    <w:rsid w:val="00735D7F"/>
    <w:rsid w:val="00740B2E"/>
    <w:rsid w:val="007411D4"/>
    <w:rsid w:val="007435B9"/>
    <w:rsid w:val="00743726"/>
    <w:rsid w:val="00745EA0"/>
    <w:rsid w:val="00745FE8"/>
    <w:rsid w:val="0075008F"/>
    <w:rsid w:val="00753744"/>
    <w:rsid w:val="00753ABE"/>
    <w:rsid w:val="0075444C"/>
    <w:rsid w:val="00755A73"/>
    <w:rsid w:val="00756064"/>
    <w:rsid w:val="007569B8"/>
    <w:rsid w:val="0075747E"/>
    <w:rsid w:val="007603EE"/>
    <w:rsid w:val="00760E17"/>
    <w:rsid w:val="0076417D"/>
    <w:rsid w:val="00765F1F"/>
    <w:rsid w:val="007667BD"/>
    <w:rsid w:val="0077082E"/>
    <w:rsid w:val="00770F75"/>
    <w:rsid w:val="0077138F"/>
    <w:rsid w:val="00772062"/>
    <w:rsid w:val="007723BF"/>
    <w:rsid w:val="007734F9"/>
    <w:rsid w:val="00773C5A"/>
    <w:rsid w:val="007742BD"/>
    <w:rsid w:val="0078132F"/>
    <w:rsid w:val="00781B53"/>
    <w:rsid w:val="00781F72"/>
    <w:rsid w:val="00783459"/>
    <w:rsid w:val="007838E0"/>
    <w:rsid w:val="00784548"/>
    <w:rsid w:val="00791568"/>
    <w:rsid w:val="00791F7F"/>
    <w:rsid w:val="00792660"/>
    <w:rsid w:val="00792A76"/>
    <w:rsid w:val="00792F41"/>
    <w:rsid w:val="00793CE3"/>
    <w:rsid w:val="00793CFE"/>
    <w:rsid w:val="007957E7"/>
    <w:rsid w:val="00796456"/>
    <w:rsid w:val="00797375"/>
    <w:rsid w:val="007A1EDB"/>
    <w:rsid w:val="007A20DB"/>
    <w:rsid w:val="007A4212"/>
    <w:rsid w:val="007A5C92"/>
    <w:rsid w:val="007A6776"/>
    <w:rsid w:val="007A7E53"/>
    <w:rsid w:val="007B22E8"/>
    <w:rsid w:val="007B3FCD"/>
    <w:rsid w:val="007B5019"/>
    <w:rsid w:val="007B52CD"/>
    <w:rsid w:val="007B789A"/>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0D74"/>
    <w:rsid w:val="007E1C0F"/>
    <w:rsid w:val="007E3BEA"/>
    <w:rsid w:val="007E4D19"/>
    <w:rsid w:val="007E581E"/>
    <w:rsid w:val="007E5ED3"/>
    <w:rsid w:val="007E69D2"/>
    <w:rsid w:val="007E792F"/>
    <w:rsid w:val="007F062B"/>
    <w:rsid w:val="007F0B71"/>
    <w:rsid w:val="007F255C"/>
    <w:rsid w:val="007F273E"/>
    <w:rsid w:val="007F48F8"/>
    <w:rsid w:val="007F521C"/>
    <w:rsid w:val="007F6A7A"/>
    <w:rsid w:val="007F78F3"/>
    <w:rsid w:val="007F7976"/>
    <w:rsid w:val="00800097"/>
    <w:rsid w:val="0080204D"/>
    <w:rsid w:val="00802735"/>
    <w:rsid w:val="00803909"/>
    <w:rsid w:val="00804229"/>
    <w:rsid w:val="008042A5"/>
    <w:rsid w:val="0080626B"/>
    <w:rsid w:val="00806CB2"/>
    <w:rsid w:val="00806DC0"/>
    <w:rsid w:val="008073BC"/>
    <w:rsid w:val="00807B7B"/>
    <w:rsid w:val="0081061A"/>
    <w:rsid w:val="00811C30"/>
    <w:rsid w:val="0081457C"/>
    <w:rsid w:val="008174FC"/>
    <w:rsid w:val="00821734"/>
    <w:rsid w:val="00822196"/>
    <w:rsid w:val="008227FE"/>
    <w:rsid w:val="0082305E"/>
    <w:rsid w:val="0082468F"/>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41D2"/>
    <w:rsid w:val="00854513"/>
    <w:rsid w:val="008556F2"/>
    <w:rsid w:val="00861D08"/>
    <w:rsid w:val="00862C72"/>
    <w:rsid w:val="00862E1D"/>
    <w:rsid w:val="008633FF"/>
    <w:rsid w:val="00867F30"/>
    <w:rsid w:val="00871033"/>
    <w:rsid w:val="00873E83"/>
    <w:rsid w:val="00874062"/>
    <w:rsid w:val="0087463E"/>
    <w:rsid w:val="00874B74"/>
    <w:rsid w:val="00874ED6"/>
    <w:rsid w:val="0087782A"/>
    <w:rsid w:val="00877AA1"/>
    <w:rsid w:val="00880C0D"/>
    <w:rsid w:val="00880DA5"/>
    <w:rsid w:val="00881157"/>
    <w:rsid w:val="0088161D"/>
    <w:rsid w:val="00882465"/>
    <w:rsid w:val="0088510D"/>
    <w:rsid w:val="00890886"/>
    <w:rsid w:val="008916A4"/>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317B"/>
    <w:rsid w:val="008C59EE"/>
    <w:rsid w:val="008C6917"/>
    <w:rsid w:val="008C6DD8"/>
    <w:rsid w:val="008C764B"/>
    <w:rsid w:val="008D01FD"/>
    <w:rsid w:val="008D0383"/>
    <w:rsid w:val="008D17C0"/>
    <w:rsid w:val="008D1AFC"/>
    <w:rsid w:val="008D1F53"/>
    <w:rsid w:val="008D28A6"/>
    <w:rsid w:val="008D66D4"/>
    <w:rsid w:val="008D752C"/>
    <w:rsid w:val="008D7794"/>
    <w:rsid w:val="008E0B8A"/>
    <w:rsid w:val="008E16F9"/>
    <w:rsid w:val="008E5B1C"/>
    <w:rsid w:val="008E5D54"/>
    <w:rsid w:val="008E6D8C"/>
    <w:rsid w:val="008E7734"/>
    <w:rsid w:val="008E7D6B"/>
    <w:rsid w:val="008F0B3A"/>
    <w:rsid w:val="008F0B5B"/>
    <w:rsid w:val="008F0F5B"/>
    <w:rsid w:val="008F3384"/>
    <w:rsid w:val="008F3470"/>
    <w:rsid w:val="008F48B8"/>
    <w:rsid w:val="008F4F1E"/>
    <w:rsid w:val="008F7730"/>
    <w:rsid w:val="00900BFA"/>
    <w:rsid w:val="00900E71"/>
    <w:rsid w:val="009021F5"/>
    <w:rsid w:val="0090447A"/>
    <w:rsid w:val="00905BFB"/>
    <w:rsid w:val="009064EA"/>
    <w:rsid w:val="009066E0"/>
    <w:rsid w:val="00910C56"/>
    <w:rsid w:val="00911C93"/>
    <w:rsid w:val="00912B1E"/>
    <w:rsid w:val="00912C42"/>
    <w:rsid w:val="009141BA"/>
    <w:rsid w:val="0091531E"/>
    <w:rsid w:val="00915583"/>
    <w:rsid w:val="009175F3"/>
    <w:rsid w:val="00921F0F"/>
    <w:rsid w:val="00922A4C"/>
    <w:rsid w:val="00922D72"/>
    <w:rsid w:val="00923A8C"/>
    <w:rsid w:val="00923ACC"/>
    <w:rsid w:val="00926958"/>
    <w:rsid w:val="00926AFD"/>
    <w:rsid w:val="0093175A"/>
    <w:rsid w:val="0093178F"/>
    <w:rsid w:val="009317B0"/>
    <w:rsid w:val="00932346"/>
    <w:rsid w:val="0093247C"/>
    <w:rsid w:val="00932D6C"/>
    <w:rsid w:val="00934359"/>
    <w:rsid w:val="009372EF"/>
    <w:rsid w:val="00943815"/>
    <w:rsid w:val="009448C5"/>
    <w:rsid w:val="0094512F"/>
    <w:rsid w:val="00951437"/>
    <w:rsid w:val="00951FEC"/>
    <w:rsid w:val="00953768"/>
    <w:rsid w:val="00953FE8"/>
    <w:rsid w:val="009572E2"/>
    <w:rsid w:val="00964906"/>
    <w:rsid w:val="00965F55"/>
    <w:rsid w:val="00967A09"/>
    <w:rsid w:val="00970943"/>
    <w:rsid w:val="00970C86"/>
    <w:rsid w:val="00971A11"/>
    <w:rsid w:val="009738CD"/>
    <w:rsid w:val="0097525F"/>
    <w:rsid w:val="009762BE"/>
    <w:rsid w:val="0097705B"/>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A682A"/>
    <w:rsid w:val="009B059A"/>
    <w:rsid w:val="009B0A14"/>
    <w:rsid w:val="009B0A8A"/>
    <w:rsid w:val="009B0E63"/>
    <w:rsid w:val="009C1684"/>
    <w:rsid w:val="009C2B62"/>
    <w:rsid w:val="009C3578"/>
    <w:rsid w:val="009C3DAF"/>
    <w:rsid w:val="009C3E01"/>
    <w:rsid w:val="009C426E"/>
    <w:rsid w:val="009D08E6"/>
    <w:rsid w:val="009D12CD"/>
    <w:rsid w:val="009D4179"/>
    <w:rsid w:val="009D4394"/>
    <w:rsid w:val="009D737E"/>
    <w:rsid w:val="009D7801"/>
    <w:rsid w:val="009E1BA0"/>
    <w:rsid w:val="009E2289"/>
    <w:rsid w:val="009E22EF"/>
    <w:rsid w:val="009E2B2D"/>
    <w:rsid w:val="009E38B3"/>
    <w:rsid w:val="009E3F97"/>
    <w:rsid w:val="009E46E8"/>
    <w:rsid w:val="009E7CA6"/>
    <w:rsid w:val="009F0B88"/>
    <w:rsid w:val="009F0C3F"/>
    <w:rsid w:val="009F0C62"/>
    <w:rsid w:val="009F0DAB"/>
    <w:rsid w:val="009F44CA"/>
    <w:rsid w:val="00A04242"/>
    <w:rsid w:val="00A055F2"/>
    <w:rsid w:val="00A061A4"/>
    <w:rsid w:val="00A06EEA"/>
    <w:rsid w:val="00A07797"/>
    <w:rsid w:val="00A07BA2"/>
    <w:rsid w:val="00A11943"/>
    <w:rsid w:val="00A120C0"/>
    <w:rsid w:val="00A126CF"/>
    <w:rsid w:val="00A13177"/>
    <w:rsid w:val="00A150ED"/>
    <w:rsid w:val="00A163C2"/>
    <w:rsid w:val="00A203DA"/>
    <w:rsid w:val="00A23AA1"/>
    <w:rsid w:val="00A2522F"/>
    <w:rsid w:val="00A26DB5"/>
    <w:rsid w:val="00A27A35"/>
    <w:rsid w:val="00A3180D"/>
    <w:rsid w:val="00A326AA"/>
    <w:rsid w:val="00A32EAE"/>
    <w:rsid w:val="00A33F0B"/>
    <w:rsid w:val="00A3630D"/>
    <w:rsid w:val="00A363DA"/>
    <w:rsid w:val="00A37384"/>
    <w:rsid w:val="00A4055F"/>
    <w:rsid w:val="00A425FC"/>
    <w:rsid w:val="00A46AE8"/>
    <w:rsid w:val="00A5195B"/>
    <w:rsid w:val="00A520BB"/>
    <w:rsid w:val="00A539CE"/>
    <w:rsid w:val="00A53C90"/>
    <w:rsid w:val="00A544DF"/>
    <w:rsid w:val="00A54C8F"/>
    <w:rsid w:val="00A5594A"/>
    <w:rsid w:val="00A55D22"/>
    <w:rsid w:val="00A57890"/>
    <w:rsid w:val="00A57B4E"/>
    <w:rsid w:val="00A61283"/>
    <w:rsid w:val="00A6219D"/>
    <w:rsid w:val="00A62B42"/>
    <w:rsid w:val="00A63F3F"/>
    <w:rsid w:val="00A646DE"/>
    <w:rsid w:val="00A72352"/>
    <w:rsid w:val="00A72AE0"/>
    <w:rsid w:val="00A73E58"/>
    <w:rsid w:val="00A74FE3"/>
    <w:rsid w:val="00A769B4"/>
    <w:rsid w:val="00A81243"/>
    <w:rsid w:val="00A845EC"/>
    <w:rsid w:val="00A852B4"/>
    <w:rsid w:val="00A90772"/>
    <w:rsid w:val="00A913D3"/>
    <w:rsid w:val="00A91BED"/>
    <w:rsid w:val="00A93E74"/>
    <w:rsid w:val="00A949A8"/>
    <w:rsid w:val="00A959B8"/>
    <w:rsid w:val="00A9628B"/>
    <w:rsid w:val="00A96390"/>
    <w:rsid w:val="00A97BB0"/>
    <w:rsid w:val="00AA03D7"/>
    <w:rsid w:val="00AA0E6E"/>
    <w:rsid w:val="00AA196D"/>
    <w:rsid w:val="00AA220C"/>
    <w:rsid w:val="00AA31FA"/>
    <w:rsid w:val="00AA341B"/>
    <w:rsid w:val="00AA4F8E"/>
    <w:rsid w:val="00AA7115"/>
    <w:rsid w:val="00AB0220"/>
    <w:rsid w:val="00AB1D5F"/>
    <w:rsid w:val="00AB227C"/>
    <w:rsid w:val="00AB262A"/>
    <w:rsid w:val="00AB2C25"/>
    <w:rsid w:val="00AB4B48"/>
    <w:rsid w:val="00AB4FFF"/>
    <w:rsid w:val="00AB55DE"/>
    <w:rsid w:val="00AB656C"/>
    <w:rsid w:val="00AB65D2"/>
    <w:rsid w:val="00AB66B3"/>
    <w:rsid w:val="00AB6CFB"/>
    <w:rsid w:val="00AC061E"/>
    <w:rsid w:val="00AC0CBA"/>
    <w:rsid w:val="00AC28DE"/>
    <w:rsid w:val="00AC3E76"/>
    <w:rsid w:val="00AC4711"/>
    <w:rsid w:val="00AC4A36"/>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16BA"/>
    <w:rsid w:val="00AF21E6"/>
    <w:rsid w:val="00AF2BB0"/>
    <w:rsid w:val="00AF4C8C"/>
    <w:rsid w:val="00AF5288"/>
    <w:rsid w:val="00AF5D31"/>
    <w:rsid w:val="00AF6468"/>
    <w:rsid w:val="00AF655B"/>
    <w:rsid w:val="00AF75E2"/>
    <w:rsid w:val="00AF7B04"/>
    <w:rsid w:val="00B008C0"/>
    <w:rsid w:val="00B0302C"/>
    <w:rsid w:val="00B06365"/>
    <w:rsid w:val="00B1155E"/>
    <w:rsid w:val="00B1289A"/>
    <w:rsid w:val="00B12987"/>
    <w:rsid w:val="00B13340"/>
    <w:rsid w:val="00B13763"/>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6D5E"/>
    <w:rsid w:val="00B4720A"/>
    <w:rsid w:val="00B50716"/>
    <w:rsid w:val="00B50FC5"/>
    <w:rsid w:val="00B55F78"/>
    <w:rsid w:val="00B561E8"/>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841CB"/>
    <w:rsid w:val="00B905EC"/>
    <w:rsid w:val="00B90C10"/>
    <w:rsid w:val="00B919C4"/>
    <w:rsid w:val="00B91CAD"/>
    <w:rsid w:val="00B9252C"/>
    <w:rsid w:val="00B92A35"/>
    <w:rsid w:val="00B9498B"/>
    <w:rsid w:val="00B951B1"/>
    <w:rsid w:val="00B96277"/>
    <w:rsid w:val="00B979BD"/>
    <w:rsid w:val="00B97A23"/>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4B6"/>
    <w:rsid w:val="00BC6FB1"/>
    <w:rsid w:val="00BC79C0"/>
    <w:rsid w:val="00BD1D37"/>
    <w:rsid w:val="00BD212B"/>
    <w:rsid w:val="00BD42DB"/>
    <w:rsid w:val="00BD6245"/>
    <w:rsid w:val="00BD7E53"/>
    <w:rsid w:val="00BE1049"/>
    <w:rsid w:val="00BE17A9"/>
    <w:rsid w:val="00BE231E"/>
    <w:rsid w:val="00BE407A"/>
    <w:rsid w:val="00BF1413"/>
    <w:rsid w:val="00BF19C4"/>
    <w:rsid w:val="00BF3BAD"/>
    <w:rsid w:val="00BF3CBD"/>
    <w:rsid w:val="00BF3EBA"/>
    <w:rsid w:val="00BF411A"/>
    <w:rsid w:val="00BF423A"/>
    <w:rsid w:val="00BF4C2E"/>
    <w:rsid w:val="00C00B5F"/>
    <w:rsid w:val="00C00D58"/>
    <w:rsid w:val="00C02A15"/>
    <w:rsid w:val="00C02C4F"/>
    <w:rsid w:val="00C0327F"/>
    <w:rsid w:val="00C0387E"/>
    <w:rsid w:val="00C14E21"/>
    <w:rsid w:val="00C1747F"/>
    <w:rsid w:val="00C17DA2"/>
    <w:rsid w:val="00C204A9"/>
    <w:rsid w:val="00C20E79"/>
    <w:rsid w:val="00C226E8"/>
    <w:rsid w:val="00C233B8"/>
    <w:rsid w:val="00C25BEE"/>
    <w:rsid w:val="00C26F1C"/>
    <w:rsid w:val="00C3280C"/>
    <w:rsid w:val="00C356C1"/>
    <w:rsid w:val="00C35B96"/>
    <w:rsid w:val="00C35E26"/>
    <w:rsid w:val="00C36C28"/>
    <w:rsid w:val="00C3701E"/>
    <w:rsid w:val="00C4233A"/>
    <w:rsid w:val="00C44DC2"/>
    <w:rsid w:val="00C50014"/>
    <w:rsid w:val="00C50E68"/>
    <w:rsid w:val="00C5443A"/>
    <w:rsid w:val="00C55E90"/>
    <w:rsid w:val="00C566E0"/>
    <w:rsid w:val="00C569A3"/>
    <w:rsid w:val="00C57598"/>
    <w:rsid w:val="00C60FF1"/>
    <w:rsid w:val="00C613B7"/>
    <w:rsid w:val="00C61512"/>
    <w:rsid w:val="00C61ED0"/>
    <w:rsid w:val="00C644A6"/>
    <w:rsid w:val="00C64CE8"/>
    <w:rsid w:val="00C657A9"/>
    <w:rsid w:val="00C65E9D"/>
    <w:rsid w:val="00C67D1A"/>
    <w:rsid w:val="00C704B7"/>
    <w:rsid w:val="00C71D94"/>
    <w:rsid w:val="00C72D72"/>
    <w:rsid w:val="00C73155"/>
    <w:rsid w:val="00C74119"/>
    <w:rsid w:val="00C7447E"/>
    <w:rsid w:val="00C74C5F"/>
    <w:rsid w:val="00C74CB3"/>
    <w:rsid w:val="00C75B3B"/>
    <w:rsid w:val="00C76852"/>
    <w:rsid w:val="00C7767B"/>
    <w:rsid w:val="00C77D9C"/>
    <w:rsid w:val="00C801A6"/>
    <w:rsid w:val="00C81EC7"/>
    <w:rsid w:val="00C82F23"/>
    <w:rsid w:val="00C847AF"/>
    <w:rsid w:val="00C860DD"/>
    <w:rsid w:val="00C8752E"/>
    <w:rsid w:val="00C901B4"/>
    <w:rsid w:val="00C92206"/>
    <w:rsid w:val="00C92F49"/>
    <w:rsid w:val="00C944BE"/>
    <w:rsid w:val="00C959C7"/>
    <w:rsid w:val="00CA2595"/>
    <w:rsid w:val="00CA3052"/>
    <w:rsid w:val="00CA3130"/>
    <w:rsid w:val="00CA3806"/>
    <w:rsid w:val="00CA69F1"/>
    <w:rsid w:val="00CB0B3E"/>
    <w:rsid w:val="00CB128E"/>
    <w:rsid w:val="00CB14F9"/>
    <w:rsid w:val="00CB1680"/>
    <w:rsid w:val="00CB3318"/>
    <w:rsid w:val="00CB4C8B"/>
    <w:rsid w:val="00CB5417"/>
    <w:rsid w:val="00CB6C6D"/>
    <w:rsid w:val="00CC05D0"/>
    <w:rsid w:val="00CC2078"/>
    <w:rsid w:val="00CC5CB2"/>
    <w:rsid w:val="00CC7686"/>
    <w:rsid w:val="00CD10B1"/>
    <w:rsid w:val="00CD13CF"/>
    <w:rsid w:val="00CD38F0"/>
    <w:rsid w:val="00CD3EE5"/>
    <w:rsid w:val="00CD4D5D"/>
    <w:rsid w:val="00CD5018"/>
    <w:rsid w:val="00CD55F2"/>
    <w:rsid w:val="00CD7168"/>
    <w:rsid w:val="00CE0116"/>
    <w:rsid w:val="00CE0AE1"/>
    <w:rsid w:val="00CE0E02"/>
    <w:rsid w:val="00CE285C"/>
    <w:rsid w:val="00CE2942"/>
    <w:rsid w:val="00CE43E0"/>
    <w:rsid w:val="00CE44DA"/>
    <w:rsid w:val="00CE5D7B"/>
    <w:rsid w:val="00CF09E4"/>
    <w:rsid w:val="00CF0F7A"/>
    <w:rsid w:val="00CF199D"/>
    <w:rsid w:val="00CF53F5"/>
    <w:rsid w:val="00CF5885"/>
    <w:rsid w:val="00CF7A5C"/>
    <w:rsid w:val="00CF7B6A"/>
    <w:rsid w:val="00CF7DAD"/>
    <w:rsid w:val="00D01126"/>
    <w:rsid w:val="00D012D3"/>
    <w:rsid w:val="00D02587"/>
    <w:rsid w:val="00D03382"/>
    <w:rsid w:val="00D038AC"/>
    <w:rsid w:val="00D056A2"/>
    <w:rsid w:val="00D10BD3"/>
    <w:rsid w:val="00D12A9F"/>
    <w:rsid w:val="00D16593"/>
    <w:rsid w:val="00D178E0"/>
    <w:rsid w:val="00D20C5C"/>
    <w:rsid w:val="00D21E06"/>
    <w:rsid w:val="00D23214"/>
    <w:rsid w:val="00D25CBA"/>
    <w:rsid w:val="00D25E4D"/>
    <w:rsid w:val="00D26A0C"/>
    <w:rsid w:val="00D2700C"/>
    <w:rsid w:val="00D32B32"/>
    <w:rsid w:val="00D336B8"/>
    <w:rsid w:val="00D34691"/>
    <w:rsid w:val="00D353B7"/>
    <w:rsid w:val="00D363FE"/>
    <w:rsid w:val="00D37365"/>
    <w:rsid w:val="00D3778B"/>
    <w:rsid w:val="00D37F0C"/>
    <w:rsid w:val="00D4133C"/>
    <w:rsid w:val="00D42A06"/>
    <w:rsid w:val="00D440C9"/>
    <w:rsid w:val="00D44A45"/>
    <w:rsid w:val="00D47B67"/>
    <w:rsid w:val="00D5114F"/>
    <w:rsid w:val="00D53351"/>
    <w:rsid w:val="00D53F84"/>
    <w:rsid w:val="00D56944"/>
    <w:rsid w:val="00D56954"/>
    <w:rsid w:val="00D62E47"/>
    <w:rsid w:val="00D70A58"/>
    <w:rsid w:val="00D7211C"/>
    <w:rsid w:val="00D74BF3"/>
    <w:rsid w:val="00D74C4C"/>
    <w:rsid w:val="00D754D8"/>
    <w:rsid w:val="00D75C1C"/>
    <w:rsid w:val="00D80252"/>
    <w:rsid w:val="00D8251C"/>
    <w:rsid w:val="00D82A24"/>
    <w:rsid w:val="00D82DB4"/>
    <w:rsid w:val="00D83B95"/>
    <w:rsid w:val="00D846CA"/>
    <w:rsid w:val="00D84A3C"/>
    <w:rsid w:val="00D92179"/>
    <w:rsid w:val="00D94567"/>
    <w:rsid w:val="00D95BA7"/>
    <w:rsid w:val="00D9647E"/>
    <w:rsid w:val="00DA5C32"/>
    <w:rsid w:val="00DA6D7B"/>
    <w:rsid w:val="00DA770E"/>
    <w:rsid w:val="00DB0BF5"/>
    <w:rsid w:val="00DB0CEC"/>
    <w:rsid w:val="00DB1185"/>
    <w:rsid w:val="00DB3C6E"/>
    <w:rsid w:val="00DB3D51"/>
    <w:rsid w:val="00DB4281"/>
    <w:rsid w:val="00DB7133"/>
    <w:rsid w:val="00DC0208"/>
    <w:rsid w:val="00DC465C"/>
    <w:rsid w:val="00DC4F6F"/>
    <w:rsid w:val="00DC5BEC"/>
    <w:rsid w:val="00DC6E1E"/>
    <w:rsid w:val="00DD4043"/>
    <w:rsid w:val="00DD4374"/>
    <w:rsid w:val="00DD6502"/>
    <w:rsid w:val="00DD6E07"/>
    <w:rsid w:val="00DD714C"/>
    <w:rsid w:val="00DE0CDD"/>
    <w:rsid w:val="00DE1254"/>
    <w:rsid w:val="00DE29D7"/>
    <w:rsid w:val="00DE3681"/>
    <w:rsid w:val="00DE4B4B"/>
    <w:rsid w:val="00DE4B85"/>
    <w:rsid w:val="00DF55DF"/>
    <w:rsid w:val="00DF5A32"/>
    <w:rsid w:val="00DF61D8"/>
    <w:rsid w:val="00E0083E"/>
    <w:rsid w:val="00E024D2"/>
    <w:rsid w:val="00E030C9"/>
    <w:rsid w:val="00E03658"/>
    <w:rsid w:val="00E05439"/>
    <w:rsid w:val="00E05F1D"/>
    <w:rsid w:val="00E10534"/>
    <w:rsid w:val="00E10E97"/>
    <w:rsid w:val="00E11FF7"/>
    <w:rsid w:val="00E13CFC"/>
    <w:rsid w:val="00E14310"/>
    <w:rsid w:val="00E20D35"/>
    <w:rsid w:val="00E22084"/>
    <w:rsid w:val="00E22767"/>
    <w:rsid w:val="00E245A6"/>
    <w:rsid w:val="00E25C2D"/>
    <w:rsid w:val="00E2791D"/>
    <w:rsid w:val="00E32A1D"/>
    <w:rsid w:val="00E33788"/>
    <w:rsid w:val="00E3410E"/>
    <w:rsid w:val="00E369F8"/>
    <w:rsid w:val="00E4045B"/>
    <w:rsid w:val="00E41D60"/>
    <w:rsid w:val="00E420B0"/>
    <w:rsid w:val="00E42A3E"/>
    <w:rsid w:val="00E450B0"/>
    <w:rsid w:val="00E45642"/>
    <w:rsid w:val="00E50B0C"/>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76CE2"/>
    <w:rsid w:val="00E8003D"/>
    <w:rsid w:val="00E83567"/>
    <w:rsid w:val="00E84FBC"/>
    <w:rsid w:val="00E8578F"/>
    <w:rsid w:val="00E876BF"/>
    <w:rsid w:val="00E90397"/>
    <w:rsid w:val="00E90BDB"/>
    <w:rsid w:val="00E9160D"/>
    <w:rsid w:val="00E91B23"/>
    <w:rsid w:val="00E92407"/>
    <w:rsid w:val="00E9262A"/>
    <w:rsid w:val="00E927E9"/>
    <w:rsid w:val="00EA0A6E"/>
    <w:rsid w:val="00EA3CBF"/>
    <w:rsid w:val="00EA6A93"/>
    <w:rsid w:val="00EB1275"/>
    <w:rsid w:val="00EB306D"/>
    <w:rsid w:val="00EB3DA4"/>
    <w:rsid w:val="00EB512C"/>
    <w:rsid w:val="00EB5CE0"/>
    <w:rsid w:val="00EB6DB1"/>
    <w:rsid w:val="00EB7976"/>
    <w:rsid w:val="00EC1B98"/>
    <w:rsid w:val="00EC212C"/>
    <w:rsid w:val="00EC3A14"/>
    <w:rsid w:val="00EC6507"/>
    <w:rsid w:val="00ED08E0"/>
    <w:rsid w:val="00ED0A35"/>
    <w:rsid w:val="00ED0E52"/>
    <w:rsid w:val="00ED208B"/>
    <w:rsid w:val="00ED3242"/>
    <w:rsid w:val="00ED3ECF"/>
    <w:rsid w:val="00ED6D4F"/>
    <w:rsid w:val="00EE2602"/>
    <w:rsid w:val="00EE277D"/>
    <w:rsid w:val="00EE2DA4"/>
    <w:rsid w:val="00EE3490"/>
    <w:rsid w:val="00EE3CAE"/>
    <w:rsid w:val="00EE4132"/>
    <w:rsid w:val="00EE6DC8"/>
    <w:rsid w:val="00EE7827"/>
    <w:rsid w:val="00EF0368"/>
    <w:rsid w:val="00EF1231"/>
    <w:rsid w:val="00EF14C7"/>
    <w:rsid w:val="00EF5B11"/>
    <w:rsid w:val="00F00060"/>
    <w:rsid w:val="00F000D3"/>
    <w:rsid w:val="00F015C6"/>
    <w:rsid w:val="00F04B56"/>
    <w:rsid w:val="00F072DE"/>
    <w:rsid w:val="00F07323"/>
    <w:rsid w:val="00F0772F"/>
    <w:rsid w:val="00F10B2A"/>
    <w:rsid w:val="00F10E1E"/>
    <w:rsid w:val="00F1110B"/>
    <w:rsid w:val="00F1392B"/>
    <w:rsid w:val="00F15160"/>
    <w:rsid w:val="00F16205"/>
    <w:rsid w:val="00F1633B"/>
    <w:rsid w:val="00F16804"/>
    <w:rsid w:val="00F172D8"/>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325"/>
    <w:rsid w:val="00F4664B"/>
    <w:rsid w:val="00F468FE"/>
    <w:rsid w:val="00F476A1"/>
    <w:rsid w:val="00F533A3"/>
    <w:rsid w:val="00F5665B"/>
    <w:rsid w:val="00F576F1"/>
    <w:rsid w:val="00F62DC9"/>
    <w:rsid w:val="00F6463B"/>
    <w:rsid w:val="00F656D5"/>
    <w:rsid w:val="00F65C1B"/>
    <w:rsid w:val="00F718BA"/>
    <w:rsid w:val="00F71D56"/>
    <w:rsid w:val="00F722CD"/>
    <w:rsid w:val="00F7526B"/>
    <w:rsid w:val="00F76011"/>
    <w:rsid w:val="00F80355"/>
    <w:rsid w:val="00F8366A"/>
    <w:rsid w:val="00F8387B"/>
    <w:rsid w:val="00F85C06"/>
    <w:rsid w:val="00F86172"/>
    <w:rsid w:val="00F87597"/>
    <w:rsid w:val="00F946AC"/>
    <w:rsid w:val="00F950A3"/>
    <w:rsid w:val="00FA0C0A"/>
    <w:rsid w:val="00FA0E10"/>
    <w:rsid w:val="00FA11A4"/>
    <w:rsid w:val="00FA27DB"/>
    <w:rsid w:val="00FA27DF"/>
    <w:rsid w:val="00FA43B4"/>
    <w:rsid w:val="00FA5C55"/>
    <w:rsid w:val="00FA6C8B"/>
    <w:rsid w:val="00FA79DC"/>
    <w:rsid w:val="00FB1A3D"/>
    <w:rsid w:val="00FB1E81"/>
    <w:rsid w:val="00FB2431"/>
    <w:rsid w:val="00FB2B55"/>
    <w:rsid w:val="00FB4C08"/>
    <w:rsid w:val="00FC0100"/>
    <w:rsid w:val="00FC0D7C"/>
    <w:rsid w:val="00FC1A5A"/>
    <w:rsid w:val="00FC2B05"/>
    <w:rsid w:val="00FC38BB"/>
    <w:rsid w:val="00FC3A1F"/>
    <w:rsid w:val="00FC7CF2"/>
    <w:rsid w:val="00FD0FBD"/>
    <w:rsid w:val="00FD243A"/>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 w:val="00FF7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73F89B7"/>
  <w15:docId w15:val="{8924388F-3B33-4797-9257-CB829DB92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47"/>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47"/>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47"/>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AA7115"/>
    <w:pPr>
      <w:numPr>
        <w:ilvl w:val="3"/>
        <w:numId w:val="47"/>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47"/>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qFormat/>
    <w:rsid w:val="00AA7115"/>
    <w:pPr>
      <w:numPr>
        <w:ilvl w:val="5"/>
        <w:numId w:val="47"/>
      </w:numPr>
      <w:outlineLvl w:val="5"/>
    </w:pPr>
  </w:style>
  <w:style w:type="paragraph" w:styleId="Heading7">
    <w:name w:val="heading 7"/>
    <w:aliases w:val="Heading 7 (Do Not Use),Heading 7(unused),Legal Level 1.1.,L2 PIP,Lev 7,H7DO NOT USE,PA Appendix Major,TSOL 6th Level X.1.1.1.1,Blank 3,Appendix Major"/>
    <w:basedOn w:val="HouseStyleBase"/>
    <w:link w:val="Heading7Char"/>
    <w:qFormat/>
    <w:rsid w:val="00AA7115"/>
    <w:pPr>
      <w:numPr>
        <w:ilvl w:val="6"/>
        <w:numId w:val="47"/>
      </w:numPr>
      <w:outlineLvl w:val="6"/>
    </w:pPr>
  </w:style>
  <w:style w:type="paragraph" w:styleId="Heading8">
    <w:name w:val="heading 8"/>
    <w:aliases w:val="Heading 8 (Do Not Use),Legal Level 1.1.1.,Lev 8,h8 DO NOT USE,PA Appendix Minor,TSOL 7th Level X.1.1.1.1.1,Blank 4,h8,Appendix Minor"/>
    <w:basedOn w:val="HouseStyleBase"/>
    <w:link w:val="Heading8Char"/>
    <w:uiPriority w:val="99"/>
    <w:qFormat/>
    <w:rsid w:val="00AA7115"/>
    <w:pPr>
      <w:numPr>
        <w:ilvl w:val="7"/>
        <w:numId w:val="47"/>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4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22"/>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character" w:customStyle="1" w:styleId="apple-converted-space">
    <w:name w:val="apple-converted-space"/>
    <w:basedOn w:val="DefaultParagraphFont"/>
    <w:rsid w:val="00FD2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504831">
      <w:bodyDiv w:val="1"/>
      <w:marLeft w:val="0"/>
      <w:marRight w:val="0"/>
      <w:marTop w:val="0"/>
      <w:marBottom w:val="0"/>
      <w:divBdr>
        <w:top w:val="none" w:sz="0" w:space="0" w:color="auto"/>
        <w:left w:val="none" w:sz="0" w:space="0" w:color="auto"/>
        <w:bottom w:val="none" w:sz="0" w:space="0" w:color="auto"/>
        <w:right w:val="none" w:sz="0" w:space="0" w:color="auto"/>
      </w:divBdr>
    </w:div>
    <w:div w:id="1641381651">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1982735886">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gov.uk/guidance/section-251-2016-to-2017" TargetMode="External"/><Relationship Id="rId4" Type="http://schemas.openxmlformats.org/officeDocument/2006/relationships/styles" Target="styles.xml"/><Relationship Id="rId9" Type="http://schemas.openxmlformats.org/officeDocument/2006/relationships/hyperlink" Target="https://www.gov.uk/government/uploads/system/uploads/attachment_data/file/498420/HC789_Local_government_finance_report.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FEA8E-5630-4454-90A8-7E5A3C3D812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4E1CF6F-7A47-4240-B360-6ECB83835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3581</Words>
  <Characters>20413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23947</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Lewis J Evans</cp:lastModifiedBy>
  <cp:revision>8</cp:revision>
  <cp:lastPrinted>2017-08-17T13:00:00Z</cp:lastPrinted>
  <dcterms:created xsi:type="dcterms:W3CDTF">2017-10-06T13:34:00Z</dcterms:created>
  <dcterms:modified xsi:type="dcterms:W3CDTF">2017-10-09T12:38:00Z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docIndexRef">
    <vt:lpwstr>ca862de6-79ca-4f22-b11a-556d7f18dad1</vt:lpwstr>
  </property>
  <property fmtid="{D5CDD505-2E9C-101B-9397-08002B2CF9AE}" pid="8" name="bjSaver">
    <vt:lpwstr>LrA+UcG7E42IN0dLhjCJc3Y6Xi7ojcQB</vt:lpwstr>
  </property>
  <property fmtid="{D5CDD505-2E9C-101B-9397-08002B2CF9AE}" pid="9" name="bjDocumentSecurityLabel">
    <vt:lpwstr>No Marking</vt:lpwstr>
  </property>
</Properties>
</file>