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80" w:rsidRPr="00FE52A9" w:rsidRDefault="00605A02" w:rsidP="00FE52A9">
      <w:pPr>
        <w:pStyle w:val="Heading1"/>
      </w:pPr>
      <w:r w:rsidRPr="002809A6">
        <w:t>Key changes</w:t>
      </w:r>
      <w:r w:rsidRPr="00B34D38">
        <w:t xml:space="preserve"> between the G-Cloud 11 and G-Cloud 12 Framework Agreements</w:t>
      </w:r>
    </w:p>
    <w:p w:rsidR="00186F80" w:rsidRPr="005A6CA6" w:rsidRDefault="00186F80" w:rsidP="00A24124">
      <w:pPr>
        <w:rPr>
          <w:rFonts w:eastAsia="Calibri"/>
          <w:sz w:val="24"/>
          <w:szCs w:val="24"/>
        </w:rPr>
      </w:pPr>
    </w:p>
    <w:p w:rsidR="00022D2D" w:rsidRPr="005A6CA6" w:rsidRDefault="00605A02" w:rsidP="00A24124">
      <w:pPr>
        <w:rPr>
          <w:rFonts w:eastAsia="Calibri"/>
          <w:sz w:val="24"/>
          <w:szCs w:val="24"/>
        </w:rPr>
      </w:pPr>
      <w:r w:rsidRPr="005A6CA6">
        <w:rPr>
          <w:rFonts w:eastAsia="Calibri"/>
          <w:sz w:val="24"/>
          <w:szCs w:val="24"/>
        </w:rPr>
        <w:t>Th</w:t>
      </w:r>
      <w:r w:rsidR="00003113" w:rsidRPr="005A6CA6">
        <w:rPr>
          <w:rFonts w:eastAsia="Calibri"/>
          <w:sz w:val="24"/>
          <w:szCs w:val="24"/>
        </w:rPr>
        <w:t>is</w:t>
      </w:r>
      <w:r w:rsidR="00022D2D" w:rsidRPr="005A6CA6">
        <w:rPr>
          <w:rFonts w:eastAsia="Calibri"/>
          <w:sz w:val="24"/>
          <w:szCs w:val="24"/>
        </w:rPr>
        <w:t xml:space="preserve"> document</w:t>
      </w:r>
      <w:r w:rsidRPr="005A6CA6">
        <w:rPr>
          <w:rFonts w:eastAsia="Calibri"/>
          <w:sz w:val="24"/>
          <w:szCs w:val="24"/>
        </w:rPr>
        <w:t xml:space="preserve"> sets out the key changes between the G-Cloud 11 and G-Cloud 12 Framework Agreements. It does not set-out minor changes such as numbering and the capitalisation of individual terms</w:t>
      </w:r>
      <w:r w:rsidR="00022D2D" w:rsidRPr="005A6CA6">
        <w:rPr>
          <w:rFonts w:eastAsia="Calibri"/>
          <w:sz w:val="24"/>
          <w:szCs w:val="24"/>
        </w:rPr>
        <w:t>.</w:t>
      </w:r>
      <w:r w:rsidRPr="005A6CA6">
        <w:rPr>
          <w:rFonts w:eastAsia="Calibri"/>
          <w:sz w:val="24"/>
          <w:szCs w:val="24"/>
        </w:rPr>
        <w:t xml:space="preserve"> </w:t>
      </w:r>
      <w:r w:rsidR="00022D2D" w:rsidRPr="005A6CA6">
        <w:rPr>
          <w:rFonts w:eastAsia="Calibri"/>
          <w:sz w:val="24"/>
          <w:szCs w:val="24"/>
        </w:rPr>
        <w:t>A</w:t>
      </w:r>
      <w:r w:rsidRPr="005A6CA6">
        <w:rPr>
          <w:rFonts w:eastAsia="Calibri"/>
          <w:sz w:val="24"/>
          <w:szCs w:val="24"/>
        </w:rPr>
        <w:t>ll existing and new capitalised terms are defined under Framework Agreement Schedule 3</w:t>
      </w:r>
      <w:r w:rsidR="00022D2D" w:rsidRPr="005A6CA6">
        <w:rPr>
          <w:rFonts w:eastAsia="Calibri"/>
          <w:sz w:val="24"/>
          <w:szCs w:val="24"/>
        </w:rPr>
        <w:t>:</w:t>
      </w:r>
      <w:r w:rsidRPr="005A6CA6">
        <w:rPr>
          <w:rFonts w:eastAsia="Calibri"/>
          <w:sz w:val="24"/>
          <w:szCs w:val="24"/>
        </w:rPr>
        <w:t xml:space="preserve"> Glossary and Interpretations. </w:t>
      </w:r>
    </w:p>
    <w:p w:rsidR="00022D2D" w:rsidRPr="005A6CA6" w:rsidRDefault="00022D2D" w:rsidP="00A24124">
      <w:pPr>
        <w:rPr>
          <w:rFonts w:eastAsia="Calibri"/>
          <w:sz w:val="24"/>
          <w:szCs w:val="24"/>
        </w:rPr>
      </w:pPr>
    </w:p>
    <w:p w:rsidR="00186F80" w:rsidRPr="005A6CA6" w:rsidRDefault="00605A02" w:rsidP="00A24124">
      <w:pPr>
        <w:rPr>
          <w:rFonts w:eastAsia="Calibri"/>
          <w:sz w:val="24"/>
          <w:szCs w:val="24"/>
        </w:rPr>
      </w:pPr>
      <w:r w:rsidRPr="005A6CA6">
        <w:rPr>
          <w:rFonts w:eastAsia="Calibri"/>
          <w:sz w:val="24"/>
          <w:szCs w:val="24"/>
        </w:rPr>
        <w:t>This is intended to be used as a guide and Applicants are recommended to complete their own checks.</w:t>
      </w:r>
    </w:p>
    <w:p w:rsidR="00186F80" w:rsidRPr="005A6CA6" w:rsidRDefault="00186F80" w:rsidP="00A24124">
      <w:pPr>
        <w:rPr>
          <w:rFonts w:eastAsia="Calibri"/>
          <w:sz w:val="24"/>
          <w:szCs w:val="24"/>
        </w:rPr>
      </w:pPr>
    </w:p>
    <w:tbl>
      <w:tblPr>
        <w:tblStyle w:val="a0"/>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5235"/>
        <w:gridCol w:w="5490"/>
      </w:tblGrid>
      <w:tr w:rsidR="00A24124" w:rsidRPr="005A6CA6">
        <w:tc>
          <w:tcPr>
            <w:tcW w:w="3225" w:type="dxa"/>
            <w:shd w:val="clear" w:color="auto" w:fill="auto"/>
            <w:tcMar>
              <w:top w:w="100" w:type="dxa"/>
              <w:left w:w="100" w:type="dxa"/>
              <w:bottom w:w="100" w:type="dxa"/>
              <w:right w:w="100" w:type="dxa"/>
            </w:tcMar>
          </w:tcPr>
          <w:p w:rsidR="005A6CA6" w:rsidRPr="005A6CA6" w:rsidRDefault="00605A02" w:rsidP="0093781D">
            <w:pPr>
              <w:widowControl w:val="0"/>
              <w:pBdr>
                <w:top w:val="nil"/>
                <w:left w:val="nil"/>
                <w:bottom w:val="nil"/>
                <w:right w:val="nil"/>
                <w:between w:val="nil"/>
              </w:pBdr>
              <w:spacing w:line="240" w:lineRule="auto"/>
              <w:rPr>
                <w:rFonts w:eastAsia="Calibri"/>
                <w:b/>
                <w:sz w:val="24"/>
                <w:szCs w:val="24"/>
                <w:highlight w:val="white"/>
              </w:rPr>
            </w:pPr>
            <w:r w:rsidRPr="005A6CA6">
              <w:rPr>
                <w:rFonts w:eastAsia="Calibri"/>
                <w:b/>
                <w:sz w:val="24"/>
                <w:szCs w:val="24"/>
                <w:highlight w:val="white"/>
              </w:rPr>
              <w:t xml:space="preserve">Place in Framework Agreement  </w:t>
            </w:r>
          </w:p>
          <w:p w:rsidR="00186F80" w:rsidRPr="005A6CA6" w:rsidRDefault="00605A02" w:rsidP="0093781D">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highlight w:val="white"/>
              </w:rPr>
              <w:t xml:space="preserve">Description of </w:t>
            </w:r>
            <w:r w:rsidR="005A6CA6" w:rsidRPr="005A6CA6">
              <w:rPr>
                <w:rFonts w:eastAsia="Calibri"/>
                <w:b/>
                <w:sz w:val="24"/>
                <w:szCs w:val="24"/>
                <w:highlight w:val="white"/>
              </w:rPr>
              <w:t>u</w:t>
            </w:r>
            <w:r w:rsidRPr="005A6CA6">
              <w:rPr>
                <w:rFonts w:eastAsia="Calibri"/>
                <w:b/>
                <w:sz w:val="24"/>
                <w:szCs w:val="24"/>
                <w:highlight w:val="white"/>
              </w:rPr>
              <w:t xml:space="preserve">pdate </w:t>
            </w:r>
          </w:p>
        </w:tc>
        <w:tc>
          <w:tcPr>
            <w:tcW w:w="5235" w:type="dxa"/>
            <w:shd w:val="clear" w:color="auto" w:fill="auto"/>
            <w:tcMar>
              <w:top w:w="100" w:type="dxa"/>
              <w:left w:w="100" w:type="dxa"/>
              <w:bottom w:w="100" w:type="dxa"/>
              <w:right w:w="100" w:type="dxa"/>
            </w:tcMar>
          </w:tcPr>
          <w:p w:rsidR="00186F80" w:rsidRPr="005A6CA6" w:rsidRDefault="00605A02" w:rsidP="0093781D">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rPr>
              <w:t>G-11 Framework Agreement</w:t>
            </w:r>
          </w:p>
        </w:tc>
        <w:tc>
          <w:tcPr>
            <w:tcW w:w="5490" w:type="dxa"/>
            <w:shd w:val="clear" w:color="auto" w:fill="auto"/>
            <w:tcMar>
              <w:top w:w="100" w:type="dxa"/>
              <w:left w:w="100" w:type="dxa"/>
              <w:bottom w:w="100" w:type="dxa"/>
              <w:right w:w="100" w:type="dxa"/>
            </w:tcMar>
          </w:tcPr>
          <w:p w:rsidR="00186F80" w:rsidRPr="005A6CA6" w:rsidRDefault="00605A02" w:rsidP="0093781D">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rPr>
              <w:t>G-12 Framework Agreement</w:t>
            </w:r>
          </w:p>
        </w:tc>
      </w:tr>
      <w:tr w:rsidR="008B144D" w:rsidRPr="005A6CA6">
        <w:tc>
          <w:tcPr>
            <w:tcW w:w="3225" w:type="dxa"/>
            <w:shd w:val="clear" w:color="auto" w:fill="auto"/>
            <w:tcMar>
              <w:top w:w="100" w:type="dxa"/>
              <w:left w:w="100" w:type="dxa"/>
              <w:bottom w:w="100" w:type="dxa"/>
              <w:right w:w="100" w:type="dxa"/>
            </w:tcMar>
          </w:tcPr>
          <w:p w:rsidR="008B144D" w:rsidRPr="008B144D" w:rsidRDefault="008B144D" w:rsidP="0093781D">
            <w:pPr>
              <w:keepNext/>
              <w:keepLines/>
              <w:widowControl w:val="0"/>
              <w:spacing w:line="240" w:lineRule="auto"/>
              <w:outlineLvl w:val="2"/>
              <w:rPr>
                <w:rFonts w:eastAsia="Times New Roman"/>
                <w:color w:val="000000"/>
                <w:sz w:val="24"/>
                <w:szCs w:val="24"/>
              </w:rPr>
            </w:pPr>
            <w:r w:rsidRPr="00DF3B51">
              <w:rPr>
                <w:rFonts w:eastAsia="Times New Roman"/>
                <w:color w:val="000000"/>
                <w:sz w:val="20"/>
                <w:szCs w:val="20"/>
              </w:rPr>
              <w:lastRenderedPageBreak/>
              <w:t>Framework Agreement Clause 4.9</w:t>
            </w:r>
          </w:p>
        </w:tc>
        <w:tc>
          <w:tcPr>
            <w:tcW w:w="5235" w:type="dxa"/>
            <w:shd w:val="clear" w:color="auto" w:fill="auto"/>
            <w:tcMar>
              <w:top w:w="100" w:type="dxa"/>
              <w:left w:w="100" w:type="dxa"/>
              <w:bottom w:w="100" w:type="dxa"/>
              <w:right w:w="100" w:type="dxa"/>
            </w:tcMar>
          </w:tcPr>
          <w:p w:rsidR="008B144D" w:rsidRPr="0093781D" w:rsidRDefault="008B144D" w:rsidP="0093781D">
            <w:pPr>
              <w:widowControl w:val="0"/>
              <w:pBdr>
                <w:top w:val="nil"/>
                <w:left w:val="nil"/>
                <w:bottom w:val="nil"/>
                <w:right w:val="nil"/>
                <w:between w:val="nil"/>
              </w:pBdr>
              <w:tabs>
                <w:tab w:val="left" w:pos="850"/>
              </w:tabs>
              <w:spacing w:line="267" w:lineRule="auto"/>
              <w:ind w:right="191"/>
              <w:rPr>
                <w:rFonts w:eastAsia="Calibri"/>
                <w:color w:val="000000"/>
                <w:sz w:val="24"/>
                <w:szCs w:val="24"/>
                <w:lang w:val="en-US"/>
              </w:rPr>
            </w:pPr>
            <w:r w:rsidRPr="008B144D">
              <w:rPr>
                <w:rFonts w:eastAsia="Helvetica Neue"/>
                <w:color w:val="000000"/>
                <w:sz w:val="24"/>
                <w:szCs w:val="24"/>
                <w:lang w:val="en-US"/>
              </w:rPr>
              <w:t>Subject to any liabilities which can’t be limited by Law under clause 4.2,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tc>
        <w:tc>
          <w:tcPr>
            <w:tcW w:w="5490" w:type="dxa"/>
            <w:shd w:val="clear" w:color="auto" w:fill="auto"/>
            <w:tcMar>
              <w:top w:w="100" w:type="dxa"/>
              <w:left w:w="100" w:type="dxa"/>
              <w:bottom w:w="100" w:type="dxa"/>
              <w:right w:w="100" w:type="dxa"/>
            </w:tcMar>
          </w:tcPr>
          <w:p w:rsidR="008B144D" w:rsidRPr="008B144D" w:rsidRDefault="008B144D" w:rsidP="0093781D">
            <w:pPr>
              <w:spacing w:line="240" w:lineRule="auto"/>
              <w:rPr>
                <w:rFonts w:eastAsia="Times New Roman"/>
                <w:sz w:val="24"/>
                <w:szCs w:val="24"/>
              </w:rPr>
            </w:pPr>
            <w:r w:rsidRPr="008B144D">
              <w:rPr>
                <w:rFonts w:eastAsia="Times New Roman"/>
                <w:color w:val="000000"/>
                <w:sz w:val="24"/>
                <w:szCs w:val="24"/>
              </w:rPr>
              <w:t>Subject to any liabilities which can’t be limited</w:t>
            </w:r>
            <w:r w:rsidRPr="008B144D">
              <w:rPr>
                <w:rFonts w:eastAsia="Times New Roman"/>
                <w:b/>
                <w:bCs/>
                <w:color w:val="000000"/>
                <w:sz w:val="24"/>
                <w:szCs w:val="24"/>
              </w:rPr>
              <w:t xml:space="preserve"> </w:t>
            </w:r>
            <w:proofErr w:type="spellStart"/>
            <w:r w:rsidRPr="008B144D">
              <w:rPr>
                <w:rFonts w:eastAsia="Times New Roman"/>
                <w:b/>
                <w:bCs/>
                <w:color w:val="000000"/>
                <w:sz w:val="24"/>
                <w:szCs w:val="24"/>
              </w:rPr>
              <w:t>i</w:t>
            </w:r>
            <w:proofErr w:type="spellEnd"/>
            <w:r w:rsidRPr="008B144D">
              <w:rPr>
                <w:rFonts w:eastAsia="Times New Roman"/>
                <w:b/>
                <w:bCs/>
                <w:color w:val="000000"/>
                <w:sz w:val="24"/>
                <w:szCs w:val="24"/>
              </w:rPr>
              <w:t xml:space="preserve">.) </w:t>
            </w:r>
            <w:proofErr w:type="gramStart"/>
            <w:r w:rsidRPr="008B144D">
              <w:rPr>
                <w:rFonts w:eastAsia="Times New Roman"/>
                <w:color w:val="000000"/>
                <w:sz w:val="24"/>
                <w:szCs w:val="24"/>
              </w:rPr>
              <w:t>by</w:t>
            </w:r>
            <w:proofErr w:type="gramEnd"/>
            <w:r w:rsidRPr="008B144D">
              <w:rPr>
                <w:rFonts w:eastAsia="Times New Roman"/>
                <w:color w:val="000000"/>
                <w:sz w:val="24"/>
                <w:szCs w:val="24"/>
              </w:rPr>
              <w:t xml:space="preserve"> Law under clause 4.2.4 </w:t>
            </w:r>
            <w:r w:rsidRPr="008B144D">
              <w:rPr>
                <w:rFonts w:eastAsia="Times New Roman"/>
                <w:b/>
                <w:bCs/>
                <w:color w:val="000000"/>
                <w:sz w:val="24"/>
                <w:szCs w:val="24"/>
              </w:rPr>
              <w:t>or ii.) clause 4.9</w:t>
            </w:r>
            <w:r w:rsidRPr="008B144D">
              <w:rPr>
                <w:rFonts w:eastAsia="Times New Roman"/>
                <w:color w:val="000000"/>
                <w:sz w:val="24"/>
                <w:szCs w:val="24"/>
              </w:rPr>
              <w:t>,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tc>
      </w:tr>
      <w:tr w:rsidR="008B144D" w:rsidRPr="005A6CA6">
        <w:tc>
          <w:tcPr>
            <w:tcW w:w="3225" w:type="dxa"/>
            <w:shd w:val="clear" w:color="auto" w:fill="auto"/>
            <w:tcMar>
              <w:top w:w="100" w:type="dxa"/>
              <w:left w:w="100" w:type="dxa"/>
              <w:bottom w:w="100" w:type="dxa"/>
              <w:right w:w="100" w:type="dxa"/>
            </w:tcMar>
          </w:tcPr>
          <w:p w:rsidR="008B144D" w:rsidRPr="00D565BE" w:rsidRDefault="008B144D" w:rsidP="008B144D">
            <w:pPr>
              <w:keepNext/>
              <w:keepLines/>
              <w:widowControl w:val="0"/>
              <w:spacing w:before="40" w:line="240" w:lineRule="auto"/>
              <w:outlineLvl w:val="2"/>
              <w:rPr>
                <w:rFonts w:eastAsia="Times New Roman"/>
                <w:color w:val="000000"/>
                <w:sz w:val="24"/>
                <w:szCs w:val="24"/>
              </w:rPr>
            </w:pPr>
            <w:r w:rsidRPr="00D565BE">
              <w:rPr>
                <w:rFonts w:eastAsia="Times New Roman"/>
                <w:color w:val="000000"/>
                <w:sz w:val="24"/>
                <w:szCs w:val="24"/>
              </w:rPr>
              <w:t>Framework Agreement Clause 5.1.7</w:t>
            </w:r>
          </w:p>
        </w:tc>
        <w:tc>
          <w:tcPr>
            <w:tcW w:w="5235" w:type="dxa"/>
            <w:shd w:val="clear" w:color="auto" w:fill="auto"/>
            <w:tcMar>
              <w:top w:w="100" w:type="dxa"/>
              <w:left w:w="100" w:type="dxa"/>
              <w:bottom w:w="100" w:type="dxa"/>
              <w:right w:w="100" w:type="dxa"/>
            </w:tcMar>
          </w:tcPr>
          <w:p w:rsidR="008B144D" w:rsidRPr="00D565BE" w:rsidRDefault="00D565BE" w:rsidP="00D565BE">
            <w:pPr>
              <w:widowControl w:val="0"/>
              <w:pBdr>
                <w:top w:val="nil"/>
                <w:left w:val="nil"/>
                <w:bottom w:val="nil"/>
                <w:right w:val="nil"/>
                <w:between w:val="nil"/>
              </w:pBdr>
              <w:spacing w:before="280" w:after="120" w:line="480" w:lineRule="auto"/>
              <w:jc w:val="both"/>
              <w:rPr>
                <w:rFonts w:eastAsia="Helvetica Neue"/>
                <w:sz w:val="24"/>
                <w:szCs w:val="24"/>
                <w:lang w:val="en-US"/>
              </w:rPr>
            </w:pPr>
            <w:r>
              <w:rPr>
                <w:rFonts w:eastAsia="Times New Roman"/>
                <w:color w:val="0B0C0C"/>
                <w:sz w:val="24"/>
                <w:szCs w:val="24"/>
                <w:shd w:val="clear" w:color="auto" w:fill="FFFFFF"/>
              </w:rPr>
              <w:t>“</w:t>
            </w:r>
            <w:r w:rsidRPr="00D565BE">
              <w:rPr>
                <w:rFonts w:eastAsia="Times New Roman"/>
                <w:color w:val="0B0C0C"/>
                <w:sz w:val="24"/>
                <w:szCs w:val="24"/>
                <w:shd w:val="clear" w:color="auto" w:fill="FFFFFF"/>
              </w:rPr>
              <w:t>proven” removed</w:t>
            </w:r>
          </w:p>
        </w:tc>
        <w:tc>
          <w:tcPr>
            <w:tcW w:w="5490" w:type="dxa"/>
            <w:shd w:val="clear" w:color="auto" w:fill="auto"/>
            <w:tcMar>
              <w:top w:w="100" w:type="dxa"/>
              <w:left w:w="100" w:type="dxa"/>
              <w:bottom w:w="100" w:type="dxa"/>
              <w:right w:w="100" w:type="dxa"/>
            </w:tcMar>
          </w:tcPr>
          <w:p w:rsidR="008B144D" w:rsidRDefault="008B144D" w:rsidP="008B144D">
            <w:pPr>
              <w:widowControl w:val="0"/>
              <w:spacing w:line="240" w:lineRule="auto"/>
            </w:pPr>
            <w:proofErr w:type="gramStart"/>
            <w:r>
              <w:t>where</w:t>
            </w:r>
            <w:proofErr w:type="gramEnd"/>
            <w:r>
              <w:t xml:space="preserve"> any Buyer terminates a Call-Off Contract awarded to the Supplier under this Framework Agreement as a consequence of default by the Supplier.</w:t>
            </w:r>
          </w:p>
        </w:tc>
      </w:tr>
      <w:tr w:rsidR="008B144D" w:rsidRPr="005A6CA6">
        <w:tc>
          <w:tcPr>
            <w:tcW w:w="3225" w:type="dxa"/>
            <w:shd w:val="clear" w:color="auto" w:fill="auto"/>
            <w:tcMar>
              <w:top w:w="100" w:type="dxa"/>
              <w:left w:w="100" w:type="dxa"/>
              <w:bottom w:w="100" w:type="dxa"/>
              <w:right w:w="100" w:type="dxa"/>
            </w:tcMar>
          </w:tcPr>
          <w:p w:rsidR="008B144D" w:rsidRPr="008B144D" w:rsidRDefault="008B144D" w:rsidP="008B144D">
            <w:pPr>
              <w:keepNext/>
              <w:keepLines/>
              <w:widowControl w:val="0"/>
              <w:spacing w:before="40" w:line="240" w:lineRule="auto"/>
              <w:outlineLvl w:val="2"/>
              <w:rPr>
                <w:rFonts w:eastAsia="Helvetica Neue"/>
                <w:sz w:val="24"/>
                <w:szCs w:val="24"/>
              </w:rPr>
            </w:pPr>
            <w:r w:rsidRPr="008B144D">
              <w:rPr>
                <w:rFonts w:eastAsia="Times New Roman"/>
                <w:color w:val="000000"/>
                <w:sz w:val="24"/>
                <w:szCs w:val="24"/>
              </w:rPr>
              <w:t>Framework Agreement Schedule 4</w:t>
            </w:r>
          </w:p>
        </w:tc>
        <w:tc>
          <w:tcPr>
            <w:tcW w:w="5235" w:type="dxa"/>
            <w:shd w:val="clear" w:color="auto" w:fill="auto"/>
            <w:tcMar>
              <w:top w:w="100" w:type="dxa"/>
              <w:left w:w="100" w:type="dxa"/>
              <w:bottom w:w="100" w:type="dxa"/>
              <w:right w:w="100" w:type="dxa"/>
            </w:tcMar>
          </w:tcPr>
          <w:p w:rsidR="008B144D" w:rsidRPr="0093781D" w:rsidRDefault="008B144D" w:rsidP="0093781D">
            <w:pPr>
              <w:widowControl w:val="0"/>
              <w:pBdr>
                <w:top w:val="nil"/>
                <w:left w:val="nil"/>
                <w:bottom w:val="nil"/>
                <w:right w:val="nil"/>
                <w:between w:val="nil"/>
              </w:pBdr>
              <w:spacing w:before="280" w:after="120" w:line="240" w:lineRule="auto"/>
              <w:jc w:val="both"/>
              <w:rPr>
                <w:rFonts w:eastAsia="Helvetica Neue"/>
                <w:sz w:val="24"/>
                <w:szCs w:val="24"/>
                <w:lang w:val="en-US"/>
              </w:rPr>
            </w:pPr>
            <w:r w:rsidRPr="00C27AE0">
              <w:rPr>
                <w:rFonts w:eastAsia="Helvetica Neue"/>
                <w:sz w:val="24"/>
                <w:szCs w:val="24"/>
                <w:lang w:val="en-US"/>
              </w:rPr>
              <w:t xml:space="preserve">Where a Party has provided Personal Data to the other Party in accordance with paragraph </w:t>
            </w:r>
            <w:r w:rsidRPr="00C27AE0">
              <w:rPr>
                <w:rFonts w:eastAsia="Helvetica Neue"/>
                <w:b/>
                <w:sz w:val="24"/>
                <w:szCs w:val="24"/>
                <w:lang w:val="en-US"/>
              </w:rPr>
              <w:t>7</w:t>
            </w:r>
            <w:r w:rsidRPr="00C27AE0">
              <w:rPr>
                <w:rFonts w:eastAsia="Helvetica Neue"/>
                <w:sz w:val="24"/>
                <w:szCs w:val="24"/>
                <w:lang w:val="en-US"/>
              </w:rPr>
              <w:t xml:space="preserve"> of this Framework Agreement Schedule 4 above, the recipient of the Personal Data will provide all such relevant documents and information relating to its data protection policies and procedures as the other Party may reasonably require.</w:t>
            </w:r>
            <w:bookmarkStart w:id="0" w:name="_GoBack"/>
            <w:bookmarkEnd w:id="0"/>
          </w:p>
        </w:tc>
        <w:tc>
          <w:tcPr>
            <w:tcW w:w="5490" w:type="dxa"/>
            <w:shd w:val="clear" w:color="auto" w:fill="auto"/>
            <w:tcMar>
              <w:top w:w="100" w:type="dxa"/>
              <w:left w:w="100" w:type="dxa"/>
              <w:bottom w:w="100" w:type="dxa"/>
              <w:right w:w="100" w:type="dxa"/>
            </w:tcMar>
          </w:tcPr>
          <w:p w:rsidR="008B144D" w:rsidRPr="003C5757" w:rsidRDefault="008B144D" w:rsidP="008B144D">
            <w:pPr>
              <w:widowControl w:val="0"/>
              <w:spacing w:line="240" w:lineRule="auto"/>
              <w:rPr>
                <w:rFonts w:eastAsia="Helvetica Neue"/>
              </w:rPr>
            </w:pPr>
            <w:r>
              <w:t xml:space="preserve">Where a Party has provided Personal Data to the other Party in accordance with paragraph </w:t>
            </w:r>
            <w:r w:rsidRPr="008B144D">
              <w:rPr>
                <w:b/>
              </w:rPr>
              <w:t>17</w:t>
            </w:r>
            <w:r>
              <w:t xml:space="preserve"> of this Framework Agreement Schedule 4 above, the recipient of the Personal Data will provide all such relevant documents and information relating to its data protection policies and procedures as the other Party may reasonably require.</w:t>
            </w:r>
          </w:p>
        </w:tc>
      </w:tr>
      <w:tr w:rsidR="008B144D" w:rsidRPr="005A6CA6">
        <w:tc>
          <w:tcPr>
            <w:tcW w:w="3225" w:type="dxa"/>
            <w:shd w:val="clear" w:color="auto" w:fill="auto"/>
            <w:tcMar>
              <w:top w:w="100" w:type="dxa"/>
              <w:left w:w="100" w:type="dxa"/>
              <w:bottom w:w="100" w:type="dxa"/>
              <w:right w:w="100" w:type="dxa"/>
            </w:tcMar>
          </w:tcPr>
          <w:p w:rsidR="008B144D" w:rsidRPr="00C27AE0" w:rsidRDefault="008B144D" w:rsidP="008B144D">
            <w:pPr>
              <w:keepNext/>
              <w:keepLines/>
              <w:widowControl w:val="0"/>
              <w:spacing w:before="40" w:line="240" w:lineRule="auto"/>
              <w:outlineLvl w:val="2"/>
              <w:rPr>
                <w:rFonts w:eastAsia="Helvetica Neue"/>
                <w:sz w:val="24"/>
                <w:szCs w:val="24"/>
                <w:lang w:val="en-US"/>
              </w:rPr>
            </w:pPr>
            <w:r w:rsidRPr="00C27AE0">
              <w:rPr>
                <w:rFonts w:eastAsia="Helvetica Neue"/>
                <w:sz w:val="24"/>
                <w:szCs w:val="24"/>
              </w:rPr>
              <w:t>Meaning and interpretation</w:t>
            </w:r>
            <w:r>
              <w:rPr>
                <w:rFonts w:eastAsia="Helvetica Neue"/>
                <w:sz w:val="24"/>
                <w:szCs w:val="24"/>
              </w:rPr>
              <w:t xml:space="preserve"> table.</w:t>
            </w:r>
          </w:p>
        </w:tc>
        <w:tc>
          <w:tcPr>
            <w:tcW w:w="5235" w:type="dxa"/>
            <w:shd w:val="clear" w:color="auto" w:fill="auto"/>
            <w:tcMar>
              <w:top w:w="100" w:type="dxa"/>
              <w:left w:w="100" w:type="dxa"/>
              <w:bottom w:w="100" w:type="dxa"/>
              <w:right w:w="100" w:type="dxa"/>
            </w:tcMar>
          </w:tcPr>
          <w:p w:rsidR="008B144D" w:rsidRPr="00C27AE0" w:rsidRDefault="008B144D" w:rsidP="008B144D">
            <w:pPr>
              <w:widowControl w:val="0"/>
              <w:spacing w:line="240" w:lineRule="auto"/>
              <w:rPr>
                <w:rFonts w:eastAsia="Helvetica Neue"/>
                <w:color w:val="000000"/>
                <w:sz w:val="24"/>
                <w:szCs w:val="24"/>
              </w:rPr>
            </w:pPr>
            <w:r w:rsidRPr="00C27AE0">
              <w:rPr>
                <w:rFonts w:eastAsia="Helvetica Neue"/>
                <w:sz w:val="24"/>
                <w:szCs w:val="24"/>
              </w:rPr>
              <w:t xml:space="preserve">All data supplied by the </w:t>
            </w:r>
            <w:r w:rsidRPr="00C27AE0">
              <w:rPr>
                <w:rFonts w:eastAsia="Helvetica Neue"/>
                <w:b/>
                <w:sz w:val="24"/>
                <w:szCs w:val="24"/>
              </w:rPr>
              <w:t>Buyer</w:t>
            </w:r>
            <w:r w:rsidRPr="00C27AE0">
              <w:rPr>
                <w:rFonts w:eastAsia="Helvetica Neue"/>
                <w:sz w:val="24"/>
                <w:szCs w:val="24"/>
              </w:rPr>
              <w:t xml:space="preserve"> to the Supplier including Personal Data that is owned and managed by CCS.</w:t>
            </w:r>
          </w:p>
        </w:tc>
        <w:tc>
          <w:tcPr>
            <w:tcW w:w="5490" w:type="dxa"/>
            <w:shd w:val="clear" w:color="auto" w:fill="auto"/>
            <w:tcMar>
              <w:top w:w="100" w:type="dxa"/>
              <w:left w:w="100" w:type="dxa"/>
              <w:bottom w:w="100" w:type="dxa"/>
              <w:right w:w="100" w:type="dxa"/>
            </w:tcMar>
          </w:tcPr>
          <w:p w:rsidR="008B144D" w:rsidRPr="00987370" w:rsidRDefault="008B144D" w:rsidP="008B144D">
            <w:pPr>
              <w:widowControl w:val="0"/>
              <w:spacing w:line="240" w:lineRule="auto"/>
              <w:rPr>
                <w:rFonts w:eastAsia="Helvetica Neue"/>
                <w:sz w:val="24"/>
                <w:szCs w:val="24"/>
              </w:rPr>
            </w:pPr>
            <w:r w:rsidRPr="003C5757">
              <w:rPr>
                <w:rFonts w:eastAsia="Helvetica Neue"/>
              </w:rPr>
              <w:t>All data supplied by</w:t>
            </w:r>
            <w:r>
              <w:rPr>
                <w:rFonts w:eastAsia="Helvetica Neue"/>
              </w:rPr>
              <w:t xml:space="preserve"> </w:t>
            </w:r>
            <w:r w:rsidRPr="00C27AE0">
              <w:rPr>
                <w:rFonts w:eastAsia="Helvetica Neue"/>
                <w:b/>
              </w:rPr>
              <w:t>CCS</w:t>
            </w:r>
            <w:r w:rsidRPr="003C5757">
              <w:rPr>
                <w:rFonts w:eastAsia="Helvetica Neue"/>
              </w:rPr>
              <w:t xml:space="preserve"> to the Supplier including Personal Data that is owned and managed by CCS</w:t>
            </w:r>
          </w:p>
        </w:tc>
      </w:tr>
      <w:tr w:rsidR="008B144D" w:rsidRPr="005A6CA6">
        <w:tc>
          <w:tcPr>
            <w:tcW w:w="3225" w:type="dxa"/>
            <w:shd w:val="clear" w:color="auto" w:fill="auto"/>
            <w:tcMar>
              <w:top w:w="100" w:type="dxa"/>
              <w:left w:w="100" w:type="dxa"/>
              <w:bottom w:w="100" w:type="dxa"/>
              <w:right w:w="100" w:type="dxa"/>
            </w:tcMar>
          </w:tcPr>
          <w:p w:rsidR="008B144D" w:rsidRPr="00987370" w:rsidRDefault="008B144D" w:rsidP="008B144D">
            <w:pPr>
              <w:keepNext/>
              <w:keepLines/>
              <w:widowControl w:val="0"/>
              <w:spacing w:before="40" w:line="240" w:lineRule="auto"/>
              <w:outlineLvl w:val="2"/>
              <w:rPr>
                <w:rFonts w:eastAsia="Helvetica Neue"/>
                <w:sz w:val="24"/>
                <w:szCs w:val="24"/>
                <w:lang w:val="en-US"/>
              </w:rPr>
            </w:pPr>
            <w:r w:rsidRPr="00987370">
              <w:rPr>
                <w:rFonts w:eastAsia="Helvetica Neue"/>
                <w:sz w:val="24"/>
                <w:szCs w:val="24"/>
                <w:lang w:val="en-US"/>
              </w:rPr>
              <w:lastRenderedPageBreak/>
              <w:t>Key performance indicators</w:t>
            </w:r>
          </w:p>
          <w:p w:rsidR="008B144D" w:rsidRPr="005A6CA6" w:rsidRDefault="008B144D" w:rsidP="008B144D">
            <w:pPr>
              <w:widowControl w:val="0"/>
              <w:spacing w:line="240" w:lineRule="auto"/>
              <w:rPr>
                <w:rFonts w:eastAsia="Calibri"/>
                <w:sz w:val="24"/>
                <w:szCs w:val="24"/>
              </w:rPr>
            </w:pPr>
            <w:r w:rsidRPr="00987370">
              <w:rPr>
                <w:rFonts w:eastAsia="Calibri"/>
                <w:sz w:val="24"/>
                <w:szCs w:val="24"/>
              </w:rPr>
              <w:t>6.30</w:t>
            </w:r>
          </w:p>
        </w:tc>
        <w:tc>
          <w:tcPr>
            <w:tcW w:w="5235" w:type="dxa"/>
            <w:shd w:val="clear" w:color="auto" w:fill="auto"/>
            <w:tcMar>
              <w:top w:w="100" w:type="dxa"/>
              <w:left w:w="100" w:type="dxa"/>
              <w:bottom w:w="100" w:type="dxa"/>
              <w:right w:w="100" w:type="dxa"/>
            </w:tcMar>
          </w:tcPr>
          <w:p w:rsidR="008B144D" w:rsidRPr="00987370" w:rsidRDefault="008B144D" w:rsidP="008B144D">
            <w:pPr>
              <w:widowControl w:val="0"/>
              <w:spacing w:line="240" w:lineRule="auto"/>
              <w:rPr>
                <w:rFonts w:eastAsia="Calibri"/>
                <w:sz w:val="24"/>
                <w:szCs w:val="24"/>
              </w:rPr>
            </w:pPr>
            <w:r w:rsidRPr="00987370">
              <w:rPr>
                <w:rFonts w:eastAsia="Helvetica Neue"/>
                <w:color w:val="000000"/>
                <w:sz w:val="24"/>
                <w:szCs w:val="24"/>
              </w:rPr>
              <w:t>Complete and accurate MI Reports to be returned to CCS by 7th day of the following month.</w:t>
            </w:r>
          </w:p>
        </w:tc>
        <w:tc>
          <w:tcPr>
            <w:tcW w:w="5490" w:type="dxa"/>
            <w:shd w:val="clear" w:color="auto" w:fill="auto"/>
            <w:tcMar>
              <w:top w:w="100" w:type="dxa"/>
              <w:left w:w="100" w:type="dxa"/>
              <w:bottom w:w="100" w:type="dxa"/>
              <w:right w:w="100" w:type="dxa"/>
            </w:tcMar>
          </w:tcPr>
          <w:p w:rsidR="008B144D" w:rsidRPr="00987370" w:rsidRDefault="008B144D" w:rsidP="008B144D">
            <w:pPr>
              <w:widowControl w:val="0"/>
              <w:spacing w:line="240" w:lineRule="auto"/>
              <w:rPr>
                <w:rFonts w:eastAsia="Calibri"/>
                <w:sz w:val="24"/>
                <w:szCs w:val="24"/>
              </w:rPr>
            </w:pPr>
            <w:r w:rsidRPr="00987370">
              <w:rPr>
                <w:rFonts w:eastAsia="Helvetica Neue"/>
                <w:sz w:val="24"/>
                <w:szCs w:val="24"/>
              </w:rPr>
              <w:t>Complete and accurate MI Reports to be returned to CCS by the 5</w:t>
            </w:r>
            <w:r w:rsidRPr="00987370">
              <w:rPr>
                <w:rFonts w:eastAsia="Helvetica Neue"/>
                <w:sz w:val="24"/>
                <w:szCs w:val="24"/>
                <w:vertAlign w:val="superscript"/>
              </w:rPr>
              <w:t>th</w:t>
            </w:r>
            <w:r w:rsidRPr="00987370">
              <w:rPr>
                <w:rFonts w:eastAsia="Helvetica Neue"/>
                <w:sz w:val="24"/>
                <w:szCs w:val="24"/>
              </w:rPr>
              <w:t xml:space="preserve"> Working Day of the following month.</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 xml:space="preserve">Throughout the document. </w:t>
            </w:r>
          </w:p>
        </w:tc>
        <w:tc>
          <w:tcPr>
            <w:tcW w:w="5235" w:type="dxa"/>
            <w:shd w:val="clear" w:color="auto" w:fill="auto"/>
            <w:tcMar>
              <w:top w:w="100" w:type="dxa"/>
              <w:left w:w="100" w:type="dxa"/>
              <w:bottom w:w="100" w:type="dxa"/>
              <w:right w:w="100" w:type="dxa"/>
            </w:tcMar>
          </w:tcPr>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Significant use of bullets.</w:t>
            </w:r>
          </w:p>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Not all terms were numbered.</w:t>
            </w:r>
          </w:p>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Some terms were incorrectly numbered.</w:t>
            </w:r>
          </w:p>
        </w:tc>
        <w:tc>
          <w:tcPr>
            <w:tcW w:w="5490" w:type="dxa"/>
            <w:shd w:val="clear" w:color="auto" w:fill="auto"/>
            <w:tcMar>
              <w:top w:w="100" w:type="dxa"/>
              <w:left w:w="100" w:type="dxa"/>
              <w:bottom w:w="100" w:type="dxa"/>
              <w:right w:w="100" w:type="dxa"/>
            </w:tcMar>
          </w:tcPr>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 xml:space="preserve">All bullet points have been assigned numbers. </w:t>
            </w:r>
          </w:p>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Terms which were not numbered have been assigned numbers.</w:t>
            </w:r>
          </w:p>
          <w:p w:rsidR="008B144D" w:rsidRPr="005A6CA6" w:rsidRDefault="008B144D" w:rsidP="008B144D">
            <w:pPr>
              <w:pStyle w:val="ListParagraph"/>
              <w:widowControl w:val="0"/>
              <w:numPr>
                <w:ilvl w:val="0"/>
                <w:numId w:val="2"/>
              </w:numPr>
              <w:spacing w:line="240" w:lineRule="auto"/>
              <w:rPr>
                <w:rFonts w:eastAsia="Calibri"/>
                <w:sz w:val="24"/>
                <w:szCs w:val="24"/>
              </w:rPr>
            </w:pPr>
            <w:r w:rsidRPr="005A6CA6">
              <w:rPr>
                <w:rFonts w:eastAsia="Calibri"/>
                <w:sz w:val="24"/>
                <w:szCs w:val="24"/>
              </w:rPr>
              <w:t>Incorrect numbers have been rectified.</w:t>
            </w:r>
          </w:p>
        </w:tc>
      </w:tr>
      <w:tr w:rsidR="008B144D" w:rsidRPr="005A6CA6" w:rsidTr="006D1A26">
        <w:trPr>
          <w:trHeight w:val="589"/>
        </w:trPr>
        <w:tc>
          <w:tcPr>
            <w:tcW w:w="3225" w:type="dxa"/>
            <w:shd w:val="clear" w:color="auto" w:fill="auto"/>
            <w:tcMar>
              <w:top w:w="100" w:type="dxa"/>
              <w:left w:w="100" w:type="dxa"/>
              <w:bottom w:w="100" w:type="dxa"/>
              <w:right w:w="100" w:type="dxa"/>
            </w:tcMar>
          </w:tcPr>
          <w:p w:rsidR="008B144D" w:rsidRDefault="008B144D" w:rsidP="008B144D">
            <w:pPr>
              <w:widowControl w:val="0"/>
              <w:pBdr>
                <w:top w:val="nil"/>
                <w:left w:val="nil"/>
                <w:bottom w:val="nil"/>
                <w:right w:val="nil"/>
                <w:between w:val="nil"/>
              </w:pBdr>
              <w:spacing w:line="240" w:lineRule="auto"/>
              <w:rPr>
                <w:rFonts w:eastAsia="Calibri"/>
                <w:sz w:val="24"/>
                <w:szCs w:val="24"/>
              </w:rPr>
            </w:pPr>
            <w:r w:rsidRPr="00FE52A9">
              <w:rPr>
                <w:rFonts w:eastAsia="Calibri"/>
                <w:sz w:val="24"/>
                <w:szCs w:val="24"/>
              </w:rPr>
              <w:t>1.11</w:t>
            </w:r>
          </w:p>
          <w:p w:rsidR="008B144D" w:rsidRPr="00FE52A9" w:rsidRDefault="008B144D" w:rsidP="008B144D">
            <w:pPr>
              <w:widowControl w:val="0"/>
              <w:pBdr>
                <w:top w:val="nil"/>
                <w:left w:val="nil"/>
                <w:bottom w:val="nil"/>
                <w:right w:val="nil"/>
                <w:between w:val="nil"/>
              </w:pBdr>
              <w:spacing w:line="240" w:lineRule="auto"/>
              <w:rPr>
                <w:rFonts w:eastAsia="Calibri"/>
                <w:sz w:val="24"/>
                <w:szCs w:val="24"/>
              </w:rPr>
            </w:pPr>
            <w:r>
              <w:rPr>
                <w:rFonts w:eastAsia="Calibri"/>
                <w:sz w:val="24"/>
                <w:szCs w:val="24"/>
              </w:rPr>
              <w:t>Updated 6 March 2020</w:t>
            </w:r>
          </w:p>
        </w:tc>
        <w:tc>
          <w:tcPr>
            <w:tcW w:w="5235" w:type="dxa"/>
            <w:shd w:val="clear" w:color="auto" w:fill="auto"/>
            <w:tcMar>
              <w:top w:w="100" w:type="dxa"/>
              <w:left w:w="100" w:type="dxa"/>
              <w:bottom w:w="100" w:type="dxa"/>
              <w:right w:w="100" w:type="dxa"/>
            </w:tcMar>
          </w:tcPr>
          <w:p w:rsidR="008B144D" w:rsidRPr="00485E64" w:rsidRDefault="008B144D" w:rsidP="008B144D">
            <w:pPr>
              <w:pStyle w:val="NormalWeb"/>
              <w:spacing w:before="0" w:beforeAutospacing="0" w:after="0" w:afterAutospacing="0"/>
            </w:pPr>
            <w:r w:rsidRPr="00485E64">
              <w:rPr>
                <w:rFonts w:ascii="Arial" w:hAnsi="Arial" w:cs="Arial"/>
                <w:color w:val="000000"/>
              </w:rPr>
              <w:t>1.11 The finalised Framework Agreement will include:</w:t>
            </w:r>
          </w:p>
          <w:p w:rsidR="008B144D" w:rsidRPr="00485E64" w:rsidRDefault="008B144D" w:rsidP="008B144D">
            <w:pPr>
              <w:rPr>
                <w:sz w:val="24"/>
                <w:szCs w:val="24"/>
              </w:rPr>
            </w:pPr>
          </w:p>
          <w:p w:rsidR="008B144D" w:rsidRPr="00485E64" w:rsidRDefault="008B144D" w:rsidP="008B144D">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a signature page, signed by the Supplier</w:t>
            </w:r>
          </w:p>
          <w:p w:rsidR="008B144D" w:rsidRPr="00485E64" w:rsidRDefault="008B144D" w:rsidP="008B144D">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a signature page, signed by the Crown Commercial Service</w:t>
            </w:r>
          </w:p>
          <w:p w:rsidR="008B144D" w:rsidRPr="00485E64" w:rsidRDefault="008B144D" w:rsidP="008B144D">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the rest of the Framework Agreement document</w:t>
            </w:r>
          </w:p>
          <w:p w:rsidR="008B144D" w:rsidRPr="00485E64" w:rsidRDefault="008B144D" w:rsidP="008B144D">
            <w:pPr>
              <w:rPr>
                <w:rFonts w:ascii="Times New Roman" w:hAnsi="Times New Roman" w:cs="Times New Roman"/>
                <w:sz w:val="24"/>
                <w:szCs w:val="24"/>
              </w:rPr>
            </w:pPr>
          </w:p>
          <w:p w:rsidR="008B144D" w:rsidRPr="00485E64" w:rsidRDefault="008B144D" w:rsidP="008B144D">
            <w:pPr>
              <w:pStyle w:val="NormalWeb"/>
              <w:spacing w:before="0" w:beforeAutospacing="0" w:after="0" w:afterAutospacing="0"/>
            </w:pPr>
            <w:r w:rsidRPr="00485E64">
              <w:rPr>
                <w:rFonts w:ascii="Arial" w:hAnsi="Arial" w:cs="Arial"/>
                <w:color w:val="000000"/>
              </w:rPr>
              <w:t>1.12 The signature pages and the rest of the Framework Agreement document are counterparts before signing and duplicate originals after signing. The duplicate originals together make one Framework Agreement signed by all the necessary Parties.</w:t>
            </w:r>
          </w:p>
          <w:p w:rsidR="008B144D" w:rsidRPr="00485E64" w:rsidRDefault="008B144D" w:rsidP="008B144D">
            <w:pPr>
              <w:rPr>
                <w:sz w:val="24"/>
                <w:szCs w:val="24"/>
              </w:rPr>
            </w:pPr>
          </w:p>
          <w:p w:rsidR="008B144D" w:rsidRPr="00485E64" w:rsidRDefault="008B144D" w:rsidP="008B144D">
            <w:pPr>
              <w:widowControl w:val="0"/>
              <w:spacing w:line="266" w:lineRule="auto"/>
              <w:ind w:right="200"/>
              <w:rPr>
                <w:rFonts w:eastAsia="Calibri"/>
                <w:sz w:val="24"/>
                <w:szCs w:val="24"/>
              </w:rPr>
            </w:pPr>
          </w:p>
        </w:tc>
        <w:tc>
          <w:tcPr>
            <w:tcW w:w="5490" w:type="dxa"/>
            <w:shd w:val="clear" w:color="auto" w:fill="auto"/>
            <w:tcMar>
              <w:top w:w="100" w:type="dxa"/>
              <w:left w:w="100" w:type="dxa"/>
              <w:bottom w:w="100" w:type="dxa"/>
              <w:right w:w="100" w:type="dxa"/>
            </w:tcMar>
          </w:tcPr>
          <w:p w:rsidR="008B144D" w:rsidRPr="00485E64" w:rsidRDefault="008B144D" w:rsidP="008B144D">
            <w:pPr>
              <w:pStyle w:val="NormalWeb"/>
              <w:spacing w:before="0" w:beforeAutospacing="0" w:after="0" w:afterAutospacing="0"/>
            </w:pPr>
            <w:r w:rsidRPr="00485E64">
              <w:rPr>
                <w:rFonts w:ascii="Arial" w:hAnsi="Arial" w:cs="Arial"/>
                <w:color w:val="000000"/>
              </w:rPr>
              <w:t>1.11 The finalised Framework Agreement includes an electronically signed Framework Agreement. It is electronically signed by the Supplier when they made the legal declaration</w:t>
            </w:r>
            <w:r w:rsidRPr="00485E64">
              <w:t xml:space="preserve"> </w:t>
            </w:r>
            <w:r w:rsidRPr="00485E64">
              <w:rPr>
                <w:rFonts w:ascii="Arial" w:hAnsi="Arial" w:cs="Arial"/>
                <w:color w:val="000000"/>
              </w:rPr>
              <w:t>confirming their agreement to the G-Cloud 12 Framework Agreement, and countersigned by the Crown Commercial Service.</w:t>
            </w:r>
          </w:p>
          <w:p w:rsidR="008B144D" w:rsidRPr="00485E64" w:rsidRDefault="008B144D" w:rsidP="008B144D">
            <w:pPr>
              <w:rPr>
                <w:sz w:val="24"/>
                <w:szCs w:val="24"/>
              </w:rPr>
            </w:pPr>
          </w:p>
          <w:p w:rsidR="008B144D" w:rsidRPr="00485E64" w:rsidRDefault="008B144D" w:rsidP="008B144D">
            <w:pPr>
              <w:pStyle w:val="NormalWeb"/>
              <w:spacing w:before="0" w:beforeAutospacing="0" w:after="0" w:afterAutospacing="0"/>
            </w:pPr>
            <w:r w:rsidRPr="00485E64">
              <w:rPr>
                <w:rFonts w:ascii="Arial" w:hAnsi="Arial" w:cs="Arial"/>
                <w:color w:val="000000"/>
              </w:rPr>
              <w:t>1.12 Deleted</w:t>
            </w:r>
          </w:p>
          <w:p w:rsidR="008B144D" w:rsidRPr="00485E64" w:rsidRDefault="008B144D" w:rsidP="008B144D">
            <w:pPr>
              <w:rPr>
                <w:sz w:val="24"/>
                <w:szCs w:val="24"/>
              </w:rPr>
            </w:pPr>
          </w:p>
          <w:p w:rsidR="008B144D" w:rsidRPr="00485E64" w:rsidRDefault="008B144D" w:rsidP="008B144D">
            <w:pPr>
              <w:widowControl w:val="0"/>
              <w:pBdr>
                <w:top w:val="nil"/>
                <w:left w:val="nil"/>
                <w:bottom w:val="nil"/>
                <w:right w:val="nil"/>
                <w:between w:val="nil"/>
              </w:pBdr>
              <w:spacing w:line="240" w:lineRule="auto"/>
              <w:rPr>
                <w:sz w:val="24"/>
                <w:szCs w:val="24"/>
              </w:rPr>
            </w:pP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widowControl w:val="0"/>
              <w:pBdr>
                <w:top w:val="nil"/>
                <w:left w:val="nil"/>
                <w:bottom w:val="nil"/>
                <w:right w:val="nil"/>
                <w:between w:val="nil"/>
              </w:pBdr>
              <w:spacing w:line="240" w:lineRule="auto"/>
              <w:rPr>
                <w:rFonts w:eastAsia="Calibri"/>
                <w:sz w:val="24"/>
                <w:szCs w:val="24"/>
              </w:rPr>
            </w:pPr>
            <w:r w:rsidRPr="005A6CA6">
              <w:rPr>
                <w:rFonts w:eastAsia="Calibri"/>
                <w:sz w:val="24"/>
                <w:szCs w:val="24"/>
              </w:rPr>
              <w:t>2.2</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2.2 Cloud hosting Services sold through G-Cloud are cloud platform or infrastructure Services that can help buyers do at least one of:</w:t>
            </w:r>
          </w:p>
          <w:p w:rsidR="008B144D" w:rsidRPr="005A6CA6" w:rsidRDefault="008B144D" w:rsidP="008B144D">
            <w:pPr>
              <w:rPr>
                <w:sz w:val="24"/>
                <w:szCs w:val="24"/>
              </w:rPr>
            </w:pPr>
          </w:p>
          <w:p w:rsidR="008B144D" w:rsidRPr="005A6CA6" w:rsidRDefault="008B144D" w:rsidP="008B144D">
            <w:pPr>
              <w:rPr>
                <w:sz w:val="24"/>
                <w:szCs w:val="24"/>
              </w:rPr>
            </w:pPr>
            <w:r w:rsidRPr="005A6CA6">
              <w:rPr>
                <w:sz w:val="24"/>
                <w:szCs w:val="24"/>
              </w:rPr>
              <w:lastRenderedPageBreak/>
              <w:t>…</w:t>
            </w:r>
          </w:p>
          <w:p w:rsidR="008B144D" w:rsidRPr="005A6CA6" w:rsidRDefault="008B144D" w:rsidP="008B144D">
            <w:pPr>
              <w:rPr>
                <w:sz w:val="24"/>
                <w:szCs w:val="24"/>
              </w:rPr>
            </w:pPr>
          </w:p>
          <w:p w:rsidR="008B144D" w:rsidRPr="005A6CA6" w:rsidRDefault="008B144D" w:rsidP="008B144D">
            <w:pPr>
              <w:rPr>
                <w:rFonts w:eastAsia="Calibri"/>
                <w:sz w:val="24"/>
                <w:szCs w:val="24"/>
              </w:rPr>
            </w:pPr>
            <w:r w:rsidRPr="005A6CA6">
              <w:rPr>
                <w:sz w:val="24"/>
                <w:szCs w:val="24"/>
              </w:rPr>
              <w:t>2.3 Buyers only need to pay for what they use.</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lastRenderedPageBreak/>
              <w:t>2.2 Cloud hosting Services sold through G-Cloud are cloud platform or infrastructure Services that can help buyers do at least one of the following, and only pay for what they use:</w:t>
            </w:r>
          </w:p>
          <w:p w:rsidR="008B144D" w:rsidRPr="005A6CA6" w:rsidRDefault="008B144D" w:rsidP="008B144D">
            <w:pPr>
              <w:rPr>
                <w:sz w:val="24"/>
                <w:szCs w:val="24"/>
              </w:rPr>
            </w:pPr>
          </w:p>
          <w:p w:rsidR="008B144D" w:rsidRPr="005A6CA6" w:rsidRDefault="008B144D" w:rsidP="008B144D">
            <w:pPr>
              <w:rPr>
                <w:sz w:val="24"/>
                <w:szCs w:val="24"/>
              </w:rPr>
            </w:pPr>
            <w:r w:rsidRPr="005A6CA6">
              <w:rPr>
                <w:sz w:val="24"/>
                <w:szCs w:val="24"/>
              </w:rPr>
              <w:lastRenderedPageBreak/>
              <w:t>…</w:t>
            </w:r>
          </w:p>
          <w:p w:rsidR="008B144D" w:rsidRPr="005A6CA6" w:rsidRDefault="008B144D" w:rsidP="008B144D">
            <w:pPr>
              <w:rPr>
                <w:sz w:val="24"/>
                <w:szCs w:val="24"/>
              </w:rPr>
            </w:pPr>
          </w:p>
          <w:p w:rsidR="008B144D" w:rsidRPr="005A6CA6" w:rsidRDefault="008B144D" w:rsidP="008B144D">
            <w:pPr>
              <w:rPr>
                <w:rFonts w:eastAsia="Calibri"/>
                <w:sz w:val="24"/>
                <w:szCs w:val="24"/>
              </w:rPr>
            </w:pPr>
            <w:r w:rsidRPr="005A6CA6">
              <w:rPr>
                <w:sz w:val="24"/>
                <w:szCs w:val="24"/>
              </w:rPr>
              <w:t>Clause 2.3 now references the hosting service categories.</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lastRenderedPageBreak/>
              <w:t>2.9</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2.7 A description for Additional Services must be included by the Supplier and it must be G-Cloud Service-related. Additional Services must help the Supplier with its main G-Cloud Services offering. Non-G-Cloud Services will be removed from the Digital Marketplace.</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2.9 A description for Additional Services must be included by the Supplier in its Lot 3 Service Listing and it must be Cloud Service-related. Additional Services must help the Supplier with its main G-Cloud Services offering. Non-Cloud Services will be removed from the Digital Marketplace.</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2.10.4</w:t>
            </w:r>
          </w:p>
        </w:tc>
        <w:tc>
          <w:tcPr>
            <w:tcW w:w="5235" w:type="dxa"/>
            <w:shd w:val="clear" w:color="auto" w:fill="auto"/>
            <w:tcMar>
              <w:top w:w="100" w:type="dxa"/>
              <w:left w:w="100" w:type="dxa"/>
              <w:bottom w:w="100" w:type="dxa"/>
              <w:right w:w="100" w:type="dxa"/>
            </w:tcMar>
          </w:tcPr>
          <w:p w:rsidR="008B144D" w:rsidRPr="005A6CA6" w:rsidRDefault="008B144D" w:rsidP="008B144D">
            <w:pPr>
              <w:rPr>
                <w:sz w:val="24"/>
                <w:szCs w:val="24"/>
              </w:rPr>
            </w:pPr>
            <w:r w:rsidRPr="005A6CA6">
              <w:rPr>
                <w:sz w:val="24"/>
                <w:szCs w:val="24"/>
              </w:rPr>
              <w:t>2.8 Additional Service must not include:</w:t>
            </w:r>
          </w:p>
          <w:p w:rsidR="008B144D" w:rsidRPr="005A6CA6" w:rsidRDefault="008B144D" w:rsidP="008B144D">
            <w:pPr>
              <w:rPr>
                <w:sz w:val="24"/>
                <w:szCs w:val="24"/>
              </w:rPr>
            </w:pPr>
            <w:r w:rsidRPr="005A6CA6">
              <w:rPr>
                <w:sz w:val="24"/>
                <w:szCs w:val="24"/>
              </w:rPr>
              <w:t>…</w:t>
            </w:r>
          </w:p>
          <w:p w:rsidR="008B144D" w:rsidRPr="005A6CA6" w:rsidRDefault="008B144D" w:rsidP="008B144D">
            <w:pPr>
              <w:pStyle w:val="ListParagraph"/>
              <w:numPr>
                <w:ilvl w:val="0"/>
                <w:numId w:val="1"/>
              </w:numPr>
              <w:rPr>
                <w:sz w:val="24"/>
                <w:szCs w:val="24"/>
              </w:rPr>
            </w:pPr>
            <w:r w:rsidRPr="005A6CA6">
              <w:rPr>
                <w:sz w:val="24"/>
                <w:szCs w:val="24"/>
              </w:rPr>
              <w:t>hardware</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 xml:space="preserve">2.10.4 </w:t>
            </w:r>
            <w:proofErr w:type="gramStart"/>
            <w:r w:rsidRPr="005A6CA6">
              <w:rPr>
                <w:sz w:val="24"/>
                <w:szCs w:val="24"/>
              </w:rPr>
              <w:t>hardware</w:t>
            </w:r>
            <w:proofErr w:type="gramEnd"/>
            <w:r w:rsidRPr="005A6CA6">
              <w:rPr>
                <w:sz w:val="24"/>
                <w:szCs w:val="24"/>
              </w:rPr>
              <w:t xml:space="preserve"> - except where the hardware is specifically designed and integrated with the G-Cloud Service, and constitutes the lower proportion of total service cost, and cannot be procured and utilised separately</w:t>
            </w:r>
            <w:r>
              <w:rPr>
                <w:sz w:val="24"/>
                <w:szCs w:val="24"/>
              </w:rPr>
              <w:t>.</w:t>
            </w:r>
          </w:p>
        </w:tc>
      </w:tr>
      <w:tr w:rsidR="008B144D" w:rsidRPr="005A6CA6">
        <w:tc>
          <w:tcPr>
            <w:tcW w:w="3225" w:type="dxa"/>
            <w:shd w:val="clear" w:color="auto" w:fill="auto"/>
            <w:tcMar>
              <w:top w:w="100" w:type="dxa"/>
              <w:left w:w="100" w:type="dxa"/>
              <w:bottom w:w="100" w:type="dxa"/>
              <w:right w:w="100" w:type="dxa"/>
            </w:tcMar>
          </w:tcPr>
          <w:p w:rsidR="008B144D" w:rsidRPr="00FE52A9" w:rsidRDefault="008B144D" w:rsidP="008B144D">
            <w:pPr>
              <w:widowControl w:val="0"/>
              <w:pBdr>
                <w:top w:val="nil"/>
                <w:left w:val="nil"/>
                <w:bottom w:val="nil"/>
                <w:right w:val="nil"/>
                <w:between w:val="nil"/>
              </w:pBdr>
              <w:spacing w:line="240" w:lineRule="auto"/>
              <w:rPr>
                <w:rFonts w:eastAsia="Calibri"/>
                <w:sz w:val="24"/>
                <w:szCs w:val="24"/>
              </w:rPr>
            </w:pPr>
            <w:r w:rsidRPr="00FE52A9">
              <w:rPr>
                <w:rFonts w:eastAsia="Calibri"/>
                <w:sz w:val="24"/>
                <w:szCs w:val="24"/>
              </w:rPr>
              <w:t>2.11</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highlight w:val="white"/>
              </w:rPr>
            </w:pPr>
            <w:r w:rsidRPr="005A6CA6">
              <w:rPr>
                <w:sz w:val="24"/>
                <w:szCs w:val="24"/>
                <w:highlight w:val="white"/>
              </w:rPr>
              <w:t>2.9 The Buyer doesn’t have to buy any Additional Services from the Supplier and can buy Services that are the same as or similar to the Additional Services from any third party.</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rFonts w:eastAsia="Roboto"/>
                <w:sz w:val="24"/>
                <w:szCs w:val="24"/>
              </w:rPr>
              <w:t>2.11 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highlight w:val="white"/>
              </w:rPr>
            </w:pPr>
            <w:r w:rsidRPr="005A6CA6">
              <w:rPr>
                <w:rFonts w:eastAsia="Calibri"/>
                <w:sz w:val="24"/>
                <w:szCs w:val="24"/>
                <w:highlight w:val="white"/>
              </w:rPr>
              <w:t>3.5</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highlight w:val="white"/>
              </w:rPr>
            </w:pPr>
            <w:r w:rsidRPr="005A6CA6">
              <w:rPr>
                <w:sz w:val="24"/>
                <w:szCs w:val="24"/>
                <w:highlight w:val="white"/>
              </w:rPr>
              <w:t>The Supplier will tell any relevant Buyer about their Digital Marketplace offering on the G-Cloud Framework Agreement at the earliest opportunity.</w:t>
            </w:r>
          </w:p>
        </w:tc>
        <w:tc>
          <w:tcPr>
            <w:tcW w:w="5490" w:type="dxa"/>
            <w:shd w:val="clear" w:color="auto" w:fill="auto"/>
            <w:tcMar>
              <w:top w:w="100" w:type="dxa"/>
              <w:left w:w="100" w:type="dxa"/>
              <w:bottom w:w="100" w:type="dxa"/>
              <w:right w:w="100" w:type="dxa"/>
            </w:tcMar>
          </w:tcPr>
          <w:p w:rsidR="008B144D" w:rsidRPr="005A6CA6" w:rsidRDefault="008B144D" w:rsidP="008B144D">
            <w:pPr>
              <w:widowControl w:val="0"/>
              <w:pBdr>
                <w:top w:val="nil"/>
                <w:left w:val="nil"/>
                <w:bottom w:val="nil"/>
                <w:right w:val="nil"/>
                <w:between w:val="nil"/>
              </w:pBdr>
              <w:spacing w:line="240" w:lineRule="auto"/>
              <w:rPr>
                <w:rFonts w:eastAsia="Calibri"/>
                <w:sz w:val="24"/>
                <w:szCs w:val="24"/>
              </w:rPr>
            </w:pPr>
            <w:r w:rsidRPr="005A6CA6">
              <w:rPr>
                <w:rFonts w:eastAsia="Calibri"/>
                <w:sz w:val="24"/>
                <w:szCs w:val="24"/>
              </w:rPr>
              <w:t>Not used</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rFonts w:eastAsia="Calibri"/>
                <w:sz w:val="24"/>
                <w:szCs w:val="24"/>
              </w:rPr>
              <w:lastRenderedPageBreak/>
              <w:t>3.8</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If the Supplier fails to provide acceptable evidence for any updates to their service offering, CCS will remove the Service from the Digital Marketplace and may suspend the Supplier from the Framework Agreement.</w:t>
            </w:r>
          </w:p>
        </w:tc>
        <w:tc>
          <w:tcPr>
            <w:tcW w:w="5490" w:type="dxa"/>
            <w:shd w:val="clear" w:color="auto" w:fill="auto"/>
            <w:tcMar>
              <w:top w:w="100" w:type="dxa"/>
              <w:left w:w="100" w:type="dxa"/>
              <w:bottom w:w="100" w:type="dxa"/>
              <w:right w:w="100" w:type="dxa"/>
            </w:tcMar>
          </w:tcPr>
          <w:p w:rsidR="008B144D" w:rsidRPr="005A6CA6" w:rsidRDefault="008B144D" w:rsidP="008B144D">
            <w:pPr>
              <w:rPr>
                <w:rFonts w:eastAsia="Calibri"/>
                <w:sz w:val="24"/>
                <w:szCs w:val="24"/>
              </w:rPr>
            </w:pPr>
            <w:r w:rsidRPr="005A6CA6">
              <w:rPr>
                <w:sz w:val="24"/>
                <w:szCs w:val="24"/>
              </w:rPr>
              <w:t>If the Supplier fails to provide acceptable evidence for any updates to their service offering as required in Clause 3.7, CCS will remove the Service from the Digital Marketplace and may suspend the Supplier from the Framework Agreement.</w:t>
            </w:r>
          </w:p>
        </w:tc>
      </w:tr>
      <w:tr w:rsidR="008B144D" w:rsidRPr="005A6CA6">
        <w:trPr>
          <w:trHeight w:val="1080"/>
        </w:trPr>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3.14</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If a Buyer decides to source G-Cloud Services and any Additional Services through this Framework Agreement it must search on the Digital Marketplace for a capable Supplier and then award its Call-Off Contract using this process and following the Regulations and Guidance.</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Roboto"/>
                <w:sz w:val="24"/>
                <w:szCs w:val="24"/>
                <w:highlight w:val="white"/>
              </w:rPr>
            </w:pPr>
            <w:r w:rsidRPr="005A6CA6">
              <w:rPr>
                <w:rFonts w:eastAsia="Roboto"/>
                <w:sz w:val="24"/>
                <w:szCs w:val="24"/>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tc>
      </w:tr>
      <w:tr w:rsidR="008B144D" w:rsidRPr="005A6CA6">
        <w:trPr>
          <w:trHeight w:val="1080"/>
        </w:trPr>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3.15</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The initial search will return a long list and the Buyer will use additional keywords to refine the search of Suppliers whose service offerings are capable of meeting the Buyer’s requirement.</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 xml:space="preserve">The shortlisting and selection process conducted by Buyers on the Digital Marketplace commences with either selecting a specific Lot or all Lots, this selects all Services that may meet the Buyers requirement. The shortlist is then further refined using the keyword </w:t>
            </w:r>
            <w:proofErr w:type="spellStart"/>
            <w:r w:rsidRPr="005A6CA6">
              <w:rPr>
                <w:sz w:val="24"/>
                <w:szCs w:val="24"/>
              </w:rPr>
              <w:t>o</w:t>
            </w:r>
            <w:proofErr w:type="spellEnd"/>
            <w:r w:rsidRPr="005A6CA6">
              <w:rPr>
                <w:sz w:val="24"/>
                <w:szCs w:val="24"/>
              </w:rPr>
              <w:t xml:space="preserve"> key</w:t>
            </w:r>
            <w:r>
              <w:rPr>
                <w:sz w:val="24"/>
                <w:szCs w:val="24"/>
              </w:rPr>
              <w:t xml:space="preserve"> </w:t>
            </w:r>
            <w:r w:rsidRPr="005A6CA6">
              <w:rPr>
                <w:sz w:val="24"/>
                <w:szCs w:val="24"/>
              </w:rPr>
              <w:t>phrase search function and an array of filters on the Digital Marketplace.</w:t>
            </w:r>
          </w:p>
        </w:tc>
      </w:tr>
      <w:tr w:rsidR="008B144D" w:rsidRPr="005A6CA6">
        <w:trPr>
          <w:trHeight w:val="1080"/>
        </w:trPr>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3.16</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The additional search will return a short list and the Buyer will review supplier documents (to include Supplier Terms and pricing) on the Digital Marketplace to assess suitability against their requirement. All shortlisted offerings must be evaluated against the same evaluation model.</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Buyers may evaluate the shortlisted Services, which may include Service Descriptions, Supplier Terms, Service Definition and pricing, to assess suitability against their requirement. All shortlisted Services must be evaluated against the same evaluation model.</w:t>
            </w:r>
          </w:p>
        </w:tc>
      </w:tr>
      <w:tr w:rsidR="008B144D" w:rsidRPr="005A6CA6">
        <w:trPr>
          <w:trHeight w:val="1080"/>
        </w:trPr>
        <w:tc>
          <w:tcPr>
            <w:tcW w:w="322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rFonts w:eastAsia="Calibri"/>
                <w:sz w:val="24"/>
                <w:szCs w:val="24"/>
              </w:rPr>
              <w:lastRenderedPageBreak/>
              <w:t>3.17</w:t>
            </w:r>
          </w:p>
        </w:tc>
        <w:tc>
          <w:tcPr>
            <w:tcW w:w="523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The Buyer will apply some or all of the evaluation criteria in 3.20 (or use their own weightings) against the Supplier documents (including Supplier Terms and pricing) on the Digital Marketplace, to evaluate the Services offered following the shortlist and determine the Service that best meets their requirements.</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tc>
      </w:tr>
      <w:tr w:rsidR="008B144D" w:rsidRPr="005A6CA6">
        <w:trPr>
          <w:trHeight w:val="1080"/>
        </w:trPr>
        <w:tc>
          <w:tcPr>
            <w:tcW w:w="3225" w:type="dxa"/>
            <w:shd w:val="clear" w:color="auto" w:fill="auto"/>
            <w:tcMar>
              <w:top w:w="100" w:type="dxa"/>
              <w:left w:w="100" w:type="dxa"/>
              <w:bottom w:w="100" w:type="dxa"/>
              <w:right w:w="100" w:type="dxa"/>
            </w:tcMar>
          </w:tcPr>
          <w:p w:rsidR="008B144D" w:rsidRPr="005A6CA6" w:rsidRDefault="008B144D" w:rsidP="008B144D">
            <w:pPr>
              <w:widowControl w:val="0"/>
              <w:spacing w:line="240" w:lineRule="auto"/>
              <w:rPr>
                <w:rFonts w:eastAsia="Calibri"/>
                <w:sz w:val="24"/>
                <w:szCs w:val="24"/>
              </w:rPr>
            </w:pPr>
            <w:r w:rsidRPr="005A6CA6">
              <w:rPr>
                <w:rFonts w:eastAsia="Calibri"/>
                <w:sz w:val="24"/>
                <w:szCs w:val="24"/>
              </w:rPr>
              <w:t>3.18</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The Buyer may choose to use a credit reference agency (CRA) to carry out due diligence before any appointment to assess the Supplier’s economic and financial standing. The CRA report will be used to determine the level of financial risk that appointing the Supplier would represent. If the Buyer determines that the Supplier’s credit risk is poorer than average the Buyer reserves the right not to award a Call-Off Contract to the Supplier.</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Buyers are encouraged to conduct their own due diligence prior to awarding Call-Off Contracts. 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3.19</w:t>
            </w:r>
          </w:p>
        </w:tc>
        <w:tc>
          <w:tcPr>
            <w:tcW w:w="523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The Buyer will appoint a Supplier based on Most Economically Advantageous Tender (MEAT).</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The Buyer will award a Call-Off Contract to a Supplier based on the Most Economically Advantageous Tender (MEAT) assessment method.</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3.21</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Buyers may notify all unsuccessful shortlisted suppliers so they can review and improve their Service Descriptions.</w:t>
            </w:r>
          </w:p>
        </w:tc>
        <w:tc>
          <w:tcPr>
            <w:tcW w:w="5490"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Removed. To include in customer guidance. Because is it merely good practice and can be better explained in the guidance.</w:t>
            </w:r>
          </w:p>
        </w:tc>
      </w:tr>
      <w:tr w:rsidR="008B144D" w:rsidRPr="005A6CA6">
        <w:tc>
          <w:tcPr>
            <w:tcW w:w="3225" w:type="dxa"/>
            <w:shd w:val="clear" w:color="auto" w:fill="auto"/>
            <w:tcMar>
              <w:top w:w="100" w:type="dxa"/>
              <w:left w:w="100" w:type="dxa"/>
              <w:bottom w:w="100" w:type="dxa"/>
              <w:right w:w="100" w:type="dxa"/>
            </w:tcMar>
          </w:tcPr>
          <w:p w:rsidR="008B144D" w:rsidRPr="004148DF" w:rsidRDefault="008B144D" w:rsidP="008B144D">
            <w:pPr>
              <w:pBdr>
                <w:top w:val="nil"/>
                <w:left w:val="nil"/>
                <w:bottom w:val="nil"/>
                <w:right w:val="nil"/>
                <w:between w:val="nil"/>
              </w:pBdr>
              <w:spacing w:line="240" w:lineRule="auto"/>
              <w:rPr>
                <w:rFonts w:eastAsia="Calibri"/>
                <w:sz w:val="24"/>
                <w:szCs w:val="24"/>
              </w:rPr>
            </w:pPr>
            <w:r w:rsidRPr="004148DF">
              <w:rPr>
                <w:color w:val="000000"/>
                <w:sz w:val="24"/>
                <w:szCs w:val="24"/>
              </w:rPr>
              <w:lastRenderedPageBreak/>
              <w:t>4.9</w:t>
            </w:r>
          </w:p>
        </w:tc>
        <w:tc>
          <w:tcPr>
            <w:tcW w:w="5235" w:type="dxa"/>
            <w:shd w:val="clear" w:color="auto" w:fill="auto"/>
            <w:tcMar>
              <w:top w:w="100" w:type="dxa"/>
              <w:left w:w="100" w:type="dxa"/>
              <w:bottom w:w="100" w:type="dxa"/>
              <w:right w:w="100" w:type="dxa"/>
            </w:tcMar>
          </w:tcPr>
          <w:p w:rsidR="008B144D" w:rsidRPr="004148DF" w:rsidRDefault="008B144D" w:rsidP="008B144D">
            <w:pPr>
              <w:spacing w:line="240" w:lineRule="auto"/>
              <w:rPr>
                <w:sz w:val="24"/>
                <w:szCs w:val="24"/>
              </w:rPr>
            </w:pPr>
            <w:r w:rsidRPr="004148DF">
              <w:rPr>
                <w:sz w:val="24"/>
                <w:szCs w:val="24"/>
              </w:rPr>
              <w:t>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tc>
        <w:tc>
          <w:tcPr>
            <w:tcW w:w="5490" w:type="dxa"/>
            <w:shd w:val="clear" w:color="auto" w:fill="auto"/>
            <w:tcMar>
              <w:top w:w="100" w:type="dxa"/>
              <w:left w:w="100" w:type="dxa"/>
              <w:bottom w:w="100" w:type="dxa"/>
              <w:right w:w="100" w:type="dxa"/>
            </w:tcMar>
          </w:tcPr>
          <w:p w:rsidR="008B144D" w:rsidRPr="004148DF" w:rsidRDefault="008B144D" w:rsidP="008B144D">
            <w:pPr>
              <w:pBdr>
                <w:top w:val="nil"/>
                <w:left w:val="nil"/>
                <w:bottom w:val="nil"/>
                <w:right w:val="nil"/>
                <w:between w:val="nil"/>
              </w:pBdr>
              <w:spacing w:line="240" w:lineRule="auto"/>
              <w:rPr>
                <w:rFonts w:eastAsia="Calibri"/>
                <w:sz w:val="24"/>
                <w:szCs w:val="24"/>
              </w:rPr>
            </w:pPr>
            <w:r w:rsidRPr="004148DF">
              <w:rPr>
                <w:color w:val="000000"/>
                <w:sz w:val="24"/>
                <w:szCs w:val="24"/>
              </w:rPr>
              <w:t>Subject to any liabilities which can’t be limited</w:t>
            </w:r>
            <w:r w:rsidRPr="004148DF">
              <w:rPr>
                <w:b/>
                <w:bCs/>
                <w:color w:val="000000"/>
                <w:sz w:val="24"/>
                <w:szCs w:val="24"/>
              </w:rPr>
              <w:t xml:space="preserve"> </w:t>
            </w:r>
            <w:proofErr w:type="spellStart"/>
            <w:r w:rsidRPr="004148DF">
              <w:rPr>
                <w:b/>
                <w:bCs/>
                <w:color w:val="000000"/>
                <w:sz w:val="24"/>
                <w:szCs w:val="24"/>
              </w:rPr>
              <w:t>i</w:t>
            </w:r>
            <w:proofErr w:type="spellEnd"/>
            <w:r w:rsidRPr="004148DF">
              <w:rPr>
                <w:b/>
                <w:bCs/>
                <w:color w:val="000000"/>
                <w:sz w:val="24"/>
                <w:szCs w:val="24"/>
              </w:rPr>
              <w:t xml:space="preserve">.) </w:t>
            </w:r>
            <w:proofErr w:type="gramStart"/>
            <w:r w:rsidRPr="004148DF">
              <w:rPr>
                <w:color w:val="000000"/>
                <w:sz w:val="24"/>
                <w:szCs w:val="24"/>
              </w:rPr>
              <w:t>by</w:t>
            </w:r>
            <w:proofErr w:type="gramEnd"/>
            <w:r w:rsidRPr="004148DF">
              <w:rPr>
                <w:color w:val="000000"/>
                <w:sz w:val="24"/>
                <w:szCs w:val="24"/>
              </w:rPr>
              <w:t xml:space="preserve"> Law under clause 4.2.4 </w:t>
            </w:r>
            <w:r w:rsidRPr="004148DF">
              <w:rPr>
                <w:b/>
                <w:bCs/>
                <w:color w:val="000000"/>
                <w:sz w:val="24"/>
                <w:szCs w:val="24"/>
              </w:rPr>
              <w:t>or ii.) clause 4.9</w:t>
            </w:r>
            <w:r w:rsidRPr="004148DF">
              <w:rPr>
                <w:color w:val="000000"/>
                <w:sz w:val="24"/>
                <w:szCs w:val="24"/>
              </w:rPr>
              <w:t>,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4.11</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The Parties do not intend the Framework Agreement to be used for provision of Services or off-payroll worker recruitment that is Inside IR35.</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The Parties must not use the Framework Agreement for provision of Services or off-payroll worker recruitment that is Inside IR35.</w:t>
            </w:r>
          </w:p>
        </w:tc>
      </w:tr>
      <w:tr w:rsidR="008B144D" w:rsidRPr="005A6CA6" w:rsidTr="00FE52A9">
        <w:trPr>
          <w:trHeight w:val="2070"/>
        </w:trPr>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5.1.1</w:t>
            </w:r>
          </w:p>
        </w:tc>
        <w:tc>
          <w:tcPr>
            <w:tcW w:w="5235" w:type="dxa"/>
            <w:shd w:val="clear" w:color="auto" w:fill="auto"/>
            <w:tcMar>
              <w:top w:w="100" w:type="dxa"/>
              <w:left w:w="100" w:type="dxa"/>
              <w:bottom w:w="100" w:type="dxa"/>
              <w:right w:w="100" w:type="dxa"/>
            </w:tcMar>
          </w:tcPr>
          <w:p w:rsidR="008B144D" w:rsidRPr="005A6CA6" w:rsidRDefault="008B144D" w:rsidP="008B144D">
            <w:pPr>
              <w:rPr>
                <w:rFonts w:eastAsia="Calibri"/>
                <w:sz w:val="24"/>
                <w:szCs w:val="24"/>
              </w:rPr>
            </w:pPr>
            <w:r w:rsidRPr="005A6CA6">
              <w:rPr>
                <w:sz w:val="24"/>
                <w:szCs w:val="24"/>
              </w:rPr>
              <w:t>there’s a Supplier Insolvency Event</w:t>
            </w:r>
          </w:p>
        </w:tc>
        <w:tc>
          <w:tcPr>
            <w:tcW w:w="5490" w:type="dxa"/>
            <w:shd w:val="clear" w:color="auto" w:fill="auto"/>
            <w:tcMar>
              <w:top w:w="100" w:type="dxa"/>
              <w:left w:w="100" w:type="dxa"/>
              <w:bottom w:w="100" w:type="dxa"/>
              <w:right w:w="100" w:type="dxa"/>
            </w:tcMar>
          </w:tcPr>
          <w:p w:rsidR="008B144D" w:rsidRPr="00F356BE" w:rsidRDefault="008B144D" w:rsidP="008B144D">
            <w:pPr>
              <w:spacing w:line="240" w:lineRule="auto"/>
              <w:rPr>
                <w:sz w:val="24"/>
                <w:szCs w:val="24"/>
              </w:rPr>
            </w:pPr>
            <w:proofErr w:type="gramStart"/>
            <w:r w:rsidRPr="005A6CA6">
              <w:rPr>
                <w:sz w:val="24"/>
                <w:szCs w:val="24"/>
              </w:rPr>
              <w:t>there’s</w:t>
            </w:r>
            <w:proofErr w:type="gramEnd"/>
            <w:r w:rsidRPr="005A6CA6">
              <w:rPr>
                <w:sz w:val="24"/>
                <w:szCs w:val="24"/>
              </w:rPr>
              <w:t xml:space="preserve"> a Supplier Insolvency Event or an event that indicates a high probability of an Insolvency Event which adversely impacts on the Supplier's ability to supply Services under this Framework Agreement</w:t>
            </w:r>
            <w:r>
              <w:rPr>
                <w:sz w:val="24"/>
                <w:szCs w:val="24"/>
              </w:rPr>
              <w:t>.</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5.1.2</w:t>
            </w:r>
          </w:p>
        </w:tc>
        <w:tc>
          <w:tcPr>
            <w:tcW w:w="5235" w:type="dxa"/>
            <w:shd w:val="clear" w:color="auto" w:fill="auto"/>
            <w:tcMar>
              <w:top w:w="100" w:type="dxa"/>
              <w:left w:w="100" w:type="dxa"/>
              <w:bottom w:w="100" w:type="dxa"/>
              <w:right w:w="100" w:type="dxa"/>
            </w:tcMar>
          </w:tcPr>
          <w:p w:rsidR="008B144D" w:rsidRPr="005A6CA6" w:rsidRDefault="008B144D" w:rsidP="008B144D">
            <w:pPr>
              <w:rPr>
                <w:rFonts w:eastAsia="Calibri"/>
                <w:sz w:val="24"/>
                <w:szCs w:val="24"/>
              </w:rPr>
            </w:pPr>
            <w:r w:rsidRPr="005A6CA6">
              <w:rPr>
                <w:sz w:val="24"/>
                <w:szCs w:val="24"/>
              </w:rPr>
              <w:t>the Supplier has breached clauses 2.6 to 2.10</w:t>
            </w:r>
          </w:p>
        </w:tc>
        <w:tc>
          <w:tcPr>
            <w:tcW w:w="5490" w:type="dxa"/>
            <w:shd w:val="clear" w:color="auto" w:fill="auto"/>
            <w:tcMar>
              <w:top w:w="100" w:type="dxa"/>
              <w:left w:w="100" w:type="dxa"/>
              <w:bottom w:w="100" w:type="dxa"/>
              <w:right w:w="100" w:type="dxa"/>
            </w:tcMar>
          </w:tcPr>
          <w:p w:rsidR="008B144D" w:rsidRPr="005A6CA6" w:rsidRDefault="008B144D" w:rsidP="008B144D">
            <w:pPr>
              <w:rPr>
                <w:rFonts w:eastAsia="Calibri"/>
                <w:sz w:val="24"/>
                <w:szCs w:val="24"/>
              </w:rPr>
            </w:pPr>
            <w:r w:rsidRPr="005A6CA6">
              <w:rPr>
                <w:sz w:val="24"/>
                <w:szCs w:val="24"/>
              </w:rPr>
              <w:t>the Supplier has breached clauses 2.1 to 2.10</w:t>
            </w:r>
          </w:p>
        </w:tc>
      </w:tr>
      <w:tr w:rsidR="008B144D" w:rsidRPr="005A6CA6" w:rsidTr="004A2339">
        <w:trPr>
          <w:trHeight w:val="731"/>
        </w:trPr>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5.1.7</w:t>
            </w:r>
          </w:p>
        </w:tc>
        <w:tc>
          <w:tcPr>
            <w:tcW w:w="523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Did not exist</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 xml:space="preserve">5.1.7 </w:t>
            </w:r>
            <w:proofErr w:type="gramStart"/>
            <w:r w:rsidRPr="005A6CA6">
              <w:rPr>
                <w:sz w:val="24"/>
                <w:szCs w:val="24"/>
              </w:rPr>
              <w:t>where</w:t>
            </w:r>
            <w:proofErr w:type="gramEnd"/>
            <w:r w:rsidRPr="005A6CA6">
              <w:rPr>
                <w:sz w:val="24"/>
                <w:szCs w:val="24"/>
              </w:rPr>
              <w:t xml:space="preserve"> any Buyer terminates a Call-Off Contract awarded to the Supplier under this Framework Agreement as a consequence of proven default by the Supplier.</w:t>
            </w:r>
          </w:p>
        </w:tc>
      </w:tr>
      <w:tr w:rsidR="008B144D" w:rsidRPr="005A6CA6" w:rsidTr="004A2339">
        <w:trPr>
          <w:trHeight w:val="731"/>
        </w:trPr>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lastRenderedPageBreak/>
              <w:t>Section 6: Supplier’s reporting obligations to CCS</w:t>
            </w:r>
          </w:p>
        </w:tc>
        <w:tc>
          <w:tcPr>
            <w:tcW w:w="523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sz w:val="24"/>
                <w:szCs w:val="24"/>
              </w:rPr>
            </w:pPr>
            <w:r w:rsidRPr="005A6CA6">
              <w:rPr>
                <w:sz w:val="24"/>
                <w:szCs w:val="24"/>
              </w:rPr>
              <w:t xml:space="preserve">Although the basic intention remains the same, substantial changes have been made to this section. Suppliers should thoroughly review and make sure that they are aware of all clauses relating to their reporting obligations. </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8.63</w:t>
            </w:r>
          </w:p>
        </w:tc>
        <w:tc>
          <w:tcPr>
            <w:tcW w:w="523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8.61 The Supplier must have employer’s liability insurance of at least £5,000,000 before the Framework Agreement is awarded unless the Supplier is exempt under law. Suppliers will need to maintain further insurances to the indemnity levels and as set out in each Call-Off Contract.</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8.63 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tc>
      </w:tr>
      <w:tr w:rsidR="008B144D" w:rsidRPr="005A6CA6">
        <w:tc>
          <w:tcPr>
            <w:tcW w:w="3225" w:type="dxa"/>
            <w:shd w:val="clear" w:color="auto" w:fill="auto"/>
            <w:tcMar>
              <w:top w:w="100" w:type="dxa"/>
              <w:left w:w="100" w:type="dxa"/>
              <w:bottom w:w="100" w:type="dxa"/>
              <w:right w:w="100" w:type="dxa"/>
            </w:tcMar>
          </w:tcPr>
          <w:p w:rsidR="008B144D" w:rsidRPr="005A6CA6" w:rsidRDefault="008B144D" w:rsidP="008B144D">
            <w:pPr>
              <w:pBdr>
                <w:top w:val="nil"/>
                <w:left w:val="nil"/>
                <w:bottom w:val="nil"/>
                <w:right w:val="nil"/>
                <w:between w:val="nil"/>
              </w:pBdr>
              <w:spacing w:line="240" w:lineRule="auto"/>
              <w:rPr>
                <w:rFonts w:eastAsia="Calibri"/>
                <w:sz w:val="24"/>
                <w:szCs w:val="24"/>
              </w:rPr>
            </w:pPr>
            <w:r w:rsidRPr="005A6CA6">
              <w:rPr>
                <w:rFonts w:eastAsia="Calibri"/>
                <w:sz w:val="24"/>
                <w:szCs w:val="24"/>
              </w:rPr>
              <w:t>Annex 2: Joint Controller Agreement 7.1(c)</w:t>
            </w:r>
          </w:p>
        </w:tc>
        <w:tc>
          <w:tcPr>
            <w:tcW w:w="5235"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tc>
        <w:tc>
          <w:tcPr>
            <w:tcW w:w="5490" w:type="dxa"/>
            <w:shd w:val="clear" w:color="auto" w:fill="auto"/>
            <w:tcMar>
              <w:top w:w="100" w:type="dxa"/>
              <w:left w:w="100" w:type="dxa"/>
              <w:bottom w:w="100" w:type="dxa"/>
              <w:right w:w="100" w:type="dxa"/>
            </w:tcMar>
          </w:tcPr>
          <w:p w:rsidR="008B144D" w:rsidRPr="005A6CA6" w:rsidRDefault="008B144D" w:rsidP="008B144D">
            <w:pPr>
              <w:spacing w:line="240" w:lineRule="auto"/>
              <w:rPr>
                <w:rFonts w:eastAsia="Calibri"/>
                <w:sz w:val="24"/>
                <w:szCs w:val="24"/>
              </w:rPr>
            </w:pPr>
            <w:r w:rsidRPr="005A6CA6">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w:t>
            </w:r>
            <w:r w:rsidRPr="00FE52A9">
              <w:rPr>
                <w:sz w:val="24"/>
                <w:szCs w:val="24"/>
              </w:rPr>
              <w:t>Managing disputes</w:t>
            </w:r>
            <w:r w:rsidRPr="005A6CA6">
              <w:rPr>
                <w:sz w:val="24"/>
                <w:szCs w:val="24"/>
              </w:rPr>
              <w:t>).</w:t>
            </w:r>
          </w:p>
        </w:tc>
      </w:tr>
    </w:tbl>
    <w:p w:rsidR="00186F80" w:rsidRPr="005A6CA6" w:rsidRDefault="00186F80">
      <w:pPr>
        <w:spacing w:line="240" w:lineRule="auto"/>
        <w:rPr>
          <w:rFonts w:ascii="Calibri" w:eastAsia="Calibri" w:hAnsi="Calibri" w:cs="Calibri"/>
          <w:sz w:val="20"/>
          <w:szCs w:val="20"/>
        </w:rPr>
      </w:pPr>
    </w:p>
    <w:sectPr w:rsidR="00186F80" w:rsidRPr="005A6CA6" w:rsidSect="00485E64">
      <w:footerReference w:type="even" r:id="rId8"/>
      <w:footerReference w:type="default" r:id="rId9"/>
      <w:pgSz w:w="16840" w:h="11900" w:orient="landscape"/>
      <w:pgMar w:top="1134"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10" w:rsidRDefault="008C6410">
      <w:pPr>
        <w:spacing w:line="240" w:lineRule="auto"/>
      </w:pPr>
      <w:r>
        <w:separator/>
      </w:r>
    </w:p>
  </w:endnote>
  <w:endnote w:type="continuationSeparator" w:id="0">
    <w:p w:rsidR="008C6410" w:rsidRDefault="008C6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9828668"/>
      <w:docPartObj>
        <w:docPartGallery w:val="Page Numbers (Bottom of Page)"/>
        <w:docPartUnique/>
      </w:docPartObj>
    </w:sdtPr>
    <w:sdtEndPr>
      <w:rPr>
        <w:rStyle w:val="PageNumber"/>
      </w:rPr>
    </w:sdtEndPr>
    <w:sdtContent>
      <w:p w:rsidR="00022D2D" w:rsidRDefault="00022D2D" w:rsidP="00FE5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22D2D" w:rsidRDefault="00022D2D" w:rsidP="00FE5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40826474"/>
      <w:docPartObj>
        <w:docPartGallery w:val="Page Numbers (Bottom of Page)"/>
        <w:docPartUnique/>
      </w:docPartObj>
    </w:sdtPr>
    <w:sdtEndPr>
      <w:rPr>
        <w:rStyle w:val="PageNumber"/>
      </w:rPr>
    </w:sdtEndPr>
    <w:sdtContent>
      <w:p w:rsidR="00FE52A9" w:rsidRDefault="00FE52A9" w:rsidP="00BD62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781D">
          <w:rPr>
            <w:rStyle w:val="PageNumber"/>
            <w:noProof/>
          </w:rPr>
          <w:t>2</w:t>
        </w:r>
        <w:r>
          <w:rPr>
            <w:rStyle w:val="PageNumber"/>
          </w:rPr>
          <w:fldChar w:fldCharType="end"/>
        </w:r>
      </w:p>
    </w:sdtContent>
  </w:sdt>
  <w:p w:rsidR="00FE52A9" w:rsidRDefault="00FE52A9" w:rsidP="00FE52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10" w:rsidRDefault="008C6410">
      <w:pPr>
        <w:spacing w:line="240" w:lineRule="auto"/>
      </w:pPr>
      <w:r>
        <w:separator/>
      </w:r>
    </w:p>
  </w:footnote>
  <w:footnote w:type="continuationSeparator" w:id="0">
    <w:p w:rsidR="008C6410" w:rsidRDefault="008C64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1C2E"/>
    <w:multiLevelType w:val="multilevel"/>
    <w:tmpl w:val="982A18F0"/>
    <w:lvl w:ilvl="0">
      <w:start w:val="1"/>
      <w:numFmt w:val="decimal"/>
      <w:lvlText w:val="%1."/>
      <w:lvlJc w:val="left"/>
      <w:pPr>
        <w:ind w:left="146" w:hanging="400"/>
      </w:pPr>
      <w:rPr>
        <w:rFonts w:ascii="Helvetica Neue" w:eastAsia="Helvetica Neue" w:hAnsi="Helvetica Neue" w:cs="Helvetica Neue"/>
        <w:b/>
        <w:sz w:val="28"/>
        <w:szCs w:val="28"/>
      </w:rPr>
    </w:lvl>
    <w:lvl w:ilvl="1">
      <w:start w:val="1"/>
      <w:numFmt w:val="decimal"/>
      <w:lvlText w:val="%1.%2"/>
      <w:lvlJc w:val="left"/>
      <w:pPr>
        <w:ind w:left="637" w:hanging="637"/>
      </w:pPr>
      <w:rPr>
        <w:rFonts w:ascii="Tahoma" w:eastAsia="Tahoma" w:hAnsi="Tahoma" w:cs="Tahoma"/>
        <w:sz w:val="20"/>
        <w:szCs w:val="20"/>
      </w:rPr>
    </w:lvl>
    <w:lvl w:ilvl="2">
      <w:start w:val="1"/>
      <w:numFmt w:val="bullet"/>
      <w:lvlText w:val="●"/>
      <w:lvlJc w:val="left"/>
      <w:pPr>
        <w:ind w:left="1632" w:hanging="389"/>
      </w:pPr>
      <w:rPr>
        <w:rFonts w:ascii="Arial" w:eastAsia="Arial" w:hAnsi="Arial" w:cs="Arial"/>
        <w:sz w:val="20"/>
        <w:szCs w:val="20"/>
      </w:rPr>
    </w:lvl>
    <w:lvl w:ilvl="3">
      <w:start w:val="1"/>
      <w:numFmt w:val="bullet"/>
      <w:lvlText w:val="●"/>
      <w:lvlJc w:val="left"/>
      <w:pPr>
        <w:ind w:left="2979" w:hanging="719"/>
      </w:pPr>
      <w:rPr>
        <w:rFonts w:ascii="Arial" w:eastAsia="Arial" w:hAnsi="Arial" w:cs="Arial"/>
        <w:sz w:val="20"/>
        <w:szCs w:val="20"/>
      </w:rPr>
    </w:lvl>
    <w:lvl w:ilvl="4">
      <w:start w:val="1"/>
      <w:numFmt w:val="bullet"/>
      <w:lvlText w:val="•"/>
      <w:lvlJc w:val="left"/>
      <w:pPr>
        <w:ind w:left="864" w:hanging="719"/>
      </w:pPr>
    </w:lvl>
    <w:lvl w:ilvl="5">
      <w:start w:val="1"/>
      <w:numFmt w:val="bullet"/>
      <w:lvlText w:val="•"/>
      <w:lvlJc w:val="left"/>
      <w:pPr>
        <w:ind w:left="1543" w:hanging="719"/>
      </w:pPr>
    </w:lvl>
    <w:lvl w:ilvl="6">
      <w:start w:val="1"/>
      <w:numFmt w:val="bullet"/>
      <w:lvlText w:val="•"/>
      <w:lvlJc w:val="left"/>
      <w:pPr>
        <w:ind w:left="1583" w:hanging="719"/>
      </w:pPr>
    </w:lvl>
    <w:lvl w:ilvl="7">
      <w:start w:val="1"/>
      <w:numFmt w:val="bullet"/>
      <w:lvlText w:val="•"/>
      <w:lvlJc w:val="left"/>
      <w:pPr>
        <w:ind w:left="1632" w:hanging="719"/>
      </w:pPr>
    </w:lvl>
    <w:lvl w:ilvl="8">
      <w:start w:val="1"/>
      <w:numFmt w:val="bullet"/>
      <w:lvlText w:val="•"/>
      <w:lvlJc w:val="left"/>
      <w:pPr>
        <w:ind w:left="1672" w:hanging="719"/>
      </w:pPr>
    </w:lvl>
  </w:abstractNum>
  <w:abstractNum w:abstractNumId="1" w15:restartNumberingAfterBreak="0">
    <w:nsid w:val="1D8822E8"/>
    <w:multiLevelType w:val="multilevel"/>
    <w:tmpl w:val="BE2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5631F"/>
    <w:multiLevelType w:val="multilevel"/>
    <w:tmpl w:val="F022E8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C9B4C6A"/>
    <w:multiLevelType w:val="hybridMultilevel"/>
    <w:tmpl w:val="A1E8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718DE"/>
    <w:multiLevelType w:val="hybridMultilevel"/>
    <w:tmpl w:val="CB6A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80"/>
    <w:rsid w:val="00003113"/>
    <w:rsid w:val="00022D2D"/>
    <w:rsid w:val="0006382A"/>
    <w:rsid w:val="000C0FED"/>
    <w:rsid w:val="000E342A"/>
    <w:rsid w:val="000E7DF0"/>
    <w:rsid w:val="00186F80"/>
    <w:rsid w:val="001D119E"/>
    <w:rsid w:val="00212A00"/>
    <w:rsid w:val="002809A6"/>
    <w:rsid w:val="002D6121"/>
    <w:rsid w:val="003E46FC"/>
    <w:rsid w:val="003E72F8"/>
    <w:rsid w:val="00413CF5"/>
    <w:rsid w:val="004148DF"/>
    <w:rsid w:val="00485E64"/>
    <w:rsid w:val="004A2339"/>
    <w:rsid w:val="004C2B24"/>
    <w:rsid w:val="005234B6"/>
    <w:rsid w:val="005A6CA6"/>
    <w:rsid w:val="005E2C3C"/>
    <w:rsid w:val="00605A02"/>
    <w:rsid w:val="006D1A26"/>
    <w:rsid w:val="006F6D3D"/>
    <w:rsid w:val="00710624"/>
    <w:rsid w:val="00726E85"/>
    <w:rsid w:val="007B4A42"/>
    <w:rsid w:val="007D5E4B"/>
    <w:rsid w:val="008262F9"/>
    <w:rsid w:val="0087101E"/>
    <w:rsid w:val="00871222"/>
    <w:rsid w:val="00874050"/>
    <w:rsid w:val="008B144D"/>
    <w:rsid w:val="008C6410"/>
    <w:rsid w:val="0093781D"/>
    <w:rsid w:val="00987370"/>
    <w:rsid w:val="00A24124"/>
    <w:rsid w:val="00A545A8"/>
    <w:rsid w:val="00AB2BAA"/>
    <w:rsid w:val="00AC4D65"/>
    <w:rsid w:val="00AF4CD1"/>
    <w:rsid w:val="00B17D93"/>
    <w:rsid w:val="00B34D38"/>
    <w:rsid w:val="00B66D14"/>
    <w:rsid w:val="00BE2E50"/>
    <w:rsid w:val="00C27AE0"/>
    <w:rsid w:val="00C709AD"/>
    <w:rsid w:val="00C87334"/>
    <w:rsid w:val="00CA3E45"/>
    <w:rsid w:val="00D565BE"/>
    <w:rsid w:val="00D83B2E"/>
    <w:rsid w:val="00E440AA"/>
    <w:rsid w:val="00E542EF"/>
    <w:rsid w:val="00F356BE"/>
    <w:rsid w:val="00FC0A82"/>
    <w:rsid w:val="00FE0591"/>
    <w:rsid w:val="00FE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722D"/>
  <w15:docId w15:val="{A6B19D22-913C-486A-B6B2-ACB5750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3159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97D"/>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2A00"/>
    <w:pPr>
      <w:ind w:left="720"/>
      <w:contextualSpacing/>
    </w:pPr>
  </w:style>
  <w:style w:type="paragraph" w:styleId="Footer">
    <w:name w:val="footer"/>
    <w:basedOn w:val="Normal"/>
    <w:link w:val="FooterChar"/>
    <w:uiPriority w:val="99"/>
    <w:unhideWhenUsed/>
    <w:rsid w:val="00022D2D"/>
    <w:pPr>
      <w:tabs>
        <w:tab w:val="center" w:pos="4680"/>
        <w:tab w:val="right" w:pos="9360"/>
      </w:tabs>
      <w:spacing w:line="240" w:lineRule="auto"/>
    </w:pPr>
  </w:style>
  <w:style w:type="character" w:customStyle="1" w:styleId="FooterChar">
    <w:name w:val="Footer Char"/>
    <w:basedOn w:val="DefaultParagraphFont"/>
    <w:link w:val="Footer"/>
    <w:uiPriority w:val="99"/>
    <w:rsid w:val="00022D2D"/>
  </w:style>
  <w:style w:type="character" w:styleId="PageNumber">
    <w:name w:val="page number"/>
    <w:basedOn w:val="DefaultParagraphFont"/>
    <w:uiPriority w:val="99"/>
    <w:semiHidden/>
    <w:unhideWhenUsed/>
    <w:rsid w:val="00022D2D"/>
  </w:style>
  <w:style w:type="paragraph" w:styleId="Revision">
    <w:name w:val="Revision"/>
    <w:hidden/>
    <w:uiPriority w:val="99"/>
    <w:semiHidden/>
    <w:rsid w:val="00FE52A9"/>
    <w:pPr>
      <w:spacing w:line="240" w:lineRule="auto"/>
    </w:pPr>
  </w:style>
  <w:style w:type="paragraph" w:styleId="Header">
    <w:name w:val="header"/>
    <w:basedOn w:val="Normal"/>
    <w:link w:val="HeaderChar"/>
    <w:uiPriority w:val="99"/>
    <w:unhideWhenUsed/>
    <w:rsid w:val="00FE52A9"/>
    <w:pPr>
      <w:tabs>
        <w:tab w:val="center" w:pos="4680"/>
        <w:tab w:val="right" w:pos="9360"/>
      </w:tabs>
      <w:spacing w:line="240" w:lineRule="auto"/>
    </w:pPr>
  </w:style>
  <w:style w:type="character" w:customStyle="1" w:styleId="HeaderChar">
    <w:name w:val="Header Char"/>
    <w:basedOn w:val="DefaultParagraphFont"/>
    <w:link w:val="Header"/>
    <w:uiPriority w:val="99"/>
    <w:rsid w:val="00FE52A9"/>
  </w:style>
  <w:style w:type="paragraph" w:styleId="NormalWeb">
    <w:name w:val="Normal (Web)"/>
    <w:basedOn w:val="Normal"/>
    <w:uiPriority w:val="99"/>
    <w:semiHidden/>
    <w:unhideWhenUsed/>
    <w:rsid w:val="00AC4D6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2400">
      <w:bodyDiv w:val="1"/>
      <w:marLeft w:val="0"/>
      <w:marRight w:val="0"/>
      <w:marTop w:val="0"/>
      <w:marBottom w:val="0"/>
      <w:divBdr>
        <w:top w:val="none" w:sz="0" w:space="0" w:color="auto"/>
        <w:left w:val="none" w:sz="0" w:space="0" w:color="auto"/>
        <w:bottom w:val="none" w:sz="0" w:space="0" w:color="auto"/>
        <w:right w:val="none" w:sz="0" w:space="0" w:color="auto"/>
      </w:divBdr>
    </w:div>
    <w:div w:id="1568686678">
      <w:bodyDiv w:val="1"/>
      <w:marLeft w:val="0"/>
      <w:marRight w:val="0"/>
      <w:marTop w:val="0"/>
      <w:marBottom w:val="0"/>
      <w:divBdr>
        <w:top w:val="none" w:sz="0" w:space="0" w:color="auto"/>
        <w:left w:val="none" w:sz="0" w:space="0" w:color="auto"/>
        <w:bottom w:val="none" w:sz="0" w:space="0" w:color="auto"/>
        <w:right w:val="none" w:sz="0" w:space="0" w:color="auto"/>
      </w:divBdr>
    </w:div>
    <w:div w:id="180827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6h/41cdxGtr6hxD0MGZOyXxBew==">AMUW2mXlk+Hu7oFxbyzTaR45g/IP+gOI6XEY/LVi1BUzZfeaan0g6WcQ1hI3U5094JciZuOZQKn1k1DJj25l4uihXwWv1+ui7w8VzUKdwGwSHKKOvFKSvnk=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Key changes between G-Cloud 11 and G-Cloud 12 Framework Agreement</vt:lpstr>
    </vt:vector>
  </TitlesOfParts>
  <Manager/>
  <Company>Cabinet Office</Company>
  <LinksUpToDate>false</LinksUpToDate>
  <CharactersWithSpaces>14526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changes between G-Cloud 11 and G-Cloud 12 Framework Agreement</dc:title>
  <dc:subject>G-Cloud 12</dc:subject>
  <dc:creator>Crown Commercial Service</dc:creator>
  <cp:keywords/>
  <dc:description/>
  <cp:lastModifiedBy>Paul Sergison</cp:lastModifiedBy>
  <cp:revision>3</cp:revision>
  <cp:lastPrinted>2020-06-16T10:26:00Z</cp:lastPrinted>
  <dcterms:created xsi:type="dcterms:W3CDTF">2020-06-16T06:48:00Z</dcterms:created>
  <dcterms:modified xsi:type="dcterms:W3CDTF">2020-06-16T10:26:00Z</dcterms:modified>
  <cp:category/>
</cp:coreProperties>
</file>