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933" w:rsidRDefault="00F53458">
      <w:pPr>
        <w:spacing w:after="400" w:line="259" w:lineRule="auto"/>
        <w:ind w:left="30" w:right="0" w:firstLine="0"/>
        <w:jc w:val="left"/>
      </w:pPr>
      <w:r>
        <w:rPr>
          <w:noProof/>
        </w:rPr>
        <w:drawing>
          <wp:inline distT="0" distB="0" distL="0" distR="0">
            <wp:extent cx="1647825" cy="1371600"/>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7"/>
                    <a:stretch>
                      <a:fillRect/>
                    </a:stretch>
                  </pic:blipFill>
                  <pic:spPr>
                    <a:xfrm>
                      <a:off x="0" y="0"/>
                      <a:ext cx="1647825" cy="1371600"/>
                    </a:xfrm>
                    <a:prstGeom prst="rect">
                      <a:avLst/>
                    </a:prstGeom>
                  </pic:spPr>
                </pic:pic>
              </a:graphicData>
            </a:graphic>
          </wp:inline>
        </w:drawing>
      </w:r>
    </w:p>
    <w:p w:rsidR="00C30933" w:rsidRDefault="00F53458">
      <w:pPr>
        <w:spacing w:after="1060" w:line="259" w:lineRule="auto"/>
        <w:ind w:left="0" w:right="0" w:firstLine="0"/>
        <w:jc w:val="left"/>
      </w:pPr>
      <w:r>
        <w:rPr>
          <w:b/>
          <w:sz w:val="48"/>
        </w:rPr>
        <w:t>Bid Pack</w:t>
      </w:r>
    </w:p>
    <w:p w:rsidR="00C30933" w:rsidRDefault="00F53458">
      <w:pPr>
        <w:spacing w:after="231" w:line="259" w:lineRule="auto"/>
        <w:ind w:left="0" w:right="0" w:firstLine="0"/>
        <w:jc w:val="left"/>
      </w:pPr>
      <w:r>
        <w:rPr>
          <w:b/>
          <w:sz w:val="36"/>
        </w:rPr>
        <w:t>Attachment 3 – Statement of Requirements</w:t>
      </w:r>
    </w:p>
    <w:p w:rsidR="00C30933" w:rsidRDefault="00F53458">
      <w:pPr>
        <w:spacing w:after="193" w:line="259" w:lineRule="auto"/>
        <w:ind w:left="-5" w:right="0"/>
        <w:jc w:val="left"/>
      </w:pPr>
      <w:r>
        <w:rPr>
          <w:sz w:val="32"/>
        </w:rPr>
        <w:t xml:space="preserve">Contract Reference: </w:t>
      </w:r>
      <w:r>
        <w:rPr>
          <w:b/>
          <w:sz w:val="32"/>
        </w:rPr>
        <w:t>CCTS23A12</w:t>
      </w:r>
    </w:p>
    <w:p w:rsidR="00C30933" w:rsidRDefault="00F53458">
      <w:pPr>
        <w:spacing w:after="193" w:line="259" w:lineRule="auto"/>
        <w:ind w:left="99" w:right="0"/>
        <w:jc w:val="left"/>
      </w:pPr>
      <w:r>
        <w:rPr>
          <w:sz w:val="32"/>
        </w:rPr>
        <w:t>Government Commercial and Grants Digital Team, Digital</w:t>
      </w:r>
    </w:p>
    <w:p w:rsidR="00C30933" w:rsidRDefault="00F53458">
      <w:pPr>
        <w:spacing w:after="193" w:line="259" w:lineRule="auto"/>
        <w:ind w:left="-5" w:right="0"/>
        <w:jc w:val="left"/>
      </w:pPr>
      <w:r>
        <w:rPr>
          <w:sz w:val="32"/>
        </w:rPr>
        <w:t>AWS/AZURE Contract</w:t>
      </w:r>
      <w:r>
        <w:br w:type="page"/>
      </w:r>
    </w:p>
    <w:sdt>
      <w:sdtPr>
        <w:id w:val="-788507918"/>
        <w:docPartObj>
          <w:docPartGallery w:val="Table of Contents"/>
        </w:docPartObj>
      </w:sdtPr>
      <w:sdtEndPr/>
      <w:sdtContent>
        <w:p w:rsidR="00C30933" w:rsidRDefault="00F53458">
          <w:pPr>
            <w:spacing w:after="28" w:line="259" w:lineRule="auto"/>
            <w:ind w:left="1" w:right="0" w:firstLine="0"/>
            <w:jc w:val="center"/>
          </w:pPr>
          <w:r>
            <w:rPr>
              <w:b/>
              <w:sz w:val="22"/>
            </w:rPr>
            <w:t>CONTENTS</w:t>
          </w:r>
        </w:p>
        <w:p w:rsidR="00C30933" w:rsidRDefault="00F53458">
          <w:pPr>
            <w:pStyle w:val="TOC1"/>
            <w:tabs>
              <w:tab w:val="right" w:pos="9025"/>
            </w:tabs>
          </w:pPr>
          <w:r>
            <w:fldChar w:fldCharType="begin"/>
          </w:r>
          <w:r>
            <w:instrText xml:space="preserve"> TOC \o "1-1" \h \z \u </w:instrText>
          </w:r>
          <w:r>
            <w:fldChar w:fldCharType="separate"/>
          </w:r>
          <w:hyperlink w:anchor="_Toc20810">
            <w:r>
              <w:rPr>
                <w:rFonts w:ascii="Arial" w:eastAsia="Arial" w:hAnsi="Arial" w:cs="Arial"/>
                <w:sz w:val="20"/>
              </w:rPr>
              <w:t>1. PURPOSE</w:t>
            </w:r>
            <w:r>
              <w:tab/>
            </w:r>
            <w:r>
              <w:fldChar w:fldCharType="begin"/>
            </w:r>
            <w:r>
              <w:instrText>PAGEREF _Toc20810 \h</w:instrText>
            </w:r>
            <w:r>
              <w:fldChar w:fldCharType="separate"/>
            </w:r>
            <w:r>
              <w:rPr>
                <w:rFonts w:ascii="Arial" w:eastAsia="Arial" w:hAnsi="Arial" w:cs="Arial"/>
                <w:sz w:val="20"/>
              </w:rPr>
              <w:t>2</w:t>
            </w:r>
            <w:r>
              <w:fldChar w:fldCharType="end"/>
            </w:r>
          </w:hyperlink>
        </w:p>
        <w:p w:rsidR="00C30933" w:rsidRDefault="00F53458">
          <w:pPr>
            <w:pStyle w:val="TOC1"/>
            <w:tabs>
              <w:tab w:val="right" w:pos="9025"/>
            </w:tabs>
          </w:pPr>
          <w:hyperlink w:anchor="_Toc20811">
            <w:r>
              <w:rPr>
                <w:rFonts w:ascii="Arial" w:eastAsia="Arial" w:hAnsi="Arial" w:cs="Arial"/>
                <w:sz w:val="20"/>
              </w:rPr>
              <w:t xml:space="preserve">2. BACKGROUND TO THE CONTRACTING </w:t>
            </w:r>
            <w:r>
              <w:rPr>
                <w:rFonts w:ascii="Arial" w:eastAsia="Arial" w:hAnsi="Arial" w:cs="Arial"/>
                <w:sz w:val="14"/>
              </w:rPr>
              <w:t>A</w:t>
            </w:r>
            <w:r>
              <w:rPr>
                <w:rFonts w:ascii="Arial" w:eastAsia="Arial" w:hAnsi="Arial" w:cs="Arial"/>
                <w:sz w:val="20"/>
              </w:rPr>
              <w:t>UTHORITY</w:t>
            </w:r>
            <w:r>
              <w:tab/>
            </w:r>
            <w:r>
              <w:fldChar w:fldCharType="begin"/>
            </w:r>
            <w:r>
              <w:instrText>PAGEREF _Toc20811 \h</w:instrText>
            </w:r>
            <w:r>
              <w:fldChar w:fldCharType="separate"/>
            </w:r>
            <w:r>
              <w:rPr>
                <w:rFonts w:ascii="Arial" w:eastAsia="Arial" w:hAnsi="Arial" w:cs="Arial"/>
                <w:sz w:val="20"/>
              </w:rPr>
              <w:t>2</w:t>
            </w:r>
            <w:r>
              <w:fldChar w:fldCharType="end"/>
            </w:r>
          </w:hyperlink>
        </w:p>
        <w:p w:rsidR="00C30933" w:rsidRDefault="00F53458">
          <w:pPr>
            <w:pStyle w:val="TOC1"/>
            <w:tabs>
              <w:tab w:val="right" w:pos="9025"/>
            </w:tabs>
          </w:pPr>
          <w:hyperlink w:anchor="_Toc20812">
            <w:r>
              <w:rPr>
                <w:rFonts w:ascii="Arial" w:eastAsia="Arial" w:hAnsi="Arial" w:cs="Arial"/>
                <w:sz w:val="20"/>
              </w:rPr>
              <w:t>3</w:t>
            </w:r>
            <w:r>
              <w:rPr>
                <w:rFonts w:ascii="Arial" w:eastAsia="Arial" w:hAnsi="Arial" w:cs="Arial"/>
                <w:sz w:val="20"/>
              </w:rPr>
              <w:t>. B</w:t>
            </w:r>
            <w:r>
              <w:rPr>
                <w:rFonts w:ascii="Arial" w:eastAsia="Arial" w:hAnsi="Arial" w:cs="Arial"/>
                <w:sz w:val="14"/>
              </w:rPr>
              <w:t>ACKGROUND TO REQUIREMENT</w:t>
            </w:r>
            <w:r>
              <w:rPr>
                <w:rFonts w:ascii="Arial" w:eastAsia="Arial" w:hAnsi="Arial" w:cs="Arial"/>
                <w:sz w:val="20"/>
              </w:rPr>
              <w:t xml:space="preserve">/OVERVIEW </w:t>
            </w:r>
            <w:r>
              <w:rPr>
                <w:rFonts w:ascii="Arial" w:eastAsia="Arial" w:hAnsi="Arial" w:cs="Arial"/>
                <w:sz w:val="14"/>
              </w:rPr>
              <w:t>OF REQUIREMENT</w:t>
            </w:r>
            <w:r>
              <w:tab/>
            </w:r>
            <w:r>
              <w:fldChar w:fldCharType="begin"/>
            </w:r>
            <w:r>
              <w:instrText>PAGEREF _Toc20812 \h</w:instrText>
            </w:r>
            <w:r>
              <w:fldChar w:fldCharType="separate"/>
            </w:r>
            <w:r>
              <w:rPr>
                <w:rFonts w:ascii="Arial" w:eastAsia="Arial" w:hAnsi="Arial" w:cs="Arial"/>
                <w:sz w:val="20"/>
              </w:rPr>
              <w:t>2</w:t>
            </w:r>
            <w:r>
              <w:fldChar w:fldCharType="end"/>
            </w:r>
          </w:hyperlink>
        </w:p>
        <w:p w:rsidR="00C30933" w:rsidRDefault="00F53458">
          <w:pPr>
            <w:pStyle w:val="TOC1"/>
            <w:tabs>
              <w:tab w:val="right" w:pos="9025"/>
            </w:tabs>
          </w:pPr>
          <w:hyperlink w:anchor="_Toc20813">
            <w:r>
              <w:rPr>
                <w:rFonts w:ascii="Arial" w:eastAsia="Arial" w:hAnsi="Arial" w:cs="Arial"/>
                <w:sz w:val="20"/>
              </w:rPr>
              <w:t xml:space="preserve">4. </w:t>
            </w:r>
            <w:r>
              <w:rPr>
                <w:rFonts w:ascii="Arial" w:eastAsia="Arial" w:hAnsi="Arial" w:cs="Arial"/>
                <w:sz w:val="14"/>
              </w:rPr>
              <w:t xml:space="preserve">DEFINITIONS </w:t>
            </w:r>
            <w:r>
              <w:rPr>
                <w:rFonts w:ascii="Arial" w:eastAsia="Arial" w:hAnsi="Arial" w:cs="Arial"/>
                <w:sz w:val="20"/>
              </w:rPr>
              <w:t>2</w:t>
            </w:r>
            <w:r>
              <w:tab/>
            </w:r>
            <w:r>
              <w:fldChar w:fldCharType="begin"/>
            </w:r>
            <w:r>
              <w:instrText>PAGEREF _Toc20813 \h</w:instrText>
            </w:r>
            <w:r>
              <w:fldChar w:fldCharType="end"/>
            </w:r>
          </w:hyperlink>
        </w:p>
        <w:p w:rsidR="00C30933" w:rsidRDefault="00F53458">
          <w:pPr>
            <w:pStyle w:val="TOC1"/>
            <w:tabs>
              <w:tab w:val="right" w:pos="9025"/>
            </w:tabs>
          </w:pPr>
          <w:hyperlink w:anchor="_Toc20814">
            <w:r>
              <w:rPr>
                <w:rFonts w:ascii="Arial" w:eastAsia="Arial" w:hAnsi="Arial" w:cs="Arial"/>
                <w:sz w:val="20"/>
              </w:rPr>
              <w:t xml:space="preserve">5. </w:t>
            </w:r>
            <w:r>
              <w:rPr>
                <w:rFonts w:ascii="Arial" w:eastAsia="Arial" w:hAnsi="Arial" w:cs="Arial"/>
                <w:sz w:val="14"/>
              </w:rPr>
              <w:t>SCOPE OF REQUIREMENT</w:t>
            </w:r>
            <w:r>
              <w:tab/>
            </w:r>
            <w:r>
              <w:fldChar w:fldCharType="begin"/>
            </w:r>
            <w:r>
              <w:instrText>PAGEREF _Toc20814 \h</w:instrText>
            </w:r>
            <w:r>
              <w:fldChar w:fldCharType="separate"/>
            </w:r>
            <w:r>
              <w:rPr>
                <w:rFonts w:ascii="Arial" w:eastAsia="Arial" w:hAnsi="Arial" w:cs="Arial"/>
                <w:sz w:val="20"/>
              </w:rPr>
              <w:t>2</w:t>
            </w:r>
            <w:r>
              <w:fldChar w:fldCharType="end"/>
            </w:r>
          </w:hyperlink>
        </w:p>
        <w:p w:rsidR="00C30933" w:rsidRDefault="00F53458">
          <w:pPr>
            <w:pStyle w:val="TOC1"/>
            <w:tabs>
              <w:tab w:val="right" w:pos="9025"/>
            </w:tabs>
          </w:pPr>
          <w:hyperlink w:anchor="_Toc20815">
            <w:r>
              <w:rPr>
                <w:rFonts w:ascii="Arial" w:eastAsia="Arial" w:hAnsi="Arial" w:cs="Arial"/>
                <w:sz w:val="20"/>
              </w:rPr>
              <w:t>6. T</w:t>
            </w:r>
            <w:r>
              <w:rPr>
                <w:rFonts w:ascii="Arial" w:eastAsia="Arial" w:hAnsi="Arial" w:cs="Arial"/>
                <w:sz w:val="14"/>
              </w:rPr>
              <w:t>HE REQUIREMENT</w:t>
            </w:r>
            <w:r>
              <w:tab/>
            </w:r>
            <w:r>
              <w:fldChar w:fldCharType="begin"/>
            </w:r>
            <w:r>
              <w:instrText>PA</w:instrText>
            </w:r>
            <w:r>
              <w:instrText>GEREF _Toc20815 \h</w:instrText>
            </w:r>
            <w:r>
              <w:fldChar w:fldCharType="separate"/>
            </w:r>
            <w:r>
              <w:rPr>
                <w:rFonts w:ascii="Arial" w:eastAsia="Arial" w:hAnsi="Arial" w:cs="Arial"/>
                <w:sz w:val="20"/>
              </w:rPr>
              <w:t>2</w:t>
            </w:r>
            <w:r>
              <w:fldChar w:fldCharType="end"/>
            </w:r>
          </w:hyperlink>
        </w:p>
        <w:p w:rsidR="00C30933" w:rsidRDefault="00F53458">
          <w:r>
            <w:fldChar w:fldCharType="end"/>
          </w:r>
        </w:p>
      </w:sdtContent>
    </w:sdt>
    <w:p w:rsidR="00C30933" w:rsidRDefault="00F53458">
      <w:pPr>
        <w:numPr>
          <w:ilvl w:val="0"/>
          <w:numId w:val="1"/>
        </w:numPr>
        <w:spacing w:after="160" w:line="259" w:lineRule="auto"/>
        <w:ind w:right="0" w:hanging="720"/>
        <w:jc w:val="left"/>
      </w:pPr>
      <w:r>
        <w:rPr>
          <w:sz w:val="14"/>
        </w:rPr>
        <w:t xml:space="preserve">KEY MILESTONES AND </w:t>
      </w:r>
      <w:r>
        <w:rPr>
          <w:sz w:val="20"/>
        </w:rPr>
        <w:t>D</w:t>
      </w:r>
      <w:r>
        <w:rPr>
          <w:sz w:val="14"/>
        </w:rPr>
        <w:t>ELIVERABLES</w:t>
      </w:r>
      <w:r>
        <w:rPr>
          <w:sz w:val="14"/>
        </w:rPr>
        <w:tab/>
      </w:r>
      <w:r>
        <w:rPr>
          <w:sz w:val="20"/>
        </w:rPr>
        <w:t>3</w:t>
      </w:r>
    </w:p>
    <w:p w:rsidR="00C30933" w:rsidRDefault="00F53458">
      <w:pPr>
        <w:numPr>
          <w:ilvl w:val="0"/>
          <w:numId w:val="1"/>
        </w:numPr>
        <w:spacing w:after="160" w:line="259" w:lineRule="auto"/>
        <w:ind w:right="0" w:hanging="720"/>
        <w:jc w:val="left"/>
      </w:pPr>
      <w:r>
        <w:rPr>
          <w:sz w:val="20"/>
        </w:rPr>
        <w:t>MANAGEMENT INFORMATION/</w:t>
      </w:r>
      <w:r>
        <w:rPr>
          <w:sz w:val="14"/>
        </w:rPr>
        <w:t>REPORTING</w:t>
      </w:r>
      <w:r>
        <w:rPr>
          <w:sz w:val="14"/>
        </w:rPr>
        <w:tab/>
      </w:r>
      <w:r>
        <w:rPr>
          <w:sz w:val="20"/>
        </w:rPr>
        <w:t>3</w:t>
      </w:r>
    </w:p>
    <w:p w:rsidR="00C30933" w:rsidRDefault="00F53458">
      <w:pPr>
        <w:numPr>
          <w:ilvl w:val="0"/>
          <w:numId w:val="1"/>
        </w:numPr>
        <w:spacing w:after="160" w:line="259" w:lineRule="auto"/>
        <w:ind w:right="0" w:hanging="720"/>
        <w:jc w:val="left"/>
      </w:pPr>
      <w:r>
        <w:rPr>
          <w:sz w:val="14"/>
        </w:rPr>
        <w:t>VOLUMES</w:t>
      </w:r>
      <w:r>
        <w:rPr>
          <w:sz w:val="14"/>
        </w:rPr>
        <w:tab/>
      </w:r>
      <w:r>
        <w:rPr>
          <w:sz w:val="20"/>
        </w:rPr>
        <w:t>3</w:t>
      </w:r>
    </w:p>
    <w:p w:rsidR="00C30933" w:rsidRDefault="00F53458">
      <w:pPr>
        <w:numPr>
          <w:ilvl w:val="0"/>
          <w:numId w:val="1"/>
        </w:numPr>
        <w:spacing w:after="160" w:line="259" w:lineRule="auto"/>
        <w:ind w:right="0" w:hanging="720"/>
        <w:jc w:val="left"/>
      </w:pPr>
      <w:r>
        <w:rPr>
          <w:sz w:val="14"/>
        </w:rPr>
        <w:t>CONTINUOUS IMPROVEMENT</w:t>
      </w:r>
      <w:r>
        <w:rPr>
          <w:sz w:val="14"/>
        </w:rPr>
        <w:tab/>
      </w:r>
      <w:r>
        <w:rPr>
          <w:sz w:val="20"/>
        </w:rPr>
        <w:t>3</w:t>
      </w:r>
    </w:p>
    <w:p w:rsidR="00C30933" w:rsidRDefault="00F53458">
      <w:pPr>
        <w:numPr>
          <w:ilvl w:val="0"/>
          <w:numId w:val="1"/>
        </w:numPr>
        <w:spacing w:after="160" w:line="259" w:lineRule="auto"/>
        <w:ind w:right="0" w:hanging="720"/>
        <w:jc w:val="left"/>
      </w:pPr>
      <w:r>
        <w:rPr>
          <w:sz w:val="20"/>
        </w:rPr>
        <w:t>S</w:t>
      </w:r>
      <w:r>
        <w:rPr>
          <w:sz w:val="14"/>
        </w:rPr>
        <w:t>USTAINABILITY</w:t>
      </w:r>
      <w:r>
        <w:rPr>
          <w:sz w:val="14"/>
        </w:rPr>
        <w:tab/>
      </w:r>
      <w:r>
        <w:rPr>
          <w:sz w:val="20"/>
        </w:rPr>
        <w:t>3</w:t>
      </w:r>
    </w:p>
    <w:p w:rsidR="00C30933" w:rsidRDefault="00F53458">
      <w:pPr>
        <w:numPr>
          <w:ilvl w:val="0"/>
          <w:numId w:val="1"/>
        </w:numPr>
        <w:spacing w:after="160" w:line="259" w:lineRule="auto"/>
        <w:ind w:right="0" w:hanging="720"/>
        <w:jc w:val="left"/>
      </w:pPr>
      <w:r>
        <w:rPr>
          <w:sz w:val="14"/>
        </w:rPr>
        <w:t>QUALITY</w:t>
      </w:r>
      <w:r>
        <w:rPr>
          <w:sz w:val="14"/>
        </w:rPr>
        <w:tab/>
      </w:r>
      <w:r>
        <w:rPr>
          <w:sz w:val="20"/>
        </w:rPr>
        <w:t>4</w:t>
      </w:r>
    </w:p>
    <w:p w:rsidR="00C30933" w:rsidRDefault="00F53458">
      <w:pPr>
        <w:numPr>
          <w:ilvl w:val="0"/>
          <w:numId w:val="1"/>
        </w:numPr>
        <w:spacing w:after="160" w:line="259" w:lineRule="auto"/>
        <w:ind w:right="0" w:hanging="720"/>
        <w:jc w:val="left"/>
      </w:pPr>
      <w:r>
        <w:rPr>
          <w:sz w:val="20"/>
        </w:rPr>
        <w:t>PRICE</w:t>
      </w:r>
      <w:r>
        <w:rPr>
          <w:sz w:val="20"/>
        </w:rPr>
        <w:tab/>
        <w:t>4</w:t>
      </w:r>
    </w:p>
    <w:p w:rsidR="00C30933" w:rsidRDefault="00F53458">
      <w:pPr>
        <w:numPr>
          <w:ilvl w:val="0"/>
          <w:numId w:val="1"/>
        </w:numPr>
        <w:spacing w:after="160" w:line="259" w:lineRule="auto"/>
        <w:ind w:right="0" w:hanging="720"/>
        <w:jc w:val="left"/>
      </w:pPr>
      <w:r>
        <w:rPr>
          <w:sz w:val="20"/>
        </w:rPr>
        <w:t>STAFF AND CUSTOMER SERVICE</w:t>
      </w:r>
      <w:r>
        <w:rPr>
          <w:sz w:val="20"/>
        </w:rPr>
        <w:tab/>
        <w:t>4</w:t>
      </w:r>
    </w:p>
    <w:p w:rsidR="00C30933" w:rsidRDefault="00F53458">
      <w:pPr>
        <w:numPr>
          <w:ilvl w:val="0"/>
          <w:numId w:val="1"/>
        </w:numPr>
        <w:spacing w:after="160" w:line="259" w:lineRule="auto"/>
        <w:ind w:right="0" w:hanging="720"/>
        <w:jc w:val="left"/>
      </w:pPr>
      <w:r>
        <w:rPr>
          <w:sz w:val="14"/>
        </w:rPr>
        <w:t>SERVICE LEVELS AND PERFORMANCE</w:t>
      </w:r>
      <w:r>
        <w:rPr>
          <w:sz w:val="14"/>
        </w:rPr>
        <w:tab/>
      </w:r>
      <w:r>
        <w:rPr>
          <w:sz w:val="20"/>
        </w:rPr>
        <w:t>4</w:t>
      </w:r>
    </w:p>
    <w:p w:rsidR="00C30933" w:rsidRDefault="00F53458">
      <w:pPr>
        <w:numPr>
          <w:ilvl w:val="0"/>
          <w:numId w:val="1"/>
        </w:numPr>
        <w:spacing w:after="160" w:line="259" w:lineRule="auto"/>
        <w:ind w:right="0" w:hanging="720"/>
        <w:jc w:val="left"/>
      </w:pPr>
      <w:r>
        <w:rPr>
          <w:sz w:val="20"/>
        </w:rPr>
        <w:t>S</w:t>
      </w:r>
      <w:r>
        <w:rPr>
          <w:sz w:val="14"/>
        </w:rPr>
        <w:t xml:space="preserve">ECURITY AND </w:t>
      </w:r>
      <w:r>
        <w:rPr>
          <w:sz w:val="20"/>
        </w:rPr>
        <w:t xml:space="preserve">CONFIDENTIALITY </w:t>
      </w:r>
      <w:r>
        <w:rPr>
          <w:sz w:val="14"/>
        </w:rPr>
        <w:t>REQUIREMENTS</w:t>
      </w:r>
      <w:r>
        <w:rPr>
          <w:sz w:val="14"/>
        </w:rPr>
        <w:tab/>
      </w:r>
      <w:r>
        <w:rPr>
          <w:sz w:val="20"/>
        </w:rPr>
        <w:t>5</w:t>
      </w:r>
    </w:p>
    <w:p w:rsidR="00C30933" w:rsidRDefault="00F53458">
      <w:pPr>
        <w:numPr>
          <w:ilvl w:val="0"/>
          <w:numId w:val="1"/>
        </w:numPr>
        <w:spacing w:after="160" w:line="259" w:lineRule="auto"/>
        <w:ind w:right="0" w:hanging="720"/>
        <w:jc w:val="left"/>
      </w:pPr>
      <w:r>
        <w:rPr>
          <w:sz w:val="14"/>
        </w:rPr>
        <w:t xml:space="preserve">PAYMENT </w:t>
      </w:r>
      <w:r>
        <w:rPr>
          <w:sz w:val="20"/>
        </w:rPr>
        <w:t>AND INVOICING</w:t>
      </w:r>
      <w:r>
        <w:rPr>
          <w:sz w:val="20"/>
        </w:rPr>
        <w:tab/>
        <w:t>5</w:t>
      </w:r>
    </w:p>
    <w:p w:rsidR="00C30933" w:rsidRDefault="00F53458">
      <w:pPr>
        <w:numPr>
          <w:ilvl w:val="0"/>
          <w:numId w:val="1"/>
        </w:numPr>
        <w:spacing w:after="160" w:line="259" w:lineRule="auto"/>
        <w:ind w:right="0" w:hanging="720"/>
        <w:jc w:val="left"/>
      </w:pPr>
      <w:r>
        <w:rPr>
          <w:sz w:val="20"/>
        </w:rPr>
        <w:t>CONTRACT MANAGEMENT</w:t>
      </w:r>
      <w:r>
        <w:rPr>
          <w:sz w:val="20"/>
        </w:rPr>
        <w:tab/>
        <w:t>5</w:t>
      </w:r>
    </w:p>
    <w:p w:rsidR="00C30933" w:rsidRDefault="00F53458">
      <w:pPr>
        <w:numPr>
          <w:ilvl w:val="0"/>
          <w:numId w:val="1"/>
        </w:numPr>
        <w:spacing w:after="160" w:line="259" w:lineRule="auto"/>
        <w:ind w:right="0" w:hanging="720"/>
        <w:jc w:val="left"/>
      </w:pPr>
      <w:r>
        <w:rPr>
          <w:sz w:val="20"/>
        </w:rPr>
        <w:t>L</w:t>
      </w:r>
      <w:r>
        <w:rPr>
          <w:sz w:val="14"/>
        </w:rPr>
        <w:t>OCATION</w:t>
      </w:r>
      <w:r>
        <w:rPr>
          <w:sz w:val="14"/>
        </w:rPr>
        <w:tab/>
      </w:r>
      <w:r>
        <w:rPr>
          <w:sz w:val="22"/>
        </w:rPr>
        <w:t>5</w:t>
      </w:r>
    </w:p>
    <w:p w:rsidR="00C30933" w:rsidRDefault="00F53458">
      <w:pPr>
        <w:pStyle w:val="Heading1"/>
        <w:tabs>
          <w:tab w:val="center" w:pos="1502"/>
        </w:tabs>
        <w:spacing w:after="49"/>
        <w:ind w:left="-15" w:firstLine="0"/>
      </w:pPr>
      <w:bookmarkStart w:id="0" w:name="_Toc20810"/>
      <w:r>
        <w:rPr>
          <w:sz w:val="32"/>
        </w:rPr>
        <w:t>1.</w:t>
      </w:r>
      <w:r>
        <w:rPr>
          <w:sz w:val="32"/>
        </w:rPr>
        <w:tab/>
        <w:t>PURPOSE</w:t>
      </w:r>
      <w:bookmarkEnd w:id="0"/>
    </w:p>
    <w:p w:rsidR="00C30933" w:rsidRDefault="00F53458">
      <w:pPr>
        <w:spacing w:after="220"/>
        <w:ind w:left="690" w:right="0" w:hanging="705"/>
      </w:pPr>
      <w:r>
        <w:rPr>
          <w:b/>
        </w:rPr>
        <w:t xml:space="preserve">1.1 </w:t>
      </w:r>
      <w:r>
        <w:t>The Government Commercial and Grants Digital Team (GCG) within the Government Commercial Function And Gran</w:t>
      </w:r>
      <w:r>
        <w:t>ts Directorate (GCFG) are seeking a supplier that can develop digital products and services on the AWS and Azure platforms.</w:t>
      </w:r>
    </w:p>
    <w:p w:rsidR="00C30933" w:rsidRDefault="00C30933" w:rsidP="00D42B45">
      <w:pPr>
        <w:spacing w:after="197"/>
        <w:ind w:right="0"/>
      </w:pPr>
    </w:p>
    <w:p w:rsidR="00C30933" w:rsidRDefault="00F53458">
      <w:pPr>
        <w:pStyle w:val="Heading1"/>
        <w:tabs>
          <w:tab w:val="center" w:pos="4725"/>
        </w:tabs>
        <w:spacing w:after="49"/>
        <w:ind w:left="-15" w:firstLine="0"/>
      </w:pPr>
      <w:bookmarkStart w:id="1" w:name="_Toc20811"/>
      <w:r>
        <w:rPr>
          <w:sz w:val="32"/>
        </w:rPr>
        <w:t>2.</w:t>
      </w:r>
      <w:r>
        <w:rPr>
          <w:sz w:val="32"/>
        </w:rPr>
        <w:tab/>
        <w:t>BACKGROUND TO THE CONTRACTING AUTHORITY</w:t>
      </w:r>
      <w:bookmarkEnd w:id="1"/>
    </w:p>
    <w:p w:rsidR="00C30933" w:rsidRDefault="00F53458">
      <w:pPr>
        <w:spacing w:after="359" w:line="262" w:lineRule="auto"/>
        <w:ind w:left="-5" w:right="17"/>
        <w:jc w:val="left"/>
      </w:pPr>
      <w:r>
        <w:t>At its inception in April 2022, the Government Commercial and Grants (GCG) Digital team</w:t>
      </w:r>
      <w:r>
        <w:t xml:space="preserve"> took on responsibility for a number of business as usual services. These include Find a Tender, Contracts Finder, Spotlight, </w:t>
      </w:r>
      <w:proofErr w:type="spellStart"/>
      <w:r>
        <w:t>CaSIE</w:t>
      </w:r>
      <w:proofErr w:type="spellEnd"/>
      <w:r>
        <w:t xml:space="preserve"> and GGIS.</w:t>
      </w:r>
    </w:p>
    <w:p w:rsidR="00C30933" w:rsidRDefault="00F53458">
      <w:pPr>
        <w:spacing w:after="37"/>
        <w:ind w:left="-5" w:right="0"/>
      </w:pPr>
      <w:r>
        <w:lastRenderedPageBreak/>
        <w:t>In addition, there are a number of new initiatives that require discovery and development activity, such as but not limited to the Transparency Platform</w:t>
      </w:r>
    </w:p>
    <w:p w:rsidR="00C30933" w:rsidRDefault="00F53458">
      <w:pPr>
        <w:spacing w:after="359" w:line="262" w:lineRule="auto"/>
        <w:ind w:left="-5" w:right="17"/>
        <w:jc w:val="left"/>
      </w:pPr>
      <w:r>
        <w:t xml:space="preserve">(supporting Government’s </w:t>
      </w:r>
      <w:r>
        <w:rPr>
          <w:i/>
        </w:rPr>
        <w:t xml:space="preserve">Transforming Public Procurement </w:t>
      </w:r>
      <w:r>
        <w:t>reform programme) and Plutus (a digital and da</w:t>
      </w:r>
      <w:r>
        <w:t>ta transformation project to increase due diligence capabilities, knowledge and skills relating to threats to National Security).</w:t>
      </w:r>
    </w:p>
    <w:p w:rsidR="00C30933" w:rsidRDefault="00F53458">
      <w:pPr>
        <w:spacing w:after="487" w:line="262" w:lineRule="auto"/>
        <w:ind w:left="-5" w:right="17"/>
        <w:jc w:val="left"/>
      </w:pPr>
      <w:r>
        <w:t>Further to these projects, a number of smaller but high priority requirements have been identified within the Government Comme</w:t>
      </w:r>
      <w:r>
        <w:t>rcial Function and Government Grants Management Function.</w:t>
      </w:r>
    </w:p>
    <w:p w:rsidR="00C30933" w:rsidRDefault="00F53458">
      <w:pPr>
        <w:pStyle w:val="Heading1"/>
        <w:tabs>
          <w:tab w:val="center" w:pos="4620"/>
        </w:tabs>
        <w:ind w:left="-15" w:firstLine="0"/>
      </w:pPr>
      <w:bookmarkStart w:id="2" w:name="_Toc20812"/>
      <w:r>
        <w:rPr>
          <w:sz w:val="32"/>
        </w:rPr>
        <w:t>3.</w:t>
      </w:r>
      <w:r>
        <w:rPr>
          <w:sz w:val="32"/>
        </w:rPr>
        <w:tab/>
        <w:t>B</w:t>
      </w:r>
      <w:r w:rsidRPr="00F2615A">
        <w:rPr>
          <w:sz w:val="32"/>
        </w:rPr>
        <w:t>ACKGROUND TO REQUIREMENT</w:t>
      </w:r>
      <w:r>
        <w:rPr>
          <w:sz w:val="32"/>
        </w:rPr>
        <w:t xml:space="preserve">/OVERVIEW </w:t>
      </w:r>
      <w:r w:rsidRPr="00F2615A">
        <w:rPr>
          <w:sz w:val="32"/>
        </w:rPr>
        <w:t>OF REQUIREMENT</w:t>
      </w:r>
      <w:bookmarkEnd w:id="2"/>
    </w:p>
    <w:p w:rsidR="00C30933" w:rsidRDefault="00F53458">
      <w:pPr>
        <w:spacing w:after="399" w:line="262" w:lineRule="auto"/>
        <w:ind w:left="-5" w:right="17"/>
        <w:jc w:val="left"/>
      </w:pPr>
      <w:r>
        <w:t xml:space="preserve">GCG has a number of existing digital services across the AWS and Azure platforms that have identified areas of development. Alongside this there </w:t>
      </w:r>
      <w:r>
        <w:t>is a backlog of potential new digital services that have completed discovery and await progressing to Alpha. This request seeks to contract a supplier that can build on discovery reports that recommend moving from discovery to Alpha and then Beta.</w:t>
      </w:r>
    </w:p>
    <w:p w:rsidR="00C30933" w:rsidRDefault="00F53458">
      <w:pPr>
        <w:spacing w:after="537"/>
        <w:ind w:left="-5" w:right="0"/>
      </w:pPr>
      <w:r>
        <w:t>The supp</w:t>
      </w:r>
      <w:r>
        <w:t>lier will build and test prototypes through Alpha and Beta phases of Agile delivery in line with the Digital Service Standard and Technology Code of Practice</w:t>
      </w:r>
    </w:p>
    <w:p w:rsidR="00C30933" w:rsidRDefault="00F53458">
      <w:pPr>
        <w:spacing w:after="359" w:line="262" w:lineRule="auto"/>
        <w:ind w:left="-5" w:right="17"/>
        <w:jc w:val="left"/>
      </w:pPr>
      <w:r>
        <w:t xml:space="preserve">The pipeline of these projects is currently unknown but many projects, if taken forward, will aid </w:t>
      </w:r>
      <w:r>
        <w:t>delivery of greater transparency, supplier assurance and improve effectiveness and efficiency across the Government Commercial Function and Government Grants Management Function.</w:t>
      </w:r>
    </w:p>
    <w:p w:rsidR="00C30933" w:rsidRDefault="00F53458">
      <w:pPr>
        <w:spacing w:after="539" w:line="262" w:lineRule="auto"/>
        <w:ind w:left="-5" w:right="17"/>
        <w:jc w:val="left"/>
      </w:pPr>
      <w:r>
        <w:rPr>
          <w:b/>
        </w:rPr>
        <w:t xml:space="preserve">3.1 </w:t>
      </w:r>
      <w:r>
        <w:t>The supplier will be responsible for defined digital outcomes via project</w:t>
      </w:r>
      <w:r>
        <w:t xml:space="preserve"> engagement letter that will define the statement of work. To deliver this the supplier will need to have experience and capabilities in User Research, Business Analysis, Software Development, Technical and Solution Architecture, Data Analysis and Migratio</w:t>
      </w:r>
      <w:r>
        <w:t>n as they progress digital outcomes through Alpha and Beta.</w:t>
      </w:r>
    </w:p>
    <w:p w:rsidR="00C30933" w:rsidRDefault="00F53458">
      <w:pPr>
        <w:spacing w:after="374"/>
        <w:ind w:left="-5" w:right="0"/>
      </w:pPr>
      <w:r>
        <w:t>Each project will be outlined via a project engagement letter confirming the required the required digital output.</w:t>
      </w:r>
    </w:p>
    <w:p w:rsidR="00C30933" w:rsidRDefault="00F53458">
      <w:pPr>
        <w:spacing w:after="396" w:line="265" w:lineRule="auto"/>
        <w:ind w:left="0" w:right="0" w:firstLine="0"/>
        <w:jc w:val="left"/>
      </w:pPr>
      <w:r>
        <w:rPr>
          <w:color w:val="222222"/>
        </w:rPr>
        <w:t xml:space="preserve">Please note that IR35 may apply to some projects and this will be confirmed on a </w:t>
      </w:r>
      <w:r>
        <w:rPr>
          <w:color w:val="222222"/>
        </w:rPr>
        <w:t>case by case basis</w:t>
      </w:r>
    </w:p>
    <w:p w:rsidR="00C30933" w:rsidRDefault="00F53458">
      <w:pPr>
        <w:spacing w:after="399" w:line="262" w:lineRule="auto"/>
        <w:ind w:left="-5" w:right="17"/>
        <w:jc w:val="left"/>
      </w:pPr>
      <w:r>
        <w:lastRenderedPageBreak/>
        <w:t>Each project must also meet the required digital service standards and user needs. Detailed requirements are outlined at the onset of each digital sprint and in sprint planning sessions.</w:t>
      </w:r>
    </w:p>
    <w:p w:rsidR="00C30933" w:rsidRDefault="00F53458">
      <w:pPr>
        <w:spacing w:after="722"/>
        <w:ind w:left="-5" w:right="0"/>
      </w:pPr>
      <w:r>
        <w:t>This is the model we intend to utilise on the wider portfolio of projects listed above. It will also allow us to support any urgent and emergency requirements.</w:t>
      </w:r>
    </w:p>
    <w:p w:rsidR="00C30933" w:rsidRPr="00F2615A" w:rsidRDefault="00F53458">
      <w:pPr>
        <w:pStyle w:val="Heading1"/>
        <w:tabs>
          <w:tab w:val="center" w:pos="1429"/>
        </w:tabs>
        <w:spacing w:after="0"/>
        <w:ind w:left="-15" w:firstLine="0"/>
        <w:rPr>
          <w:sz w:val="32"/>
        </w:rPr>
      </w:pPr>
      <w:bookmarkStart w:id="3" w:name="_Toc20813"/>
      <w:r>
        <w:rPr>
          <w:sz w:val="32"/>
        </w:rPr>
        <w:t>4.</w:t>
      </w:r>
      <w:r>
        <w:rPr>
          <w:sz w:val="32"/>
        </w:rPr>
        <w:tab/>
      </w:r>
      <w:r w:rsidRPr="00F2615A">
        <w:rPr>
          <w:sz w:val="32"/>
        </w:rPr>
        <w:t>DEFINITIONS</w:t>
      </w:r>
      <w:bookmarkEnd w:id="3"/>
    </w:p>
    <w:tbl>
      <w:tblPr>
        <w:tblStyle w:val="TableGrid"/>
        <w:tblW w:w="8620" w:type="dxa"/>
        <w:tblInd w:w="390" w:type="dxa"/>
        <w:tblCellMar>
          <w:top w:w="52" w:type="dxa"/>
          <w:left w:w="120" w:type="dxa"/>
          <w:bottom w:w="0" w:type="dxa"/>
          <w:right w:w="119" w:type="dxa"/>
        </w:tblCellMar>
        <w:tblLook w:val="04A0" w:firstRow="1" w:lastRow="0" w:firstColumn="1" w:lastColumn="0" w:noHBand="0" w:noVBand="1"/>
      </w:tblPr>
      <w:tblGrid>
        <w:gridCol w:w="2340"/>
        <w:gridCol w:w="6280"/>
      </w:tblGrid>
      <w:tr w:rsidR="00C30933">
        <w:trPr>
          <w:trHeight w:val="700"/>
        </w:trPr>
        <w:tc>
          <w:tcPr>
            <w:tcW w:w="2340" w:type="dxa"/>
            <w:tcBorders>
              <w:top w:val="single" w:sz="24" w:space="0" w:color="000000"/>
              <w:left w:val="single" w:sz="24" w:space="0" w:color="000000"/>
              <w:bottom w:val="single" w:sz="8" w:space="0" w:color="000000"/>
              <w:right w:val="single" w:sz="8" w:space="0" w:color="000000"/>
            </w:tcBorders>
            <w:shd w:val="clear" w:color="auto" w:fill="B8CCE4"/>
          </w:tcPr>
          <w:p w:rsidR="00C30933" w:rsidRDefault="00F53458">
            <w:pPr>
              <w:spacing w:after="0" w:line="259" w:lineRule="auto"/>
              <w:ind w:left="0" w:right="0" w:firstLine="0"/>
              <w:jc w:val="left"/>
            </w:pPr>
            <w:r>
              <w:rPr>
                <w:b/>
              </w:rPr>
              <w:t>Expression or Acronym</w:t>
            </w:r>
          </w:p>
        </w:tc>
        <w:tc>
          <w:tcPr>
            <w:tcW w:w="6280" w:type="dxa"/>
            <w:tcBorders>
              <w:top w:val="single" w:sz="24" w:space="0" w:color="000000"/>
              <w:left w:val="single" w:sz="8" w:space="0" w:color="000000"/>
              <w:bottom w:val="single" w:sz="8" w:space="0" w:color="000000"/>
              <w:right w:val="single" w:sz="24" w:space="0" w:color="000000"/>
            </w:tcBorders>
            <w:shd w:val="clear" w:color="auto" w:fill="B8CCE4"/>
          </w:tcPr>
          <w:p w:rsidR="00C30933" w:rsidRDefault="00F53458">
            <w:pPr>
              <w:spacing w:after="0" w:line="259" w:lineRule="auto"/>
              <w:ind w:left="0" w:right="0" w:firstLine="0"/>
              <w:jc w:val="left"/>
            </w:pPr>
            <w:r>
              <w:rPr>
                <w:b/>
              </w:rPr>
              <w:t>Definition</w:t>
            </w:r>
          </w:p>
        </w:tc>
      </w:tr>
      <w:tr w:rsidR="00C30933">
        <w:trPr>
          <w:trHeight w:val="760"/>
        </w:trPr>
        <w:tc>
          <w:tcPr>
            <w:tcW w:w="2340" w:type="dxa"/>
            <w:tcBorders>
              <w:top w:val="single" w:sz="8" w:space="0" w:color="000000"/>
              <w:left w:val="single" w:sz="24" w:space="0" w:color="000000"/>
              <w:bottom w:val="single" w:sz="8" w:space="0" w:color="000000"/>
              <w:right w:val="single" w:sz="8" w:space="0" w:color="000000"/>
            </w:tcBorders>
          </w:tcPr>
          <w:p w:rsidR="00C30933" w:rsidRDefault="00F53458">
            <w:pPr>
              <w:spacing w:after="0" w:line="259" w:lineRule="auto"/>
              <w:ind w:left="0" w:right="0" w:firstLine="0"/>
              <w:jc w:val="left"/>
            </w:pPr>
            <w:proofErr w:type="spellStart"/>
            <w:r>
              <w:t>CaSIE</w:t>
            </w:r>
            <w:proofErr w:type="spellEnd"/>
          </w:p>
        </w:tc>
        <w:tc>
          <w:tcPr>
            <w:tcW w:w="6280" w:type="dxa"/>
            <w:tcBorders>
              <w:top w:val="single" w:sz="8" w:space="0" w:color="000000"/>
              <w:left w:val="single" w:sz="8" w:space="0" w:color="000000"/>
              <w:bottom w:val="single" w:sz="8" w:space="0" w:color="000000"/>
              <w:right w:val="single" w:sz="24" w:space="0" w:color="000000"/>
            </w:tcBorders>
          </w:tcPr>
          <w:p w:rsidR="00C30933" w:rsidRDefault="00F53458">
            <w:pPr>
              <w:spacing w:after="0" w:line="265" w:lineRule="auto"/>
              <w:ind w:left="0" w:right="0" w:firstLine="0"/>
            </w:pPr>
            <w:r>
              <w:rPr>
                <w:sz w:val="22"/>
              </w:rPr>
              <w:t>Contracts and Spend Insights Engine (</w:t>
            </w:r>
            <w:proofErr w:type="spellStart"/>
            <w:r>
              <w:rPr>
                <w:sz w:val="22"/>
              </w:rPr>
              <w:t>CaSI</w:t>
            </w:r>
            <w:r>
              <w:rPr>
                <w:sz w:val="22"/>
              </w:rPr>
              <w:t>E</w:t>
            </w:r>
            <w:proofErr w:type="spellEnd"/>
            <w:r>
              <w:rPr>
                <w:sz w:val="22"/>
              </w:rPr>
              <w:t>): a key commercial information system, currently powered by `Power</w:t>
            </w:r>
          </w:p>
          <w:p w:rsidR="00C30933" w:rsidRDefault="00F53458">
            <w:pPr>
              <w:spacing w:after="0" w:line="259" w:lineRule="auto"/>
              <w:ind w:left="0" w:right="0" w:firstLine="0"/>
              <w:jc w:val="left"/>
            </w:pPr>
            <w:r>
              <w:rPr>
                <w:sz w:val="22"/>
              </w:rPr>
              <w:t>BI’.</w:t>
            </w:r>
          </w:p>
        </w:tc>
      </w:tr>
      <w:tr w:rsidR="00C30933">
        <w:trPr>
          <w:trHeight w:val="520"/>
        </w:trPr>
        <w:tc>
          <w:tcPr>
            <w:tcW w:w="2340" w:type="dxa"/>
            <w:tcBorders>
              <w:top w:val="single" w:sz="8" w:space="0" w:color="000000"/>
              <w:left w:val="single" w:sz="24" w:space="0" w:color="000000"/>
              <w:bottom w:val="single" w:sz="8" w:space="0" w:color="000000"/>
              <w:right w:val="single" w:sz="8" w:space="0" w:color="000000"/>
            </w:tcBorders>
          </w:tcPr>
          <w:p w:rsidR="00C30933" w:rsidRDefault="00F53458">
            <w:pPr>
              <w:spacing w:after="0" w:line="259" w:lineRule="auto"/>
              <w:ind w:left="0" w:right="0" w:firstLine="0"/>
              <w:jc w:val="left"/>
            </w:pPr>
            <w:r>
              <w:t>CCIT</w:t>
            </w:r>
          </w:p>
        </w:tc>
        <w:tc>
          <w:tcPr>
            <w:tcW w:w="6280" w:type="dxa"/>
            <w:tcBorders>
              <w:top w:val="single" w:sz="8" w:space="0" w:color="000000"/>
              <w:left w:val="single" w:sz="8" w:space="0" w:color="000000"/>
              <w:bottom w:val="single" w:sz="8" w:space="0" w:color="000000"/>
              <w:right w:val="single" w:sz="24" w:space="0" w:color="000000"/>
            </w:tcBorders>
          </w:tcPr>
          <w:p w:rsidR="00C30933" w:rsidRDefault="00F53458">
            <w:pPr>
              <w:spacing w:after="0" w:line="259" w:lineRule="auto"/>
              <w:ind w:left="0" w:right="0" w:firstLine="0"/>
            </w:pPr>
            <w:r>
              <w:rPr>
                <w:sz w:val="22"/>
              </w:rPr>
              <w:t>Commercial Continuous Improvement Team (CCIT) part of the Government Commercial Function (GCF).</w:t>
            </w:r>
          </w:p>
        </w:tc>
      </w:tr>
      <w:tr w:rsidR="00C30933">
        <w:trPr>
          <w:trHeight w:val="540"/>
        </w:trPr>
        <w:tc>
          <w:tcPr>
            <w:tcW w:w="2340" w:type="dxa"/>
            <w:tcBorders>
              <w:top w:val="single" w:sz="8" w:space="0" w:color="000000"/>
              <w:left w:val="single" w:sz="24" w:space="0" w:color="000000"/>
              <w:bottom w:val="single" w:sz="8" w:space="0" w:color="000000"/>
              <w:right w:val="single" w:sz="8" w:space="0" w:color="000000"/>
            </w:tcBorders>
          </w:tcPr>
          <w:p w:rsidR="00C30933" w:rsidRDefault="00F53458">
            <w:pPr>
              <w:spacing w:after="0" w:line="259" w:lineRule="auto"/>
              <w:ind w:left="0" w:right="0" w:firstLine="0"/>
              <w:jc w:val="left"/>
            </w:pPr>
            <w:r>
              <w:t>Power BI</w:t>
            </w:r>
          </w:p>
        </w:tc>
        <w:tc>
          <w:tcPr>
            <w:tcW w:w="6280" w:type="dxa"/>
            <w:tcBorders>
              <w:top w:val="single" w:sz="8" w:space="0" w:color="000000"/>
              <w:left w:val="single" w:sz="8" w:space="0" w:color="000000"/>
              <w:bottom w:val="single" w:sz="8" w:space="0" w:color="000000"/>
              <w:right w:val="single" w:sz="24" w:space="0" w:color="000000"/>
            </w:tcBorders>
          </w:tcPr>
          <w:p w:rsidR="00C30933" w:rsidRDefault="00F53458">
            <w:pPr>
              <w:spacing w:after="0" w:line="259" w:lineRule="auto"/>
              <w:ind w:left="0" w:right="0" w:firstLine="0"/>
            </w:pPr>
            <w:r>
              <w:rPr>
                <w:sz w:val="22"/>
              </w:rPr>
              <w:t>Power Business Intelligence: a business analytics service supported by Microsoft, utilised to leverage data insights</w:t>
            </w:r>
          </w:p>
        </w:tc>
      </w:tr>
      <w:tr w:rsidR="00C30933">
        <w:trPr>
          <w:trHeight w:val="540"/>
        </w:trPr>
        <w:tc>
          <w:tcPr>
            <w:tcW w:w="2340" w:type="dxa"/>
            <w:tcBorders>
              <w:top w:val="single" w:sz="8" w:space="0" w:color="000000"/>
              <w:left w:val="single" w:sz="24" w:space="0" w:color="000000"/>
              <w:bottom w:val="single" w:sz="8" w:space="0" w:color="000000"/>
              <w:right w:val="single" w:sz="8" w:space="0" w:color="000000"/>
            </w:tcBorders>
          </w:tcPr>
          <w:p w:rsidR="00C30933" w:rsidRDefault="00F53458">
            <w:pPr>
              <w:spacing w:after="0" w:line="259" w:lineRule="auto"/>
              <w:ind w:left="0" w:right="0" w:firstLine="0"/>
              <w:jc w:val="left"/>
            </w:pPr>
            <w:r>
              <w:t>API</w:t>
            </w:r>
          </w:p>
        </w:tc>
        <w:tc>
          <w:tcPr>
            <w:tcW w:w="6280" w:type="dxa"/>
            <w:tcBorders>
              <w:top w:val="single" w:sz="8" w:space="0" w:color="000000"/>
              <w:left w:val="single" w:sz="8" w:space="0" w:color="000000"/>
              <w:bottom w:val="single" w:sz="8" w:space="0" w:color="000000"/>
              <w:right w:val="single" w:sz="24" w:space="0" w:color="000000"/>
            </w:tcBorders>
          </w:tcPr>
          <w:p w:rsidR="00C30933" w:rsidRDefault="00F53458">
            <w:pPr>
              <w:spacing w:after="0" w:line="259" w:lineRule="auto"/>
              <w:ind w:left="0" w:right="0" w:firstLine="0"/>
            </w:pPr>
            <w:r>
              <w:rPr>
                <w:color w:val="222222"/>
                <w:sz w:val="22"/>
              </w:rPr>
              <w:t>An application program interface (API) is a set of routines, protocols, and tools for building software applications.</w:t>
            </w:r>
          </w:p>
        </w:tc>
      </w:tr>
      <w:tr w:rsidR="00C30933">
        <w:trPr>
          <w:trHeight w:val="1020"/>
        </w:trPr>
        <w:tc>
          <w:tcPr>
            <w:tcW w:w="2340" w:type="dxa"/>
            <w:tcBorders>
              <w:top w:val="single" w:sz="8" w:space="0" w:color="000000"/>
              <w:left w:val="single" w:sz="24" w:space="0" w:color="000000"/>
              <w:bottom w:val="single" w:sz="8" w:space="0" w:color="000000"/>
              <w:right w:val="single" w:sz="8" w:space="0" w:color="000000"/>
            </w:tcBorders>
          </w:tcPr>
          <w:p w:rsidR="00C30933" w:rsidRDefault="00F53458">
            <w:pPr>
              <w:spacing w:after="0" w:line="259" w:lineRule="auto"/>
              <w:ind w:left="0" w:right="0" w:firstLine="0"/>
            </w:pPr>
            <w:proofErr w:type="spellStart"/>
            <w:r>
              <w:t>Atamis</w:t>
            </w:r>
            <w:proofErr w:type="spellEnd"/>
            <w:r>
              <w:t>, Jaggaer, SAP Ariba</w:t>
            </w:r>
          </w:p>
        </w:tc>
        <w:tc>
          <w:tcPr>
            <w:tcW w:w="6280" w:type="dxa"/>
            <w:tcBorders>
              <w:top w:val="single" w:sz="8" w:space="0" w:color="000000"/>
              <w:left w:val="single" w:sz="8" w:space="0" w:color="000000"/>
              <w:bottom w:val="single" w:sz="8" w:space="0" w:color="000000"/>
              <w:right w:val="single" w:sz="24" w:space="0" w:color="000000"/>
            </w:tcBorders>
          </w:tcPr>
          <w:p w:rsidR="00C30933" w:rsidRDefault="00F53458">
            <w:pPr>
              <w:spacing w:after="0" w:line="259" w:lineRule="auto"/>
              <w:ind w:left="0" w:right="0" w:firstLine="0"/>
            </w:pPr>
            <w:r>
              <w:rPr>
                <w:color w:val="222222"/>
                <w:sz w:val="22"/>
              </w:rPr>
              <w:t xml:space="preserve">Examples of 3rd party commercial systems used within central Government departments. These are the platforms that contain the source information required to be pulled into the </w:t>
            </w:r>
            <w:proofErr w:type="spellStart"/>
            <w:r>
              <w:rPr>
                <w:color w:val="222222"/>
                <w:sz w:val="22"/>
              </w:rPr>
              <w:t>CaSIE</w:t>
            </w:r>
            <w:proofErr w:type="spellEnd"/>
            <w:r>
              <w:rPr>
                <w:color w:val="222222"/>
                <w:sz w:val="22"/>
              </w:rPr>
              <w:t xml:space="preserve"> reporting platform.</w:t>
            </w:r>
          </w:p>
        </w:tc>
      </w:tr>
      <w:tr w:rsidR="00C30933">
        <w:trPr>
          <w:trHeight w:val="560"/>
        </w:trPr>
        <w:tc>
          <w:tcPr>
            <w:tcW w:w="2340" w:type="dxa"/>
            <w:tcBorders>
              <w:top w:val="single" w:sz="8" w:space="0" w:color="000000"/>
              <w:left w:val="single" w:sz="24" w:space="0" w:color="000000"/>
              <w:bottom w:val="single" w:sz="24" w:space="0" w:color="000000"/>
              <w:right w:val="single" w:sz="8" w:space="0" w:color="000000"/>
            </w:tcBorders>
          </w:tcPr>
          <w:p w:rsidR="00C30933" w:rsidRDefault="00F53458">
            <w:pPr>
              <w:spacing w:after="0" w:line="259" w:lineRule="auto"/>
              <w:ind w:left="0" w:right="0" w:firstLine="0"/>
              <w:jc w:val="left"/>
            </w:pPr>
            <w:r>
              <w:t>CDIO</w:t>
            </w:r>
          </w:p>
        </w:tc>
        <w:tc>
          <w:tcPr>
            <w:tcW w:w="6280" w:type="dxa"/>
            <w:tcBorders>
              <w:top w:val="single" w:sz="8" w:space="0" w:color="000000"/>
              <w:left w:val="single" w:sz="8" w:space="0" w:color="000000"/>
              <w:bottom w:val="single" w:sz="24" w:space="0" w:color="000000"/>
              <w:right w:val="single" w:sz="24" w:space="0" w:color="000000"/>
            </w:tcBorders>
          </w:tcPr>
          <w:p w:rsidR="00C30933" w:rsidRDefault="00F53458">
            <w:pPr>
              <w:spacing w:after="0" w:line="259" w:lineRule="auto"/>
              <w:ind w:left="0" w:right="0" w:firstLine="0"/>
              <w:jc w:val="left"/>
            </w:pPr>
            <w:r>
              <w:rPr>
                <w:color w:val="222222"/>
                <w:sz w:val="22"/>
              </w:rPr>
              <w:t>Cabinet Office Digital Information Office</w:t>
            </w:r>
          </w:p>
        </w:tc>
      </w:tr>
    </w:tbl>
    <w:p w:rsidR="00C30933" w:rsidRPr="00F2615A" w:rsidRDefault="00F53458">
      <w:pPr>
        <w:pStyle w:val="Heading1"/>
        <w:tabs>
          <w:tab w:val="center" w:pos="2183"/>
        </w:tabs>
        <w:ind w:left="-15" w:firstLine="0"/>
        <w:rPr>
          <w:sz w:val="32"/>
        </w:rPr>
      </w:pPr>
      <w:bookmarkStart w:id="4" w:name="_Toc20814"/>
      <w:r>
        <w:rPr>
          <w:sz w:val="32"/>
        </w:rPr>
        <w:t>5.</w:t>
      </w:r>
      <w:r>
        <w:rPr>
          <w:sz w:val="32"/>
        </w:rPr>
        <w:tab/>
      </w:r>
      <w:r w:rsidRPr="00F2615A">
        <w:rPr>
          <w:sz w:val="32"/>
        </w:rPr>
        <w:t>SCOPE OF REQUIREMENT</w:t>
      </w:r>
      <w:bookmarkEnd w:id="4"/>
    </w:p>
    <w:p w:rsidR="00C30933" w:rsidRDefault="00F53458">
      <w:pPr>
        <w:spacing w:after="391"/>
        <w:ind w:left="690" w:right="0" w:hanging="705"/>
      </w:pPr>
      <w:r>
        <w:t xml:space="preserve">5.1 Each project / </w:t>
      </w:r>
      <w:r>
        <w:t>outcome will be defined to the supplier via a Project Engagement Letter. The outcomes will vary from developing an existing service to building an entirely new digital service on the AWS or Azure platforms.</w:t>
      </w:r>
    </w:p>
    <w:p w:rsidR="00C30933" w:rsidRDefault="00F53458">
      <w:pPr>
        <w:numPr>
          <w:ilvl w:val="0"/>
          <w:numId w:val="2"/>
        </w:numPr>
        <w:spacing w:after="277"/>
        <w:ind w:right="0" w:hanging="720"/>
      </w:pPr>
      <w:r>
        <w:t>All work will be carried out in accordance with t</w:t>
      </w:r>
      <w:r>
        <w:t>he Digital Service Standard and Technology Code of Practice.</w:t>
      </w:r>
    </w:p>
    <w:p w:rsidR="00C30933" w:rsidRDefault="00F53458">
      <w:pPr>
        <w:numPr>
          <w:ilvl w:val="0"/>
          <w:numId w:val="2"/>
        </w:numPr>
        <w:ind w:right="0" w:hanging="720"/>
      </w:pPr>
      <w:r>
        <w:t>As the development progresses the supplier will be responsible for preparing for passing Alpha and Beta service assessments.</w:t>
      </w:r>
    </w:p>
    <w:p w:rsidR="00C30933" w:rsidRDefault="00F53458">
      <w:pPr>
        <w:numPr>
          <w:ilvl w:val="0"/>
          <w:numId w:val="2"/>
        </w:numPr>
        <w:ind w:right="0" w:hanging="720"/>
      </w:pPr>
      <w:r>
        <w:t>Please see;</w:t>
      </w:r>
    </w:p>
    <w:p w:rsidR="00C30933" w:rsidRDefault="00F53458">
      <w:pPr>
        <w:tabs>
          <w:tab w:val="center" w:pos="987"/>
          <w:tab w:val="center" w:pos="3325"/>
        </w:tabs>
        <w:spacing w:after="6" w:line="259" w:lineRule="auto"/>
        <w:ind w:left="0" w:right="0" w:firstLine="0"/>
        <w:jc w:val="left"/>
      </w:pPr>
      <w:r>
        <w:rPr>
          <w:rFonts w:ascii="Calibri" w:eastAsia="Calibri" w:hAnsi="Calibri" w:cs="Calibri"/>
          <w:sz w:val="22"/>
        </w:rPr>
        <w:tab/>
      </w:r>
      <w:r>
        <w:t>8.1.1</w:t>
      </w:r>
      <w:r>
        <w:tab/>
      </w:r>
      <w:hyperlink r:id="rId8">
        <w:r>
          <w:rPr>
            <w:color w:val="1155CC"/>
            <w:u w:val="single" w:color="1155CC"/>
          </w:rPr>
          <w:t>How</w:t>
        </w:r>
      </w:hyperlink>
      <w:r>
        <w:rPr>
          <w:color w:val="1155CC"/>
          <w:u w:val="single" w:color="1155CC"/>
        </w:rPr>
        <w:t xml:space="preserve"> </w:t>
      </w:r>
      <w:hyperlink r:id="rId9">
        <w:r>
          <w:rPr>
            <w:color w:val="1155CC"/>
            <w:u w:val="single" w:color="1155CC"/>
          </w:rPr>
          <w:t>the</w:t>
        </w:r>
      </w:hyperlink>
      <w:r>
        <w:rPr>
          <w:color w:val="1155CC"/>
          <w:u w:val="single" w:color="1155CC"/>
        </w:rPr>
        <w:t xml:space="preserve"> </w:t>
      </w:r>
      <w:hyperlink r:id="rId10">
        <w:r>
          <w:rPr>
            <w:color w:val="1155CC"/>
            <w:u w:val="single" w:color="1155CC"/>
          </w:rPr>
          <w:t>Alpha</w:t>
        </w:r>
      </w:hyperlink>
      <w:r>
        <w:rPr>
          <w:color w:val="1155CC"/>
          <w:u w:val="single" w:color="1155CC"/>
        </w:rPr>
        <w:t xml:space="preserve"> </w:t>
      </w:r>
      <w:hyperlink r:id="rId11">
        <w:r>
          <w:rPr>
            <w:color w:val="1155CC"/>
            <w:u w:val="single" w:color="1155CC"/>
          </w:rPr>
          <w:t>Phase</w:t>
        </w:r>
      </w:hyperlink>
      <w:r>
        <w:rPr>
          <w:color w:val="1155CC"/>
          <w:u w:val="single" w:color="1155CC"/>
        </w:rPr>
        <w:t xml:space="preserve"> </w:t>
      </w:r>
      <w:hyperlink r:id="rId12">
        <w:r>
          <w:rPr>
            <w:color w:val="1155CC"/>
            <w:u w:val="single" w:color="1155CC"/>
          </w:rPr>
          <w:t>Works</w:t>
        </w:r>
      </w:hyperlink>
    </w:p>
    <w:p w:rsidR="00C30933" w:rsidRDefault="00F53458">
      <w:pPr>
        <w:tabs>
          <w:tab w:val="center" w:pos="987"/>
          <w:tab w:val="center" w:pos="3265"/>
        </w:tabs>
        <w:spacing w:after="260" w:line="259" w:lineRule="auto"/>
        <w:ind w:left="0" w:right="0" w:firstLine="0"/>
        <w:jc w:val="left"/>
      </w:pPr>
      <w:r>
        <w:rPr>
          <w:rFonts w:ascii="Calibri" w:eastAsia="Calibri" w:hAnsi="Calibri" w:cs="Calibri"/>
          <w:sz w:val="22"/>
        </w:rPr>
        <w:lastRenderedPageBreak/>
        <w:tab/>
      </w:r>
      <w:r>
        <w:t>8.1.2</w:t>
      </w:r>
      <w:r>
        <w:tab/>
      </w:r>
      <w:hyperlink r:id="rId13">
        <w:r>
          <w:rPr>
            <w:color w:val="1155CC"/>
            <w:u w:val="single" w:color="1155CC"/>
          </w:rPr>
          <w:t>How</w:t>
        </w:r>
      </w:hyperlink>
      <w:r>
        <w:rPr>
          <w:color w:val="1155CC"/>
          <w:u w:val="single" w:color="1155CC"/>
        </w:rPr>
        <w:t xml:space="preserve"> </w:t>
      </w:r>
      <w:hyperlink r:id="rId14">
        <w:r>
          <w:rPr>
            <w:color w:val="1155CC"/>
            <w:u w:val="single" w:color="1155CC"/>
          </w:rPr>
          <w:t>the</w:t>
        </w:r>
      </w:hyperlink>
      <w:r>
        <w:rPr>
          <w:color w:val="1155CC"/>
          <w:u w:val="single" w:color="1155CC"/>
        </w:rPr>
        <w:t xml:space="preserve"> </w:t>
      </w:r>
      <w:hyperlink r:id="rId15">
        <w:r>
          <w:rPr>
            <w:color w:val="1155CC"/>
            <w:u w:val="single" w:color="1155CC"/>
          </w:rPr>
          <w:t>Beta</w:t>
        </w:r>
      </w:hyperlink>
      <w:r>
        <w:rPr>
          <w:color w:val="1155CC"/>
          <w:u w:val="single" w:color="1155CC"/>
        </w:rPr>
        <w:t xml:space="preserve"> </w:t>
      </w:r>
      <w:hyperlink r:id="rId16">
        <w:r>
          <w:rPr>
            <w:color w:val="1155CC"/>
            <w:u w:val="single" w:color="1155CC"/>
          </w:rPr>
          <w:t>Phase</w:t>
        </w:r>
      </w:hyperlink>
      <w:r>
        <w:rPr>
          <w:color w:val="1155CC"/>
          <w:u w:val="single" w:color="1155CC"/>
        </w:rPr>
        <w:t xml:space="preserve"> </w:t>
      </w:r>
      <w:hyperlink r:id="rId17">
        <w:r>
          <w:rPr>
            <w:color w:val="1155CC"/>
            <w:u w:val="single" w:color="1155CC"/>
          </w:rPr>
          <w:t>Works</w:t>
        </w:r>
      </w:hyperlink>
    </w:p>
    <w:p w:rsidR="00C30933" w:rsidRDefault="00F53458">
      <w:pPr>
        <w:numPr>
          <w:ilvl w:val="0"/>
          <w:numId w:val="2"/>
        </w:numPr>
        <w:spacing w:after="279" w:line="262" w:lineRule="auto"/>
        <w:ind w:right="0" w:hanging="720"/>
      </w:pPr>
      <w:r>
        <w:t>The supplier will be responsible for coordinating user research activity and testi</w:t>
      </w:r>
      <w:r>
        <w:t>ng and data analysis. The scope of the project will also include developing prototypes or proof-of-concepts solutions to test new ideas or hypotheses. This may involve using design tools and methodologies, such as wireframing, user journey mapping and iter</w:t>
      </w:r>
      <w:r>
        <w:t>ative testing.</w:t>
      </w:r>
      <w:r w:rsidR="00D42B45">
        <w:t xml:space="preserve"> </w:t>
      </w:r>
      <w:proofErr w:type="gramStart"/>
      <w:r>
        <w:t>The</w:t>
      </w:r>
      <w:proofErr w:type="gramEnd"/>
      <w:r>
        <w:t xml:space="preserve"> goal of each project will be set out in a project engagement letter which will be issued to the supplier. This will be accompanied by the discovery report which will include recommendations and work done to date.</w:t>
      </w:r>
    </w:p>
    <w:p w:rsidR="00C30933" w:rsidRDefault="00F53458">
      <w:pPr>
        <w:ind w:left="730" w:right="0"/>
      </w:pPr>
      <w:r>
        <w:t>Each build will need to f</w:t>
      </w:r>
      <w:r>
        <w:t>actor in and take account of;</w:t>
      </w:r>
    </w:p>
    <w:p w:rsidR="00C30933" w:rsidRDefault="00F53458">
      <w:pPr>
        <w:numPr>
          <w:ilvl w:val="1"/>
          <w:numId w:val="2"/>
        </w:numPr>
        <w:ind w:right="0" w:hanging="360"/>
      </w:pPr>
      <w:r>
        <w:t>Accessibility requirements and relevant standards</w:t>
      </w:r>
    </w:p>
    <w:p w:rsidR="00C30933" w:rsidRDefault="00F53458">
      <w:pPr>
        <w:numPr>
          <w:ilvl w:val="1"/>
          <w:numId w:val="2"/>
        </w:numPr>
        <w:ind w:right="0" w:hanging="360"/>
      </w:pPr>
      <w:r>
        <w:t>Legislation</w:t>
      </w:r>
    </w:p>
    <w:p w:rsidR="00C30933" w:rsidRDefault="00F53458">
      <w:pPr>
        <w:numPr>
          <w:ilvl w:val="1"/>
          <w:numId w:val="2"/>
        </w:numPr>
        <w:ind w:right="0" w:hanging="360"/>
      </w:pPr>
      <w:r>
        <w:t>Existing contractual commitments</w:t>
      </w:r>
    </w:p>
    <w:p w:rsidR="00C30933" w:rsidRDefault="00F53458">
      <w:pPr>
        <w:numPr>
          <w:ilvl w:val="1"/>
          <w:numId w:val="2"/>
        </w:numPr>
        <w:ind w:right="0" w:hanging="360"/>
      </w:pPr>
      <w:r>
        <w:t>Legacy technology</w:t>
      </w:r>
    </w:p>
    <w:p w:rsidR="00C30933" w:rsidRDefault="00F53458">
      <w:pPr>
        <w:numPr>
          <w:ilvl w:val="1"/>
          <w:numId w:val="2"/>
        </w:numPr>
        <w:ind w:right="0" w:hanging="360"/>
      </w:pPr>
      <w:r>
        <w:t>Existing processes and systems</w:t>
      </w:r>
    </w:p>
    <w:p w:rsidR="00C30933" w:rsidRDefault="00F53458">
      <w:pPr>
        <w:numPr>
          <w:ilvl w:val="1"/>
          <w:numId w:val="2"/>
        </w:numPr>
        <w:ind w:right="0" w:hanging="360"/>
      </w:pPr>
      <w:r>
        <w:t>Define potential benefits and risks</w:t>
      </w:r>
    </w:p>
    <w:p w:rsidR="00C30933" w:rsidRDefault="00F53458">
      <w:pPr>
        <w:numPr>
          <w:ilvl w:val="1"/>
          <w:numId w:val="2"/>
        </w:numPr>
        <w:spacing w:after="554"/>
        <w:ind w:right="0" w:hanging="360"/>
      </w:pPr>
      <w:r>
        <w:t>Business as usual operating model</w:t>
      </w:r>
    </w:p>
    <w:p w:rsidR="00C30933" w:rsidRDefault="00F53458">
      <w:pPr>
        <w:spacing w:after="272" w:line="262" w:lineRule="auto"/>
        <w:ind w:left="-5" w:right="17"/>
        <w:jc w:val="left"/>
      </w:pPr>
      <w:r>
        <w:t>To complete work throughout the Alpha and Beta phases the supplier will need to have the ability to deploy a full multi-disciplinary team. This will include capabilities across the following; It is not expected that each discovery will draw on every capabi</w:t>
      </w:r>
      <w:r>
        <w:t>lity.</w:t>
      </w:r>
    </w:p>
    <w:p w:rsidR="00C30933" w:rsidRDefault="00F53458">
      <w:pPr>
        <w:numPr>
          <w:ilvl w:val="1"/>
          <w:numId w:val="2"/>
        </w:numPr>
        <w:ind w:right="0" w:hanging="360"/>
      </w:pPr>
      <w:r>
        <w:t>User Research</w:t>
      </w:r>
    </w:p>
    <w:p w:rsidR="00C30933" w:rsidRDefault="00F53458">
      <w:pPr>
        <w:numPr>
          <w:ilvl w:val="1"/>
          <w:numId w:val="2"/>
        </w:numPr>
        <w:ind w:right="0" w:hanging="360"/>
      </w:pPr>
      <w:r>
        <w:t>Business Analysis</w:t>
      </w:r>
    </w:p>
    <w:p w:rsidR="00C30933" w:rsidRDefault="00F53458">
      <w:pPr>
        <w:numPr>
          <w:ilvl w:val="1"/>
          <w:numId w:val="2"/>
        </w:numPr>
        <w:ind w:right="0" w:hanging="360"/>
      </w:pPr>
      <w:r>
        <w:t>Service / Interaction Designers</w:t>
      </w:r>
    </w:p>
    <w:p w:rsidR="00C30933" w:rsidRDefault="00F53458">
      <w:pPr>
        <w:numPr>
          <w:ilvl w:val="1"/>
          <w:numId w:val="2"/>
        </w:numPr>
        <w:ind w:right="0" w:hanging="360"/>
      </w:pPr>
      <w:r>
        <w:t>Content Designers</w:t>
      </w:r>
    </w:p>
    <w:p w:rsidR="00C30933" w:rsidRDefault="00F53458">
      <w:pPr>
        <w:numPr>
          <w:ilvl w:val="1"/>
          <w:numId w:val="2"/>
        </w:numPr>
        <w:ind w:right="0" w:hanging="360"/>
      </w:pPr>
      <w:r>
        <w:t>Technical / Solution Architecture</w:t>
      </w:r>
    </w:p>
    <w:p w:rsidR="00C30933" w:rsidRDefault="00F53458">
      <w:pPr>
        <w:numPr>
          <w:ilvl w:val="1"/>
          <w:numId w:val="2"/>
        </w:numPr>
        <w:ind w:right="0" w:hanging="360"/>
      </w:pPr>
      <w:r>
        <w:t>Software Developers</w:t>
      </w:r>
    </w:p>
    <w:p w:rsidR="00C30933" w:rsidRDefault="00F53458">
      <w:pPr>
        <w:numPr>
          <w:ilvl w:val="1"/>
          <w:numId w:val="2"/>
        </w:numPr>
        <w:ind w:right="0" w:hanging="360"/>
      </w:pPr>
      <w:r>
        <w:t>Data Analysis / Architecture</w:t>
      </w:r>
    </w:p>
    <w:p w:rsidR="00C30933" w:rsidRDefault="00F53458">
      <w:pPr>
        <w:numPr>
          <w:ilvl w:val="1"/>
          <w:numId w:val="2"/>
        </w:numPr>
        <w:ind w:right="0" w:hanging="360"/>
      </w:pPr>
      <w:r>
        <w:t>Product Management</w:t>
      </w:r>
    </w:p>
    <w:p w:rsidR="00C30933" w:rsidRDefault="00F53458">
      <w:pPr>
        <w:numPr>
          <w:ilvl w:val="1"/>
          <w:numId w:val="2"/>
        </w:numPr>
        <w:ind w:right="0" w:hanging="360"/>
      </w:pPr>
      <w:r>
        <w:t>Delivery Management</w:t>
      </w:r>
    </w:p>
    <w:p w:rsidR="00C30933" w:rsidRDefault="00F53458">
      <w:pPr>
        <w:numPr>
          <w:ilvl w:val="1"/>
          <w:numId w:val="2"/>
        </w:numPr>
        <w:spacing w:after="578"/>
        <w:ind w:right="0" w:hanging="360"/>
      </w:pPr>
      <w:r>
        <w:t>Performance Analysis</w:t>
      </w:r>
    </w:p>
    <w:p w:rsidR="00C30933" w:rsidRDefault="00F53458">
      <w:pPr>
        <w:spacing w:after="1171" w:line="265" w:lineRule="auto"/>
        <w:ind w:left="0" w:right="0" w:firstLine="0"/>
        <w:jc w:val="left"/>
      </w:pPr>
      <w:r>
        <w:rPr>
          <w:color w:val="0B0C0C"/>
        </w:rPr>
        <w:t>The Alpha and Beta phases</w:t>
      </w:r>
      <w:r>
        <w:rPr>
          <w:color w:val="0B0C0C"/>
        </w:rPr>
        <w:t xml:space="preserve"> will be complete when the relevant service assessment is passed.</w:t>
      </w:r>
    </w:p>
    <w:p w:rsidR="00C30933" w:rsidRPr="00F2615A" w:rsidRDefault="00F53458">
      <w:pPr>
        <w:pStyle w:val="Heading1"/>
        <w:tabs>
          <w:tab w:val="center" w:pos="1845"/>
        </w:tabs>
        <w:ind w:left="-15" w:firstLine="0"/>
        <w:rPr>
          <w:sz w:val="32"/>
        </w:rPr>
      </w:pPr>
      <w:bookmarkStart w:id="5" w:name="_Toc20815"/>
      <w:r>
        <w:rPr>
          <w:sz w:val="32"/>
        </w:rPr>
        <w:lastRenderedPageBreak/>
        <w:t>10.</w:t>
      </w:r>
      <w:r>
        <w:rPr>
          <w:sz w:val="32"/>
        </w:rPr>
        <w:tab/>
        <w:t>T</w:t>
      </w:r>
      <w:r w:rsidRPr="00F2615A">
        <w:rPr>
          <w:sz w:val="32"/>
        </w:rPr>
        <w:t>HE REQUIREMENT</w:t>
      </w:r>
      <w:bookmarkEnd w:id="5"/>
    </w:p>
    <w:p w:rsidR="00C30933" w:rsidRDefault="00F53458">
      <w:pPr>
        <w:spacing w:after="115"/>
        <w:ind w:left="690" w:right="0" w:hanging="705"/>
      </w:pPr>
      <w:r>
        <w:t>10.1 To meet the scope of the requirement in terms of delivery and quality. Each project will be set out in a project engagement letter. Requirements will include;</w:t>
      </w:r>
    </w:p>
    <w:p w:rsidR="00C30933" w:rsidRDefault="00F53458">
      <w:pPr>
        <w:numPr>
          <w:ilvl w:val="0"/>
          <w:numId w:val="3"/>
        </w:numPr>
        <w:ind w:right="0" w:hanging="1080"/>
      </w:pPr>
      <w:r>
        <w:t>User Research and Testing. Arranging stakeholder workshops to test hypotheses.</w:t>
      </w:r>
    </w:p>
    <w:p w:rsidR="00C30933" w:rsidRDefault="00F53458">
      <w:pPr>
        <w:numPr>
          <w:ilvl w:val="0"/>
          <w:numId w:val="3"/>
        </w:numPr>
        <w:ind w:right="0" w:hanging="1080"/>
      </w:pPr>
      <w:r>
        <w:t>Business analysis</w:t>
      </w:r>
    </w:p>
    <w:p w:rsidR="00C30933" w:rsidRDefault="00F53458">
      <w:pPr>
        <w:numPr>
          <w:ilvl w:val="0"/>
          <w:numId w:val="3"/>
        </w:numPr>
        <w:ind w:right="0" w:hanging="1080"/>
      </w:pPr>
      <w:r>
        <w:t>Completing project plans and documentation, this</w:t>
      </w:r>
    </w:p>
    <w:p w:rsidR="00C30933" w:rsidRDefault="00F53458">
      <w:pPr>
        <w:spacing w:after="6" w:line="259" w:lineRule="auto"/>
        <w:ind w:left="0" w:right="62" w:firstLine="0"/>
        <w:jc w:val="right"/>
      </w:pPr>
      <w:r>
        <w:t>includes and technical / solution architecture documents.</w:t>
      </w:r>
    </w:p>
    <w:p w:rsidR="00C30933" w:rsidRDefault="00F53458">
      <w:pPr>
        <w:numPr>
          <w:ilvl w:val="0"/>
          <w:numId w:val="3"/>
        </w:numPr>
        <w:ind w:right="0" w:hanging="1080"/>
      </w:pPr>
      <w:r>
        <w:t>Development costs and ongoing business as usual oper</w:t>
      </w:r>
      <w:r>
        <w:t>ating costs and model.</w:t>
      </w:r>
    </w:p>
    <w:p w:rsidR="00C30933" w:rsidRDefault="00F53458">
      <w:pPr>
        <w:numPr>
          <w:ilvl w:val="0"/>
          <w:numId w:val="3"/>
        </w:numPr>
        <w:spacing w:after="255"/>
        <w:ind w:right="0" w:hanging="1080"/>
      </w:pPr>
      <w:r>
        <w:t>Preparing for and passing service assessments.</w:t>
      </w:r>
    </w:p>
    <w:p w:rsidR="00C30933" w:rsidRDefault="00F53458">
      <w:pPr>
        <w:numPr>
          <w:ilvl w:val="1"/>
          <w:numId w:val="4"/>
        </w:numPr>
        <w:spacing w:after="397"/>
        <w:ind w:right="0" w:hanging="720"/>
      </w:pPr>
      <w:r>
        <w:t>Individual projects will be developed which will be scoped and an estimate of cost provided by the supplier. The supplier will be responsible for effective project management including e</w:t>
      </w:r>
      <w:r>
        <w:t>scalation of risks and issues and maintenance and reporting of a project plan.</w:t>
      </w:r>
    </w:p>
    <w:p w:rsidR="00C30933" w:rsidRDefault="00F53458">
      <w:pPr>
        <w:numPr>
          <w:ilvl w:val="1"/>
          <w:numId w:val="4"/>
        </w:numPr>
        <w:spacing w:after="121"/>
        <w:ind w:right="0" w:hanging="720"/>
      </w:pPr>
      <w:r>
        <w:t>All changes and new features/releases to be available for testing on a development system prior to release.</w:t>
      </w:r>
    </w:p>
    <w:p w:rsidR="00C30933" w:rsidRDefault="00F53458">
      <w:pPr>
        <w:numPr>
          <w:ilvl w:val="1"/>
          <w:numId w:val="4"/>
        </w:numPr>
        <w:spacing w:after="336"/>
        <w:ind w:right="0" w:hanging="720"/>
      </w:pPr>
      <w:r>
        <w:t>Clear documentation both technical and for end users to be created as</w:t>
      </w:r>
      <w:r>
        <w:t xml:space="preserve"> a key part of all engagements.</w:t>
      </w:r>
    </w:p>
    <w:p w:rsidR="00C30933" w:rsidRDefault="00F53458">
      <w:pPr>
        <w:numPr>
          <w:ilvl w:val="0"/>
          <w:numId w:val="5"/>
        </w:numPr>
        <w:spacing w:after="49" w:line="259" w:lineRule="auto"/>
        <w:ind w:right="0" w:hanging="705"/>
        <w:jc w:val="left"/>
      </w:pPr>
      <w:r>
        <w:rPr>
          <w:b/>
          <w:sz w:val="32"/>
        </w:rPr>
        <w:t>MANAGEMENT INFORMATION/REPORTING</w:t>
      </w:r>
    </w:p>
    <w:p w:rsidR="00C30933" w:rsidRDefault="00F53458">
      <w:pPr>
        <w:ind w:left="690" w:right="0" w:hanging="705"/>
      </w:pPr>
      <w:r>
        <w:t>11.1 Supplier to provide monthly management information on work conducted under this agreement detailing time and costs and remaining budget. Project plans to be scoped for individual project</w:t>
      </w:r>
      <w:r>
        <w:t>s with monitoring and weekly reports provided during development sprints.</w:t>
      </w:r>
    </w:p>
    <w:p w:rsidR="00C30933" w:rsidRPr="00F2615A" w:rsidRDefault="00F53458">
      <w:pPr>
        <w:pStyle w:val="Heading2"/>
        <w:ind w:left="-5"/>
        <w:rPr>
          <w:sz w:val="32"/>
        </w:rPr>
      </w:pPr>
      <w:r>
        <w:rPr>
          <w:sz w:val="32"/>
        </w:rPr>
        <w:t xml:space="preserve">12. </w:t>
      </w:r>
      <w:r w:rsidRPr="00F2615A">
        <w:rPr>
          <w:sz w:val="32"/>
        </w:rPr>
        <w:t>CONTINUOUS IMPROVEMENT</w:t>
      </w:r>
    </w:p>
    <w:p w:rsidR="00C30933" w:rsidRDefault="00F53458">
      <w:pPr>
        <w:spacing w:after="121"/>
        <w:ind w:left="690" w:right="0" w:hanging="705"/>
      </w:pPr>
      <w:r>
        <w:t>12.1 The Supplier will be expected to continually improve the way in which the required Services are to be delivered throughout the Contract duration.</w:t>
      </w:r>
    </w:p>
    <w:p w:rsidR="00C30933" w:rsidRDefault="00F53458">
      <w:pPr>
        <w:spacing w:after="121"/>
        <w:ind w:left="690" w:right="0" w:hanging="705"/>
      </w:pPr>
      <w:r>
        <w:t>12.2 The Supplier should present new ways of working to the Authority during monthly Contract review meetings.</w:t>
      </w:r>
    </w:p>
    <w:p w:rsidR="00C30933" w:rsidRDefault="00F53458">
      <w:pPr>
        <w:spacing w:after="248"/>
        <w:ind w:left="690" w:right="0" w:hanging="705"/>
      </w:pPr>
      <w:r>
        <w:t>12.3 Changes to the way in which the Services are to be delivered must be brought to the Authority’s attention and agreed prior to any changes be</w:t>
      </w:r>
      <w:r>
        <w:t>ing implemented.</w:t>
      </w:r>
    </w:p>
    <w:p w:rsidR="00C30933" w:rsidRPr="00F2615A" w:rsidRDefault="00F53458">
      <w:pPr>
        <w:pStyle w:val="Heading2"/>
        <w:tabs>
          <w:tab w:val="center" w:pos="1670"/>
        </w:tabs>
        <w:spacing w:after="181"/>
        <w:ind w:left="-15" w:firstLine="0"/>
        <w:rPr>
          <w:sz w:val="32"/>
        </w:rPr>
      </w:pPr>
      <w:r>
        <w:rPr>
          <w:sz w:val="32"/>
        </w:rPr>
        <w:lastRenderedPageBreak/>
        <w:t>13.</w:t>
      </w:r>
      <w:r>
        <w:rPr>
          <w:sz w:val="32"/>
        </w:rPr>
        <w:tab/>
        <w:t>S</w:t>
      </w:r>
      <w:r w:rsidRPr="00F2615A">
        <w:rPr>
          <w:sz w:val="32"/>
        </w:rPr>
        <w:t>USTAINABILITY</w:t>
      </w:r>
    </w:p>
    <w:p w:rsidR="00C30933" w:rsidRDefault="00F53458">
      <w:pPr>
        <w:spacing w:after="372"/>
        <w:ind w:left="705" w:right="0" w:hanging="720"/>
      </w:pPr>
      <w:r>
        <w:t>13.1 The supplier should be able to demonstrate a commitment to operating in a sustainable manner. Note that this includes environmental sustainability as well as social value more broadly.</w:t>
      </w:r>
    </w:p>
    <w:p w:rsidR="00C30933" w:rsidRPr="00F2615A" w:rsidRDefault="00F53458">
      <w:pPr>
        <w:pStyle w:val="Heading2"/>
        <w:ind w:left="-5"/>
        <w:rPr>
          <w:sz w:val="32"/>
        </w:rPr>
      </w:pPr>
      <w:r>
        <w:rPr>
          <w:sz w:val="32"/>
        </w:rPr>
        <w:t xml:space="preserve">14. </w:t>
      </w:r>
      <w:r w:rsidRPr="00F2615A">
        <w:rPr>
          <w:sz w:val="32"/>
        </w:rPr>
        <w:t>QUALITY</w:t>
      </w:r>
    </w:p>
    <w:p w:rsidR="00C30933" w:rsidRDefault="00F53458">
      <w:pPr>
        <w:spacing w:after="121"/>
        <w:ind w:left="690" w:right="0" w:hanging="705"/>
      </w:pPr>
      <w:r>
        <w:t xml:space="preserve">14.1 The supplier </w:t>
      </w:r>
      <w:r>
        <w:t>will internally review the outputs for pieces of work (and provide evidence of this review) before they are released for CCIT testing.</w:t>
      </w:r>
    </w:p>
    <w:p w:rsidR="00C30933" w:rsidRDefault="00F53458">
      <w:pPr>
        <w:spacing w:after="121"/>
        <w:ind w:left="690" w:right="0" w:hanging="705"/>
      </w:pPr>
      <w:r>
        <w:t>14.2 Automated tests of data outputs should also be developed by the supplier to identify any issues with technical outpu</w:t>
      </w:r>
      <w:r>
        <w:t>ts developed. A reconciliation of numbers to source data will be demonstrated by the supplier for all projects.</w:t>
      </w:r>
    </w:p>
    <w:p w:rsidR="00C30933" w:rsidRDefault="00F53458">
      <w:pPr>
        <w:spacing w:after="359" w:line="262" w:lineRule="auto"/>
        <w:ind w:left="705" w:right="17" w:hanging="720"/>
        <w:jc w:val="left"/>
      </w:pPr>
      <w:r>
        <w:t>14.3</w:t>
      </w:r>
      <w:r>
        <w:tab/>
        <w:t>Feedback from the GCG team will be provided on a regular basis. This will be used as a qualitative measure of quality. The supplier will be</w:t>
      </w:r>
      <w:r>
        <w:t xml:space="preserve"> responsible for hosting retrospectives at the end of projects or significant milestones to ensure feedback is collated, documented, discussed and acted on for both the supplier and buyer.</w:t>
      </w:r>
    </w:p>
    <w:p w:rsidR="00C30933" w:rsidRDefault="00F53458">
      <w:pPr>
        <w:numPr>
          <w:ilvl w:val="0"/>
          <w:numId w:val="6"/>
        </w:numPr>
        <w:spacing w:after="49" w:line="259" w:lineRule="auto"/>
        <w:ind w:right="0" w:hanging="705"/>
        <w:jc w:val="left"/>
      </w:pPr>
      <w:r>
        <w:rPr>
          <w:b/>
          <w:sz w:val="32"/>
        </w:rPr>
        <w:t>PRICE</w:t>
      </w:r>
    </w:p>
    <w:p w:rsidR="00C30933" w:rsidRDefault="00F53458">
      <w:pPr>
        <w:numPr>
          <w:ilvl w:val="1"/>
          <w:numId w:val="6"/>
        </w:numPr>
        <w:spacing w:after="121"/>
        <w:ind w:right="0" w:hanging="720"/>
      </w:pPr>
      <w:r>
        <w:t xml:space="preserve">For each piece of work to be undertaken, the ‘project’ shall </w:t>
      </w:r>
      <w:r>
        <w:t>be scoped and a provisional development time and cost estimate provided by the supplier. Projects will be completed in agile sprints, with close working between the supplier and the CCIT. Ongoing monitoring of work against costs during project sprints with</w:t>
      </w:r>
      <w:r>
        <w:t xml:space="preserve"> a weekly update of progress distributed by the supplier.</w:t>
      </w:r>
    </w:p>
    <w:p w:rsidR="00C30933" w:rsidRDefault="00F53458" w:rsidP="00D42B45">
      <w:pPr>
        <w:numPr>
          <w:ilvl w:val="1"/>
          <w:numId w:val="6"/>
        </w:numPr>
        <w:spacing w:after="121"/>
        <w:ind w:right="0" w:hanging="720"/>
      </w:pPr>
      <w:r>
        <w:t>Bidders</w:t>
      </w:r>
      <w:r>
        <w:tab/>
        <w:t>should</w:t>
      </w:r>
      <w:r>
        <w:tab/>
      </w:r>
      <w:r w:rsidR="00D42B45">
        <w:t xml:space="preserve"> </w:t>
      </w:r>
      <w:r>
        <w:t>provide</w:t>
      </w:r>
      <w:r>
        <w:tab/>
        <w:t>day</w:t>
      </w:r>
      <w:r>
        <w:tab/>
        <w:t>rates</w:t>
      </w:r>
      <w:r>
        <w:tab/>
        <w:t>of</w:t>
      </w:r>
      <w:r>
        <w:tab/>
        <w:t>staff</w:t>
      </w:r>
      <w:r>
        <w:tab/>
        <w:t>aligned</w:t>
      </w:r>
      <w:r>
        <w:tab/>
        <w:t>to</w:t>
      </w:r>
      <w:r>
        <w:tab/>
        <w:t>role</w:t>
      </w:r>
      <w:r w:rsidR="00D42B45">
        <w:t xml:space="preserve"> </w:t>
      </w:r>
      <w:r>
        <w:t>(experience/knowledge level) as part of a bid.</w:t>
      </w:r>
    </w:p>
    <w:p w:rsidR="00C30933" w:rsidRDefault="00F53458">
      <w:pPr>
        <w:numPr>
          <w:ilvl w:val="1"/>
          <w:numId w:val="6"/>
        </w:numPr>
        <w:spacing w:after="121"/>
        <w:ind w:right="0" w:hanging="720"/>
      </w:pPr>
      <w:r>
        <w:t>Prices are to be submitted via the Price Schedule excluding VAT and including all other expenses relating to Contract delivery.</w:t>
      </w:r>
    </w:p>
    <w:p w:rsidR="00C30933" w:rsidRDefault="00F53458">
      <w:pPr>
        <w:numPr>
          <w:ilvl w:val="1"/>
          <w:numId w:val="6"/>
        </w:numPr>
        <w:ind w:right="0" w:hanging="720"/>
      </w:pPr>
      <w:r>
        <w:t>The cost of each build will be dependent on the scale and complexity of the solution.</w:t>
      </w:r>
    </w:p>
    <w:p w:rsidR="00C30933" w:rsidRDefault="00F53458">
      <w:pPr>
        <w:numPr>
          <w:ilvl w:val="0"/>
          <w:numId w:val="6"/>
        </w:numPr>
        <w:spacing w:after="49" w:line="259" w:lineRule="auto"/>
        <w:ind w:right="0" w:hanging="705"/>
        <w:jc w:val="left"/>
      </w:pPr>
      <w:r>
        <w:rPr>
          <w:b/>
          <w:sz w:val="32"/>
        </w:rPr>
        <w:t>STAFF AND CUSTOMER SERVICE</w:t>
      </w:r>
    </w:p>
    <w:p w:rsidR="00C30933" w:rsidRDefault="00F53458">
      <w:pPr>
        <w:numPr>
          <w:ilvl w:val="1"/>
          <w:numId w:val="6"/>
        </w:numPr>
        <w:spacing w:after="121"/>
        <w:ind w:right="0" w:hanging="720"/>
      </w:pPr>
      <w:r>
        <w:t>The Supplier sh</w:t>
      </w:r>
      <w:r>
        <w:t xml:space="preserve">all provide a sufficient level of resource throughout the duration of the Contract in order to consistently deliver a quality service. The Authority shall be given 7 </w:t>
      </w:r>
      <w:proofErr w:type="spellStart"/>
      <w:r>
        <w:t>day’s notice</w:t>
      </w:r>
      <w:proofErr w:type="spellEnd"/>
      <w:r>
        <w:t xml:space="preserve"> prior to any resource changes.</w:t>
      </w:r>
    </w:p>
    <w:p w:rsidR="00C30933" w:rsidRDefault="00F53458">
      <w:pPr>
        <w:numPr>
          <w:ilvl w:val="1"/>
          <w:numId w:val="6"/>
        </w:numPr>
        <w:spacing w:after="374"/>
        <w:ind w:right="0" w:hanging="720"/>
      </w:pPr>
      <w:r>
        <w:lastRenderedPageBreak/>
        <w:t>The Supplier’s staff assigned to the Contract shall have the relevant qualifications and experience to deliver the Contract to the required standard.</w:t>
      </w:r>
    </w:p>
    <w:p w:rsidR="00C30933" w:rsidRDefault="00F53458">
      <w:pPr>
        <w:numPr>
          <w:ilvl w:val="1"/>
          <w:numId w:val="6"/>
        </w:numPr>
        <w:spacing w:after="772"/>
        <w:ind w:right="0" w:hanging="720"/>
      </w:pPr>
      <w:r>
        <w:t>The Supplier shall ensure that staff understand the Authority’s vision and objectives and will provide exc</w:t>
      </w:r>
      <w:r>
        <w:t>ellent customer service to the Authority throughout the duration of the Contract.</w:t>
      </w:r>
    </w:p>
    <w:p w:rsidR="00C30933" w:rsidRDefault="00F53458">
      <w:pPr>
        <w:pStyle w:val="Heading2"/>
        <w:ind w:left="-5"/>
      </w:pPr>
      <w:r>
        <w:rPr>
          <w:sz w:val="32"/>
        </w:rPr>
        <w:t xml:space="preserve">17. </w:t>
      </w:r>
      <w:r w:rsidRPr="00F2615A">
        <w:rPr>
          <w:sz w:val="32"/>
        </w:rPr>
        <w:t>SERVICE LEVELS AND PERFORMANCE</w:t>
      </w:r>
    </w:p>
    <w:p w:rsidR="00C30933" w:rsidRDefault="00F53458">
      <w:pPr>
        <w:tabs>
          <w:tab w:val="center" w:pos="4236"/>
        </w:tabs>
        <w:ind w:left="-15" w:right="0" w:firstLine="0"/>
        <w:jc w:val="left"/>
      </w:pPr>
      <w:r>
        <w:t>17.1</w:t>
      </w:r>
      <w:r>
        <w:tab/>
        <w:t>The Authority will measure the quality of the Supplier’s delivery by:</w:t>
      </w:r>
    </w:p>
    <w:tbl>
      <w:tblPr>
        <w:tblStyle w:val="TableGrid"/>
        <w:tblW w:w="8320" w:type="dxa"/>
        <w:tblInd w:w="550" w:type="dxa"/>
        <w:tblCellMar>
          <w:top w:w="56" w:type="dxa"/>
          <w:left w:w="110" w:type="dxa"/>
          <w:bottom w:w="0" w:type="dxa"/>
          <w:right w:w="115" w:type="dxa"/>
        </w:tblCellMar>
        <w:tblLook w:val="04A0" w:firstRow="1" w:lastRow="0" w:firstColumn="1" w:lastColumn="0" w:noHBand="0" w:noVBand="1"/>
      </w:tblPr>
      <w:tblGrid>
        <w:gridCol w:w="900"/>
        <w:gridCol w:w="2220"/>
        <w:gridCol w:w="3560"/>
        <w:gridCol w:w="1640"/>
      </w:tblGrid>
      <w:tr w:rsidR="00C30933">
        <w:trPr>
          <w:trHeight w:val="820"/>
        </w:trPr>
        <w:tc>
          <w:tcPr>
            <w:tcW w:w="900" w:type="dxa"/>
            <w:tcBorders>
              <w:top w:val="single" w:sz="24" w:space="0" w:color="000000"/>
              <w:left w:val="single" w:sz="24" w:space="0" w:color="000000"/>
              <w:bottom w:val="single" w:sz="8" w:space="0" w:color="000000"/>
              <w:right w:val="single" w:sz="8" w:space="0" w:color="000000"/>
            </w:tcBorders>
            <w:shd w:val="clear" w:color="auto" w:fill="B8CCE4"/>
          </w:tcPr>
          <w:p w:rsidR="00C30933" w:rsidRDefault="00F53458">
            <w:pPr>
              <w:spacing w:after="0" w:line="259" w:lineRule="auto"/>
              <w:ind w:left="15" w:right="0" w:firstLine="0"/>
              <w:jc w:val="left"/>
            </w:pPr>
            <w:r>
              <w:rPr>
                <w:b/>
              </w:rPr>
              <w:t>PI/SL</w:t>
            </w:r>
          </w:p>
          <w:p w:rsidR="00C30933" w:rsidRDefault="00F53458">
            <w:pPr>
              <w:spacing w:after="0" w:line="259" w:lineRule="auto"/>
              <w:ind w:left="15" w:right="0" w:firstLine="0"/>
              <w:jc w:val="left"/>
            </w:pPr>
            <w:r>
              <w:rPr>
                <w:b/>
              </w:rPr>
              <w:t>A</w:t>
            </w:r>
          </w:p>
        </w:tc>
        <w:tc>
          <w:tcPr>
            <w:tcW w:w="2220" w:type="dxa"/>
            <w:tcBorders>
              <w:top w:val="single" w:sz="24" w:space="0" w:color="000000"/>
              <w:left w:val="single" w:sz="8" w:space="0" w:color="000000"/>
              <w:bottom w:val="single" w:sz="8" w:space="0" w:color="000000"/>
              <w:right w:val="single" w:sz="8" w:space="0" w:color="000000"/>
            </w:tcBorders>
            <w:shd w:val="clear" w:color="auto" w:fill="B8CCE4"/>
          </w:tcPr>
          <w:p w:rsidR="00C30933" w:rsidRDefault="00F53458">
            <w:pPr>
              <w:spacing w:after="0" w:line="259" w:lineRule="auto"/>
              <w:ind w:left="0" w:right="0" w:firstLine="0"/>
              <w:jc w:val="left"/>
            </w:pPr>
            <w:r>
              <w:rPr>
                <w:b/>
              </w:rPr>
              <w:t>Service Area</w:t>
            </w:r>
          </w:p>
        </w:tc>
        <w:tc>
          <w:tcPr>
            <w:tcW w:w="3560" w:type="dxa"/>
            <w:tcBorders>
              <w:top w:val="single" w:sz="24" w:space="0" w:color="000000"/>
              <w:left w:val="single" w:sz="8" w:space="0" w:color="000000"/>
              <w:bottom w:val="single" w:sz="8" w:space="0" w:color="000000"/>
              <w:right w:val="single" w:sz="8" w:space="0" w:color="000000"/>
            </w:tcBorders>
            <w:shd w:val="clear" w:color="auto" w:fill="B8CCE4"/>
          </w:tcPr>
          <w:p w:rsidR="00C30933" w:rsidRDefault="00F53458">
            <w:pPr>
              <w:spacing w:after="0" w:line="259" w:lineRule="auto"/>
              <w:ind w:left="15" w:right="0" w:firstLine="0"/>
              <w:jc w:val="left"/>
            </w:pPr>
            <w:r>
              <w:rPr>
                <w:b/>
              </w:rPr>
              <w:t>KPI/SLA description</w:t>
            </w:r>
          </w:p>
        </w:tc>
        <w:tc>
          <w:tcPr>
            <w:tcW w:w="1640" w:type="dxa"/>
            <w:tcBorders>
              <w:top w:val="single" w:sz="24" w:space="0" w:color="000000"/>
              <w:left w:val="single" w:sz="8" w:space="0" w:color="000000"/>
              <w:bottom w:val="single" w:sz="8" w:space="0" w:color="000000"/>
              <w:right w:val="single" w:sz="24" w:space="0" w:color="000000"/>
            </w:tcBorders>
            <w:shd w:val="clear" w:color="auto" w:fill="B8CCE4"/>
          </w:tcPr>
          <w:p w:rsidR="00C30933" w:rsidRDefault="00F53458">
            <w:pPr>
              <w:spacing w:after="0" w:line="259" w:lineRule="auto"/>
              <w:ind w:right="0" w:firstLine="0"/>
              <w:jc w:val="left"/>
            </w:pPr>
            <w:r>
              <w:rPr>
                <w:b/>
              </w:rPr>
              <w:t>Target</w:t>
            </w:r>
          </w:p>
        </w:tc>
      </w:tr>
      <w:tr w:rsidR="00C30933">
        <w:trPr>
          <w:trHeight w:val="2300"/>
        </w:trPr>
        <w:tc>
          <w:tcPr>
            <w:tcW w:w="900" w:type="dxa"/>
            <w:tcBorders>
              <w:top w:val="single" w:sz="8" w:space="0" w:color="000000"/>
              <w:left w:val="single" w:sz="24" w:space="0" w:color="000000"/>
              <w:bottom w:val="single" w:sz="8" w:space="0" w:color="000000"/>
              <w:right w:val="single" w:sz="8" w:space="0" w:color="000000"/>
            </w:tcBorders>
          </w:tcPr>
          <w:p w:rsidR="00C30933" w:rsidRDefault="00F53458">
            <w:pPr>
              <w:spacing w:after="0" w:line="259" w:lineRule="auto"/>
              <w:ind w:left="15" w:right="0" w:firstLine="0"/>
              <w:jc w:val="left"/>
            </w:pPr>
            <w:r>
              <w:rPr>
                <w:b/>
              </w:rPr>
              <w:t>1</w:t>
            </w:r>
          </w:p>
        </w:tc>
        <w:tc>
          <w:tcPr>
            <w:tcW w:w="2220" w:type="dxa"/>
            <w:tcBorders>
              <w:top w:val="single" w:sz="8" w:space="0" w:color="000000"/>
              <w:left w:val="single" w:sz="8" w:space="0" w:color="000000"/>
              <w:bottom w:val="single" w:sz="8" w:space="0" w:color="000000"/>
              <w:right w:val="single" w:sz="8" w:space="0" w:color="000000"/>
            </w:tcBorders>
          </w:tcPr>
          <w:p w:rsidR="00C30933" w:rsidRDefault="00F53458">
            <w:pPr>
              <w:spacing w:after="0" w:line="259" w:lineRule="auto"/>
              <w:ind w:left="0" w:right="0" w:firstLine="0"/>
              <w:jc w:val="left"/>
            </w:pPr>
            <w:r>
              <w:rPr>
                <w:b/>
              </w:rPr>
              <w:t>Availability</w:t>
            </w:r>
          </w:p>
        </w:tc>
        <w:tc>
          <w:tcPr>
            <w:tcW w:w="3560" w:type="dxa"/>
            <w:tcBorders>
              <w:top w:val="single" w:sz="8" w:space="0" w:color="000000"/>
              <w:left w:val="single" w:sz="8" w:space="0" w:color="000000"/>
              <w:bottom w:val="single" w:sz="8" w:space="0" w:color="000000"/>
              <w:right w:val="single" w:sz="8" w:space="0" w:color="000000"/>
            </w:tcBorders>
          </w:tcPr>
          <w:p w:rsidR="00C30933" w:rsidRDefault="00F53458">
            <w:pPr>
              <w:spacing w:after="0" w:line="259" w:lineRule="auto"/>
              <w:ind w:left="15" w:right="0" w:firstLine="0"/>
              <w:jc w:val="left"/>
            </w:pPr>
            <w:r>
              <w:rPr>
                <w:b/>
              </w:rPr>
              <w:t>24/7 service availability where not determined by 3rd party infrastructure providers.</w:t>
            </w:r>
          </w:p>
        </w:tc>
        <w:tc>
          <w:tcPr>
            <w:tcW w:w="1640" w:type="dxa"/>
            <w:tcBorders>
              <w:top w:val="single" w:sz="8" w:space="0" w:color="000000"/>
              <w:left w:val="single" w:sz="8" w:space="0" w:color="000000"/>
              <w:bottom w:val="single" w:sz="8" w:space="0" w:color="000000"/>
              <w:right w:val="single" w:sz="24" w:space="0" w:color="000000"/>
            </w:tcBorders>
          </w:tcPr>
          <w:p w:rsidR="00C30933" w:rsidRDefault="00F53458">
            <w:pPr>
              <w:spacing w:after="0" w:line="259" w:lineRule="auto"/>
              <w:ind w:right="0" w:firstLine="0"/>
              <w:jc w:val="left"/>
            </w:pPr>
            <w:r>
              <w:rPr>
                <w:b/>
              </w:rPr>
              <w:t>99.9%</w:t>
            </w:r>
          </w:p>
        </w:tc>
      </w:tr>
      <w:tr w:rsidR="00C30933">
        <w:trPr>
          <w:trHeight w:val="1360"/>
        </w:trPr>
        <w:tc>
          <w:tcPr>
            <w:tcW w:w="900" w:type="dxa"/>
            <w:tcBorders>
              <w:top w:val="single" w:sz="8" w:space="0" w:color="000000"/>
              <w:left w:val="single" w:sz="24" w:space="0" w:color="000000"/>
              <w:bottom w:val="single" w:sz="8" w:space="0" w:color="000000"/>
              <w:right w:val="single" w:sz="8" w:space="0" w:color="000000"/>
            </w:tcBorders>
          </w:tcPr>
          <w:p w:rsidR="00C30933" w:rsidRDefault="00F53458">
            <w:pPr>
              <w:spacing w:after="0" w:line="259" w:lineRule="auto"/>
              <w:ind w:left="15" w:right="0" w:firstLine="0"/>
              <w:jc w:val="left"/>
            </w:pPr>
            <w:r>
              <w:rPr>
                <w:b/>
              </w:rPr>
              <w:t>2</w:t>
            </w:r>
          </w:p>
        </w:tc>
        <w:tc>
          <w:tcPr>
            <w:tcW w:w="2220" w:type="dxa"/>
            <w:tcBorders>
              <w:top w:val="single" w:sz="8" w:space="0" w:color="000000"/>
              <w:left w:val="single" w:sz="8" w:space="0" w:color="000000"/>
              <w:bottom w:val="single" w:sz="8" w:space="0" w:color="000000"/>
              <w:right w:val="single" w:sz="8" w:space="0" w:color="000000"/>
            </w:tcBorders>
          </w:tcPr>
          <w:p w:rsidR="00C30933" w:rsidRDefault="00F53458">
            <w:pPr>
              <w:spacing w:after="0" w:line="259" w:lineRule="auto"/>
              <w:ind w:left="0" w:right="0" w:firstLine="0"/>
              <w:jc w:val="left"/>
            </w:pPr>
            <w:r>
              <w:rPr>
                <w:b/>
              </w:rPr>
              <w:t>Responsiveness</w:t>
            </w:r>
          </w:p>
        </w:tc>
        <w:tc>
          <w:tcPr>
            <w:tcW w:w="3560" w:type="dxa"/>
            <w:tcBorders>
              <w:top w:val="single" w:sz="8" w:space="0" w:color="000000"/>
              <w:left w:val="single" w:sz="8" w:space="0" w:color="000000"/>
              <w:bottom w:val="single" w:sz="8" w:space="0" w:color="000000"/>
              <w:right w:val="single" w:sz="8" w:space="0" w:color="000000"/>
            </w:tcBorders>
          </w:tcPr>
          <w:p w:rsidR="00C30933" w:rsidRDefault="00F53458">
            <w:pPr>
              <w:spacing w:after="0" w:line="259" w:lineRule="auto"/>
              <w:ind w:left="15" w:right="40" w:firstLine="0"/>
              <w:jc w:val="left"/>
            </w:pPr>
            <w:r>
              <w:rPr>
                <w:b/>
              </w:rPr>
              <w:t>Service management (request support). Emails responded to within 24 hours</w:t>
            </w:r>
          </w:p>
        </w:tc>
        <w:tc>
          <w:tcPr>
            <w:tcW w:w="1640" w:type="dxa"/>
            <w:tcBorders>
              <w:top w:val="single" w:sz="8" w:space="0" w:color="000000"/>
              <w:left w:val="single" w:sz="8" w:space="0" w:color="000000"/>
              <w:bottom w:val="single" w:sz="8" w:space="0" w:color="000000"/>
              <w:right w:val="single" w:sz="24" w:space="0" w:color="000000"/>
            </w:tcBorders>
          </w:tcPr>
          <w:p w:rsidR="00C30933" w:rsidRDefault="00F53458">
            <w:pPr>
              <w:spacing w:after="0" w:line="259" w:lineRule="auto"/>
              <w:ind w:right="0" w:firstLine="0"/>
              <w:jc w:val="left"/>
            </w:pPr>
            <w:r>
              <w:rPr>
                <w:b/>
              </w:rPr>
              <w:t>95%</w:t>
            </w:r>
          </w:p>
        </w:tc>
      </w:tr>
      <w:tr w:rsidR="00C30933">
        <w:trPr>
          <w:trHeight w:val="1080"/>
        </w:trPr>
        <w:tc>
          <w:tcPr>
            <w:tcW w:w="900" w:type="dxa"/>
            <w:tcBorders>
              <w:top w:val="single" w:sz="8" w:space="0" w:color="000000"/>
              <w:left w:val="single" w:sz="24" w:space="0" w:color="000000"/>
              <w:bottom w:val="single" w:sz="8" w:space="0" w:color="000000"/>
              <w:right w:val="single" w:sz="8" w:space="0" w:color="000000"/>
            </w:tcBorders>
          </w:tcPr>
          <w:p w:rsidR="00C30933" w:rsidRDefault="00F53458">
            <w:pPr>
              <w:spacing w:after="0" w:line="259" w:lineRule="auto"/>
              <w:ind w:left="15" w:right="0" w:firstLine="0"/>
              <w:jc w:val="left"/>
            </w:pPr>
            <w:r>
              <w:rPr>
                <w:b/>
              </w:rPr>
              <w:t>3</w:t>
            </w:r>
          </w:p>
        </w:tc>
        <w:tc>
          <w:tcPr>
            <w:tcW w:w="2220" w:type="dxa"/>
            <w:tcBorders>
              <w:top w:val="single" w:sz="8" w:space="0" w:color="000000"/>
              <w:left w:val="single" w:sz="8" w:space="0" w:color="000000"/>
              <w:bottom w:val="single" w:sz="8" w:space="0" w:color="000000"/>
              <w:right w:val="single" w:sz="8" w:space="0" w:color="000000"/>
            </w:tcBorders>
          </w:tcPr>
          <w:p w:rsidR="00C30933" w:rsidRDefault="00F53458">
            <w:pPr>
              <w:spacing w:after="0" w:line="259" w:lineRule="auto"/>
              <w:ind w:left="0" w:right="0" w:firstLine="0"/>
              <w:jc w:val="left"/>
            </w:pPr>
            <w:r>
              <w:rPr>
                <w:b/>
              </w:rPr>
              <w:t>Quality</w:t>
            </w:r>
          </w:p>
        </w:tc>
        <w:tc>
          <w:tcPr>
            <w:tcW w:w="3560" w:type="dxa"/>
            <w:tcBorders>
              <w:top w:val="single" w:sz="8" w:space="0" w:color="000000"/>
              <w:left w:val="single" w:sz="8" w:space="0" w:color="000000"/>
              <w:bottom w:val="single" w:sz="8" w:space="0" w:color="000000"/>
              <w:right w:val="single" w:sz="8" w:space="0" w:color="000000"/>
            </w:tcBorders>
          </w:tcPr>
          <w:p w:rsidR="00C30933" w:rsidRDefault="00F53458">
            <w:pPr>
              <w:spacing w:after="0" w:line="259" w:lineRule="auto"/>
              <w:ind w:left="15" w:right="0" w:firstLine="0"/>
              <w:jc w:val="left"/>
            </w:pPr>
            <w:r>
              <w:rPr>
                <w:b/>
              </w:rPr>
              <w:t>Fulfils the mandatory requirements detailed in this Statement of Requirements</w:t>
            </w:r>
          </w:p>
        </w:tc>
        <w:tc>
          <w:tcPr>
            <w:tcW w:w="1640" w:type="dxa"/>
            <w:tcBorders>
              <w:top w:val="single" w:sz="8" w:space="0" w:color="000000"/>
              <w:left w:val="single" w:sz="8" w:space="0" w:color="000000"/>
              <w:bottom w:val="single" w:sz="8" w:space="0" w:color="000000"/>
              <w:right w:val="single" w:sz="24" w:space="0" w:color="000000"/>
            </w:tcBorders>
          </w:tcPr>
          <w:p w:rsidR="00C30933" w:rsidRDefault="00F53458">
            <w:pPr>
              <w:spacing w:after="0" w:line="259" w:lineRule="auto"/>
              <w:ind w:right="0" w:firstLine="0"/>
              <w:jc w:val="left"/>
            </w:pPr>
            <w:r>
              <w:rPr>
                <w:b/>
              </w:rPr>
              <w:t>95%</w:t>
            </w:r>
          </w:p>
        </w:tc>
      </w:tr>
      <w:tr w:rsidR="00C30933">
        <w:trPr>
          <w:trHeight w:val="1660"/>
        </w:trPr>
        <w:tc>
          <w:tcPr>
            <w:tcW w:w="900" w:type="dxa"/>
            <w:tcBorders>
              <w:top w:val="single" w:sz="8" w:space="0" w:color="000000"/>
              <w:left w:val="single" w:sz="24" w:space="0" w:color="000000"/>
              <w:bottom w:val="single" w:sz="24" w:space="0" w:color="000000"/>
              <w:right w:val="single" w:sz="8" w:space="0" w:color="000000"/>
            </w:tcBorders>
          </w:tcPr>
          <w:p w:rsidR="00C30933" w:rsidRDefault="00F53458">
            <w:pPr>
              <w:spacing w:after="0" w:line="259" w:lineRule="auto"/>
              <w:ind w:left="15" w:right="0" w:firstLine="0"/>
              <w:jc w:val="left"/>
            </w:pPr>
            <w:r>
              <w:rPr>
                <w:b/>
              </w:rPr>
              <w:t>4</w:t>
            </w:r>
          </w:p>
        </w:tc>
        <w:tc>
          <w:tcPr>
            <w:tcW w:w="2220" w:type="dxa"/>
            <w:tcBorders>
              <w:top w:val="single" w:sz="8" w:space="0" w:color="000000"/>
              <w:left w:val="single" w:sz="8" w:space="0" w:color="000000"/>
              <w:bottom w:val="single" w:sz="24" w:space="0" w:color="000000"/>
              <w:right w:val="single" w:sz="8" w:space="0" w:color="000000"/>
            </w:tcBorders>
          </w:tcPr>
          <w:p w:rsidR="00C30933" w:rsidRDefault="00F53458">
            <w:pPr>
              <w:spacing w:after="0" w:line="259" w:lineRule="auto"/>
              <w:ind w:left="0" w:right="0" w:firstLine="0"/>
              <w:jc w:val="left"/>
            </w:pPr>
            <w:r>
              <w:rPr>
                <w:b/>
              </w:rPr>
              <w:t>Security</w:t>
            </w:r>
          </w:p>
        </w:tc>
        <w:tc>
          <w:tcPr>
            <w:tcW w:w="3560" w:type="dxa"/>
            <w:tcBorders>
              <w:top w:val="single" w:sz="8" w:space="0" w:color="000000"/>
              <w:left w:val="single" w:sz="8" w:space="0" w:color="000000"/>
              <w:bottom w:val="single" w:sz="24" w:space="0" w:color="000000"/>
              <w:right w:val="single" w:sz="8" w:space="0" w:color="000000"/>
            </w:tcBorders>
          </w:tcPr>
          <w:p w:rsidR="00C30933" w:rsidRDefault="00F53458">
            <w:pPr>
              <w:spacing w:after="0" w:line="259" w:lineRule="auto"/>
              <w:ind w:left="15" w:right="0" w:firstLine="0"/>
              <w:jc w:val="left"/>
            </w:pPr>
            <w:r>
              <w:rPr>
                <w:b/>
              </w:rPr>
              <w:t>Data is handled in line with requirements outlined in the contract agreement. No unauthorised access to data occurs.</w:t>
            </w:r>
          </w:p>
        </w:tc>
        <w:tc>
          <w:tcPr>
            <w:tcW w:w="1640" w:type="dxa"/>
            <w:tcBorders>
              <w:top w:val="single" w:sz="8" w:space="0" w:color="000000"/>
              <w:left w:val="single" w:sz="8" w:space="0" w:color="000000"/>
              <w:bottom w:val="single" w:sz="24" w:space="0" w:color="000000"/>
              <w:right w:val="single" w:sz="24" w:space="0" w:color="000000"/>
            </w:tcBorders>
          </w:tcPr>
          <w:p w:rsidR="00C30933" w:rsidRDefault="00F53458">
            <w:pPr>
              <w:spacing w:after="0" w:line="259" w:lineRule="auto"/>
              <w:ind w:right="0" w:firstLine="0"/>
              <w:jc w:val="left"/>
            </w:pPr>
            <w:r>
              <w:rPr>
                <w:b/>
              </w:rPr>
              <w:t>100%</w:t>
            </w:r>
          </w:p>
        </w:tc>
      </w:tr>
    </w:tbl>
    <w:p w:rsidR="00C30933" w:rsidRDefault="00F53458">
      <w:pPr>
        <w:tabs>
          <w:tab w:val="center" w:pos="4749"/>
        </w:tabs>
        <w:spacing w:after="242"/>
        <w:ind w:left="-15" w:right="0" w:firstLine="0"/>
        <w:jc w:val="left"/>
      </w:pPr>
      <w:r>
        <w:t>17.2</w:t>
      </w:r>
      <w:r>
        <w:tab/>
      </w:r>
      <w:r>
        <w:t>Payment may be withheld until work is completed to a satisfactory standard.</w:t>
      </w:r>
    </w:p>
    <w:p w:rsidR="00C30933" w:rsidRDefault="00F53458">
      <w:pPr>
        <w:spacing w:after="357"/>
        <w:ind w:left="705" w:right="0" w:hanging="720"/>
      </w:pPr>
      <w:r>
        <w:lastRenderedPageBreak/>
        <w:t>17.3 Where a supplier fails to meet the stated KPIs on a regular basis the contracting authority will have the power to terminate the contract.</w:t>
      </w:r>
    </w:p>
    <w:p w:rsidR="00C30933" w:rsidRPr="00F2615A" w:rsidRDefault="00F53458">
      <w:pPr>
        <w:pStyle w:val="Heading2"/>
        <w:tabs>
          <w:tab w:val="center" w:pos="4035"/>
        </w:tabs>
        <w:ind w:left="-15" w:firstLine="0"/>
        <w:rPr>
          <w:sz w:val="32"/>
        </w:rPr>
      </w:pPr>
      <w:r>
        <w:rPr>
          <w:sz w:val="32"/>
        </w:rPr>
        <w:t>18.</w:t>
      </w:r>
      <w:r>
        <w:rPr>
          <w:sz w:val="32"/>
        </w:rPr>
        <w:tab/>
        <w:t>S</w:t>
      </w:r>
      <w:r w:rsidRPr="00F2615A">
        <w:rPr>
          <w:sz w:val="32"/>
        </w:rPr>
        <w:t xml:space="preserve">ECURITY AND </w:t>
      </w:r>
      <w:r>
        <w:rPr>
          <w:sz w:val="32"/>
        </w:rPr>
        <w:t xml:space="preserve">CONFIDENTIALITY </w:t>
      </w:r>
      <w:r w:rsidRPr="00F2615A">
        <w:rPr>
          <w:sz w:val="32"/>
        </w:rPr>
        <w:t>REQ</w:t>
      </w:r>
      <w:r w:rsidRPr="00F2615A">
        <w:rPr>
          <w:sz w:val="32"/>
        </w:rPr>
        <w:t>UIREMENTS</w:t>
      </w:r>
    </w:p>
    <w:p w:rsidR="00C30933" w:rsidRDefault="00F53458">
      <w:pPr>
        <w:spacing w:after="121"/>
        <w:ind w:left="705" w:right="0" w:hanging="720"/>
      </w:pPr>
      <w:r>
        <w:t xml:space="preserve">18.1 The Supplier will ensure </w:t>
      </w:r>
      <w:bookmarkStart w:id="6" w:name="_GoBack"/>
      <w:r>
        <w:t>cyber-essentials training is completed and adhered to by staff working on this contract. Adherence to National Cyber Security Centre (Cloud Security Guidance - 14 Cloud Security Principles) and Schedule 1 to the G-Cl</w:t>
      </w:r>
      <w:r>
        <w:t>oud framework (risk management and cyber-security) is also expected.</w:t>
      </w:r>
    </w:p>
    <w:p w:rsidR="00C30933" w:rsidRDefault="00F53458">
      <w:pPr>
        <w:spacing w:after="121"/>
        <w:ind w:left="690" w:right="0" w:hanging="705"/>
      </w:pPr>
      <w:r>
        <w:t xml:space="preserve">18.2 </w:t>
      </w:r>
      <w:r>
        <w:t>Staff working on the project will be handling information up to OFFICIAL (including information with the designation SENSITIVE). It is therefore that the appropriate security checks are in place for staff (BPSS).</w:t>
      </w:r>
    </w:p>
    <w:p w:rsidR="00C30933" w:rsidRDefault="00F53458">
      <w:pPr>
        <w:spacing w:after="115"/>
        <w:ind w:left="690" w:right="0" w:hanging="705"/>
      </w:pPr>
      <w:r>
        <w:t>18.3 Intellectual Property Control Rights w</w:t>
      </w:r>
      <w:r>
        <w:t>ill be retained by the Authority in the event of Supplier failure and/or Authority/Supplier withdrawal and/or cancellation.</w:t>
      </w:r>
    </w:p>
    <w:p w:rsidR="00C30933" w:rsidRDefault="00F53458">
      <w:pPr>
        <w:spacing w:after="359" w:line="262" w:lineRule="auto"/>
        <w:ind w:left="705" w:right="17" w:hanging="720"/>
        <w:jc w:val="left"/>
      </w:pPr>
      <w:r>
        <w:t>18.4</w:t>
      </w:r>
      <w:r>
        <w:tab/>
        <w:t>The 3rd party will be a data processor of personal data. They must demonstrate that they have appropriate processes and control</w:t>
      </w:r>
      <w:r>
        <w:t>s in place to handle such information in compliance with the General Data Protection Regulation and best practice data handling principles.</w:t>
      </w:r>
    </w:p>
    <w:bookmarkEnd w:id="6"/>
    <w:p w:rsidR="00C30933" w:rsidRPr="00F2615A" w:rsidRDefault="00F53458" w:rsidP="00F2615A">
      <w:pPr>
        <w:pStyle w:val="Heading1"/>
        <w:tabs>
          <w:tab w:val="center" w:pos="4725"/>
        </w:tabs>
        <w:spacing w:after="49"/>
        <w:ind w:left="-15" w:firstLine="0"/>
        <w:rPr>
          <w:sz w:val="32"/>
        </w:rPr>
      </w:pPr>
      <w:r w:rsidRPr="00F2615A">
        <w:rPr>
          <w:sz w:val="32"/>
        </w:rPr>
        <w:t xml:space="preserve">PAYMENT </w:t>
      </w:r>
      <w:r>
        <w:rPr>
          <w:sz w:val="32"/>
        </w:rPr>
        <w:t>AND INVOICING</w:t>
      </w:r>
    </w:p>
    <w:p w:rsidR="00C30933" w:rsidRDefault="00F53458">
      <w:pPr>
        <w:numPr>
          <w:ilvl w:val="1"/>
          <w:numId w:val="7"/>
        </w:numPr>
        <w:spacing w:after="242"/>
        <w:ind w:right="0" w:hanging="720"/>
      </w:pPr>
      <w:r>
        <w:t>Payment will be monthly in arrears.</w:t>
      </w:r>
    </w:p>
    <w:p w:rsidR="00C30933" w:rsidRDefault="00F53458">
      <w:pPr>
        <w:numPr>
          <w:ilvl w:val="1"/>
          <w:numId w:val="7"/>
        </w:numPr>
        <w:spacing w:after="241"/>
        <w:ind w:right="0" w:hanging="720"/>
      </w:pPr>
      <w:r>
        <w:t>Payment can only be made following satisfactory delivery o</w:t>
      </w:r>
      <w:r>
        <w:t>f pre-agreed certified products and deliverables.</w:t>
      </w:r>
    </w:p>
    <w:p w:rsidR="00C30933" w:rsidRDefault="00F53458">
      <w:pPr>
        <w:numPr>
          <w:ilvl w:val="1"/>
          <w:numId w:val="7"/>
        </w:numPr>
        <w:spacing w:after="241"/>
        <w:ind w:right="0" w:hanging="720"/>
      </w:pPr>
      <w:r>
        <w:t>Before payment can be considered, each invoice must include a detailed elemental breakdown of work completed and the associated costs.</w:t>
      </w:r>
    </w:p>
    <w:p w:rsidR="00C30933" w:rsidRDefault="00F53458">
      <w:pPr>
        <w:numPr>
          <w:ilvl w:val="1"/>
          <w:numId w:val="7"/>
        </w:numPr>
        <w:spacing w:after="241"/>
        <w:ind w:right="0" w:hanging="720"/>
      </w:pPr>
      <w:r>
        <w:t xml:space="preserve">The Supplier will issue electronic invoices as per the schedule above. </w:t>
      </w:r>
      <w:r>
        <w:t xml:space="preserve">The Buyer will pay the Supplier within 30 days of receipt of a valid invoice. Invoices will be sent to </w:t>
      </w:r>
      <w:r w:rsidR="00D42B45">
        <w:rPr>
          <w:b/>
          <w:bCs/>
          <w:color w:val="FF0000"/>
        </w:rPr>
        <w:t>REDACTED TEXT under FOIA Section 40, Personal Information</w:t>
      </w:r>
    </w:p>
    <w:p w:rsidR="00C30933" w:rsidRDefault="00F53458">
      <w:pPr>
        <w:numPr>
          <w:ilvl w:val="1"/>
          <w:numId w:val="7"/>
        </w:numPr>
        <w:spacing w:after="242"/>
        <w:ind w:right="0" w:hanging="720"/>
      </w:pPr>
      <w:r>
        <w:t xml:space="preserve">All invoices must include: </w:t>
      </w:r>
    </w:p>
    <w:p w:rsidR="00C30933" w:rsidRDefault="00F53458">
      <w:pPr>
        <w:numPr>
          <w:ilvl w:val="2"/>
          <w:numId w:val="7"/>
        </w:numPr>
        <w:ind w:right="0" w:hanging="360"/>
      </w:pPr>
      <w:r>
        <w:t xml:space="preserve">A unique identification </w:t>
      </w:r>
      <w:proofErr w:type="gramStart"/>
      <w:r>
        <w:t>number</w:t>
      </w:r>
      <w:proofErr w:type="gramEnd"/>
      <w:r>
        <w:t xml:space="preserve"> </w:t>
      </w:r>
    </w:p>
    <w:p w:rsidR="00C30933" w:rsidRDefault="00F53458">
      <w:pPr>
        <w:numPr>
          <w:ilvl w:val="2"/>
          <w:numId w:val="7"/>
        </w:numPr>
        <w:ind w:right="0" w:hanging="360"/>
      </w:pPr>
      <w:r>
        <w:t xml:space="preserve">Your Company name, address and contact information </w:t>
      </w:r>
    </w:p>
    <w:p w:rsidR="00C30933" w:rsidRDefault="00F53458">
      <w:pPr>
        <w:numPr>
          <w:ilvl w:val="2"/>
          <w:numId w:val="7"/>
        </w:numPr>
        <w:ind w:right="0" w:hanging="360"/>
      </w:pPr>
      <w:r>
        <w:t xml:space="preserve">The Company name and address of the customer you're invoicing </w:t>
      </w:r>
    </w:p>
    <w:p w:rsidR="00C30933" w:rsidRDefault="00F53458">
      <w:pPr>
        <w:numPr>
          <w:ilvl w:val="2"/>
          <w:numId w:val="7"/>
        </w:numPr>
        <w:ind w:right="0" w:hanging="360"/>
      </w:pPr>
      <w:r>
        <w:t xml:space="preserve">A clear description of what you're charging for </w:t>
      </w:r>
    </w:p>
    <w:p w:rsidR="00C30933" w:rsidRDefault="00F53458">
      <w:pPr>
        <w:numPr>
          <w:ilvl w:val="2"/>
          <w:numId w:val="7"/>
        </w:numPr>
        <w:ind w:right="0" w:hanging="360"/>
      </w:pPr>
      <w:r>
        <w:lastRenderedPageBreak/>
        <w:t>The date the goods or service were provided (supply date</w:t>
      </w:r>
      <w:proofErr w:type="gramStart"/>
      <w:r>
        <w:t>) :</w:t>
      </w:r>
      <w:proofErr w:type="gramEnd"/>
      <w:r>
        <w:t xml:space="preserve"> The date of the invoice </w:t>
      </w:r>
    </w:p>
    <w:p w:rsidR="00C30933" w:rsidRDefault="00F53458">
      <w:pPr>
        <w:numPr>
          <w:ilvl w:val="2"/>
          <w:numId w:val="7"/>
        </w:numPr>
        <w:ind w:right="0" w:hanging="360"/>
      </w:pPr>
      <w:r>
        <w:t xml:space="preserve">The amount(s) being charged </w:t>
      </w:r>
    </w:p>
    <w:p w:rsidR="00C30933" w:rsidRDefault="00F53458">
      <w:pPr>
        <w:numPr>
          <w:ilvl w:val="2"/>
          <w:numId w:val="7"/>
        </w:numPr>
        <w:ind w:right="0" w:hanging="360"/>
      </w:pPr>
      <w:r>
        <w:t xml:space="preserve">VAT amount if applicable </w:t>
      </w:r>
    </w:p>
    <w:p w:rsidR="00C30933" w:rsidRDefault="00F53458">
      <w:pPr>
        <w:numPr>
          <w:ilvl w:val="2"/>
          <w:numId w:val="7"/>
        </w:numPr>
        <w:ind w:right="0" w:hanging="360"/>
      </w:pPr>
      <w:r>
        <w:t xml:space="preserve">The total amount owed </w:t>
      </w:r>
    </w:p>
    <w:p w:rsidR="00C30933" w:rsidRDefault="00F53458">
      <w:pPr>
        <w:numPr>
          <w:ilvl w:val="2"/>
          <w:numId w:val="7"/>
        </w:numPr>
        <w:spacing w:after="338"/>
        <w:ind w:right="0" w:hanging="360"/>
      </w:pPr>
      <w:r>
        <w:t>Must quote a valid Purchase Order Number</w:t>
      </w:r>
      <w:r>
        <w:rPr>
          <w:sz w:val="22"/>
        </w:rPr>
        <w:t>.</w:t>
      </w:r>
    </w:p>
    <w:p w:rsidR="00C30933" w:rsidRDefault="00F53458">
      <w:pPr>
        <w:numPr>
          <w:ilvl w:val="0"/>
          <w:numId w:val="7"/>
        </w:numPr>
        <w:spacing w:after="49" w:line="259" w:lineRule="auto"/>
        <w:ind w:right="0" w:hanging="705"/>
        <w:jc w:val="left"/>
      </w:pPr>
      <w:r>
        <w:rPr>
          <w:b/>
          <w:sz w:val="32"/>
        </w:rPr>
        <w:t>CONTRACT MANAGEMENT</w:t>
      </w:r>
    </w:p>
    <w:p w:rsidR="00C30933" w:rsidRDefault="00F53458">
      <w:pPr>
        <w:numPr>
          <w:ilvl w:val="1"/>
          <w:numId w:val="7"/>
        </w:numPr>
        <w:spacing w:after="241"/>
        <w:ind w:right="0" w:hanging="720"/>
      </w:pPr>
      <w:r>
        <w:t>Contract management meetings will occur monthly. Supplier to provide an update on work undertaken and their associated costs and remaining budget prior to each meeting.</w:t>
      </w:r>
    </w:p>
    <w:p w:rsidR="00C30933" w:rsidRDefault="00F53458">
      <w:pPr>
        <w:numPr>
          <w:ilvl w:val="1"/>
          <w:numId w:val="7"/>
        </w:numPr>
        <w:spacing w:after="752"/>
        <w:ind w:right="0" w:hanging="720"/>
      </w:pPr>
      <w:r>
        <w:t>At</w:t>
      </w:r>
      <w:r>
        <w:t>tendance at Contract Review meetings shall be at the Supplier’s own expense (meetings can occur virtually when possible).</w:t>
      </w:r>
    </w:p>
    <w:p w:rsidR="00C30933" w:rsidRPr="00F2615A" w:rsidRDefault="00F53458">
      <w:pPr>
        <w:pStyle w:val="Heading2"/>
        <w:tabs>
          <w:tab w:val="center" w:pos="1325"/>
        </w:tabs>
        <w:ind w:left="-15" w:firstLine="0"/>
        <w:rPr>
          <w:sz w:val="32"/>
        </w:rPr>
      </w:pPr>
      <w:r>
        <w:rPr>
          <w:sz w:val="32"/>
        </w:rPr>
        <w:t>21.</w:t>
      </w:r>
      <w:r>
        <w:rPr>
          <w:sz w:val="32"/>
        </w:rPr>
        <w:tab/>
        <w:t>L</w:t>
      </w:r>
      <w:r w:rsidRPr="00F2615A">
        <w:rPr>
          <w:sz w:val="32"/>
        </w:rPr>
        <w:t>OCATION</w:t>
      </w:r>
    </w:p>
    <w:p w:rsidR="00C30933" w:rsidRDefault="00F53458">
      <w:pPr>
        <w:tabs>
          <w:tab w:val="center" w:pos="3286"/>
        </w:tabs>
        <w:spacing w:after="122"/>
        <w:ind w:left="-15" w:right="0" w:firstLine="0"/>
        <w:jc w:val="left"/>
      </w:pPr>
      <w:r>
        <w:t>21.1</w:t>
      </w:r>
      <w:r>
        <w:tab/>
        <w:t>The location of the Services will be carried out at</w:t>
      </w:r>
    </w:p>
    <w:p w:rsidR="00C30933" w:rsidRDefault="00F53458" w:rsidP="00D42B45">
      <w:pPr>
        <w:tabs>
          <w:tab w:val="center" w:pos="2952"/>
          <w:tab w:val="center" w:pos="4767"/>
        </w:tabs>
        <w:spacing w:after="126" w:line="259" w:lineRule="auto"/>
        <w:ind w:left="0" w:right="0" w:firstLine="0"/>
        <w:jc w:val="left"/>
      </w:pPr>
      <w:r>
        <w:rPr>
          <w:rFonts w:ascii="Calibri" w:eastAsia="Calibri" w:hAnsi="Calibri" w:cs="Calibri"/>
          <w:sz w:val="22"/>
        </w:rPr>
        <w:tab/>
      </w:r>
      <w:r>
        <w:t>○</w:t>
      </w:r>
      <w:r>
        <w:tab/>
      </w:r>
      <w:r w:rsidR="00D42B45">
        <w:rPr>
          <w:b/>
          <w:bCs/>
          <w:color w:val="FF0000"/>
        </w:rPr>
        <w:t>REDACTED TEXT under FOIA Section 40, Personal Information</w:t>
      </w:r>
    </w:p>
    <w:sectPr w:rsidR="00C30933">
      <w:footerReference w:type="even" r:id="rId18"/>
      <w:footerReference w:type="default" r:id="rId19"/>
      <w:footerReference w:type="first" r:id="rId20"/>
      <w:pgSz w:w="11920" w:h="16840"/>
      <w:pgMar w:top="1470" w:right="1455" w:bottom="2901" w:left="1440" w:header="720" w:footer="6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458" w:rsidRDefault="00F53458">
      <w:pPr>
        <w:spacing w:after="0" w:line="240" w:lineRule="auto"/>
      </w:pPr>
      <w:r>
        <w:separator/>
      </w:r>
    </w:p>
  </w:endnote>
  <w:endnote w:type="continuationSeparator" w:id="0">
    <w:p w:rsidR="00F53458" w:rsidRDefault="00F53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933" w:rsidRDefault="00F53458">
    <w:pPr>
      <w:spacing w:after="344" w:line="259" w:lineRule="auto"/>
      <w:ind w:left="0" w:right="0" w:firstLine="0"/>
      <w:jc w:val="center"/>
    </w:pPr>
    <w:r>
      <w:rPr>
        <w:noProof/>
      </w:rPr>
      <w:drawing>
        <wp:anchor distT="0" distB="0" distL="114300" distR="114300" simplePos="0" relativeHeight="251658240" behindDoc="0" locked="0" layoutInCell="1" allowOverlap="0">
          <wp:simplePos x="0" y="0"/>
          <wp:positionH relativeFrom="page">
            <wp:posOffset>885825</wp:posOffset>
          </wp:positionH>
          <wp:positionV relativeFrom="page">
            <wp:posOffset>8933307</wp:posOffset>
          </wp:positionV>
          <wp:extent cx="5791200" cy="57150"/>
          <wp:effectExtent l="0" t="0" r="0" b="0"/>
          <wp:wrapSquare wrapText="bothSides"/>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stretch>
                    <a:fillRect/>
                  </a:stretch>
                </pic:blipFill>
                <pic:spPr>
                  <a:xfrm>
                    <a:off x="0" y="0"/>
                    <a:ext cx="5791200" cy="57150"/>
                  </a:xfrm>
                  <a:prstGeom prst="rect">
                    <a:avLst/>
                  </a:prstGeom>
                </pic:spPr>
              </pic:pic>
            </a:graphicData>
          </a:graphic>
        </wp:anchor>
      </w:drawing>
    </w:r>
    <w:r>
      <w:rPr>
        <w:sz w:val="20"/>
      </w:rPr>
      <w:t>OFFICIAL</w:t>
    </w:r>
  </w:p>
  <w:p w:rsidR="00C30933" w:rsidRDefault="00F53458">
    <w:pPr>
      <w:spacing w:after="120" w:line="259" w:lineRule="auto"/>
      <w:ind w:left="0" w:right="0" w:firstLine="0"/>
      <w:jc w:val="left"/>
    </w:pPr>
    <w:r>
      <w:rPr>
        <w:sz w:val="20"/>
      </w:rPr>
      <w:t>Provision of GCG DIGITAL DRAWDOWN - AWS/AZURE</w:t>
    </w:r>
  </w:p>
  <w:p w:rsidR="00C30933" w:rsidRDefault="00F53458">
    <w:pPr>
      <w:spacing w:after="448" w:line="259" w:lineRule="auto"/>
      <w:ind w:left="0" w:right="0" w:firstLine="0"/>
      <w:jc w:val="left"/>
    </w:pPr>
    <w:r>
      <w:rPr>
        <w:sz w:val="20"/>
      </w:rPr>
      <w:t>Contract Reference CCTS23A12 v1.0</w:t>
    </w:r>
  </w:p>
  <w:p w:rsidR="00C30933" w:rsidRDefault="00F53458">
    <w:pPr>
      <w:spacing w:after="0" w:line="259" w:lineRule="auto"/>
      <w:ind w:left="0" w:right="0" w:firstLine="0"/>
      <w:jc w:val="center"/>
    </w:pPr>
    <w:r>
      <w:fldChar w:fldCharType="begin"/>
    </w:r>
    <w:r>
      <w:instrText xml:space="preserve"> PAGE   \* MERGEFORMAT </w:instrText>
    </w:r>
    <w: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933" w:rsidRDefault="00F53458">
    <w:pPr>
      <w:spacing w:after="344" w:line="259" w:lineRule="auto"/>
      <w:ind w:left="0" w:right="0" w:firstLine="0"/>
      <w:jc w:val="center"/>
    </w:pPr>
    <w:r>
      <w:rPr>
        <w:noProof/>
      </w:rPr>
      <w:drawing>
        <wp:anchor distT="0" distB="0" distL="114300" distR="114300" simplePos="0" relativeHeight="251659264" behindDoc="0" locked="0" layoutInCell="1" allowOverlap="0">
          <wp:simplePos x="0" y="0"/>
          <wp:positionH relativeFrom="page">
            <wp:posOffset>885825</wp:posOffset>
          </wp:positionH>
          <wp:positionV relativeFrom="page">
            <wp:posOffset>8933307</wp:posOffset>
          </wp:positionV>
          <wp:extent cx="5791200" cy="571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stretch>
                    <a:fillRect/>
                  </a:stretch>
                </pic:blipFill>
                <pic:spPr>
                  <a:xfrm>
                    <a:off x="0" y="0"/>
                    <a:ext cx="5791200" cy="57150"/>
                  </a:xfrm>
                  <a:prstGeom prst="rect">
                    <a:avLst/>
                  </a:prstGeom>
                </pic:spPr>
              </pic:pic>
            </a:graphicData>
          </a:graphic>
        </wp:anchor>
      </w:drawing>
    </w:r>
    <w:r>
      <w:rPr>
        <w:sz w:val="20"/>
      </w:rPr>
      <w:t>OFFICIAL</w:t>
    </w:r>
  </w:p>
  <w:p w:rsidR="00C30933" w:rsidRDefault="00F53458">
    <w:pPr>
      <w:spacing w:after="120" w:line="259" w:lineRule="auto"/>
      <w:ind w:left="0" w:right="0" w:firstLine="0"/>
      <w:jc w:val="left"/>
    </w:pPr>
    <w:r>
      <w:rPr>
        <w:sz w:val="20"/>
      </w:rPr>
      <w:t>Provision of GCG DIGITAL DRAWDOWN - AWS/AZURE</w:t>
    </w:r>
  </w:p>
  <w:p w:rsidR="00C30933" w:rsidRDefault="00F53458">
    <w:pPr>
      <w:spacing w:after="448" w:line="259" w:lineRule="auto"/>
      <w:ind w:left="0" w:right="0" w:firstLine="0"/>
      <w:jc w:val="left"/>
    </w:pPr>
    <w:r>
      <w:rPr>
        <w:sz w:val="20"/>
      </w:rPr>
      <w:t>Contract Reference CCTS23A12 v1.0</w:t>
    </w:r>
  </w:p>
  <w:p w:rsidR="00C30933" w:rsidRDefault="00F53458">
    <w:pPr>
      <w:spacing w:after="0" w:line="259" w:lineRule="auto"/>
      <w:ind w:left="0" w:right="0" w:firstLine="0"/>
      <w:jc w:val="center"/>
    </w:pPr>
    <w:r>
      <w:fldChar w:fldCharType="begin"/>
    </w:r>
    <w:r>
      <w:instrText xml:space="preserve"> PAGE   \* MERGEFORMAT </w:instrText>
    </w:r>
    <w:r>
      <w:fldChar w:fldCharType="separate"/>
    </w:r>
    <w:r>
      <w:rPr>
        <w:sz w:val="20"/>
      </w:rPr>
      <w:t>1</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933" w:rsidRDefault="00F53458">
    <w:pPr>
      <w:spacing w:after="344" w:line="259" w:lineRule="auto"/>
      <w:ind w:left="0" w:right="0" w:firstLine="0"/>
      <w:jc w:val="center"/>
    </w:pPr>
    <w:r>
      <w:rPr>
        <w:noProof/>
      </w:rPr>
      <w:drawing>
        <wp:anchor distT="0" distB="0" distL="114300" distR="114300" simplePos="0" relativeHeight="251660288" behindDoc="0" locked="0" layoutInCell="1" allowOverlap="0">
          <wp:simplePos x="0" y="0"/>
          <wp:positionH relativeFrom="page">
            <wp:posOffset>885825</wp:posOffset>
          </wp:positionH>
          <wp:positionV relativeFrom="page">
            <wp:posOffset>8933307</wp:posOffset>
          </wp:positionV>
          <wp:extent cx="5791200" cy="571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stretch>
                    <a:fillRect/>
                  </a:stretch>
                </pic:blipFill>
                <pic:spPr>
                  <a:xfrm>
                    <a:off x="0" y="0"/>
                    <a:ext cx="5791200" cy="57150"/>
                  </a:xfrm>
                  <a:prstGeom prst="rect">
                    <a:avLst/>
                  </a:prstGeom>
                </pic:spPr>
              </pic:pic>
            </a:graphicData>
          </a:graphic>
        </wp:anchor>
      </w:drawing>
    </w:r>
    <w:r>
      <w:rPr>
        <w:sz w:val="20"/>
      </w:rPr>
      <w:t>OFFICIAL</w:t>
    </w:r>
  </w:p>
  <w:p w:rsidR="00C30933" w:rsidRDefault="00F53458">
    <w:pPr>
      <w:spacing w:after="120" w:line="259" w:lineRule="auto"/>
      <w:ind w:left="0" w:right="0" w:firstLine="0"/>
      <w:jc w:val="left"/>
    </w:pPr>
    <w:r>
      <w:rPr>
        <w:sz w:val="20"/>
      </w:rPr>
      <w:t>Provision of GCG DIGITAL DRAWDOWN - AWS/AZURE</w:t>
    </w:r>
  </w:p>
  <w:p w:rsidR="00C30933" w:rsidRDefault="00F53458">
    <w:pPr>
      <w:spacing w:after="448" w:line="259" w:lineRule="auto"/>
      <w:ind w:left="0" w:right="0" w:firstLine="0"/>
      <w:jc w:val="left"/>
    </w:pPr>
    <w:r>
      <w:rPr>
        <w:sz w:val="20"/>
      </w:rPr>
      <w:t>Contract Reference CCTS23A12 v1.0</w:t>
    </w:r>
  </w:p>
  <w:p w:rsidR="00C30933" w:rsidRDefault="00F53458">
    <w:pPr>
      <w:spacing w:after="0" w:line="259" w:lineRule="auto"/>
      <w:ind w:left="0" w:right="0" w:firstLine="0"/>
      <w:jc w:val="center"/>
    </w:pPr>
    <w:r>
      <w:fldChar w:fldCharType="begin"/>
    </w:r>
    <w:r>
      <w:instrText xml:space="preserve"> PAGE   \* MERGEFORMAT </w:instrText>
    </w:r>
    <w:r>
      <w:fldChar w:fldCharType="separate"/>
    </w:r>
    <w:r>
      <w:rPr>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458" w:rsidRDefault="00F53458">
      <w:pPr>
        <w:spacing w:after="0" w:line="240" w:lineRule="auto"/>
      </w:pPr>
      <w:r>
        <w:separator/>
      </w:r>
    </w:p>
  </w:footnote>
  <w:footnote w:type="continuationSeparator" w:id="0">
    <w:p w:rsidR="00F53458" w:rsidRDefault="00F534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B7397"/>
    <w:multiLevelType w:val="multilevel"/>
    <w:tmpl w:val="8EAE2F08"/>
    <w:lvl w:ilvl="0">
      <w:start w:val="15"/>
      <w:numFmt w:val="decimal"/>
      <w:lvlText w:val="%1."/>
      <w:lvlJc w:val="left"/>
      <w:pPr>
        <w:ind w:left="705"/>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241D90"/>
    <w:multiLevelType w:val="multilevel"/>
    <w:tmpl w:val="BECC4F18"/>
    <w:lvl w:ilvl="0">
      <w:start w:val="1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DB6169"/>
    <w:multiLevelType w:val="hybridMultilevel"/>
    <w:tmpl w:val="A0B48844"/>
    <w:lvl w:ilvl="0" w:tplc="FF58794C">
      <w:start w:val="6"/>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3E94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28B104">
      <w:start w:val="1"/>
      <w:numFmt w:val="bullet"/>
      <w:lvlText w:val="▪"/>
      <w:lvlJc w:val="left"/>
      <w:pPr>
        <w:ind w:left="1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B0DADC">
      <w:start w:val="1"/>
      <w:numFmt w:val="bullet"/>
      <w:lvlText w:val="•"/>
      <w:lvlJc w:val="left"/>
      <w:pPr>
        <w:ind w:left="2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4C6C26">
      <w:start w:val="1"/>
      <w:numFmt w:val="bullet"/>
      <w:lvlText w:val="o"/>
      <w:lvlJc w:val="left"/>
      <w:pPr>
        <w:ind w:left="3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B056F2">
      <w:start w:val="1"/>
      <w:numFmt w:val="bullet"/>
      <w:lvlText w:val="▪"/>
      <w:lvlJc w:val="left"/>
      <w:pPr>
        <w:ind w:left="3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BEADB0">
      <w:start w:val="1"/>
      <w:numFmt w:val="bullet"/>
      <w:lvlText w:val="•"/>
      <w:lvlJc w:val="left"/>
      <w:pPr>
        <w:ind w:left="4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9067E6">
      <w:start w:val="1"/>
      <w:numFmt w:val="bullet"/>
      <w:lvlText w:val="o"/>
      <w:lvlJc w:val="left"/>
      <w:pPr>
        <w:ind w:left="5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6269CA">
      <w:start w:val="1"/>
      <w:numFmt w:val="bullet"/>
      <w:lvlText w:val="▪"/>
      <w:lvlJc w:val="left"/>
      <w:pPr>
        <w:ind w:left="6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386444"/>
    <w:multiLevelType w:val="hybridMultilevel"/>
    <w:tmpl w:val="819CD4F0"/>
    <w:lvl w:ilvl="0" w:tplc="93886414">
      <w:start w:val="11"/>
      <w:numFmt w:val="decimal"/>
      <w:lvlText w:val="%1."/>
      <w:lvlJc w:val="left"/>
      <w:pPr>
        <w:ind w:left="705"/>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tplc="E4682808">
      <w:start w:val="1"/>
      <w:numFmt w:val="lowerLetter"/>
      <w:lvlText w:val="%2"/>
      <w:lvlJc w:val="left"/>
      <w:pPr>
        <w:ind w:left="108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2" w:tplc="196A4CFE">
      <w:start w:val="1"/>
      <w:numFmt w:val="lowerRoman"/>
      <w:lvlText w:val="%3"/>
      <w:lvlJc w:val="left"/>
      <w:pPr>
        <w:ind w:left="180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3" w:tplc="0D444250">
      <w:start w:val="1"/>
      <w:numFmt w:val="decimal"/>
      <w:lvlText w:val="%4"/>
      <w:lvlJc w:val="left"/>
      <w:pPr>
        <w:ind w:left="252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4" w:tplc="49B8A42E">
      <w:start w:val="1"/>
      <w:numFmt w:val="lowerLetter"/>
      <w:lvlText w:val="%5"/>
      <w:lvlJc w:val="left"/>
      <w:pPr>
        <w:ind w:left="324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5" w:tplc="07CED59A">
      <w:start w:val="1"/>
      <w:numFmt w:val="lowerRoman"/>
      <w:lvlText w:val="%6"/>
      <w:lvlJc w:val="left"/>
      <w:pPr>
        <w:ind w:left="396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6" w:tplc="1212B0A8">
      <w:start w:val="1"/>
      <w:numFmt w:val="decimal"/>
      <w:lvlText w:val="%7"/>
      <w:lvlJc w:val="left"/>
      <w:pPr>
        <w:ind w:left="468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7" w:tplc="A1361032">
      <w:start w:val="1"/>
      <w:numFmt w:val="lowerLetter"/>
      <w:lvlText w:val="%8"/>
      <w:lvlJc w:val="left"/>
      <w:pPr>
        <w:ind w:left="540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8" w:tplc="8A3A523C">
      <w:start w:val="1"/>
      <w:numFmt w:val="lowerRoman"/>
      <w:lvlText w:val="%9"/>
      <w:lvlJc w:val="left"/>
      <w:pPr>
        <w:ind w:left="612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63B13960"/>
    <w:multiLevelType w:val="multilevel"/>
    <w:tmpl w:val="CD5A9C92"/>
    <w:lvl w:ilvl="0">
      <w:start w:val="19"/>
      <w:numFmt w:val="decimal"/>
      <w:lvlText w:val="%1."/>
      <w:lvlJc w:val="left"/>
      <w:pPr>
        <w:ind w:left="705"/>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FB1ABB"/>
    <w:multiLevelType w:val="hybridMultilevel"/>
    <w:tmpl w:val="4D508CB4"/>
    <w:lvl w:ilvl="0" w:tplc="716CB1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A68B4A">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AE0AF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6ADFB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628B80">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DABAA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BA36D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D68AF6">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524700">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D3663EE"/>
    <w:multiLevelType w:val="hybridMultilevel"/>
    <w:tmpl w:val="BCC4267E"/>
    <w:lvl w:ilvl="0" w:tplc="087A9038">
      <w:start w:val="7"/>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B28F6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E642E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94E1D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B6E01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F68E2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8E9F1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54E15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DB4DA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2"/>
  </w:num>
  <w:num w:numId="3">
    <w:abstractNumId w:val="5"/>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933"/>
    <w:rsid w:val="00C30933"/>
    <w:rsid w:val="00D42B45"/>
    <w:rsid w:val="00F2615A"/>
    <w:rsid w:val="00F53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F754A"/>
  <w15:docId w15:val="{C84CA0A5-377C-4841-ADEB-F20938F8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3" w:lineRule="auto"/>
      <w:ind w:left="10" w:right="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61"/>
      <w:ind w:left="11"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61"/>
      <w:ind w:left="11"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2"/>
    </w:rPr>
  </w:style>
  <w:style w:type="paragraph" w:styleId="TOC1">
    <w:name w:val="toc 1"/>
    <w:hidden/>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service-manual/agile-delivery/how-the-alpha-phase-works" TargetMode="External"/><Relationship Id="rId13" Type="http://schemas.openxmlformats.org/officeDocument/2006/relationships/hyperlink" Target="https://www.gov.uk/service-manual/agile-delivery/how-the-beta-phase-work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gov.uk/service-manual/agile-delivery/how-the-alpha-phase-works" TargetMode="External"/><Relationship Id="rId17" Type="http://schemas.openxmlformats.org/officeDocument/2006/relationships/hyperlink" Target="https://www.gov.uk/service-manual/agile-delivery/how-the-beta-phase-works" TargetMode="External"/><Relationship Id="rId2" Type="http://schemas.openxmlformats.org/officeDocument/2006/relationships/styles" Target="styles.xml"/><Relationship Id="rId16" Type="http://schemas.openxmlformats.org/officeDocument/2006/relationships/hyperlink" Target="https://www.gov.uk/service-manual/agile-delivery/how-the-beta-phase-works"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service-manual/agile-delivery/how-the-alpha-phase-works" TargetMode="External"/><Relationship Id="rId5" Type="http://schemas.openxmlformats.org/officeDocument/2006/relationships/footnotes" Target="footnotes.xml"/><Relationship Id="rId15" Type="http://schemas.openxmlformats.org/officeDocument/2006/relationships/hyperlink" Target="https://www.gov.uk/service-manual/agile-delivery/how-the-beta-phase-works" TargetMode="External"/><Relationship Id="rId10" Type="http://schemas.openxmlformats.org/officeDocument/2006/relationships/hyperlink" Target="https://www.gov.uk/service-manual/agile-delivery/how-the-alpha-phase-work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v.uk/service-manual/agile-delivery/how-the-alpha-phase-works" TargetMode="External"/><Relationship Id="rId14" Type="http://schemas.openxmlformats.org/officeDocument/2006/relationships/hyperlink" Target="https://www.gov.uk/service-manual/agile-delivery/how-the-beta-phase-work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2217</Words>
  <Characters>12643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Attachment 3 - Statement of Requirements -GCG Digital AWS/AZURE.docx</vt:lpstr>
    </vt:vector>
  </TitlesOfParts>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3 - Statement of Requirements -GCG Digital AWS/AZURE.docx</dc:title>
  <dc:subject/>
  <dc:creator>Candace Brooks</dc:creator>
  <cp:keywords/>
  <cp:lastModifiedBy>Candace Brooks</cp:lastModifiedBy>
  <cp:revision>3</cp:revision>
  <dcterms:created xsi:type="dcterms:W3CDTF">2024-08-15T13:24:00Z</dcterms:created>
  <dcterms:modified xsi:type="dcterms:W3CDTF">2024-08-15T13:34:00Z</dcterms:modified>
</cp:coreProperties>
</file>