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CB7" w:rsidRDefault="00607CB7" w:rsidP="00607CB7">
      <w:pPr>
        <w:pBdr>
          <w:bottom w:val="double" w:sz="4" w:space="1" w:color="auto"/>
        </w:pBdr>
        <w:jc w:val="both"/>
        <w:rPr>
          <w:rFonts w:ascii="Arial" w:hAnsi="Arial" w:cs="Arial"/>
          <w:b/>
        </w:rPr>
      </w:pPr>
      <w:bookmarkStart w:id="0" w:name="_GoBack"/>
      <w:bookmarkEnd w:id="0"/>
      <w:r>
        <w:rPr>
          <w:rFonts w:ascii="Arial" w:hAnsi="Arial" w:cs="Arial"/>
          <w:b/>
        </w:rPr>
        <w:t>Our Ref: JMCAMC-Pack6</w:t>
      </w:r>
    </w:p>
    <w:p w:rsidR="00607CB7" w:rsidRDefault="00607CB7" w:rsidP="00395ED5">
      <w:pPr>
        <w:pBdr>
          <w:bottom w:val="double" w:sz="4" w:space="1" w:color="auto"/>
        </w:pBdr>
        <w:jc w:val="both"/>
        <w:rPr>
          <w:rFonts w:ascii="Arial" w:hAnsi="Arial" w:cs="Arial"/>
          <w:b/>
        </w:rPr>
      </w:pPr>
    </w:p>
    <w:p w:rsidR="00607CB7" w:rsidRDefault="00607CB7" w:rsidP="00395ED5">
      <w:pPr>
        <w:pBdr>
          <w:bottom w:val="double" w:sz="4" w:space="1" w:color="auto"/>
        </w:pBdr>
        <w:jc w:val="both"/>
        <w:rPr>
          <w:rFonts w:ascii="Arial" w:hAnsi="Arial" w:cs="Arial"/>
          <w:b/>
        </w:rPr>
      </w:pPr>
      <w:r>
        <w:rPr>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953760" cy="1218565"/>
            <wp:effectExtent l="0" t="0" r="8890" b="635"/>
            <wp:wrapNone/>
            <wp:docPr id="1" name="Picture 1"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760" cy="1218565"/>
                    </a:xfrm>
                    <a:prstGeom prst="rect">
                      <a:avLst/>
                    </a:prstGeom>
                    <a:noFill/>
                  </pic:spPr>
                </pic:pic>
              </a:graphicData>
            </a:graphic>
            <wp14:sizeRelH relativeFrom="page">
              <wp14:pctWidth>0</wp14:pctWidth>
            </wp14:sizeRelH>
            <wp14:sizeRelV relativeFrom="page">
              <wp14:pctHeight>0</wp14:pctHeight>
            </wp14:sizeRelV>
          </wp:anchor>
        </w:drawing>
      </w:r>
    </w:p>
    <w:p w:rsidR="00607CB7" w:rsidRDefault="00607CB7" w:rsidP="00395ED5">
      <w:pPr>
        <w:pBdr>
          <w:bottom w:val="double" w:sz="4" w:space="1" w:color="auto"/>
        </w:pBdr>
        <w:jc w:val="both"/>
        <w:rPr>
          <w:rFonts w:ascii="Arial" w:hAnsi="Arial" w:cs="Arial"/>
          <w:b/>
        </w:rPr>
      </w:pPr>
    </w:p>
    <w:p w:rsidR="00607CB7" w:rsidRDefault="00607CB7" w:rsidP="00395ED5">
      <w:pPr>
        <w:pBdr>
          <w:bottom w:val="double" w:sz="4" w:space="1" w:color="auto"/>
        </w:pBdr>
        <w:jc w:val="both"/>
        <w:rPr>
          <w:rFonts w:ascii="Arial" w:hAnsi="Arial" w:cs="Arial"/>
          <w:b/>
        </w:rPr>
      </w:pPr>
    </w:p>
    <w:p w:rsidR="00607CB7" w:rsidRDefault="00607CB7" w:rsidP="00395ED5">
      <w:pPr>
        <w:pBdr>
          <w:bottom w:val="double" w:sz="4" w:space="1" w:color="auto"/>
        </w:pBdr>
        <w:jc w:val="both"/>
        <w:rPr>
          <w:rFonts w:ascii="Arial" w:hAnsi="Arial" w:cs="Arial"/>
          <w:b/>
        </w:rPr>
      </w:pPr>
    </w:p>
    <w:p w:rsidR="00607CB7" w:rsidRDefault="00607CB7" w:rsidP="00395ED5">
      <w:pPr>
        <w:pBdr>
          <w:bottom w:val="double" w:sz="4" w:space="1" w:color="auto"/>
        </w:pBdr>
        <w:jc w:val="both"/>
        <w:rPr>
          <w:rFonts w:ascii="Arial" w:hAnsi="Arial" w:cs="Arial"/>
          <w:b/>
        </w:rPr>
      </w:pPr>
    </w:p>
    <w:p w:rsidR="00607CB7" w:rsidRDefault="00607CB7" w:rsidP="00395ED5">
      <w:pPr>
        <w:pBdr>
          <w:bottom w:val="double" w:sz="4" w:space="1" w:color="auto"/>
        </w:pBdr>
        <w:jc w:val="both"/>
        <w:rPr>
          <w:rFonts w:ascii="Arial" w:hAnsi="Arial" w:cs="Arial"/>
          <w:b/>
        </w:rPr>
      </w:pPr>
    </w:p>
    <w:p w:rsidR="00607CB7" w:rsidRDefault="00607CB7" w:rsidP="00395ED5">
      <w:pPr>
        <w:pBdr>
          <w:bottom w:val="double" w:sz="4" w:space="1" w:color="auto"/>
        </w:pBdr>
        <w:jc w:val="both"/>
        <w:rPr>
          <w:rFonts w:ascii="Arial" w:hAnsi="Arial" w:cs="Arial"/>
          <w:b/>
        </w:rPr>
      </w:pPr>
    </w:p>
    <w:p w:rsidR="00607CB7" w:rsidRDefault="00607CB7" w:rsidP="00395ED5">
      <w:pPr>
        <w:pBdr>
          <w:bottom w:val="double" w:sz="4" w:space="1" w:color="auto"/>
        </w:pBdr>
        <w:jc w:val="both"/>
        <w:rPr>
          <w:rFonts w:ascii="Arial" w:hAnsi="Arial" w:cs="Arial"/>
          <w:b/>
        </w:rPr>
      </w:pPr>
    </w:p>
    <w:p w:rsidR="00607CB7" w:rsidRDefault="00607CB7" w:rsidP="00395ED5">
      <w:pPr>
        <w:pBdr>
          <w:bottom w:val="double" w:sz="4" w:space="1" w:color="auto"/>
        </w:pBdr>
        <w:jc w:val="both"/>
        <w:rPr>
          <w:rFonts w:ascii="Arial" w:hAnsi="Arial" w:cs="Arial"/>
          <w:b/>
        </w:rPr>
      </w:pPr>
    </w:p>
    <w:p w:rsidR="00395ED5" w:rsidRDefault="00395ED5" w:rsidP="00395ED5">
      <w:pPr>
        <w:jc w:val="both"/>
        <w:rPr>
          <w:rFonts w:ascii="Calibri" w:hAnsi="Calibri" w:cs="Calibri"/>
          <w:b/>
          <w:sz w:val="30"/>
          <w:szCs w:val="22"/>
        </w:rPr>
      </w:pPr>
    </w:p>
    <w:p w:rsidR="000E62A8" w:rsidRDefault="000E62A8" w:rsidP="00395ED5">
      <w:pPr>
        <w:jc w:val="center"/>
        <w:rPr>
          <w:rFonts w:ascii="Calibri" w:hAnsi="Calibri" w:cs="Calibri"/>
          <w:b/>
          <w:sz w:val="30"/>
          <w:szCs w:val="22"/>
        </w:rPr>
      </w:pPr>
      <w:r w:rsidRPr="000E62A8">
        <w:rPr>
          <w:rFonts w:ascii="Calibri" w:hAnsi="Calibri" w:cs="Calibri"/>
          <w:b/>
          <w:sz w:val="30"/>
          <w:szCs w:val="22"/>
        </w:rPr>
        <w:t>CAMC Digital Asset Data and Information - Tranche 1</w:t>
      </w:r>
    </w:p>
    <w:p w:rsidR="000E62A8" w:rsidRDefault="000E62A8" w:rsidP="00395ED5">
      <w:pPr>
        <w:jc w:val="center"/>
        <w:rPr>
          <w:rFonts w:ascii="Calibri" w:hAnsi="Calibri" w:cs="Calibri"/>
          <w:b/>
          <w:sz w:val="30"/>
          <w:szCs w:val="22"/>
        </w:rPr>
      </w:pPr>
      <w:r w:rsidRPr="000E62A8">
        <w:rPr>
          <w:rFonts w:ascii="Calibri" w:hAnsi="Calibri" w:cs="Calibri"/>
          <w:b/>
          <w:sz w:val="30"/>
          <w:szCs w:val="22"/>
        </w:rPr>
        <w:t>Package 6 - Asset Data Security</w:t>
      </w:r>
    </w:p>
    <w:p w:rsidR="00395ED5" w:rsidRDefault="00395ED5" w:rsidP="00395ED5">
      <w:pPr>
        <w:jc w:val="center"/>
        <w:rPr>
          <w:rFonts w:ascii="Calibri" w:hAnsi="Calibri" w:cs="Calibri"/>
          <w:b/>
          <w:sz w:val="30"/>
          <w:szCs w:val="22"/>
        </w:rPr>
      </w:pPr>
      <w:r>
        <w:rPr>
          <w:rFonts w:ascii="Calibri" w:hAnsi="Calibri" w:cs="Calibri"/>
          <w:b/>
          <w:sz w:val="30"/>
          <w:szCs w:val="22"/>
        </w:rPr>
        <w:t>PSA 11</w:t>
      </w:r>
      <w:r w:rsidR="00B855F0">
        <w:rPr>
          <w:rFonts w:ascii="Calibri" w:hAnsi="Calibri" w:cs="Calibri"/>
          <w:b/>
          <w:sz w:val="30"/>
          <w:szCs w:val="22"/>
        </w:rPr>
        <w:t xml:space="preserve"> – A</w:t>
      </w:r>
      <w:r w:rsidR="000E62A8">
        <w:rPr>
          <w:rFonts w:ascii="Calibri" w:hAnsi="Calibri" w:cs="Calibri"/>
          <w:b/>
          <w:sz w:val="30"/>
          <w:szCs w:val="22"/>
        </w:rPr>
        <w:t>dditional Text</w:t>
      </w:r>
    </w:p>
    <w:p w:rsidR="00395ED5" w:rsidRPr="00945405" w:rsidRDefault="00395ED5" w:rsidP="00395ED5">
      <w:pPr>
        <w:pBdr>
          <w:bottom w:val="double" w:sz="4" w:space="1" w:color="auto"/>
        </w:pBdr>
        <w:jc w:val="both"/>
        <w:rPr>
          <w:rFonts w:ascii="Arial" w:hAnsi="Arial" w:cs="Arial"/>
          <w:b/>
        </w:rPr>
      </w:pPr>
    </w:p>
    <w:p w:rsidR="00395ED5" w:rsidRPr="00395ED5" w:rsidRDefault="00395ED5" w:rsidP="00395ED5">
      <w:pPr>
        <w:jc w:val="both"/>
        <w:rPr>
          <w:rFonts w:asciiTheme="minorHAnsi" w:hAnsiTheme="minorHAnsi" w:cs="Calibri"/>
          <w:b/>
          <w:sz w:val="22"/>
          <w:szCs w:val="22"/>
        </w:rPr>
      </w:pPr>
    </w:p>
    <w:p w:rsidR="00395ED5" w:rsidRPr="00395ED5" w:rsidRDefault="00395ED5" w:rsidP="00395ED5">
      <w:pPr>
        <w:rPr>
          <w:rFonts w:asciiTheme="minorHAnsi" w:hAnsiTheme="minorHAnsi" w:cs="Arial"/>
          <w:sz w:val="22"/>
          <w:szCs w:val="22"/>
        </w:rPr>
      </w:pPr>
      <w:r w:rsidRPr="00395ED5">
        <w:rPr>
          <w:rFonts w:asciiTheme="minorHAnsi" w:hAnsiTheme="minorHAnsi" w:cs="Arial"/>
          <w:b/>
          <w:sz w:val="22"/>
          <w:szCs w:val="22"/>
          <w:u w:val="single"/>
        </w:rPr>
        <w:t>Project Background</w:t>
      </w:r>
      <w:r w:rsidRPr="00395ED5">
        <w:rPr>
          <w:rFonts w:asciiTheme="minorHAnsi" w:hAnsiTheme="minorHAnsi" w:cs="Arial"/>
          <w:sz w:val="22"/>
          <w:szCs w:val="22"/>
        </w:rPr>
        <w:t xml:space="preserve"> - The CAMC Digital Asset Data and Information (CAMC DADI) project is about determining and delivering a whole life digital data and information approach to realise the future ambitions and plans for asset management. Successful delivery of the project will enable a coherent digital and data driven approach, helping to transform our business into one that is digitally ready and able to meet our world class asset management ambition.  </w:t>
      </w:r>
    </w:p>
    <w:p w:rsidR="00395ED5" w:rsidRPr="00395ED5" w:rsidRDefault="00395ED5" w:rsidP="00395ED5">
      <w:pPr>
        <w:rPr>
          <w:rFonts w:asciiTheme="minorHAnsi" w:hAnsiTheme="minorHAnsi" w:cs="Arial"/>
          <w:sz w:val="22"/>
          <w:szCs w:val="22"/>
        </w:rPr>
      </w:pPr>
    </w:p>
    <w:p w:rsidR="00395ED5" w:rsidRPr="00395ED5" w:rsidRDefault="00395ED5" w:rsidP="00395ED5">
      <w:pPr>
        <w:pStyle w:val="intro"/>
        <w:shd w:val="clear" w:color="auto" w:fill="FFFFFF"/>
        <w:spacing w:before="0" w:beforeAutospacing="0" w:after="240" w:afterAutospacing="0"/>
        <w:jc w:val="both"/>
        <w:rPr>
          <w:rFonts w:asciiTheme="minorHAnsi" w:hAnsiTheme="minorHAnsi" w:cs="Arial"/>
          <w:sz w:val="22"/>
          <w:szCs w:val="22"/>
        </w:rPr>
      </w:pPr>
      <w:r w:rsidRPr="00395ED5">
        <w:rPr>
          <w:rFonts w:asciiTheme="minorHAnsi" w:hAnsiTheme="minorHAnsi" w:cs="Arial"/>
          <w:sz w:val="22"/>
          <w:szCs w:val="22"/>
        </w:rPr>
        <w:t>The CAMC Digital Asset Data and Information vision</w:t>
      </w:r>
      <w:r w:rsidR="00646273">
        <w:rPr>
          <w:rFonts w:asciiTheme="minorHAnsi" w:hAnsiTheme="minorHAnsi" w:cs="Arial"/>
          <w:sz w:val="22"/>
          <w:szCs w:val="22"/>
        </w:rPr>
        <w:t xml:space="preserve"> is</w:t>
      </w:r>
      <w:r w:rsidRPr="00395ED5">
        <w:rPr>
          <w:rFonts w:asciiTheme="minorHAnsi" w:hAnsiTheme="minorHAnsi" w:cs="Arial"/>
          <w:sz w:val="22"/>
          <w:szCs w:val="22"/>
        </w:rPr>
        <w:t>:</w:t>
      </w:r>
    </w:p>
    <w:p w:rsidR="00395ED5" w:rsidRPr="00395ED5" w:rsidRDefault="00395ED5" w:rsidP="00395ED5">
      <w:pPr>
        <w:pStyle w:val="intro"/>
        <w:shd w:val="clear" w:color="auto" w:fill="FFFFFF"/>
        <w:spacing w:before="0" w:beforeAutospacing="0" w:after="240" w:afterAutospacing="0"/>
        <w:jc w:val="both"/>
        <w:rPr>
          <w:rFonts w:asciiTheme="minorHAnsi" w:hAnsiTheme="minorHAnsi" w:cs="Arial"/>
          <w:i/>
          <w:sz w:val="22"/>
          <w:szCs w:val="22"/>
        </w:rPr>
      </w:pPr>
      <w:r w:rsidRPr="00395ED5">
        <w:rPr>
          <w:rFonts w:asciiTheme="minorHAnsi" w:hAnsiTheme="minorHAnsi" w:cs="Arial"/>
          <w:i/>
          <w:sz w:val="22"/>
          <w:szCs w:val="22"/>
        </w:rPr>
        <w:t>“For the Environment Agency and its partners to have information they can trust and rely on, even when it is produced by someone else, to make sound business decisions quicker and faster. Our staff and partners to be productive anytime, anywhere, from any device using the most appropriate technology.  To use smart technology in a coherent way and build our capability to prepare ourselves for more digital working in the future.”</w:t>
      </w:r>
    </w:p>
    <w:p w:rsidR="00646273" w:rsidRDefault="00646273" w:rsidP="00395ED5">
      <w:pPr>
        <w:rPr>
          <w:rFonts w:asciiTheme="minorHAnsi" w:hAnsiTheme="minorHAnsi"/>
          <w:sz w:val="22"/>
          <w:szCs w:val="22"/>
        </w:rPr>
      </w:pPr>
      <w:r w:rsidRPr="00646273">
        <w:rPr>
          <w:rFonts w:asciiTheme="minorHAnsi" w:hAnsiTheme="minorHAnsi"/>
          <w:sz w:val="22"/>
          <w:szCs w:val="22"/>
        </w:rPr>
        <w:t xml:space="preserve">We are currently </w:t>
      </w:r>
      <w:r>
        <w:rPr>
          <w:rFonts w:asciiTheme="minorHAnsi" w:hAnsiTheme="minorHAnsi"/>
          <w:sz w:val="22"/>
          <w:szCs w:val="22"/>
        </w:rPr>
        <w:t xml:space="preserve">forming our strategy and at this present time are reviewing our options.  There are six work packages under tranche 1 of this </w:t>
      </w:r>
      <w:r w:rsidR="007B2555">
        <w:rPr>
          <w:rFonts w:asciiTheme="minorHAnsi" w:hAnsiTheme="minorHAnsi"/>
          <w:sz w:val="22"/>
          <w:szCs w:val="22"/>
        </w:rPr>
        <w:t>project.</w:t>
      </w:r>
      <w:r>
        <w:rPr>
          <w:rFonts w:asciiTheme="minorHAnsi" w:hAnsiTheme="minorHAnsi"/>
          <w:sz w:val="22"/>
          <w:szCs w:val="22"/>
        </w:rPr>
        <w:t xml:space="preserve">  These cover Asset Data Library (package 1), Digital Engineering Standards (Package 2), CAD Standards (package 3), 4d &amp; 5D Building, information and modelling (package 4), Parametric Object Library (package 5) </w:t>
      </w:r>
      <w:r w:rsidR="007B2555">
        <w:rPr>
          <w:rFonts w:asciiTheme="minorHAnsi" w:hAnsiTheme="minorHAnsi"/>
          <w:sz w:val="22"/>
          <w:szCs w:val="22"/>
        </w:rPr>
        <w:t xml:space="preserve">and </w:t>
      </w:r>
      <w:r>
        <w:rPr>
          <w:rFonts w:asciiTheme="minorHAnsi" w:hAnsiTheme="minorHAnsi"/>
          <w:sz w:val="22"/>
          <w:szCs w:val="22"/>
        </w:rPr>
        <w:t>Asset Data Security (package 6)</w:t>
      </w:r>
      <w:r w:rsidR="007B2555">
        <w:rPr>
          <w:rFonts w:asciiTheme="minorHAnsi" w:hAnsiTheme="minorHAnsi"/>
          <w:sz w:val="22"/>
          <w:szCs w:val="22"/>
        </w:rPr>
        <w:t>.  Work packages 1-5 we are envisaging letting through an already established government framework as a call-off contract, however package 6 will be a separate entity.  This advert is therefore be placed to gage possible supplier interest in package 6 only.</w:t>
      </w:r>
    </w:p>
    <w:p w:rsidR="007B2555" w:rsidRDefault="007B2555" w:rsidP="00395ED5">
      <w:pPr>
        <w:rPr>
          <w:rFonts w:asciiTheme="minorHAnsi" w:hAnsiTheme="minorHAnsi"/>
          <w:sz w:val="22"/>
          <w:szCs w:val="22"/>
        </w:rPr>
      </w:pPr>
    </w:p>
    <w:p w:rsidR="00395ED5" w:rsidRDefault="00395ED5" w:rsidP="00395ED5">
      <w:pPr>
        <w:rPr>
          <w:rFonts w:asciiTheme="minorHAnsi" w:hAnsiTheme="minorHAnsi"/>
          <w:sz w:val="22"/>
          <w:szCs w:val="22"/>
        </w:rPr>
      </w:pPr>
      <w:r w:rsidRPr="00395ED5">
        <w:rPr>
          <w:rFonts w:asciiTheme="minorHAnsi" w:hAnsiTheme="minorHAnsi"/>
          <w:b/>
          <w:sz w:val="22"/>
          <w:szCs w:val="22"/>
        </w:rPr>
        <w:t xml:space="preserve">Package 6 – Asset data security </w:t>
      </w:r>
      <w:r w:rsidR="007B2555">
        <w:rPr>
          <w:rFonts w:asciiTheme="minorHAnsi" w:hAnsiTheme="minorHAnsi"/>
          <w:b/>
          <w:sz w:val="22"/>
          <w:szCs w:val="22"/>
        </w:rPr>
        <w:t xml:space="preserve"> - </w:t>
      </w:r>
      <w:r w:rsidRPr="00395ED5">
        <w:rPr>
          <w:rFonts w:asciiTheme="minorHAnsi" w:hAnsiTheme="minorHAnsi"/>
          <w:sz w:val="22"/>
          <w:szCs w:val="22"/>
        </w:rPr>
        <w:t xml:space="preserve">The asset data security vision: “With ever increasing threats both physically and through cyber and digital processes, a scaled and security minded segregated approach to asset data and its access, must be constantly developed, enforced and maintained.  The maturity and type of threat is likely to constantly mature and develop and our defence and methods must also mature and develop ahead of the threat.  </w:t>
      </w:r>
    </w:p>
    <w:p w:rsidR="007B2555" w:rsidRPr="00395ED5" w:rsidRDefault="007B2555" w:rsidP="00395ED5">
      <w:pPr>
        <w:rPr>
          <w:rFonts w:asciiTheme="minorHAnsi" w:hAnsiTheme="minorHAnsi"/>
          <w:sz w:val="22"/>
          <w:szCs w:val="22"/>
        </w:rPr>
      </w:pPr>
    </w:p>
    <w:p w:rsidR="00395ED5" w:rsidRDefault="00395ED5" w:rsidP="00395ED5">
      <w:pPr>
        <w:rPr>
          <w:rFonts w:asciiTheme="minorHAnsi" w:hAnsiTheme="minorHAnsi"/>
          <w:sz w:val="22"/>
          <w:szCs w:val="22"/>
        </w:rPr>
      </w:pPr>
      <w:r w:rsidRPr="00395ED5">
        <w:rPr>
          <w:rFonts w:asciiTheme="minorHAnsi" w:hAnsiTheme="minorHAnsi"/>
          <w:sz w:val="22"/>
          <w:szCs w:val="22"/>
        </w:rPr>
        <w:t>This must be proportional and balanced with the strong corporate direction and benefit from the presentation of open linked data and the need to gain the advantages of collaborative digital working and the efficiencies and agility this brings.</w:t>
      </w:r>
      <w:r w:rsidR="007B2555">
        <w:rPr>
          <w:rFonts w:asciiTheme="minorHAnsi" w:hAnsiTheme="minorHAnsi"/>
          <w:sz w:val="22"/>
          <w:szCs w:val="22"/>
        </w:rPr>
        <w:t xml:space="preserve">  </w:t>
      </w:r>
      <w:r w:rsidRPr="00395ED5">
        <w:rPr>
          <w:rFonts w:asciiTheme="minorHAnsi" w:hAnsiTheme="minorHAnsi"/>
          <w:sz w:val="22"/>
          <w:szCs w:val="22"/>
        </w:rPr>
        <w:t>A scaled security minded and risk based approach must be maintained across different projects, assets, locations, data and user classes, with a default position of secure.”</w:t>
      </w:r>
    </w:p>
    <w:p w:rsidR="00395ED5" w:rsidRPr="007B2555" w:rsidRDefault="007B2555" w:rsidP="00395ED5">
      <w:pPr>
        <w:pStyle w:val="08BODYCOPY"/>
        <w:rPr>
          <w:rFonts w:asciiTheme="minorHAnsi" w:hAnsiTheme="minorHAnsi"/>
          <w:b/>
        </w:rPr>
      </w:pPr>
      <w:r w:rsidRPr="007B2555">
        <w:rPr>
          <w:rFonts w:asciiTheme="minorHAnsi" w:hAnsiTheme="minorHAnsi"/>
          <w:b/>
        </w:rPr>
        <w:t>D</w:t>
      </w:r>
      <w:r w:rsidR="00395ED5" w:rsidRPr="007B2555">
        <w:rPr>
          <w:rFonts w:asciiTheme="minorHAnsi" w:hAnsiTheme="minorHAnsi"/>
          <w:b/>
        </w:rPr>
        <w:t xml:space="preserve">etails of the </w:t>
      </w:r>
      <w:r w:rsidR="00395ED5" w:rsidRPr="007B2555">
        <w:rPr>
          <w:rStyle w:val="13ITALICCHAR"/>
          <w:rFonts w:asciiTheme="minorHAnsi" w:hAnsiTheme="minorHAnsi"/>
          <w:b/>
        </w:rPr>
        <w:t>services</w:t>
      </w:r>
      <w:r w:rsidR="00395ED5" w:rsidRPr="007B2555">
        <w:rPr>
          <w:rFonts w:asciiTheme="minorHAnsi" w:hAnsiTheme="minorHAnsi"/>
          <w:b/>
        </w:rPr>
        <w:t xml:space="preserve"> are: </w:t>
      </w:r>
    </w:p>
    <w:p w:rsidR="00395ED5" w:rsidRPr="00395ED5" w:rsidRDefault="00395ED5" w:rsidP="00395ED5">
      <w:pPr>
        <w:rPr>
          <w:rFonts w:asciiTheme="minorHAnsi" w:hAnsiTheme="minorHAnsi"/>
          <w:sz w:val="22"/>
          <w:szCs w:val="22"/>
        </w:rPr>
      </w:pPr>
      <w:r w:rsidRPr="00395ED5">
        <w:rPr>
          <w:rFonts w:asciiTheme="minorHAnsi" w:hAnsiTheme="minorHAnsi"/>
          <w:b/>
          <w:sz w:val="22"/>
          <w:szCs w:val="22"/>
        </w:rPr>
        <w:t>1. Description of the work:</w:t>
      </w:r>
      <w:r w:rsidRPr="00395ED5">
        <w:rPr>
          <w:rFonts w:asciiTheme="minorHAnsi" w:hAnsiTheme="minorHAnsi"/>
          <w:sz w:val="22"/>
          <w:szCs w:val="22"/>
        </w:rPr>
        <w:t xml:space="preserve"> </w:t>
      </w:r>
    </w:p>
    <w:p w:rsidR="00395ED5" w:rsidRPr="00395ED5" w:rsidRDefault="00395ED5" w:rsidP="00395ED5">
      <w:pPr>
        <w:rPr>
          <w:rFonts w:asciiTheme="minorHAnsi" w:hAnsiTheme="minorHAnsi"/>
          <w:sz w:val="22"/>
          <w:szCs w:val="22"/>
        </w:rPr>
      </w:pPr>
      <w:r w:rsidRPr="00395ED5">
        <w:rPr>
          <w:rFonts w:asciiTheme="minorHAnsi" w:hAnsiTheme="minorHAnsi"/>
          <w:sz w:val="22"/>
          <w:szCs w:val="22"/>
        </w:rPr>
        <w:t xml:space="preserve">To support the Environment Agency CAMC DADI Team in the development the options for a scaled security minded approach to asset data security suitable for the information, files and data </w:t>
      </w:r>
      <w:r w:rsidRPr="00395ED5">
        <w:rPr>
          <w:rFonts w:asciiTheme="minorHAnsi" w:hAnsiTheme="minorHAnsi"/>
          <w:sz w:val="22"/>
          <w:szCs w:val="22"/>
        </w:rPr>
        <w:lastRenderedPageBreak/>
        <w:t xml:space="preserve">generated during capital projects and operational service supply contracts with external suppliers and stakeholders and within the Environment Agency and its employed systems.  </w:t>
      </w:r>
    </w:p>
    <w:p w:rsidR="00395ED5" w:rsidRPr="00395ED5" w:rsidRDefault="00395ED5" w:rsidP="00395ED5">
      <w:pPr>
        <w:rPr>
          <w:rFonts w:asciiTheme="minorHAnsi" w:hAnsiTheme="minorHAnsi"/>
          <w:sz w:val="22"/>
          <w:szCs w:val="22"/>
        </w:rPr>
      </w:pPr>
      <w:r w:rsidRPr="00395ED5">
        <w:rPr>
          <w:rFonts w:asciiTheme="minorHAnsi" w:hAnsiTheme="minorHAnsi"/>
          <w:sz w:val="22"/>
          <w:szCs w:val="22"/>
        </w:rPr>
        <w:t xml:space="preserve">The service shall include all activities required to analyse, collect, map, structure and deliver the options for asset data security provision including description of the proposal applied to a round-trip test use between the Environment Agency, stakeholders and a supplier and back. </w:t>
      </w:r>
    </w:p>
    <w:p w:rsidR="00395ED5" w:rsidRPr="00395ED5" w:rsidRDefault="00395ED5" w:rsidP="00395ED5">
      <w:pPr>
        <w:rPr>
          <w:rFonts w:asciiTheme="minorHAnsi" w:hAnsiTheme="minorHAnsi"/>
          <w:sz w:val="22"/>
          <w:szCs w:val="22"/>
        </w:rPr>
      </w:pPr>
      <w:r w:rsidRPr="00395ED5">
        <w:rPr>
          <w:rFonts w:asciiTheme="minorHAnsi" w:hAnsiTheme="minorHAnsi"/>
          <w:sz w:val="22"/>
          <w:szCs w:val="22"/>
        </w:rPr>
        <w:t>The following activities are envisaged (the scope is not limited these listed activities):</w:t>
      </w:r>
    </w:p>
    <w:p w:rsidR="00395ED5" w:rsidRPr="00395ED5" w:rsidRDefault="00395ED5" w:rsidP="00395ED5">
      <w:pPr>
        <w:pStyle w:val="ListParagraph"/>
        <w:numPr>
          <w:ilvl w:val="0"/>
          <w:numId w:val="1"/>
        </w:numPr>
        <w:spacing w:after="0" w:line="240" w:lineRule="auto"/>
        <w:rPr>
          <w:rFonts w:asciiTheme="minorHAnsi" w:hAnsiTheme="minorHAnsi"/>
          <w:sz w:val="22"/>
        </w:rPr>
      </w:pPr>
      <w:r w:rsidRPr="00395ED5">
        <w:rPr>
          <w:rFonts w:asciiTheme="minorHAnsi" w:hAnsiTheme="minorHAnsi"/>
          <w:sz w:val="22"/>
        </w:rPr>
        <w:t xml:space="preserve">Development of option proposals for the technical standards proposal documentation for the asset data security requirements </w:t>
      </w:r>
    </w:p>
    <w:p w:rsidR="00395ED5" w:rsidRPr="00395ED5" w:rsidRDefault="00395ED5" w:rsidP="00395ED5">
      <w:pPr>
        <w:pStyle w:val="ListParagraph"/>
        <w:numPr>
          <w:ilvl w:val="0"/>
          <w:numId w:val="1"/>
        </w:numPr>
        <w:spacing w:after="0" w:line="240" w:lineRule="auto"/>
        <w:rPr>
          <w:rFonts w:asciiTheme="minorHAnsi" w:hAnsiTheme="minorHAnsi"/>
          <w:sz w:val="22"/>
        </w:rPr>
      </w:pPr>
      <w:r w:rsidRPr="00395ED5">
        <w:rPr>
          <w:rFonts w:asciiTheme="minorHAnsi" w:hAnsiTheme="minorHAnsi"/>
          <w:sz w:val="22"/>
        </w:rPr>
        <w:t>including an approach to open asset data shared between staff, suppliers, partners including other Government Departments</w:t>
      </w:r>
    </w:p>
    <w:p w:rsidR="00395ED5" w:rsidRPr="00395ED5" w:rsidRDefault="00395ED5" w:rsidP="00395ED5">
      <w:pPr>
        <w:pStyle w:val="ListParagraph"/>
        <w:numPr>
          <w:ilvl w:val="0"/>
          <w:numId w:val="1"/>
        </w:numPr>
        <w:spacing w:after="0" w:line="240" w:lineRule="auto"/>
        <w:rPr>
          <w:rFonts w:asciiTheme="minorHAnsi" w:hAnsiTheme="minorHAnsi"/>
          <w:sz w:val="22"/>
        </w:rPr>
      </w:pPr>
      <w:r w:rsidRPr="00395ED5">
        <w:rPr>
          <w:rFonts w:asciiTheme="minorHAnsi" w:hAnsiTheme="minorHAnsi"/>
          <w:sz w:val="22"/>
        </w:rPr>
        <w:t>an approach to Freedom of Information &amp; Requests for Information (Utilities).</w:t>
      </w:r>
    </w:p>
    <w:p w:rsidR="00395ED5" w:rsidRPr="00395ED5" w:rsidRDefault="00395ED5" w:rsidP="00395ED5">
      <w:pPr>
        <w:pStyle w:val="ListParagraph"/>
        <w:numPr>
          <w:ilvl w:val="0"/>
          <w:numId w:val="1"/>
        </w:numPr>
        <w:spacing w:after="0" w:line="240" w:lineRule="auto"/>
        <w:rPr>
          <w:rFonts w:asciiTheme="minorHAnsi" w:hAnsiTheme="minorHAnsi"/>
          <w:sz w:val="22"/>
        </w:rPr>
      </w:pPr>
      <w:r w:rsidRPr="00395ED5">
        <w:rPr>
          <w:rFonts w:asciiTheme="minorHAnsi" w:hAnsiTheme="minorHAnsi"/>
          <w:sz w:val="22"/>
        </w:rPr>
        <w:t xml:space="preserve">Option proposals for a case study round-trip use of the standard into a typical project design use scenario. </w:t>
      </w:r>
    </w:p>
    <w:p w:rsidR="00395ED5" w:rsidRPr="00395ED5" w:rsidRDefault="00395ED5" w:rsidP="00395ED5">
      <w:pPr>
        <w:pStyle w:val="ListParagraph"/>
        <w:numPr>
          <w:ilvl w:val="0"/>
          <w:numId w:val="1"/>
        </w:numPr>
        <w:spacing w:after="0" w:line="240" w:lineRule="auto"/>
        <w:rPr>
          <w:rFonts w:asciiTheme="minorHAnsi" w:hAnsiTheme="minorHAnsi"/>
          <w:sz w:val="22"/>
        </w:rPr>
      </w:pPr>
      <w:r w:rsidRPr="00395ED5">
        <w:rPr>
          <w:rFonts w:asciiTheme="minorHAnsi" w:hAnsiTheme="minorHAnsi"/>
          <w:sz w:val="22"/>
        </w:rPr>
        <w:t>Reporting:</w:t>
      </w:r>
    </w:p>
    <w:p w:rsidR="00395ED5" w:rsidRPr="00395ED5" w:rsidRDefault="00395ED5" w:rsidP="00395ED5">
      <w:pPr>
        <w:pStyle w:val="ListParagraph"/>
        <w:numPr>
          <w:ilvl w:val="0"/>
          <w:numId w:val="3"/>
        </w:numPr>
        <w:rPr>
          <w:rFonts w:asciiTheme="minorHAnsi" w:hAnsiTheme="minorHAnsi"/>
          <w:sz w:val="22"/>
        </w:rPr>
      </w:pPr>
      <w:r w:rsidRPr="00395ED5">
        <w:rPr>
          <w:rFonts w:asciiTheme="minorHAnsi" w:hAnsiTheme="minorHAnsi"/>
          <w:sz w:val="22"/>
        </w:rPr>
        <w:t>Monthly project progress reports and updates to risk and issue logs.</w:t>
      </w:r>
    </w:p>
    <w:p w:rsidR="00395ED5" w:rsidRPr="00395ED5" w:rsidRDefault="00395ED5" w:rsidP="00395ED5">
      <w:pPr>
        <w:pStyle w:val="ListParagraph"/>
        <w:numPr>
          <w:ilvl w:val="0"/>
          <w:numId w:val="3"/>
        </w:numPr>
        <w:rPr>
          <w:rFonts w:asciiTheme="minorHAnsi" w:hAnsiTheme="minorHAnsi"/>
          <w:sz w:val="22"/>
        </w:rPr>
      </w:pPr>
      <w:r w:rsidRPr="00395ED5">
        <w:rPr>
          <w:rFonts w:asciiTheme="minorHAnsi" w:hAnsiTheme="minorHAnsi"/>
          <w:sz w:val="22"/>
        </w:rPr>
        <w:t>Weekly project team teleconferences to be attended by supplier project manager or nominated deputy.</w:t>
      </w:r>
    </w:p>
    <w:p w:rsidR="00395ED5" w:rsidRPr="00395ED5" w:rsidRDefault="00395ED5" w:rsidP="00395ED5">
      <w:pPr>
        <w:pStyle w:val="ListParagraph"/>
        <w:numPr>
          <w:ilvl w:val="0"/>
          <w:numId w:val="3"/>
        </w:numPr>
        <w:rPr>
          <w:rFonts w:asciiTheme="minorHAnsi" w:hAnsiTheme="minorHAnsi"/>
          <w:sz w:val="22"/>
        </w:rPr>
      </w:pPr>
      <w:r w:rsidRPr="00395ED5">
        <w:rPr>
          <w:rFonts w:asciiTheme="minorHAnsi" w:hAnsiTheme="minorHAnsi"/>
          <w:sz w:val="22"/>
        </w:rPr>
        <w:t>Attendance as Senior Supplier at quarterly project boards.</w:t>
      </w:r>
    </w:p>
    <w:p w:rsidR="00395ED5" w:rsidRPr="00395ED5" w:rsidRDefault="00395ED5" w:rsidP="00395ED5">
      <w:pPr>
        <w:pStyle w:val="ListParagraph"/>
        <w:numPr>
          <w:ilvl w:val="0"/>
          <w:numId w:val="3"/>
        </w:numPr>
        <w:rPr>
          <w:rFonts w:asciiTheme="minorHAnsi" w:hAnsiTheme="minorHAnsi"/>
          <w:sz w:val="22"/>
        </w:rPr>
      </w:pPr>
      <w:r w:rsidRPr="00395ED5">
        <w:rPr>
          <w:rFonts w:asciiTheme="minorHAnsi" w:hAnsiTheme="minorHAnsi"/>
          <w:sz w:val="22"/>
        </w:rPr>
        <w:t>Regular schedule reviews and updates as required my any changes to the timeline.</w:t>
      </w:r>
    </w:p>
    <w:p w:rsidR="00395ED5" w:rsidRPr="00395ED5" w:rsidRDefault="00395ED5" w:rsidP="00395ED5">
      <w:pPr>
        <w:pStyle w:val="ListParagraph"/>
        <w:numPr>
          <w:ilvl w:val="0"/>
          <w:numId w:val="3"/>
        </w:numPr>
        <w:rPr>
          <w:rFonts w:asciiTheme="minorHAnsi" w:hAnsiTheme="minorHAnsi"/>
          <w:sz w:val="22"/>
        </w:rPr>
      </w:pPr>
      <w:r w:rsidRPr="00395ED5">
        <w:rPr>
          <w:rFonts w:asciiTheme="minorHAnsi" w:hAnsiTheme="minorHAnsi"/>
          <w:sz w:val="22"/>
        </w:rPr>
        <w:t>Final project report, detailing</w:t>
      </w:r>
    </w:p>
    <w:p w:rsidR="00395ED5" w:rsidRPr="00395ED5" w:rsidRDefault="00395ED5" w:rsidP="00395ED5">
      <w:pPr>
        <w:pStyle w:val="ListParagraph"/>
        <w:numPr>
          <w:ilvl w:val="1"/>
          <w:numId w:val="3"/>
        </w:numPr>
        <w:rPr>
          <w:rFonts w:asciiTheme="minorHAnsi" w:hAnsiTheme="minorHAnsi"/>
          <w:sz w:val="22"/>
        </w:rPr>
      </w:pPr>
      <w:r w:rsidRPr="00395ED5">
        <w:rPr>
          <w:rFonts w:asciiTheme="minorHAnsi" w:hAnsiTheme="minorHAnsi"/>
          <w:sz w:val="22"/>
        </w:rPr>
        <w:t>Options proposal for a security minded approach to asset data security</w:t>
      </w:r>
    </w:p>
    <w:p w:rsidR="00395ED5" w:rsidRPr="00395ED5" w:rsidRDefault="00395ED5" w:rsidP="00395ED5">
      <w:pPr>
        <w:pStyle w:val="ListParagraph"/>
        <w:numPr>
          <w:ilvl w:val="1"/>
          <w:numId w:val="3"/>
        </w:numPr>
        <w:rPr>
          <w:rFonts w:asciiTheme="minorHAnsi" w:hAnsiTheme="minorHAnsi"/>
          <w:sz w:val="22"/>
        </w:rPr>
      </w:pPr>
      <w:r w:rsidRPr="00395ED5">
        <w:rPr>
          <w:rFonts w:asciiTheme="minorHAnsi" w:hAnsiTheme="minorHAnsi"/>
          <w:sz w:val="22"/>
        </w:rPr>
        <w:t>methods, processes and tools used</w:t>
      </w:r>
    </w:p>
    <w:p w:rsidR="00395ED5" w:rsidRPr="00395ED5" w:rsidRDefault="00395ED5" w:rsidP="00395ED5">
      <w:pPr>
        <w:pStyle w:val="ListParagraph"/>
        <w:numPr>
          <w:ilvl w:val="1"/>
          <w:numId w:val="3"/>
        </w:numPr>
        <w:rPr>
          <w:rFonts w:asciiTheme="minorHAnsi" w:hAnsiTheme="minorHAnsi"/>
          <w:sz w:val="22"/>
        </w:rPr>
      </w:pPr>
      <w:r w:rsidRPr="00395ED5">
        <w:rPr>
          <w:rFonts w:asciiTheme="minorHAnsi" w:hAnsiTheme="minorHAnsi"/>
          <w:sz w:val="22"/>
        </w:rPr>
        <w:t>cost benefits &amp; risks for each option</w:t>
      </w:r>
    </w:p>
    <w:p w:rsidR="00395ED5" w:rsidRPr="00395ED5" w:rsidRDefault="00395ED5" w:rsidP="00395ED5">
      <w:pPr>
        <w:pStyle w:val="ListParagraph"/>
        <w:numPr>
          <w:ilvl w:val="1"/>
          <w:numId w:val="3"/>
        </w:numPr>
        <w:rPr>
          <w:rFonts w:asciiTheme="minorHAnsi" w:hAnsiTheme="minorHAnsi"/>
          <w:sz w:val="22"/>
        </w:rPr>
      </w:pPr>
      <w:r w:rsidRPr="00395ED5">
        <w:rPr>
          <w:rFonts w:asciiTheme="minorHAnsi" w:hAnsiTheme="minorHAnsi"/>
          <w:sz w:val="22"/>
        </w:rPr>
        <w:t>delivery against critical success factors</w:t>
      </w:r>
    </w:p>
    <w:p w:rsidR="00395ED5" w:rsidRPr="00395ED5" w:rsidRDefault="00395ED5" w:rsidP="00395ED5">
      <w:pPr>
        <w:pStyle w:val="ListParagraph"/>
        <w:numPr>
          <w:ilvl w:val="1"/>
          <w:numId w:val="3"/>
        </w:numPr>
        <w:rPr>
          <w:rFonts w:asciiTheme="minorHAnsi" w:hAnsiTheme="minorHAnsi"/>
          <w:sz w:val="22"/>
        </w:rPr>
      </w:pPr>
      <w:r w:rsidRPr="00395ED5">
        <w:rPr>
          <w:rFonts w:asciiTheme="minorHAnsi" w:hAnsiTheme="minorHAnsi"/>
          <w:sz w:val="22"/>
        </w:rPr>
        <w:t>recommendations for improvement and follow-on work</w:t>
      </w:r>
    </w:p>
    <w:p w:rsidR="00395ED5" w:rsidRPr="00395ED5" w:rsidRDefault="00395ED5" w:rsidP="00395ED5">
      <w:pPr>
        <w:pStyle w:val="ListParagraph"/>
        <w:numPr>
          <w:ilvl w:val="1"/>
          <w:numId w:val="3"/>
        </w:numPr>
        <w:rPr>
          <w:rFonts w:asciiTheme="minorHAnsi" w:hAnsiTheme="minorHAnsi"/>
          <w:sz w:val="22"/>
        </w:rPr>
      </w:pPr>
      <w:r w:rsidRPr="00395ED5">
        <w:rPr>
          <w:rFonts w:asciiTheme="minorHAnsi" w:hAnsiTheme="minorHAnsi"/>
          <w:sz w:val="22"/>
        </w:rPr>
        <w:t>recommended option proposal</w:t>
      </w:r>
    </w:p>
    <w:p w:rsidR="00395ED5" w:rsidRPr="00395ED5" w:rsidRDefault="00395ED5" w:rsidP="00395ED5">
      <w:pPr>
        <w:rPr>
          <w:rFonts w:asciiTheme="minorHAnsi" w:hAnsiTheme="minorHAnsi"/>
          <w:sz w:val="22"/>
          <w:szCs w:val="22"/>
        </w:rPr>
      </w:pPr>
      <w:r w:rsidRPr="00395ED5">
        <w:rPr>
          <w:rFonts w:asciiTheme="minorHAnsi" w:hAnsiTheme="minorHAnsi"/>
          <w:sz w:val="22"/>
          <w:szCs w:val="22"/>
        </w:rPr>
        <w:t>2. Specifications of standards to be used</w:t>
      </w:r>
    </w:p>
    <w:p w:rsidR="00395ED5" w:rsidRPr="00395ED5" w:rsidRDefault="00395ED5" w:rsidP="00395ED5">
      <w:pPr>
        <w:numPr>
          <w:ilvl w:val="0"/>
          <w:numId w:val="2"/>
        </w:numPr>
        <w:spacing w:after="120"/>
        <w:jc w:val="both"/>
        <w:rPr>
          <w:rFonts w:asciiTheme="minorHAnsi" w:hAnsiTheme="minorHAnsi"/>
          <w:sz w:val="22"/>
          <w:szCs w:val="22"/>
        </w:rPr>
      </w:pPr>
      <w:r w:rsidRPr="00395ED5">
        <w:rPr>
          <w:rFonts w:asciiTheme="minorHAnsi" w:hAnsiTheme="minorHAnsi"/>
          <w:sz w:val="22"/>
          <w:szCs w:val="22"/>
        </w:rPr>
        <w:t xml:space="preserve">BS1192-5 Collaborative production of information: </w:t>
      </w:r>
    </w:p>
    <w:p w:rsidR="00395ED5" w:rsidRPr="00395ED5" w:rsidRDefault="00395ED5" w:rsidP="00395ED5">
      <w:pPr>
        <w:rPr>
          <w:rStyle w:val="13ITALICCHAR"/>
          <w:rFonts w:asciiTheme="minorHAnsi" w:hAnsiTheme="minorHAnsi"/>
          <w:sz w:val="22"/>
          <w:szCs w:val="22"/>
        </w:rPr>
      </w:pPr>
      <w:r w:rsidRPr="00395ED5">
        <w:rPr>
          <w:rFonts w:asciiTheme="minorHAnsi" w:hAnsiTheme="minorHAnsi"/>
          <w:sz w:val="22"/>
          <w:szCs w:val="22"/>
        </w:rPr>
        <w:t xml:space="preserve">3. Constraints on how the </w:t>
      </w:r>
      <w:r w:rsidRPr="00395ED5">
        <w:rPr>
          <w:rStyle w:val="13ITALICCHAR"/>
          <w:rFonts w:asciiTheme="minorHAnsi" w:hAnsiTheme="minorHAnsi"/>
          <w:sz w:val="22"/>
          <w:szCs w:val="22"/>
        </w:rPr>
        <w:t>Consultant</w:t>
      </w:r>
      <w:r w:rsidRPr="00395ED5">
        <w:rPr>
          <w:rFonts w:asciiTheme="minorHAnsi" w:hAnsiTheme="minorHAnsi"/>
          <w:sz w:val="22"/>
          <w:szCs w:val="22"/>
        </w:rPr>
        <w:t xml:space="preserve"> provides the </w:t>
      </w:r>
      <w:r w:rsidRPr="00395ED5">
        <w:rPr>
          <w:rStyle w:val="13ITALICCHAR"/>
          <w:rFonts w:asciiTheme="minorHAnsi" w:hAnsiTheme="minorHAnsi"/>
          <w:sz w:val="22"/>
          <w:szCs w:val="22"/>
        </w:rPr>
        <w:t>services</w:t>
      </w:r>
    </w:p>
    <w:p w:rsidR="00395ED5" w:rsidRPr="00395ED5" w:rsidRDefault="00395ED5" w:rsidP="00395ED5">
      <w:pPr>
        <w:pStyle w:val="ListParagraph"/>
        <w:numPr>
          <w:ilvl w:val="0"/>
          <w:numId w:val="4"/>
        </w:numPr>
        <w:rPr>
          <w:rFonts w:asciiTheme="minorHAnsi" w:hAnsiTheme="minorHAnsi"/>
          <w:sz w:val="22"/>
        </w:rPr>
      </w:pPr>
      <w:r w:rsidRPr="00395ED5">
        <w:rPr>
          <w:rFonts w:asciiTheme="minorHAnsi" w:hAnsiTheme="minorHAnsi"/>
          <w:sz w:val="22"/>
        </w:rPr>
        <w:t>The Consultant shall delivery the output to the specifications set out above but subject to variation agreed with the CAMC DADI Team proposed by the Consultant</w:t>
      </w:r>
    </w:p>
    <w:p w:rsidR="00395ED5" w:rsidRPr="00395ED5" w:rsidRDefault="00395ED5" w:rsidP="00395ED5">
      <w:pPr>
        <w:rPr>
          <w:rFonts w:asciiTheme="minorHAnsi" w:hAnsiTheme="minorHAnsi"/>
          <w:sz w:val="22"/>
          <w:szCs w:val="22"/>
        </w:rPr>
      </w:pPr>
      <w:r w:rsidRPr="00395ED5">
        <w:rPr>
          <w:rFonts w:asciiTheme="minorHAnsi" w:hAnsiTheme="minorHAnsi"/>
          <w:sz w:val="22"/>
          <w:szCs w:val="22"/>
        </w:rPr>
        <w:t>4. Requirements of the programme</w:t>
      </w:r>
    </w:p>
    <w:p w:rsidR="00395ED5" w:rsidRPr="00395ED5" w:rsidRDefault="00395ED5" w:rsidP="00395ED5">
      <w:pPr>
        <w:pStyle w:val="ListParagraph"/>
        <w:numPr>
          <w:ilvl w:val="0"/>
          <w:numId w:val="5"/>
        </w:numPr>
        <w:rPr>
          <w:rFonts w:asciiTheme="minorHAnsi" w:hAnsiTheme="minorHAnsi"/>
          <w:sz w:val="22"/>
        </w:rPr>
      </w:pPr>
      <w:r w:rsidRPr="00395ED5">
        <w:rPr>
          <w:rFonts w:asciiTheme="minorHAnsi" w:hAnsiTheme="minorHAnsi"/>
          <w:sz w:val="22"/>
        </w:rPr>
        <w:t>TBC</w:t>
      </w:r>
    </w:p>
    <w:p w:rsidR="00395ED5" w:rsidRPr="00395ED5" w:rsidRDefault="00395ED5" w:rsidP="00395ED5">
      <w:pPr>
        <w:rPr>
          <w:rFonts w:asciiTheme="minorHAnsi" w:hAnsiTheme="minorHAnsi"/>
          <w:sz w:val="22"/>
          <w:szCs w:val="22"/>
        </w:rPr>
      </w:pPr>
      <w:r w:rsidRPr="00395ED5">
        <w:rPr>
          <w:rFonts w:asciiTheme="minorHAnsi" w:hAnsiTheme="minorHAnsi"/>
          <w:sz w:val="22"/>
          <w:szCs w:val="22"/>
        </w:rPr>
        <w:t xml:space="preserve">5. Services and other things provided by the </w:t>
      </w:r>
      <w:r w:rsidRPr="00395ED5">
        <w:rPr>
          <w:rStyle w:val="13ITALICCHAR"/>
          <w:rFonts w:asciiTheme="minorHAnsi" w:hAnsiTheme="minorHAnsi"/>
          <w:sz w:val="22"/>
          <w:szCs w:val="22"/>
        </w:rPr>
        <w:t>Employer</w:t>
      </w:r>
    </w:p>
    <w:p w:rsidR="00395ED5" w:rsidRPr="00395ED5" w:rsidRDefault="00395ED5" w:rsidP="00395ED5">
      <w:pPr>
        <w:ind w:left="284"/>
        <w:rPr>
          <w:rFonts w:asciiTheme="minorHAnsi" w:hAnsiTheme="minorHAnsi"/>
          <w:sz w:val="22"/>
          <w:szCs w:val="22"/>
        </w:rPr>
      </w:pPr>
      <w:r w:rsidRPr="00395ED5">
        <w:rPr>
          <w:rFonts w:asciiTheme="minorHAnsi" w:hAnsiTheme="minorHAnsi"/>
          <w:sz w:val="22"/>
          <w:szCs w:val="22"/>
        </w:rPr>
        <w:t xml:space="preserve">a) Access to and use of </w:t>
      </w:r>
      <w:proofErr w:type="spellStart"/>
      <w:r w:rsidRPr="00395ED5">
        <w:rPr>
          <w:rFonts w:asciiTheme="minorHAnsi" w:hAnsiTheme="minorHAnsi"/>
          <w:sz w:val="22"/>
          <w:szCs w:val="22"/>
        </w:rPr>
        <w:t>Asite</w:t>
      </w:r>
      <w:proofErr w:type="spellEnd"/>
      <w:r w:rsidRPr="00395ED5">
        <w:rPr>
          <w:rFonts w:asciiTheme="minorHAnsi" w:hAnsiTheme="minorHAnsi"/>
          <w:sz w:val="22"/>
          <w:szCs w:val="22"/>
        </w:rPr>
        <w:t xml:space="preserve"> </w:t>
      </w:r>
      <w:proofErr w:type="spellStart"/>
      <w:r w:rsidRPr="00395ED5">
        <w:rPr>
          <w:rFonts w:asciiTheme="minorHAnsi" w:hAnsiTheme="minorHAnsi"/>
          <w:sz w:val="22"/>
          <w:szCs w:val="22"/>
        </w:rPr>
        <w:t>Adoddle</w:t>
      </w:r>
      <w:proofErr w:type="spellEnd"/>
      <w:r w:rsidRPr="00395ED5">
        <w:rPr>
          <w:rFonts w:asciiTheme="minorHAnsi" w:hAnsiTheme="minorHAnsi"/>
          <w:sz w:val="22"/>
          <w:szCs w:val="22"/>
        </w:rPr>
        <w:t xml:space="preserve"> online file repository</w:t>
      </w:r>
    </w:p>
    <w:p w:rsidR="00395ED5" w:rsidRPr="00395ED5" w:rsidRDefault="00395ED5" w:rsidP="00395ED5">
      <w:pPr>
        <w:ind w:left="568" w:hanging="284"/>
        <w:rPr>
          <w:rFonts w:asciiTheme="minorHAnsi" w:hAnsiTheme="minorHAnsi"/>
          <w:sz w:val="22"/>
          <w:szCs w:val="22"/>
        </w:rPr>
      </w:pPr>
      <w:r w:rsidRPr="00395ED5">
        <w:rPr>
          <w:rFonts w:asciiTheme="minorHAnsi" w:hAnsiTheme="minorHAnsi"/>
          <w:sz w:val="22"/>
          <w:szCs w:val="22"/>
        </w:rPr>
        <w:t>b) Access to the Information Delivery Plan Tool</w:t>
      </w:r>
    </w:p>
    <w:p w:rsidR="00395ED5" w:rsidRPr="00395ED5" w:rsidRDefault="00395ED5" w:rsidP="00395ED5">
      <w:pPr>
        <w:ind w:left="284"/>
        <w:rPr>
          <w:rFonts w:asciiTheme="minorHAnsi" w:hAnsiTheme="minorHAnsi"/>
          <w:sz w:val="22"/>
          <w:szCs w:val="22"/>
        </w:rPr>
      </w:pPr>
      <w:r w:rsidRPr="00395ED5">
        <w:rPr>
          <w:rFonts w:asciiTheme="minorHAnsi" w:hAnsiTheme="minorHAnsi"/>
          <w:sz w:val="22"/>
          <w:szCs w:val="22"/>
        </w:rPr>
        <w:t xml:space="preserve">c) Access to the appropriate documentation and internal Environment Agency standards and process. </w:t>
      </w:r>
      <w:r w:rsidR="00D47E12" w:rsidRPr="00395ED5">
        <w:rPr>
          <w:rFonts w:asciiTheme="minorHAnsi" w:hAnsiTheme="minorHAnsi"/>
          <w:sz w:val="22"/>
          <w:szCs w:val="22"/>
        </w:rPr>
        <w:t>Note</w:t>
      </w:r>
      <w:r w:rsidRPr="00395ED5">
        <w:rPr>
          <w:rFonts w:asciiTheme="minorHAnsi" w:hAnsiTheme="minorHAnsi"/>
          <w:sz w:val="22"/>
          <w:szCs w:val="22"/>
        </w:rPr>
        <w:t xml:space="preserve"> the British Standard is publicly available free of charge from BSI</w:t>
      </w:r>
    </w:p>
    <w:p w:rsidR="00395ED5" w:rsidRPr="00395ED5" w:rsidRDefault="00395ED5" w:rsidP="00395ED5">
      <w:pPr>
        <w:rPr>
          <w:rFonts w:asciiTheme="minorHAnsi" w:hAnsiTheme="minorHAnsi"/>
          <w:sz w:val="22"/>
          <w:szCs w:val="22"/>
        </w:rPr>
      </w:pPr>
      <w:r w:rsidRPr="00395ED5">
        <w:rPr>
          <w:rFonts w:asciiTheme="minorHAnsi" w:hAnsiTheme="minorHAnsi"/>
          <w:sz w:val="22"/>
          <w:szCs w:val="22"/>
        </w:rPr>
        <w:t>6. Outputs</w:t>
      </w:r>
    </w:p>
    <w:p w:rsidR="00395ED5" w:rsidRPr="00395ED5" w:rsidRDefault="00395ED5" w:rsidP="00395ED5">
      <w:pPr>
        <w:ind w:left="284"/>
        <w:rPr>
          <w:rFonts w:asciiTheme="minorHAnsi" w:hAnsiTheme="minorHAnsi"/>
          <w:sz w:val="22"/>
          <w:szCs w:val="22"/>
        </w:rPr>
      </w:pPr>
      <w:r w:rsidRPr="00395ED5">
        <w:rPr>
          <w:rFonts w:asciiTheme="minorHAnsi" w:hAnsiTheme="minorHAnsi"/>
          <w:sz w:val="22"/>
          <w:szCs w:val="22"/>
        </w:rPr>
        <w:t>a) Option proposals for a scaled security minded approach to asset data security and the technical standards documentation required to implement the approach</w:t>
      </w:r>
    </w:p>
    <w:p w:rsidR="00395ED5" w:rsidRPr="00395ED5" w:rsidRDefault="00395ED5" w:rsidP="00395ED5">
      <w:pPr>
        <w:ind w:left="284"/>
        <w:rPr>
          <w:rFonts w:asciiTheme="minorHAnsi" w:hAnsiTheme="minorHAnsi"/>
          <w:sz w:val="22"/>
          <w:szCs w:val="22"/>
        </w:rPr>
      </w:pPr>
      <w:r w:rsidRPr="00395ED5">
        <w:rPr>
          <w:rFonts w:asciiTheme="minorHAnsi" w:hAnsiTheme="minorHAnsi"/>
          <w:sz w:val="22"/>
          <w:szCs w:val="22"/>
        </w:rPr>
        <w:t>b) Option proposals for a case study report with supporting example use documentation</w:t>
      </w:r>
    </w:p>
    <w:p w:rsidR="00395ED5" w:rsidRDefault="00395ED5" w:rsidP="00395ED5">
      <w:pPr>
        <w:ind w:left="284"/>
        <w:rPr>
          <w:rFonts w:asciiTheme="minorHAnsi" w:hAnsiTheme="minorHAnsi"/>
          <w:sz w:val="22"/>
          <w:szCs w:val="22"/>
        </w:rPr>
      </w:pPr>
      <w:r w:rsidRPr="00395ED5">
        <w:rPr>
          <w:rFonts w:asciiTheme="minorHAnsi" w:hAnsiTheme="minorHAnsi"/>
          <w:sz w:val="22"/>
          <w:szCs w:val="22"/>
        </w:rPr>
        <w:t>e) Progress reporting as above</w:t>
      </w:r>
    </w:p>
    <w:p w:rsidR="007B2555" w:rsidRDefault="007B2555" w:rsidP="00395ED5">
      <w:pPr>
        <w:ind w:left="284"/>
        <w:rPr>
          <w:rFonts w:asciiTheme="minorHAnsi" w:hAnsiTheme="minorHAnsi"/>
          <w:sz w:val="22"/>
          <w:szCs w:val="22"/>
        </w:rPr>
      </w:pPr>
    </w:p>
    <w:p w:rsidR="007B2555" w:rsidRPr="00395ED5" w:rsidRDefault="00D47E12" w:rsidP="00395ED5">
      <w:pPr>
        <w:ind w:left="284"/>
        <w:rPr>
          <w:rFonts w:asciiTheme="minorHAnsi" w:hAnsiTheme="minorHAnsi"/>
          <w:sz w:val="22"/>
          <w:szCs w:val="22"/>
        </w:rPr>
      </w:pPr>
      <w:r w:rsidRPr="00D47E12">
        <w:rPr>
          <w:rFonts w:asciiTheme="minorHAnsi" w:hAnsiTheme="minorHAnsi"/>
          <w:b/>
          <w:sz w:val="22"/>
          <w:szCs w:val="22"/>
          <w:u w:val="single"/>
        </w:rPr>
        <w:t>How to apply</w:t>
      </w:r>
      <w:r>
        <w:rPr>
          <w:rFonts w:asciiTheme="minorHAnsi" w:hAnsiTheme="minorHAnsi"/>
          <w:sz w:val="22"/>
          <w:szCs w:val="22"/>
        </w:rPr>
        <w:t xml:space="preserve"> - This is all the information we will be releasing at this present time.  </w:t>
      </w:r>
      <w:r w:rsidR="007B2555">
        <w:rPr>
          <w:rFonts w:asciiTheme="minorHAnsi" w:hAnsiTheme="minorHAnsi"/>
          <w:sz w:val="22"/>
          <w:szCs w:val="22"/>
        </w:rPr>
        <w:t xml:space="preserve">If you could </w:t>
      </w:r>
      <w:r>
        <w:rPr>
          <w:rFonts w:asciiTheme="minorHAnsi" w:hAnsiTheme="minorHAnsi"/>
          <w:sz w:val="22"/>
          <w:szCs w:val="22"/>
        </w:rPr>
        <w:t>fulfil</w:t>
      </w:r>
      <w:r w:rsidR="007B2555">
        <w:rPr>
          <w:rFonts w:asciiTheme="minorHAnsi" w:hAnsiTheme="minorHAnsi"/>
          <w:sz w:val="22"/>
          <w:szCs w:val="22"/>
        </w:rPr>
        <w:t xml:space="preserve"> this brief and are interested in bidding for this work opportunity, please could you email </w:t>
      </w:r>
      <w:r>
        <w:rPr>
          <w:rFonts w:asciiTheme="minorHAnsi" w:hAnsiTheme="minorHAnsi"/>
          <w:sz w:val="22"/>
          <w:szCs w:val="22"/>
        </w:rPr>
        <w:t>Alison Dyson (</w:t>
      </w:r>
      <w:hyperlink r:id="rId6" w:history="1">
        <w:r w:rsidRPr="003167F9">
          <w:rPr>
            <w:rStyle w:val="Hyperlink"/>
            <w:rFonts w:asciiTheme="minorHAnsi" w:hAnsiTheme="minorHAnsi"/>
            <w:sz w:val="22"/>
            <w:szCs w:val="22"/>
          </w:rPr>
          <w:t>al.dyson@environment-agency.gov.uk</w:t>
        </w:r>
      </w:hyperlink>
      <w:r>
        <w:rPr>
          <w:rFonts w:asciiTheme="minorHAnsi" w:hAnsiTheme="minorHAnsi"/>
          <w:sz w:val="22"/>
          <w:szCs w:val="22"/>
        </w:rPr>
        <w:t xml:space="preserve">) </w:t>
      </w:r>
      <w:r w:rsidR="007B2555">
        <w:rPr>
          <w:rFonts w:asciiTheme="minorHAnsi" w:hAnsiTheme="minorHAnsi"/>
          <w:sz w:val="22"/>
          <w:szCs w:val="22"/>
        </w:rPr>
        <w:t>you</w:t>
      </w:r>
      <w:r>
        <w:rPr>
          <w:rFonts w:asciiTheme="minorHAnsi" w:hAnsiTheme="minorHAnsi"/>
          <w:sz w:val="22"/>
          <w:szCs w:val="22"/>
        </w:rPr>
        <w:t>r</w:t>
      </w:r>
      <w:r w:rsidR="007B2555">
        <w:rPr>
          <w:rFonts w:asciiTheme="minorHAnsi" w:hAnsiTheme="minorHAnsi"/>
          <w:sz w:val="22"/>
          <w:szCs w:val="22"/>
        </w:rPr>
        <w:t xml:space="preserve"> contact details (</w:t>
      </w:r>
      <w:r>
        <w:rPr>
          <w:rFonts w:asciiTheme="minorHAnsi" w:hAnsiTheme="minorHAnsi"/>
          <w:sz w:val="22"/>
          <w:szCs w:val="22"/>
        </w:rPr>
        <w:t xml:space="preserve">contact </w:t>
      </w:r>
      <w:r w:rsidR="007B2555">
        <w:rPr>
          <w:rFonts w:asciiTheme="minorHAnsi" w:hAnsiTheme="minorHAnsi"/>
          <w:sz w:val="22"/>
          <w:szCs w:val="22"/>
        </w:rPr>
        <w:t>name</w:t>
      </w:r>
      <w:r>
        <w:rPr>
          <w:rFonts w:asciiTheme="minorHAnsi" w:hAnsiTheme="minorHAnsi"/>
          <w:sz w:val="22"/>
          <w:szCs w:val="22"/>
        </w:rPr>
        <w:t>, Company</w:t>
      </w:r>
      <w:r w:rsidR="007B2555">
        <w:rPr>
          <w:rFonts w:asciiTheme="minorHAnsi" w:hAnsiTheme="minorHAnsi"/>
          <w:sz w:val="22"/>
          <w:szCs w:val="22"/>
        </w:rPr>
        <w:t xml:space="preserve"> name and address, telephone and email address) </w:t>
      </w:r>
      <w:r w:rsidR="007B2555" w:rsidRPr="00E26995">
        <w:rPr>
          <w:rFonts w:asciiTheme="minorHAnsi" w:hAnsiTheme="minorHAnsi"/>
          <w:b/>
          <w:sz w:val="22"/>
          <w:szCs w:val="22"/>
        </w:rPr>
        <w:t xml:space="preserve">by </w:t>
      </w:r>
      <w:r w:rsidR="0043571D" w:rsidRPr="00E26995">
        <w:rPr>
          <w:rFonts w:asciiTheme="minorHAnsi" w:hAnsiTheme="minorHAnsi"/>
          <w:b/>
          <w:sz w:val="22"/>
          <w:szCs w:val="22"/>
        </w:rPr>
        <w:t>5</w:t>
      </w:r>
      <w:r w:rsidR="00A0167D" w:rsidRPr="00E26995">
        <w:rPr>
          <w:rFonts w:asciiTheme="minorHAnsi" w:hAnsiTheme="minorHAnsi"/>
          <w:b/>
          <w:sz w:val="22"/>
          <w:szCs w:val="22"/>
        </w:rPr>
        <w:t>:00pm</w:t>
      </w:r>
      <w:r w:rsidRPr="00E26995">
        <w:rPr>
          <w:rFonts w:asciiTheme="minorHAnsi" w:hAnsiTheme="minorHAnsi"/>
          <w:b/>
          <w:sz w:val="22"/>
          <w:szCs w:val="22"/>
        </w:rPr>
        <w:t xml:space="preserve"> on </w:t>
      </w:r>
      <w:r w:rsidR="00A0167D" w:rsidRPr="00E26995">
        <w:rPr>
          <w:rFonts w:asciiTheme="minorHAnsi" w:hAnsiTheme="minorHAnsi"/>
          <w:b/>
          <w:sz w:val="22"/>
          <w:szCs w:val="22"/>
        </w:rPr>
        <w:t>Tuesday 9</w:t>
      </w:r>
      <w:r w:rsidRPr="00E26995">
        <w:rPr>
          <w:rFonts w:asciiTheme="minorHAnsi" w:hAnsiTheme="minorHAnsi"/>
          <w:b/>
          <w:sz w:val="22"/>
          <w:szCs w:val="22"/>
        </w:rPr>
        <w:t xml:space="preserve"> May 2017</w:t>
      </w:r>
      <w:r>
        <w:rPr>
          <w:rFonts w:asciiTheme="minorHAnsi" w:hAnsiTheme="minorHAnsi"/>
          <w:sz w:val="22"/>
          <w:szCs w:val="22"/>
        </w:rPr>
        <w:t>.  I will register your interest and when tender documentation is ready and available, issue it to you to complete.  Thank you.</w:t>
      </w:r>
    </w:p>
    <w:p w:rsidR="00395ED5" w:rsidRPr="00C97740" w:rsidRDefault="00395ED5" w:rsidP="00395ED5">
      <w:pPr>
        <w:rPr>
          <w:rFonts w:asciiTheme="minorHAnsi" w:hAnsiTheme="minorHAnsi" w:cs="Arial"/>
          <w:sz w:val="22"/>
          <w:szCs w:val="22"/>
        </w:rPr>
      </w:pPr>
    </w:p>
    <w:p w:rsidR="00395ED5" w:rsidRPr="00395ED5" w:rsidRDefault="00395ED5">
      <w:pPr>
        <w:rPr>
          <w:rFonts w:asciiTheme="minorHAnsi" w:hAnsiTheme="minorHAnsi"/>
        </w:rPr>
      </w:pPr>
    </w:p>
    <w:sectPr w:rsidR="00395ED5" w:rsidRPr="00395ED5" w:rsidSect="00607CB7">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E0584"/>
    <w:multiLevelType w:val="hybridMultilevel"/>
    <w:tmpl w:val="3188A112"/>
    <w:lvl w:ilvl="0" w:tplc="08090017">
      <w:start w:val="1"/>
      <w:numFmt w:val="lowerLetter"/>
      <w:lvlText w:val="%1)"/>
      <w:lvlJc w:val="left"/>
      <w:pPr>
        <w:ind w:left="1440" w:hanging="360"/>
      </w:pPr>
    </w:lvl>
    <w:lvl w:ilvl="1" w:tplc="80C0A3B2">
      <w:numFmt w:val="bullet"/>
      <w:lvlText w:val="-"/>
      <w:lvlJc w:val="left"/>
      <w:pPr>
        <w:ind w:left="2160" w:hanging="360"/>
      </w:pPr>
      <w:rPr>
        <w:rFonts w:ascii="Arial" w:eastAsia="Calibri"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5657B0A"/>
    <w:multiLevelType w:val="hybridMultilevel"/>
    <w:tmpl w:val="E2D464C6"/>
    <w:lvl w:ilvl="0" w:tplc="4E489E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641D45"/>
    <w:multiLevelType w:val="hybridMultilevel"/>
    <w:tmpl w:val="82DA7EDA"/>
    <w:lvl w:ilvl="0" w:tplc="80C0A3B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87B1A"/>
    <w:multiLevelType w:val="hybridMultilevel"/>
    <w:tmpl w:val="87EE3A66"/>
    <w:lvl w:ilvl="0" w:tplc="BCDCF9E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6DD4394E"/>
    <w:multiLevelType w:val="hybridMultilevel"/>
    <w:tmpl w:val="6B3A1532"/>
    <w:lvl w:ilvl="0" w:tplc="BCDCF9E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D5"/>
    <w:rsid w:val="000E62A8"/>
    <w:rsid w:val="001C3A82"/>
    <w:rsid w:val="00265C12"/>
    <w:rsid w:val="00337786"/>
    <w:rsid w:val="00395ED5"/>
    <w:rsid w:val="0043571D"/>
    <w:rsid w:val="00496F23"/>
    <w:rsid w:val="00607CB7"/>
    <w:rsid w:val="00646273"/>
    <w:rsid w:val="007B2555"/>
    <w:rsid w:val="008F79FF"/>
    <w:rsid w:val="00A0167D"/>
    <w:rsid w:val="00AB23B8"/>
    <w:rsid w:val="00B855F0"/>
    <w:rsid w:val="00D47E12"/>
    <w:rsid w:val="00E26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282CC95-B881-4227-A345-C05F3219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ED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 BODY COPY"/>
    <w:qFormat/>
    <w:rsid w:val="00395ED5"/>
    <w:pPr>
      <w:spacing w:before="160" w:line="240" w:lineRule="auto"/>
    </w:pPr>
    <w:rPr>
      <w:rFonts w:eastAsia="Arial" w:cs="Times New Roman"/>
      <w:sz w:val="22"/>
      <w:szCs w:val="22"/>
    </w:rPr>
  </w:style>
  <w:style w:type="paragraph" w:customStyle="1" w:styleId="06INTRO">
    <w:name w:val="06 INTRO"/>
    <w:qFormat/>
    <w:rsid w:val="00395ED5"/>
    <w:pPr>
      <w:spacing w:after="240" w:line="240" w:lineRule="auto"/>
    </w:pPr>
    <w:rPr>
      <w:rFonts w:eastAsia="Times New Roman"/>
      <w:b/>
      <w:sz w:val="28"/>
      <w:szCs w:val="28"/>
      <w:lang w:eastAsia="en-GB"/>
    </w:rPr>
  </w:style>
  <w:style w:type="character" w:customStyle="1" w:styleId="13ITALICCHAR">
    <w:name w:val="13 ITALIC CHAR"/>
    <w:basedOn w:val="DefaultParagraphFont"/>
    <w:uiPriority w:val="1"/>
    <w:qFormat/>
    <w:rsid w:val="00395ED5"/>
    <w:rPr>
      <w:i/>
    </w:rPr>
  </w:style>
  <w:style w:type="paragraph" w:styleId="ListParagraph">
    <w:name w:val="List Paragraph"/>
    <w:basedOn w:val="Normal"/>
    <w:uiPriority w:val="34"/>
    <w:qFormat/>
    <w:rsid w:val="00395ED5"/>
    <w:pPr>
      <w:spacing w:after="200" w:line="276" w:lineRule="auto"/>
      <w:ind w:left="720"/>
      <w:contextualSpacing/>
    </w:pPr>
    <w:rPr>
      <w:rFonts w:ascii="Arial" w:eastAsia="Calibri" w:hAnsi="Arial"/>
      <w:sz w:val="24"/>
      <w:szCs w:val="22"/>
      <w:lang w:eastAsia="en-US"/>
    </w:rPr>
  </w:style>
  <w:style w:type="paragraph" w:customStyle="1" w:styleId="intro">
    <w:name w:val="intro"/>
    <w:basedOn w:val="Normal"/>
    <w:rsid w:val="00395ED5"/>
    <w:pPr>
      <w:spacing w:before="100" w:beforeAutospacing="1" w:after="100" w:afterAutospacing="1"/>
    </w:pPr>
    <w:rPr>
      <w:sz w:val="24"/>
      <w:szCs w:val="24"/>
    </w:rPr>
  </w:style>
  <w:style w:type="character" w:styleId="Hyperlink">
    <w:name w:val="Hyperlink"/>
    <w:basedOn w:val="DefaultParagraphFont"/>
    <w:uiPriority w:val="99"/>
    <w:unhideWhenUsed/>
    <w:rsid w:val="00D47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dyson@environment-agency.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Dyson, Al</dc:creator>
  <cp:keywords/>
  <dc:description/>
  <cp:lastModifiedBy>Dyson, Al</cp:lastModifiedBy>
  <cp:revision>11</cp:revision>
  <dcterms:created xsi:type="dcterms:W3CDTF">2017-04-27T13:31:00Z</dcterms:created>
  <dcterms:modified xsi:type="dcterms:W3CDTF">2017-04-28T10:09:00Z</dcterms:modified>
</cp:coreProperties>
</file>