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62AE3" w14:textId="77777777" w:rsidR="00C80BDA" w:rsidRPr="00211547" w:rsidRDefault="00C80BDA" w:rsidP="00C80BDA">
      <w:pPr>
        <w:spacing w:line="360" w:lineRule="auto"/>
        <w:rPr>
          <w:rFonts w:ascii="Arial" w:hAnsi="Arial" w:cs="Arial"/>
          <w:b/>
          <w:color w:val="C00000"/>
        </w:rPr>
      </w:pPr>
    </w:p>
    <w:p w14:paraId="3E0C87CB" w14:textId="20CA9178" w:rsidR="00C80BDA" w:rsidRPr="00211547" w:rsidRDefault="00C80BDA" w:rsidP="5569FD11">
      <w:pPr>
        <w:spacing w:line="360" w:lineRule="auto"/>
        <w:jc w:val="center"/>
        <w:rPr>
          <w:rFonts w:asciiTheme="minorHAnsi" w:eastAsiaTheme="minorEastAsia" w:hAnsiTheme="minorHAnsi" w:cstheme="minorBidi"/>
          <w:b/>
          <w:bCs/>
          <w:color w:val="386ED9"/>
          <w:sz w:val="40"/>
          <w:szCs w:val="40"/>
        </w:rPr>
      </w:pPr>
      <w:bookmarkStart w:id="0" w:name="_Toc448914365"/>
      <w:r w:rsidRPr="5569FD11">
        <w:rPr>
          <w:b/>
          <w:bCs/>
          <w:color w:val="386ED9"/>
          <w:sz w:val="40"/>
          <w:szCs w:val="40"/>
        </w:rPr>
        <w:t xml:space="preserve">SPECIFICATION OF REQUIREMENTS </w:t>
      </w:r>
      <w:bookmarkEnd w:id="0"/>
    </w:p>
    <w:p w14:paraId="43D05315" w14:textId="739B75AF" w:rsidR="00C80BDA" w:rsidRPr="00211547" w:rsidRDefault="1B528073" w:rsidP="5D2A7310">
      <w:pPr>
        <w:spacing w:line="360" w:lineRule="auto"/>
        <w:jc w:val="center"/>
        <w:rPr>
          <w:rFonts w:asciiTheme="minorHAnsi" w:eastAsiaTheme="minorEastAsia" w:hAnsiTheme="minorHAnsi" w:cstheme="minorBidi"/>
          <w:b/>
          <w:bCs/>
          <w:color w:val="386ED9"/>
          <w:sz w:val="40"/>
          <w:szCs w:val="40"/>
        </w:rPr>
      </w:pPr>
      <w:r w:rsidRPr="5D2A7310">
        <w:rPr>
          <w:rFonts w:asciiTheme="minorHAnsi" w:eastAsiaTheme="minorEastAsia" w:hAnsiTheme="minorHAnsi" w:cstheme="minorBidi"/>
          <w:b/>
          <w:bCs/>
          <w:color w:val="386ED9"/>
          <w:sz w:val="40"/>
          <w:szCs w:val="40"/>
        </w:rPr>
        <w:t>Improvement Analytics Unit (AIU) Healthcare Initiatives Evaluation</w:t>
      </w:r>
    </w:p>
    <w:p w14:paraId="75BEE5DA" w14:textId="0C6D5FF8" w:rsidR="006415AA" w:rsidRPr="00211547" w:rsidRDefault="006415AA" w:rsidP="5569FD11">
      <w:pPr>
        <w:spacing w:line="360" w:lineRule="auto"/>
        <w:rPr>
          <w:rFonts w:ascii="Arial" w:hAnsi="Arial" w:cs="Arial"/>
          <w:b/>
          <w:bCs/>
          <w:color w:val="C00000"/>
        </w:rPr>
      </w:pPr>
    </w:p>
    <w:p w14:paraId="3784D43B" w14:textId="77777777" w:rsidR="00C80BDA" w:rsidRPr="00211547" w:rsidRDefault="00C80BDA" w:rsidP="00C80BDA">
      <w:pPr>
        <w:spacing w:line="360" w:lineRule="auto"/>
        <w:rPr>
          <w:rFonts w:ascii="Arial" w:hAnsi="Arial" w:cs="Arial"/>
          <w:b/>
          <w:color w:val="C00000"/>
        </w:rPr>
      </w:pPr>
    </w:p>
    <w:p w14:paraId="7DCEB4F8" w14:textId="77777777" w:rsidR="006415AA" w:rsidRPr="00211547" w:rsidRDefault="006415AA" w:rsidP="006415AA">
      <w:pPr>
        <w:rPr>
          <w:rFonts w:ascii="Arial" w:hAnsi="Arial" w:cs="Arial"/>
        </w:rPr>
      </w:pPr>
    </w:p>
    <w:p w14:paraId="7E01909E" w14:textId="77777777" w:rsidR="006415AA" w:rsidRPr="00211547" w:rsidRDefault="006415AA" w:rsidP="006415AA">
      <w:pPr>
        <w:rPr>
          <w:rFonts w:ascii="Arial" w:hAnsi="Arial" w:cs="Arial"/>
        </w:rPr>
      </w:pPr>
    </w:p>
    <w:tbl>
      <w:tblPr>
        <w:tblW w:w="0" w:type="auto"/>
        <w:tblCellMar>
          <w:left w:w="0" w:type="dxa"/>
          <w:right w:w="0" w:type="dxa"/>
        </w:tblCellMar>
        <w:tblLook w:val="04A0" w:firstRow="1" w:lastRow="0" w:firstColumn="1" w:lastColumn="0" w:noHBand="0" w:noVBand="1"/>
      </w:tblPr>
      <w:tblGrid>
        <w:gridCol w:w="1872"/>
        <w:gridCol w:w="5113"/>
        <w:gridCol w:w="2021"/>
      </w:tblGrid>
      <w:tr w:rsidR="006415AA" w:rsidRPr="006415AA" w14:paraId="71B32DA0" w14:textId="77777777" w:rsidTr="006D3F69">
        <w:tc>
          <w:tcPr>
            <w:tcW w:w="1951"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1D15E76D" w14:textId="77777777"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Revision Date</w:t>
            </w:r>
          </w:p>
        </w:tc>
        <w:tc>
          <w:tcPr>
            <w:tcW w:w="5528"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6C5BF4F8" w14:textId="77777777"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Summary of Changes</w:t>
            </w:r>
          </w:p>
        </w:tc>
        <w:tc>
          <w:tcPr>
            <w:tcW w:w="212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1ED1CD06" w14:textId="77777777"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New Version No</w:t>
            </w:r>
          </w:p>
        </w:tc>
      </w:tr>
      <w:tr w:rsidR="006415AA" w:rsidRPr="006415AA" w14:paraId="17C3E97B" w14:textId="77777777" w:rsidTr="006D3F69">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01EA5A26" w14:textId="77777777" w:rsidR="006415AA" w:rsidRPr="006415AA" w:rsidRDefault="006415AA" w:rsidP="006415AA">
            <w:pPr>
              <w:spacing w:after="120" w:line="276" w:lineRule="auto"/>
              <w:rPr>
                <w:rFonts w:ascii="Arial" w:eastAsia="Calibri" w:hAnsi="Arial" w:cs="Arial"/>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6912392" w14:textId="77777777" w:rsidR="006415AA" w:rsidRPr="006415AA" w:rsidRDefault="006415AA" w:rsidP="006415AA">
            <w:pPr>
              <w:spacing w:after="120" w:line="276" w:lineRule="auto"/>
              <w:rPr>
                <w:rFonts w:ascii="Arial" w:eastAsia="Calibri"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90E619F" w14:textId="77777777" w:rsidR="006415AA" w:rsidRPr="006415AA" w:rsidRDefault="006415AA" w:rsidP="006415AA">
            <w:pPr>
              <w:spacing w:after="120" w:line="276" w:lineRule="auto"/>
              <w:rPr>
                <w:rFonts w:ascii="Arial" w:eastAsia="Calibri" w:hAnsi="Arial" w:cs="Arial"/>
              </w:rPr>
            </w:pPr>
          </w:p>
        </w:tc>
      </w:tr>
      <w:tr w:rsidR="006415AA" w:rsidRPr="006415AA" w14:paraId="077E2DE5" w14:textId="77777777" w:rsidTr="006D3F69">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51E0C98E" w14:textId="77777777" w:rsidR="006415AA" w:rsidRPr="006415AA" w:rsidRDefault="006415AA" w:rsidP="006415AA">
            <w:pPr>
              <w:rPr>
                <w:rFonts w:ascii="Arial" w:eastAsia="Times New Roman" w:hAnsi="Arial" w:cs="Arial"/>
                <w:sz w:val="20"/>
                <w:szCs w:val="20"/>
                <w:lang w:eastAsia="en-GB"/>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37A13D6E" w14:textId="77777777" w:rsidR="006415AA" w:rsidRPr="006415AA" w:rsidRDefault="006415AA" w:rsidP="006415AA">
            <w:pPr>
              <w:spacing w:after="120" w:line="276" w:lineRule="auto"/>
              <w:rPr>
                <w:rFonts w:ascii="Arial" w:eastAsia="Calibri"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3FBE6D91" w14:textId="77777777" w:rsidR="006415AA" w:rsidRPr="006415AA" w:rsidRDefault="006415AA" w:rsidP="006415AA">
            <w:pPr>
              <w:spacing w:after="120" w:line="276" w:lineRule="auto"/>
              <w:rPr>
                <w:rFonts w:ascii="Arial" w:eastAsia="Calibri" w:hAnsi="Arial" w:cs="Arial"/>
              </w:rPr>
            </w:pPr>
          </w:p>
        </w:tc>
      </w:tr>
    </w:tbl>
    <w:p w14:paraId="0EB351FB" w14:textId="77777777" w:rsidR="006415AA" w:rsidRPr="00211547" w:rsidRDefault="006415AA" w:rsidP="006415AA">
      <w:pPr>
        <w:rPr>
          <w:rFonts w:ascii="Arial" w:hAnsi="Arial" w:cs="Arial"/>
        </w:rPr>
      </w:pPr>
    </w:p>
    <w:p w14:paraId="537CD031" w14:textId="43B887DF" w:rsidR="006415AA" w:rsidRPr="00211547" w:rsidRDefault="006415AA" w:rsidP="4A940A93">
      <w:pPr>
        <w:rPr>
          <w:rFonts w:ascii="Arial" w:hAnsi="Arial" w:cs="Arial"/>
        </w:rPr>
      </w:pPr>
    </w:p>
    <w:p w14:paraId="764BC84E" w14:textId="77777777" w:rsidR="006415AA" w:rsidRPr="00211547" w:rsidRDefault="006415AA" w:rsidP="006415AA">
      <w:pPr>
        <w:rPr>
          <w:rFonts w:ascii="Arial" w:hAnsi="Arial" w:cs="Arial"/>
        </w:rPr>
      </w:pPr>
    </w:p>
    <w:p w14:paraId="291C7AFC" w14:textId="2B31BCBC" w:rsidR="006415AA" w:rsidRPr="00211547" w:rsidRDefault="006415AA" w:rsidP="5D2A7310">
      <w:pPr>
        <w:rPr>
          <w:rFonts w:ascii="Arial" w:hAnsi="Arial" w:cs="Arial"/>
        </w:rPr>
      </w:pPr>
    </w:p>
    <w:p w14:paraId="44A6E5B8" w14:textId="77777777" w:rsidR="006415AA" w:rsidRPr="00211547" w:rsidRDefault="006415AA" w:rsidP="006415AA">
      <w:pPr>
        <w:rPr>
          <w:rFonts w:ascii="Arial" w:hAnsi="Arial" w:cs="Arial"/>
        </w:rPr>
      </w:pPr>
    </w:p>
    <w:p w14:paraId="51C7AB52" w14:textId="77777777" w:rsidR="00C80BDA" w:rsidRPr="00211547" w:rsidRDefault="00C80BDA" w:rsidP="00C80BDA">
      <w:pPr>
        <w:spacing w:line="360" w:lineRule="auto"/>
        <w:rPr>
          <w:rFonts w:ascii="Arial" w:hAnsi="Arial" w:cs="Arial"/>
          <w:b/>
        </w:rPr>
      </w:pPr>
      <w:r w:rsidRPr="00211547">
        <w:rPr>
          <w:rFonts w:ascii="Arial" w:hAnsi="Arial" w:cs="Arial"/>
          <w:b/>
        </w:rPr>
        <w:t>TABLE OF CONTENTS</w:t>
      </w:r>
    </w:p>
    <w:p w14:paraId="74043CB5" w14:textId="77777777" w:rsidR="00C80BDA" w:rsidRPr="00211547" w:rsidRDefault="00C80BDA" w:rsidP="00C80BDA">
      <w:pPr>
        <w:spacing w:line="360" w:lineRule="auto"/>
        <w:rPr>
          <w:rFonts w:ascii="Arial" w:hAnsi="Arial" w:cs="Arial"/>
        </w:rPr>
      </w:pPr>
    </w:p>
    <w:p w14:paraId="6199D660" w14:textId="77777777" w:rsidR="00211547" w:rsidRPr="00211547" w:rsidRDefault="00C80BDA">
      <w:pPr>
        <w:pStyle w:val="TOC1"/>
        <w:tabs>
          <w:tab w:val="right" w:leader="dot" w:pos="9016"/>
        </w:tabs>
        <w:rPr>
          <w:rFonts w:ascii="Arial" w:eastAsiaTheme="minorEastAsia" w:hAnsi="Arial" w:cs="Arial"/>
          <w:noProof/>
          <w:lang w:eastAsia="en-GB"/>
        </w:rPr>
      </w:pPr>
      <w:r w:rsidRPr="00211547">
        <w:rPr>
          <w:rFonts w:ascii="Arial" w:hAnsi="Arial" w:cs="Arial"/>
        </w:rPr>
        <w:fldChar w:fldCharType="begin"/>
      </w:r>
      <w:r w:rsidRPr="00211547">
        <w:rPr>
          <w:rFonts w:ascii="Arial" w:hAnsi="Arial" w:cs="Arial"/>
        </w:rPr>
        <w:instrText xml:space="preserve"> TOC \o "1-2" \h \z \u </w:instrText>
      </w:r>
      <w:r w:rsidRPr="00211547">
        <w:rPr>
          <w:rFonts w:ascii="Arial" w:hAnsi="Arial" w:cs="Arial"/>
        </w:rPr>
        <w:fldChar w:fldCharType="separate"/>
      </w:r>
      <w:hyperlink w:anchor="_Toc448914365" w:history="1">
        <w:r w:rsidR="00211547" w:rsidRPr="00211547">
          <w:rPr>
            <w:rStyle w:val="Hyperlink"/>
            <w:rFonts w:ascii="Arial" w:hAnsi="Arial" w:cs="Arial"/>
            <w:noProof/>
          </w:rPr>
          <w:t>SPECIFICATION OF REQUIREMENTS TEMPLATE</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_Toc448914365 \h </w:instrText>
        </w:r>
        <w:r w:rsidR="00211547" w:rsidRPr="00211547">
          <w:rPr>
            <w:rFonts w:ascii="Arial" w:hAnsi="Arial" w:cs="Arial"/>
            <w:noProof/>
            <w:webHidden/>
          </w:rPr>
        </w:r>
        <w:r w:rsidR="00211547" w:rsidRPr="00211547">
          <w:rPr>
            <w:rFonts w:ascii="Arial" w:hAnsi="Arial" w:cs="Arial"/>
            <w:noProof/>
            <w:webHidden/>
          </w:rPr>
          <w:fldChar w:fldCharType="separate"/>
        </w:r>
        <w:r w:rsidR="00211547" w:rsidRPr="00211547">
          <w:rPr>
            <w:rFonts w:ascii="Arial" w:hAnsi="Arial" w:cs="Arial"/>
            <w:noProof/>
            <w:webHidden/>
          </w:rPr>
          <w:t>1</w:t>
        </w:r>
        <w:r w:rsidR="00211547" w:rsidRPr="00211547">
          <w:rPr>
            <w:rFonts w:ascii="Arial" w:hAnsi="Arial" w:cs="Arial"/>
            <w:noProof/>
            <w:webHidden/>
          </w:rPr>
          <w:fldChar w:fldCharType="end"/>
        </w:r>
      </w:hyperlink>
    </w:p>
    <w:p w14:paraId="65C20CFF" w14:textId="77777777" w:rsidR="00211547" w:rsidRPr="00211547" w:rsidRDefault="009A7C88">
      <w:pPr>
        <w:pStyle w:val="TOC1"/>
        <w:tabs>
          <w:tab w:val="right" w:leader="dot" w:pos="9016"/>
        </w:tabs>
        <w:rPr>
          <w:rFonts w:ascii="Arial" w:eastAsiaTheme="minorEastAsia" w:hAnsi="Arial" w:cs="Arial"/>
          <w:noProof/>
          <w:lang w:eastAsia="en-GB"/>
        </w:rPr>
      </w:pPr>
      <w:hyperlink w:anchor="_Toc448914366" w:history="1">
        <w:r w:rsidR="00211547" w:rsidRPr="00211547">
          <w:rPr>
            <w:rStyle w:val="Hyperlink"/>
            <w:rFonts w:ascii="Arial" w:hAnsi="Arial" w:cs="Arial"/>
            <w:noProof/>
          </w:rPr>
          <w:t>Specification of Requirements</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_Toc448914366 \h </w:instrText>
        </w:r>
        <w:r w:rsidR="00211547" w:rsidRPr="00211547">
          <w:rPr>
            <w:rFonts w:ascii="Arial" w:hAnsi="Arial" w:cs="Arial"/>
            <w:noProof/>
            <w:webHidden/>
          </w:rPr>
        </w:r>
        <w:r w:rsidR="00211547" w:rsidRPr="00211547">
          <w:rPr>
            <w:rFonts w:ascii="Arial" w:hAnsi="Arial" w:cs="Arial"/>
            <w:noProof/>
            <w:webHidden/>
          </w:rPr>
          <w:fldChar w:fldCharType="separate"/>
        </w:r>
        <w:r w:rsidR="00211547" w:rsidRPr="00211547">
          <w:rPr>
            <w:rFonts w:ascii="Arial" w:hAnsi="Arial" w:cs="Arial"/>
            <w:noProof/>
            <w:webHidden/>
          </w:rPr>
          <w:t>3</w:t>
        </w:r>
        <w:r w:rsidR="00211547" w:rsidRPr="00211547">
          <w:rPr>
            <w:rFonts w:ascii="Arial" w:hAnsi="Arial" w:cs="Arial"/>
            <w:noProof/>
            <w:webHidden/>
          </w:rPr>
          <w:fldChar w:fldCharType="end"/>
        </w:r>
      </w:hyperlink>
    </w:p>
    <w:p w14:paraId="60797098" w14:textId="77777777" w:rsidR="00211547" w:rsidRPr="00211547" w:rsidRDefault="009A7C88">
      <w:pPr>
        <w:pStyle w:val="TOC2"/>
        <w:tabs>
          <w:tab w:val="left" w:pos="660"/>
          <w:tab w:val="right" w:leader="dot" w:pos="9016"/>
        </w:tabs>
        <w:rPr>
          <w:rFonts w:ascii="Arial" w:eastAsiaTheme="minorEastAsia" w:hAnsi="Arial" w:cs="Arial"/>
          <w:noProof/>
          <w:lang w:eastAsia="en-GB"/>
        </w:rPr>
      </w:pPr>
      <w:hyperlink w:anchor="_Toc448914367" w:history="1">
        <w:r w:rsidR="00211547" w:rsidRPr="00211547">
          <w:rPr>
            <w:rStyle w:val="Hyperlink"/>
            <w:rFonts w:ascii="Arial" w:hAnsi="Arial" w:cs="Arial"/>
            <w:noProof/>
            <w14:scene3d>
              <w14:camera w14:prst="orthographicFront"/>
              <w14:lightRig w14:rig="threePt" w14:dir="t">
                <w14:rot w14:lat="0" w14:lon="0" w14:rev="0"/>
              </w14:lightRig>
            </w14:scene3d>
          </w:rPr>
          <w:t>1.</w:t>
        </w:r>
        <w:r w:rsidR="00211547" w:rsidRPr="00211547">
          <w:rPr>
            <w:rFonts w:ascii="Arial" w:eastAsiaTheme="minorEastAsia" w:hAnsi="Arial" w:cs="Arial"/>
            <w:noProof/>
            <w:lang w:eastAsia="en-GB"/>
          </w:rPr>
          <w:tab/>
        </w:r>
        <w:r w:rsidR="00211547" w:rsidRPr="00211547">
          <w:rPr>
            <w:rStyle w:val="Hyperlink"/>
            <w:rFonts w:ascii="Arial" w:hAnsi="Arial" w:cs="Arial"/>
            <w:noProof/>
          </w:rPr>
          <w:t>Background to the requirements</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_Toc448914367 \h </w:instrText>
        </w:r>
        <w:r w:rsidR="00211547" w:rsidRPr="00211547">
          <w:rPr>
            <w:rFonts w:ascii="Arial" w:hAnsi="Arial" w:cs="Arial"/>
            <w:noProof/>
            <w:webHidden/>
          </w:rPr>
        </w:r>
        <w:r w:rsidR="00211547" w:rsidRPr="00211547">
          <w:rPr>
            <w:rFonts w:ascii="Arial" w:hAnsi="Arial" w:cs="Arial"/>
            <w:noProof/>
            <w:webHidden/>
          </w:rPr>
          <w:fldChar w:fldCharType="separate"/>
        </w:r>
        <w:r w:rsidR="00211547" w:rsidRPr="00211547">
          <w:rPr>
            <w:rFonts w:ascii="Arial" w:hAnsi="Arial" w:cs="Arial"/>
            <w:noProof/>
            <w:webHidden/>
          </w:rPr>
          <w:t>3</w:t>
        </w:r>
        <w:r w:rsidR="00211547" w:rsidRPr="00211547">
          <w:rPr>
            <w:rFonts w:ascii="Arial" w:hAnsi="Arial" w:cs="Arial"/>
            <w:noProof/>
            <w:webHidden/>
          </w:rPr>
          <w:fldChar w:fldCharType="end"/>
        </w:r>
      </w:hyperlink>
    </w:p>
    <w:p w14:paraId="2DE16EE1" w14:textId="77777777" w:rsidR="00211547" w:rsidRPr="00211547" w:rsidRDefault="009A7C88">
      <w:pPr>
        <w:pStyle w:val="TOC2"/>
        <w:tabs>
          <w:tab w:val="left" w:pos="660"/>
          <w:tab w:val="right" w:leader="dot" w:pos="9016"/>
        </w:tabs>
        <w:rPr>
          <w:rFonts w:ascii="Arial" w:eastAsiaTheme="minorEastAsia" w:hAnsi="Arial" w:cs="Arial"/>
          <w:noProof/>
          <w:lang w:eastAsia="en-GB"/>
        </w:rPr>
      </w:pPr>
      <w:hyperlink w:anchor="_Toc448914368" w:history="1">
        <w:r w:rsidR="00211547" w:rsidRPr="00211547">
          <w:rPr>
            <w:rStyle w:val="Hyperlink"/>
            <w:rFonts w:ascii="Arial" w:hAnsi="Arial" w:cs="Arial"/>
            <w:noProof/>
            <w14:scene3d>
              <w14:camera w14:prst="orthographicFront"/>
              <w14:lightRig w14:rig="threePt" w14:dir="t">
                <w14:rot w14:lat="0" w14:lon="0" w14:rev="0"/>
              </w14:lightRig>
            </w14:scene3d>
          </w:rPr>
          <w:t>2.</w:t>
        </w:r>
        <w:r w:rsidR="00211547" w:rsidRPr="00211547">
          <w:rPr>
            <w:rFonts w:ascii="Arial" w:eastAsiaTheme="minorEastAsia" w:hAnsi="Arial" w:cs="Arial"/>
            <w:noProof/>
            <w:lang w:eastAsia="en-GB"/>
          </w:rPr>
          <w:tab/>
        </w:r>
        <w:r w:rsidR="00211547" w:rsidRPr="00211547">
          <w:rPr>
            <w:rStyle w:val="Hyperlink"/>
            <w:rFonts w:ascii="Arial" w:hAnsi="Arial" w:cs="Arial"/>
            <w:noProof/>
          </w:rPr>
          <w:t>Scope of the Procurement</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_Toc448914368 \h </w:instrText>
        </w:r>
        <w:r w:rsidR="00211547" w:rsidRPr="00211547">
          <w:rPr>
            <w:rFonts w:ascii="Arial" w:hAnsi="Arial" w:cs="Arial"/>
            <w:noProof/>
            <w:webHidden/>
          </w:rPr>
        </w:r>
        <w:r w:rsidR="00211547" w:rsidRPr="00211547">
          <w:rPr>
            <w:rFonts w:ascii="Arial" w:hAnsi="Arial" w:cs="Arial"/>
            <w:noProof/>
            <w:webHidden/>
          </w:rPr>
          <w:fldChar w:fldCharType="separate"/>
        </w:r>
        <w:r w:rsidR="00211547" w:rsidRPr="00211547">
          <w:rPr>
            <w:rFonts w:ascii="Arial" w:hAnsi="Arial" w:cs="Arial"/>
            <w:noProof/>
            <w:webHidden/>
          </w:rPr>
          <w:t>3</w:t>
        </w:r>
        <w:r w:rsidR="00211547" w:rsidRPr="00211547">
          <w:rPr>
            <w:rFonts w:ascii="Arial" w:hAnsi="Arial" w:cs="Arial"/>
            <w:noProof/>
            <w:webHidden/>
          </w:rPr>
          <w:fldChar w:fldCharType="end"/>
        </w:r>
      </w:hyperlink>
    </w:p>
    <w:p w14:paraId="3C678AA6" w14:textId="77777777" w:rsidR="00211547" w:rsidRPr="00211547" w:rsidRDefault="009A7C88">
      <w:pPr>
        <w:pStyle w:val="TOC2"/>
        <w:tabs>
          <w:tab w:val="left" w:pos="660"/>
          <w:tab w:val="right" w:leader="dot" w:pos="9016"/>
        </w:tabs>
        <w:rPr>
          <w:rFonts w:ascii="Arial" w:eastAsiaTheme="minorEastAsia" w:hAnsi="Arial" w:cs="Arial"/>
          <w:noProof/>
          <w:lang w:eastAsia="en-GB"/>
        </w:rPr>
      </w:pPr>
      <w:hyperlink w:anchor="_Toc448914369" w:history="1">
        <w:r w:rsidR="00211547" w:rsidRPr="00211547">
          <w:rPr>
            <w:rStyle w:val="Hyperlink"/>
            <w:rFonts w:ascii="Arial" w:hAnsi="Arial" w:cs="Arial"/>
            <w:noProof/>
            <w14:scene3d>
              <w14:camera w14:prst="orthographicFront"/>
              <w14:lightRig w14:rig="threePt" w14:dir="t">
                <w14:rot w14:lat="0" w14:lon="0" w14:rev="0"/>
              </w14:lightRig>
            </w14:scene3d>
          </w:rPr>
          <w:t>3.</w:t>
        </w:r>
        <w:r w:rsidR="00211547" w:rsidRPr="00211547">
          <w:rPr>
            <w:rFonts w:ascii="Arial" w:eastAsiaTheme="minorEastAsia" w:hAnsi="Arial" w:cs="Arial"/>
            <w:noProof/>
            <w:lang w:eastAsia="en-GB"/>
          </w:rPr>
          <w:tab/>
        </w:r>
        <w:r w:rsidR="00211547" w:rsidRPr="00211547">
          <w:rPr>
            <w:rStyle w:val="Hyperlink"/>
            <w:rFonts w:ascii="Arial" w:hAnsi="Arial" w:cs="Arial"/>
            <w:noProof/>
          </w:rPr>
          <w:t>Requirements</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_Toc448914369 \h </w:instrText>
        </w:r>
        <w:r w:rsidR="00211547" w:rsidRPr="00211547">
          <w:rPr>
            <w:rFonts w:ascii="Arial" w:hAnsi="Arial" w:cs="Arial"/>
            <w:noProof/>
            <w:webHidden/>
          </w:rPr>
        </w:r>
        <w:r w:rsidR="00211547" w:rsidRPr="00211547">
          <w:rPr>
            <w:rFonts w:ascii="Arial" w:hAnsi="Arial" w:cs="Arial"/>
            <w:noProof/>
            <w:webHidden/>
          </w:rPr>
          <w:fldChar w:fldCharType="separate"/>
        </w:r>
        <w:r w:rsidR="00211547" w:rsidRPr="00211547">
          <w:rPr>
            <w:rFonts w:ascii="Arial" w:hAnsi="Arial" w:cs="Arial"/>
            <w:noProof/>
            <w:webHidden/>
          </w:rPr>
          <w:t>4</w:t>
        </w:r>
        <w:r w:rsidR="00211547" w:rsidRPr="00211547">
          <w:rPr>
            <w:rFonts w:ascii="Arial" w:hAnsi="Arial" w:cs="Arial"/>
            <w:noProof/>
            <w:webHidden/>
          </w:rPr>
          <w:fldChar w:fldCharType="end"/>
        </w:r>
      </w:hyperlink>
    </w:p>
    <w:p w14:paraId="6B3EE522" w14:textId="77777777" w:rsidR="00211547" w:rsidRPr="00211547" w:rsidRDefault="009A7C88">
      <w:pPr>
        <w:pStyle w:val="TOC2"/>
        <w:tabs>
          <w:tab w:val="left" w:pos="660"/>
          <w:tab w:val="right" w:leader="dot" w:pos="9016"/>
        </w:tabs>
        <w:rPr>
          <w:rFonts w:ascii="Arial" w:eastAsiaTheme="minorEastAsia" w:hAnsi="Arial" w:cs="Arial"/>
          <w:noProof/>
          <w:lang w:eastAsia="en-GB"/>
        </w:rPr>
      </w:pPr>
      <w:hyperlink w:anchor="_Toc448914370" w:history="1">
        <w:r w:rsidR="00211547" w:rsidRPr="00211547">
          <w:rPr>
            <w:rStyle w:val="Hyperlink"/>
            <w:rFonts w:ascii="Arial" w:hAnsi="Arial" w:cs="Arial"/>
            <w:noProof/>
            <w14:scene3d>
              <w14:camera w14:prst="orthographicFront"/>
              <w14:lightRig w14:rig="threePt" w14:dir="t">
                <w14:rot w14:lat="0" w14:lon="0" w14:rev="0"/>
              </w14:lightRig>
            </w14:scene3d>
          </w:rPr>
          <w:t>4.</w:t>
        </w:r>
        <w:r w:rsidR="00211547" w:rsidRPr="00211547">
          <w:rPr>
            <w:rFonts w:ascii="Arial" w:eastAsiaTheme="minorEastAsia" w:hAnsi="Arial" w:cs="Arial"/>
            <w:noProof/>
            <w:lang w:eastAsia="en-GB"/>
          </w:rPr>
          <w:tab/>
        </w:r>
        <w:r w:rsidR="00211547" w:rsidRPr="00211547">
          <w:rPr>
            <w:rStyle w:val="Hyperlink"/>
            <w:rFonts w:ascii="Arial" w:hAnsi="Arial" w:cs="Arial"/>
            <w:noProof/>
          </w:rPr>
          <w:t>Flexibility and additional services or transformation</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_Toc448914370 \h </w:instrText>
        </w:r>
        <w:r w:rsidR="00211547" w:rsidRPr="00211547">
          <w:rPr>
            <w:rFonts w:ascii="Arial" w:hAnsi="Arial" w:cs="Arial"/>
            <w:noProof/>
            <w:webHidden/>
          </w:rPr>
        </w:r>
        <w:r w:rsidR="00211547" w:rsidRPr="00211547">
          <w:rPr>
            <w:rFonts w:ascii="Arial" w:hAnsi="Arial" w:cs="Arial"/>
            <w:noProof/>
            <w:webHidden/>
          </w:rPr>
          <w:fldChar w:fldCharType="separate"/>
        </w:r>
        <w:r w:rsidR="00211547" w:rsidRPr="00211547">
          <w:rPr>
            <w:rFonts w:ascii="Arial" w:hAnsi="Arial" w:cs="Arial"/>
            <w:noProof/>
            <w:webHidden/>
          </w:rPr>
          <w:t>8</w:t>
        </w:r>
        <w:r w:rsidR="00211547" w:rsidRPr="00211547">
          <w:rPr>
            <w:rFonts w:ascii="Arial" w:hAnsi="Arial" w:cs="Arial"/>
            <w:noProof/>
            <w:webHidden/>
          </w:rPr>
          <w:fldChar w:fldCharType="end"/>
        </w:r>
      </w:hyperlink>
    </w:p>
    <w:p w14:paraId="66E93998" w14:textId="77777777" w:rsidR="00211547" w:rsidRPr="00211547" w:rsidRDefault="009A7C88">
      <w:pPr>
        <w:pStyle w:val="TOC2"/>
        <w:tabs>
          <w:tab w:val="left" w:pos="660"/>
          <w:tab w:val="right" w:leader="dot" w:pos="9016"/>
        </w:tabs>
        <w:rPr>
          <w:rFonts w:ascii="Arial" w:eastAsiaTheme="minorEastAsia" w:hAnsi="Arial" w:cs="Arial"/>
          <w:noProof/>
          <w:lang w:eastAsia="en-GB"/>
        </w:rPr>
      </w:pPr>
      <w:hyperlink w:anchor="_Toc448914371" w:history="1">
        <w:r w:rsidR="00211547" w:rsidRPr="00211547">
          <w:rPr>
            <w:rStyle w:val="Hyperlink"/>
            <w:rFonts w:ascii="Arial" w:hAnsi="Arial" w:cs="Arial"/>
            <w:noProof/>
            <w14:scene3d>
              <w14:camera w14:prst="orthographicFront"/>
              <w14:lightRig w14:rig="threePt" w14:dir="t">
                <w14:rot w14:lat="0" w14:lon="0" w14:rev="0"/>
              </w14:lightRig>
            </w14:scene3d>
          </w:rPr>
          <w:t>5.</w:t>
        </w:r>
        <w:r w:rsidR="00211547" w:rsidRPr="00211547">
          <w:rPr>
            <w:rFonts w:ascii="Arial" w:eastAsiaTheme="minorEastAsia" w:hAnsi="Arial" w:cs="Arial"/>
            <w:noProof/>
            <w:lang w:eastAsia="en-GB"/>
          </w:rPr>
          <w:tab/>
        </w:r>
        <w:r w:rsidR="00211547" w:rsidRPr="00211547">
          <w:rPr>
            <w:rStyle w:val="Hyperlink"/>
            <w:rFonts w:ascii="Arial" w:hAnsi="Arial" w:cs="Arial"/>
            <w:noProof/>
          </w:rPr>
          <w:t>Appendices</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_Toc448914371 \h </w:instrText>
        </w:r>
        <w:r w:rsidR="00211547" w:rsidRPr="00211547">
          <w:rPr>
            <w:rFonts w:ascii="Arial" w:hAnsi="Arial" w:cs="Arial"/>
            <w:noProof/>
            <w:webHidden/>
          </w:rPr>
        </w:r>
        <w:r w:rsidR="00211547" w:rsidRPr="00211547">
          <w:rPr>
            <w:rFonts w:ascii="Arial" w:hAnsi="Arial" w:cs="Arial"/>
            <w:noProof/>
            <w:webHidden/>
          </w:rPr>
          <w:fldChar w:fldCharType="separate"/>
        </w:r>
        <w:r w:rsidR="00211547" w:rsidRPr="00211547">
          <w:rPr>
            <w:rFonts w:ascii="Arial" w:hAnsi="Arial" w:cs="Arial"/>
            <w:noProof/>
            <w:webHidden/>
          </w:rPr>
          <w:t>8</w:t>
        </w:r>
        <w:r w:rsidR="00211547" w:rsidRPr="00211547">
          <w:rPr>
            <w:rFonts w:ascii="Arial" w:hAnsi="Arial" w:cs="Arial"/>
            <w:noProof/>
            <w:webHidden/>
          </w:rPr>
          <w:fldChar w:fldCharType="end"/>
        </w:r>
      </w:hyperlink>
    </w:p>
    <w:p w14:paraId="1C5359F5" w14:textId="77777777" w:rsidR="00C80BDA" w:rsidRPr="00211547" w:rsidRDefault="00C80BDA" w:rsidP="00C80BDA">
      <w:pPr>
        <w:pStyle w:val="Heading1"/>
        <w:spacing w:line="360" w:lineRule="auto"/>
        <w:ind w:left="0"/>
        <w:sectPr w:rsidR="00C80BDA" w:rsidRPr="00211547">
          <w:headerReference w:type="default" r:id="rId11"/>
          <w:footerReference w:type="default" r:id="rId12"/>
          <w:pgSz w:w="11906" w:h="16838"/>
          <w:pgMar w:top="1440" w:right="1440" w:bottom="1440" w:left="1440" w:header="708" w:footer="708" w:gutter="0"/>
          <w:cols w:space="708"/>
          <w:docGrid w:linePitch="360"/>
        </w:sectPr>
      </w:pPr>
      <w:r w:rsidRPr="00211547">
        <w:fldChar w:fldCharType="end"/>
      </w:r>
    </w:p>
    <w:p w14:paraId="44AEC865" w14:textId="77777777" w:rsidR="00932E05" w:rsidRPr="00211547" w:rsidRDefault="00390E69" w:rsidP="00C80BDA">
      <w:pPr>
        <w:pStyle w:val="Heading1"/>
        <w:ind w:left="0"/>
        <w:rPr>
          <w:color w:val="0066FF"/>
          <w:sz w:val="36"/>
          <w:szCs w:val="36"/>
        </w:rPr>
      </w:pPr>
      <w:bookmarkStart w:id="1" w:name="_Toc448914366"/>
      <w:r w:rsidRPr="00211547">
        <w:rPr>
          <w:color w:val="0066FF"/>
          <w:sz w:val="36"/>
          <w:szCs w:val="36"/>
        </w:rPr>
        <w:lastRenderedPageBreak/>
        <w:t>Specification of Requirements</w:t>
      </w:r>
      <w:bookmarkEnd w:id="1"/>
    </w:p>
    <w:p w14:paraId="774A6977" w14:textId="33963F8F" w:rsidR="001F4868" w:rsidRPr="00A945D7" w:rsidRDefault="00932E05" w:rsidP="00A945D7">
      <w:pPr>
        <w:pStyle w:val="Heading2"/>
        <w:rPr>
          <w:rFonts w:cs="Arial"/>
        </w:rPr>
      </w:pPr>
      <w:bookmarkStart w:id="2" w:name="_Toc448914367"/>
      <w:r w:rsidRPr="5569FD11">
        <w:rPr>
          <w:rFonts w:cs="Arial"/>
        </w:rPr>
        <w:t>Background to the requirements</w:t>
      </w:r>
      <w:bookmarkEnd w:id="2"/>
    </w:p>
    <w:p w14:paraId="7EA97F97" w14:textId="41DA1F12" w:rsidR="001F4868" w:rsidRPr="005339E0" w:rsidRDefault="3BC2DA39" w:rsidP="005339E0">
      <w:pPr>
        <w:pStyle w:val="Heading4"/>
      </w:pPr>
      <w:r w:rsidRPr="005339E0">
        <w:t xml:space="preserve">The Improvement Analytics Unit (IAU) is a unique partnership </w:t>
      </w:r>
      <w:r w:rsidR="5B6F33BA" w:rsidRPr="005339E0">
        <w:t>between NHS</w:t>
      </w:r>
      <w:r w:rsidRPr="005339E0">
        <w:t xml:space="preserve"> England and the Health Foundation that evaluates complex local initiatives in health </w:t>
      </w:r>
      <w:r w:rsidR="007A146B" w:rsidRPr="005339E0">
        <w:t xml:space="preserve">and </w:t>
      </w:r>
      <w:r w:rsidRPr="005339E0">
        <w:t xml:space="preserve">care </w:t>
      </w:r>
      <w:proofErr w:type="gramStart"/>
      <w:r w:rsidRPr="005339E0">
        <w:t>in order to</w:t>
      </w:r>
      <w:proofErr w:type="gramEnd"/>
      <w:r w:rsidRPr="005339E0">
        <w:t xml:space="preserve"> support learning and improvement. </w:t>
      </w:r>
    </w:p>
    <w:p w14:paraId="3AC26343" w14:textId="77777777" w:rsidR="001F4868" w:rsidRPr="005339E0" w:rsidRDefault="3BBCE0EA" w:rsidP="005339E0">
      <w:pPr>
        <w:pStyle w:val="Heading4"/>
      </w:pPr>
      <w:r w:rsidRPr="005339E0">
        <w:t xml:space="preserve">Over the last decade, </w:t>
      </w:r>
      <w:proofErr w:type="gramStart"/>
      <w:r w:rsidRPr="005339E0">
        <w:t>a number of</w:t>
      </w:r>
      <w:proofErr w:type="gramEnd"/>
      <w:r w:rsidRPr="005339E0">
        <w:t xml:space="preserve"> national transformation programmes have been established to improve quality and efficiency in health care, often through the provision of more integrated care. The best analytical approaches to evaluate the impact of complex changes such as these are demanding to </w:t>
      </w:r>
      <w:proofErr w:type="gramStart"/>
      <w:r w:rsidRPr="005339E0">
        <w:t>apply</w:t>
      </w:r>
      <w:proofErr w:type="gramEnd"/>
      <w:r w:rsidRPr="005339E0">
        <w:t xml:space="preserve"> and the required capability is not always available in the NHS.</w:t>
      </w:r>
    </w:p>
    <w:p w14:paraId="5EB804F3" w14:textId="172F00E3" w:rsidR="001F4868" w:rsidRPr="005339E0" w:rsidRDefault="3BBCE0EA" w:rsidP="005339E0">
      <w:pPr>
        <w:pStyle w:val="Heading4"/>
      </w:pPr>
      <w:r w:rsidRPr="005339E0">
        <w:t>The Improvement Analytics Unit aimed to fill this gap by:</w:t>
      </w:r>
    </w:p>
    <w:p w14:paraId="39415669" w14:textId="77777777" w:rsidR="001F4868" w:rsidRPr="005339E0" w:rsidRDefault="3BBCE0EA" w:rsidP="005339E0">
      <w:pPr>
        <w:pStyle w:val="Heading4"/>
      </w:pPr>
      <w:r w:rsidRPr="005339E0">
        <w:t xml:space="preserve">providing robust evaluation of complex change to support the development of strong and effective health care systems </w:t>
      </w:r>
    </w:p>
    <w:p w14:paraId="0DDD0910" w14:textId="77777777" w:rsidR="001F4868" w:rsidRPr="005339E0" w:rsidRDefault="3BBCE0EA" w:rsidP="005339E0">
      <w:pPr>
        <w:pStyle w:val="Heading4"/>
      </w:pPr>
      <w:r w:rsidRPr="005339E0">
        <w:t>identifying whether outcomes for patients have changed following the introduction of a new initiative and to identify, so far as possible, why</w:t>
      </w:r>
    </w:p>
    <w:p w14:paraId="00384C24" w14:textId="77777777" w:rsidR="001F4868" w:rsidRPr="005339E0" w:rsidRDefault="3BBCE0EA" w:rsidP="005339E0">
      <w:pPr>
        <w:pStyle w:val="Heading4"/>
      </w:pPr>
      <w:r w:rsidRPr="005339E0">
        <w:t>helping to spread the use of data analytics in the NHS for the purposes of quality improvement</w:t>
      </w:r>
    </w:p>
    <w:p w14:paraId="4D1C9B73" w14:textId="77777777" w:rsidR="001F4868" w:rsidRPr="005339E0" w:rsidRDefault="3BBCE0EA" w:rsidP="005339E0">
      <w:pPr>
        <w:pStyle w:val="Heading4"/>
      </w:pPr>
      <w:r w:rsidRPr="005339E0">
        <w:t xml:space="preserve">strengthening the robustness of the body of evidence available to inform national policy development.  </w:t>
      </w:r>
    </w:p>
    <w:p w14:paraId="01520C5F" w14:textId="65660475" w:rsidR="001F4868" w:rsidRPr="005339E0" w:rsidRDefault="3BBCE0EA" w:rsidP="005339E0">
      <w:pPr>
        <w:pStyle w:val="Heading4"/>
      </w:pPr>
      <w:r w:rsidRPr="005339E0">
        <w:t xml:space="preserve">A recent review by Frontier Economics and as agreed by the IAU Transition Steering Group concluded “Demand and supply-side issues mean there is a space for high quality and robust evaluation work that informs </w:t>
      </w:r>
      <w:r w:rsidR="00E11857" w:rsidRPr="005339E0">
        <w:t>NHSE</w:t>
      </w:r>
      <w:r w:rsidRPr="005339E0">
        <w:t xml:space="preserve"> central policy making.” The new </w:t>
      </w:r>
      <w:r w:rsidR="00FF4062" w:rsidRPr="005339E0">
        <w:t>supplier</w:t>
      </w:r>
      <w:r w:rsidRPr="005339E0">
        <w:t xml:space="preserve"> we commission will work in this space to address both demand and supply-side issues. Specifically:</w:t>
      </w:r>
    </w:p>
    <w:p w14:paraId="157A149F" w14:textId="655A55FF" w:rsidR="001F4868" w:rsidRPr="005339E0" w:rsidRDefault="3BBCE0EA" w:rsidP="005339E0">
      <w:pPr>
        <w:pStyle w:val="Heading4"/>
      </w:pPr>
      <w:r w:rsidRPr="005339E0">
        <w:lastRenderedPageBreak/>
        <w:t xml:space="preserve">Supply-side issues include a lack of skills and capabilities internal to </w:t>
      </w:r>
      <w:r w:rsidR="00E11857" w:rsidRPr="005339E0">
        <w:t>NHSE</w:t>
      </w:r>
      <w:r w:rsidRPr="005339E0">
        <w:t xml:space="preserve"> to perform complex quantitative evaluations; and scarcity of high-quality external analysis combined with astute and influential policy insights. The new </w:t>
      </w:r>
      <w:r w:rsidR="00FF4062" w:rsidRPr="005339E0">
        <w:t>supplier</w:t>
      </w:r>
      <w:r w:rsidRPr="005339E0">
        <w:t xml:space="preserve"> must have a unique skill mix and will use it to support priority </w:t>
      </w:r>
      <w:r w:rsidR="00E11857" w:rsidRPr="005339E0">
        <w:t>NHSE</w:t>
      </w:r>
      <w:r w:rsidRPr="005339E0">
        <w:t xml:space="preserve"> work, for example by evaluating complex national programmes which may otherwise be underserved. </w:t>
      </w:r>
    </w:p>
    <w:p w14:paraId="1F9FFAA8" w14:textId="43040C9C" w:rsidR="001F4868" w:rsidRPr="005339E0" w:rsidRDefault="3BBCE0EA" w:rsidP="005339E0">
      <w:pPr>
        <w:pStyle w:val="Heading4"/>
      </w:pPr>
      <w:r w:rsidRPr="005339E0">
        <w:t xml:space="preserve">Demand-side issues include a lack of awareness and understanding of the value of high-quality evaluation work in this context; and reluctance to invest sufficient resources in long term strategic analysis. The new </w:t>
      </w:r>
      <w:r w:rsidR="00FF4062" w:rsidRPr="005339E0">
        <w:t>supplier</w:t>
      </w:r>
      <w:r w:rsidRPr="005339E0">
        <w:t xml:space="preserve"> will deliver awareness raising and knowledge building materials and seminars to support </w:t>
      </w:r>
      <w:r w:rsidR="00E11857" w:rsidRPr="005339E0">
        <w:t>NHSE</w:t>
      </w:r>
      <w:r w:rsidRPr="005339E0">
        <w:t xml:space="preserve"> to build demand, for example by running seminars and publishing papers. </w:t>
      </w:r>
    </w:p>
    <w:p w14:paraId="7B91F1D6" w14:textId="1B7DDB9F" w:rsidR="001F4868" w:rsidRPr="005339E0" w:rsidRDefault="3BBCE0EA" w:rsidP="005339E0">
      <w:pPr>
        <w:pStyle w:val="Heading4"/>
      </w:pPr>
      <w:r w:rsidRPr="005339E0">
        <w:t xml:space="preserve">Evaluation of </w:t>
      </w:r>
      <w:r w:rsidR="007A146B" w:rsidRPr="005339E0">
        <w:t>large-scale</w:t>
      </w:r>
      <w:r w:rsidRPr="005339E0">
        <w:t xml:space="preserve"> initiatives is keeping in line with the government’s data strategy: ‘Data saves lives: reshaping health and social care with data’ which emphasises the need to create a learning system through robust evaluation of large programmes.</w:t>
      </w:r>
    </w:p>
    <w:p w14:paraId="358202ED" w14:textId="1B0CBBE6" w:rsidR="001F4868" w:rsidRPr="0052087A" w:rsidRDefault="001F4868" w:rsidP="5569FD11"/>
    <w:p w14:paraId="55BE98B3" w14:textId="150CF7B3" w:rsidR="002A6657" w:rsidRDefault="002A6657" w:rsidP="5D2A7310">
      <w:pPr>
        <w:spacing w:after="200" w:line="276" w:lineRule="auto"/>
        <w:rPr>
          <w:rFonts w:ascii="Arial" w:eastAsia="Times New Roman" w:hAnsi="Arial" w:cs="Arial"/>
          <w:b/>
          <w:bCs/>
          <w:sz w:val="28"/>
          <w:szCs w:val="28"/>
        </w:rPr>
      </w:pPr>
      <w:bookmarkStart w:id="3" w:name="_Toc448914368"/>
      <w:r w:rsidRPr="5D2A7310">
        <w:rPr>
          <w:rFonts w:cs="Arial"/>
        </w:rPr>
        <w:br w:type="page"/>
      </w:r>
    </w:p>
    <w:p w14:paraId="4A1D27ED" w14:textId="502D7898" w:rsidR="00EE58D3" w:rsidRDefault="00EE58D3" w:rsidP="4A940A93">
      <w:pPr>
        <w:pStyle w:val="Heading2"/>
        <w:rPr>
          <w:rFonts w:cs="Arial"/>
        </w:rPr>
      </w:pPr>
      <w:r w:rsidRPr="4A940A93">
        <w:rPr>
          <w:rFonts w:cs="Arial"/>
        </w:rPr>
        <w:lastRenderedPageBreak/>
        <w:t>Scope of the Procurement</w:t>
      </w:r>
      <w:bookmarkEnd w:id="3"/>
      <w:r w:rsidRPr="4A940A93">
        <w:rPr>
          <w:rFonts w:cs="Arial"/>
        </w:rPr>
        <w:t xml:space="preserve"> </w:t>
      </w:r>
    </w:p>
    <w:p w14:paraId="090D060A" w14:textId="29B2C186" w:rsidR="00B72FC3" w:rsidRDefault="0F3F1B82" w:rsidP="4A940A93">
      <w:pPr>
        <w:pStyle w:val="Heading3"/>
        <w:rPr>
          <w:rFonts w:cs="Arial"/>
        </w:rPr>
      </w:pPr>
      <w:r w:rsidRPr="6296BB99">
        <w:rPr>
          <w:rFonts w:cs="Arial"/>
        </w:rPr>
        <w:t xml:space="preserve">Aims &amp; Objectives </w:t>
      </w:r>
    </w:p>
    <w:p w14:paraId="32AA0E61" w14:textId="5E076BDD" w:rsidR="001F4868" w:rsidRDefault="7921481B" w:rsidP="005339E0">
      <w:pPr>
        <w:pStyle w:val="Heading4"/>
        <w:rPr>
          <w:color w:val="FF0000"/>
        </w:rPr>
      </w:pPr>
      <w:r w:rsidRPr="6296BB99">
        <w:t xml:space="preserve">The IAU </w:t>
      </w:r>
      <w:r w:rsidR="62E6D687" w:rsidRPr="6296BB99">
        <w:t xml:space="preserve">are looking for a </w:t>
      </w:r>
      <w:r w:rsidR="00FF4062">
        <w:t>supplier</w:t>
      </w:r>
      <w:r w:rsidR="62E6D687" w:rsidRPr="6296BB99">
        <w:t xml:space="preserve"> that can provide evaluation of complex local and national initiatives in health care </w:t>
      </w:r>
      <w:proofErr w:type="gramStart"/>
      <w:r w:rsidR="62E6D687" w:rsidRPr="6296BB99">
        <w:t>in order to</w:t>
      </w:r>
      <w:proofErr w:type="gramEnd"/>
      <w:r w:rsidR="62E6D687" w:rsidRPr="6296BB99">
        <w:t xml:space="preserve"> support learning and development.  The </w:t>
      </w:r>
      <w:r w:rsidR="00FF4062">
        <w:t>supplier</w:t>
      </w:r>
      <w:r w:rsidR="62E6D687" w:rsidRPr="6296BB99">
        <w:t xml:space="preserve"> will utilise statistically robust methods and novel counterfactual analysis to estimate the impact of a change programme or innovation, informed by a deep understanding of relevant policy and practice. </w:t>
      </w:r>
    </w:p>
    <w:p w14:paraId="45346333" w14:textId="38D42D6A" w:rsidR="001F4868" w:rsidRDefault="001F4868" w:rsidP="005339E0">
      <w:pPr>
        <w:pStyle w:val="Heading4"/>
        <w:numPr>
          <w:ilvl w:val="0"/>
          <w:numId w:val="0"/>
        </w:numPr>
        <w:ind w:left="1134" w:hanging="992"/>
      </w:pPr>
    </w:p>
    <w:p w14:paraId="65A5AA58" w14:textId="70BC889A" w:rsidR="001F4868" w:rsidRDefault="1B0B880A" w:rsidP="005339E0">
      <w:pPr>
        <w:pStyle w:val="Heading4"/>
        <w:rPr>
          <w:color w:val="FF0000"/>
        </w:rPr>
      </w:pPr>
      <w:r w:rsidRPr="5B06EBE8">
        <w:t>By providing rapid feedback to service leaders and decision-makers at both a local and national level, we aim to identify what is working well and what might need to change in the future to improve outcomes</w:t>
      </w:r>
    </w:p>
    <w:p w14:paraId="415ABF01" w14:textId="454372FF" w:rsidR="71412EA1" w:rsidRDefault="71412EA1" w:rsidP="005339E0">
      <w:pPr>
        <w:pStyle w:val="Heading4"/>
        <w:rPr>
          <w:color w:val="FF0000"/>
        </w:rPr>
      </w:pPr>
      <w:r w:rsidRPr="5B06EBE8">
        <w:rPr>
          <w:color w:val="000000" w:themeColor="text1"/>
        </w:rPr>
        <w:t xml:space="preserve">The local and national initiatives requiring evaluation are from various NHS Organisations </w:t>
      </w:r>
      <w:r w:rsidR="5093A13A" w:rsidRPr="5B06EBE8">
        <w:rPr>
          <w:color w:val="000000" w:themeColor="text1"/>
        </w:rPr>
        <w:t xml:space="preserve">such as Integrated Care Systems (ICS). By </w:t>
      </w:r>
      <w:r w:rsidR="2A03AF91" w:rsidRPr="5B06EBE8">
        <w:rPr>
          <w:color w:val="000000" w:themeColor="text1"/>
        </w:rPr>
        <w:t xml:space="preserve">providing this rapid feedback to service leaders and decision makers, can help to identify what is working well and where changes may be needed to improve outcomes.  </w:t>
      </w:r>
    </w:p>
    <w:p w14:paraId="449E139B" w14:textId="33659E5E" w:rsidR="5B06EBE8" w:rsidRDefault="5B06EBE8" w:rsidP="005339E0">
      <w:pPr>
        <w:pStyle w:val="Heading4"/>
        <w:numPr>
          <w:ilvl w:val="0"/>
          <w:numId w:val="0"/>
        </w:numPr>
        <w:ind w:left="1134" w:hanging="992"/>
      </w:pPr>
    </w:p>
    <w:p w14:paraId="705CDA31" w14:textId="5745D10A" w:rsidR="0052087A" w:rsidRDefault="007610FF" w:rsidP="005339E0">
      <w:pPr>
        <w:pStyle w:val="Heading4"/>
      </w:pPr>
      <w:r>
        <w:t>This procurement covers all activities that would be described as ‘closing the gap’ in advanced analytics for complex programme evaluation.</w:t>
      </w:r>
      <w:r w:rsidR="002A6657">
        <w:t xml:space="preserve"> </w:t>
      </w:r>
      <w:r w:rsidR="002A6657" w:rsidRPr="5B06EBE8">
        <w:t xml:space="preserve">Closing the gap means tackling the root causes associated with demand and supply-side for this type of work which are currently preventing optimal levels of evaluation being carried out. This could include demand-side initiatives such as increasing the awareness and appreciation of the value of </w:t>
      </w:r>
      <w:r w:rsidR="19ECB809" w:rsidRPr="5B06EBE8">
        <w:t>high-quality</w:t>
      </w:r>
      <w:r w:rsidR="002A6657" w:rsidRPr="5B06EBE8">
        <w:t xml:space="preserve"> evaluation. And supply-side initiatives such as building a community of practice, increasing capacity within </w:t>
      </w:r>
      <w:proofErr w:type="gramStart"/>
      <w:r w:rsidR="00E11857">
        <w:t>NHSE</w:t>
      </w:r>
      <w:proofErr w:type="gramEnd"/>
      <w:r w:rsidR="002A6657" w:rsidRPr="5B06EBE8">
        <w:t xml:space="preserve"> and establishing best practice. </w:t>
      </w:r>
      <w:r w:rsidR="7612FBFC" w:rsidRPr="5B06EBE8">
        <w:t xml:space="preserve">The successful supplier will have the skills and capabilities to deliver the </w:t>
      </w:r>
      <w:r w:rsidR="6B298212" w:rsidRPr="5B06EBE8">
        <w:t>following overarching</w:t>
      </w:r>
      <w:r w:rsidR="0052087A" w:rsidRPr="5B06EBE8">
        <w:t xml:space="preserve"> aims</w:t>
      </w:r>
      <w:r w:rsidR="2E514ACA" w:rsidRPr="5B06EBE8">
        <w:t>:</w:t>
      </w:r>
    </w:p>
    <w:p w14:paraId="2FEC346A" w14:textId="43EE8AED" w:rsidR="0052087A" w:rsidRPr="0052087A" w:rsidRDefault="0052087A" w:rsidP="005339E0">
      <w:pPr>
        <w:pStyle w:val="Heading4"/>
      </w:pPr>
      <w:r>
        <w:lastRenderedPageBreak/>
        <w:t>P</w:t>
      </w:r>
      <w:r w:rsidRPr="0052087A">
        <w:t>roviding robust evaluation of complex change to support the development of strong and effective health care systems </w:t>
      </w:r>
    </w:p>
    <w:p w14:paraId="13A391E4" w14:textId="104CFC6B" w:rsidR="0052087A" w:rsidRPr="0052087A" w:rsidRDefault="0052087A" w:rsidP="005339E0">
      <w:pPr>
        <w:pStyle w:val="Heading4"/>
      </w:pPr>
      <w:r>
        <w:t>I</w:t>
      </w:r>
      <w:r w:rsidRPr="0052087A">
        <w:t>dentifying whether outcomes for patients have changed following the introduction of a new initiative and to identify, so far as possible, why</w:t>
      </w:r>
    </w:p>
    <w:p w14:paraId="052080F8" w14:textId="5D6F2155" w:rsidR="0052087A" w:rsidRPr="0052087A" w:rsidRDefault="0052087A" w:rsidP="005339E0">
      <w:pPr>
        <w:pStyle w:val="Heading4"/>
      </w:pPr>
      <w:r>
        <w:t>H</w:t>
      </w:r>
      <w:r w:rsidRPr="0052087A">
        <w:t>elping to spread the use of data analytics in the NHS for the purposes of quality improvement</w:t>
      </w:r>
    </w:p>
    <w:p w14:paraId="47C7D44C" w14:textId="4889322B" w:rsidR="0052087A" w:rsidRPr="0052087A" w:rsidRDefault="0052087A" w:rsidP="005339E0">
      <w:pPr>
        <w:pStyle w:val="Heading4"/>
      </w:pPr>
      <w:r w:rsidRPr="09A57615">
        <w:t>Strengthening the robustness of the body of evidence available to inform national policy development</w:t>
      </w:r>
    </w:p>
    <w:p w14:paraId="16A5248B" w14:textId="77777777" w:rsidR="00B72FC3" w:rsidRPr="00211547" w:rsidRDefault="584E8407" w:rsidP="09A57615">
      <w:pPr>
        <w:pStyle w:val="Heading3"/>
        <w:rPr>
          <w:rFonts w:cs="Arial"/>
        </w:rPr>
      </w:pPr>
      <w:r w:rsidRPr="09A57615">
        <w:rPr>
          <w:rFonts w:cs="Arial"/>
        </w:rPr>
        <w:t>Constraints and Dependencies</w:t>
      </w:r>
    </w:p>
    <w:p w14:paraId="26371018" w14:textId="4DC1B2F7" w:rsidR="6296BB99" w:rsidRDefault="2B522040" w:rsidP="681DDC12">
      <w:pPr>
        <w:pStyle w:val="Heading4"/>
      </w:pPr>
      <w:r w:rsidRPr="681DDC12">
        <w:rPr>
          <w:rFonts w:cs="Arial"/>
        </w:rPr>
        <w:t xml:space="preserve">The stakeholders that will need to be engaged with </w:t>
      </w:r>
      <w:r>
        <w:t xml:space="preserve">can be wide ranging </w:t>
      </w:r>
      <w:proofErr w:type="gramStart"/>
      <w:r>
        <w:t>from national programme and analytical teams,</w:t>
      </w:r>
      <w:proofErr w:type="gramEnd"/>
      <w:r>
        <w:t xml:space="preserve"> to local teams including those but not exclusive to from primary and secondary care, mental health and </w:t>
      </w:r>
      <w:r w:rsidR="264D53F8">
        <w:t>community. The</w:t>
      </w:r>
      <w:r w:rsidR="6FD969B3">
        <w:t xml:space="preserve"> outputs from this </w:t>
      </w:r>
      <w:r w:rsidR="00FF4062">
        <w:t>supplier</w:t>
      </w:r>
      <w:r w:rsidR="6FD969B3">
        <w:t xml:space="preserve"> will inform future funding for various workstreams acro</w:t>
      </w:r>
      <w:r w:rsidR="69F70571">
        <w:t>ss health and care nationally</w:t>
      </w:r>
      <w:r w:rsidR="33DAA304">
        <w:t>.</w:t>
      </w:r>
    </w:p>
    <w:p w14:paraId="4F70B8A6" w14:textId="41605429" w:rsidR="00A945D7" w:rsidRDefault="089E5406" w:rsidP="5D2A7310">
      <w:pPr>
        <w:pStyle w:val="Heading4"/>
        <w:rPr>
          <w:rFonts w:cs="Arial"/>
        </w:rPr>
      </w:pPr>
      <w:r w:rsidRPr="681DDC12">
        <w:rPr>
          <w:rFonts w:cs="Arial"/>
        </w:rPr>
        <w:t xml:space="preserve">The </w:t>
      </w:r>
      <w:r w:rsidR="49C4B56C" w:rsidRPr="681DDC12">
        <w:rPr>
          <w:rFonts w:cs="Arial"/>
        </w:rPr>
        <w:t xml:space="preserve">successful supplier </w:t>
      </w:r>
      <w:r w:rsidRPr="681DDC12">
        <w:rPr>
          <w:rFonts w:cs="Arial"/>
        </w:rPr>
        <w:t xml:space="preserve">will work in a matrix fashion with an existing </w:t>
      </w:r>
      <w:r w:rsidR="00E11857" w:rsidRPr="681DDC12">
        <w:rPr>
          <w:rFonts w:cs="Arial"/>
        </w:rPr>
        <w:t>NHSE</w:t>
      </w:r>
      <w:r w:rsidRPr="681DDC12">
        <w:rPr>
          <w:rFonts w:cs="Arial"/>
        </w:rPr>
        <w:t xml:space="preserve"> team that specialised in complex programme evaluation and counterfactual analysis.</w:t>
      </w:r>
    </w:p>
    <w:p w14:paraId="0B445BA8" w14:textId="3EDDC84E" w:rsidR="00A945D7" w:rsidRDefault="00A945D7" w:rsidP="00A945D7"/>
    <w:p w14:paraId="5D5A2C2E" w14:textId="0F614E43" w:rsidR="00A945D7" w:rsidRDefault="00A945D7" w:rsidP="00A945D7"/>
    <w:p w14:paraId="230412EB" w14:textId="77777777" w:rsidR="00A945D7" w:rsidRPr="00A945D7" w:rsidRDefault="00A945D7" w:rsidP="00A945D7"/>
    <w:p w14:paraId="1C9F644D" w14:textId="3B081046" w:rsidR="00116002" w:rsidRPr="00A945D7" w:rsidRDefault="00613B18" w:rsidP="00A945D7">
      <w:pPr>
        <w:pStyle w:val="Heading2"/>
        <w:rPr>
          <w:rFonts w:cs="Arial"/>
        </w:rPr>
      </w:pPr>
      <w:bookmarkStart w:id="4" w:name="_Toc448914369"/>
      <w:r w:rsidRPr="09A57615">
        <w:rPr>
          <w:rFonts w:cs="Arial"/>
        </w:rPr>
        <w:t>Requirements</w:t>
      </w:r>
      <w:bookmarkEnd w:id="4"/>
      <w:r w:rsidRPr="09A57615">
        <w:rPr>
          <w:rFonts w:cs="Arial"/>
        </w:rPr>
        <w:t xml:space="preserve">  </w:t>
      </w:r>
    </w:p>
    <w:p w14:paraId="29D79C77" w14:textId="77777777" w:rsidR="00116002" w:rsidRPr="00211547" w:rsidRDefault="00116002" w:rsidP="00017D75">
      <w:pPr>
        <w:pStyle w:val="Heading3"/>
        <w:rPr>
          <w:rFonts w:cs="Arial"/>
        </w:rPr>
      </w:pPr>
      <w:r w:rsidRPr="5B06EBE8">
        <w:rPr>
          <w:rFonts w:cs="Arial"/>
        </w:rPr>
        <w:t>Mandatory</w:t>
      </w:r>
      <w:r w:rsidR="00082A6E" w:rsidRPr="5B06EBE8">
        <w:rPr>
          <w:rFonts w:cs="Arial"/>
        </w:rPr>
        <w:t xml:space="preserve"> and Minimum</w:t>
      </w:r>
      <w:r w:rsidRPr="5B06EBE8">
        <w:rPr>
          <w:rFonts w:cs="Arial"/>
        </w:rPr>
        <w:t xml:space="preserve"> Requirements</w:t>
      </w:r>
    </w:p>
    <w:p w14:paraId="5D040CAD" w14:textId="56AED8E3" w:rsidR="06D5389C" w:rsidRDefault="4949780A" w:rsidP="6296BB99">
      <w:pPr>
        <w:pStyle w:val="Heading4"/>
        <w:rPr>
          <w:rFonts w:cs="Arial"/>
        </w:rPr>
      </w:pPr>
      <w:r w:rsidRPr="6296BB99">
        <w:rPr>
          <w:rFonts w:cs="Arial"/>
        </w:rPr>
        <w:t xml:space="preserve">The successful supplier will already have access </w:t>
      </w:r>
      <w:proofErr w:type="gramStart"/>
      <w:r w:rsidRPr="6296BB99">
        <w:rPr>
          <w:rFonts w:cs="Arial"/>
        </w:rPr>
        <w:t>to  and</w:t>
      </w:r>
      <w:proofErr w:type="gramEnd"/>
      <w:r w:rsidRPr="6296BB99">
        <w:rPr>
          <w:rFonts w:cs="Arial"/>
        </w:rPr>
        <w:t xml:space="preserve"> experience of working with the National </w:t>
      </w:r>
      <w:r w:rsidR="7E892C4C" w:rsidRPr="6296BB99">
        <w:rPr>
          <w:rFonts w:cs="Arial"/>
        </w:rPr>
        <w:t>Commissioning</w:t>
      </w:r>
      <w:r w:rsidRPr="6296BB99">
        <w:rPr>
          <w:rFonts w:cs="Arial"/>
        </w:rPr>
        <w:t xml:space="preserve"> Data Repository (NCDR)  portal, which is a web based application developed by Arden &amp; GEM (on behalf of NHS England). The portal empowers ICBs to collaborate for the </w:t>
      </w:r>
      <w:r w:rsidRPr="6296BB99">
        <w:rPr>
          <w:rFonts w:cs="Arial"/>
        </w:rPr>
        <w:lastRenderedPageBreak/>
        <w:t>commissioning of specialised services and enables planning to be joined up throughout ICS footprints</w:t>
      </w:r>
    </w:p>
    <w:p w14:paraId="79442C4C" w14:textId="636F2322" w:rsidR="002A6657" w:rsidRPr="00A945D7" w:rsidRDefault="00E11857" w:rsidP="002A6657">
      <w:pPr>
        <w:pStyle w:val="Heading4"/>
        <w:rPr>
          <w:rFonts w:cs="Arial"/>
        </w:rPr>
      </w:pPr>
      <w:r>
        <w:rPr>
          <w:rFonts w:cs="Arial"/>
        </w:rPr>
        <w:t>NHSE</w:t>
      </w:r>
      <w:r w:rsidR="002A6657" w:rsidRPr="5B06EBE8">
        <w:rPr>
          <w:rFonts w:cs="Arial"/>
        </w:rPr>
        <w:t xml:space="preserve"> will be able to draw on highly skilled data experts to deliver insights into important national programmes. The nature of this funding means that the evaluation can take a long </w:t>
      </w:r>
      <w:proofErr w:type="gramStart"/>
      <w:r w:rsidR="002A6657" w:rsidRPr="5B06EBE8">
        <w:rPr>
          <w:rFonts w:cs="Arial"/>
        </w:rPr>
        <w:t>view, and</w:t>
      </w:r>
      <w:proofErr w:type="gramEnd"/>
      <w:r w:rsidR="002A6657" w:rsidRPr="5B06EBE8">
        <w:rPr>
          <w:rFonts w:cs="Arial"/>
        </w:rPr>
        <w:t xml:space="preserve"> take time to establish long term impacts which might not immediately be apparent in shorter evaluation timeframes. This expertise will support enhanced decision-making. </w:t>
      </w:r>
    </w:p>
    <w:p w14:paraId="5C05F59C" w14:textId="55F54A4C" w:rsidR="0031493A" w:rsidRPr="00A945D7" w:rsidRDefault="66F2990E" w:rsidP="00017D75">
      <w:pPr>
        <w:pStyle w:val="Heading4"/>
        <w:rPr>
          <w:rFonts w:cs="Arial"/>
        </w:rPr>
      </w:pPr>
      <w:r w:rsidRPr="5D2A7310">
        <w:rPr>
          <w:rFonts w:cs="Arial"/>
        </w:rPr>
        <w:t xml:space="preserve">The </w:t>
      </w:r>
      <w:r w:rsidR="081A3FAC" w:rsidRPr="5D2A7310">
        <w:rPr>
          <w:rFonts w:cs="Arial"/>
        </w:rPr>
        <w:t>supplier</w:t>
      </w:r>
      <w:r w:rsidRPr="5D2A7310">
        <w:rPr>
          <w:rFonts w:cs="Arial"/>
        </w:rPr>
        <w:t xml:space="preserve"> will be able to directly work with </w:t>
      </w:r>
      <w:r w:rsidR="00E11857">
        <w:rPr>
          <w:rFonts w:cs="Arial"/>
        </w:rPr>
        <w:t>NHSE</w:t>
      </w:r>
      <w:r w:rsidRPr="5D2A7310">
        <w:rPr>
          <w:rFonts w:cs="Arial"/>
        </w:rPr>
        <w:t xml:space="preserve"> </w:t>
      </w:r>
      <w:proofErr w:type="gramStart"/>
      <w:r w:rsidRPr="5D2A7310">
        <w:rPr>
          <w:rFonts w:cs="Arial"/>
        </w:rPr>
        <w:t>policy-makers</w:t>
      </w:r>
      <w:proofErr w:type="gramEnd"/>
      <w:r w:rsidRPr="5D2A7310">
        <w:rPr>
          <w:rFonts w:cs="Arial"/>
        </w:rPr>
        <w:t xml:space="preserve"> to make relevant evaluation evidence and data available to decision-makers. They will do this while drawing on </w:t>
      </w:r>
      <w:r w:rsidR="00E11857">
        <w:rPr>
          <w:rFonts w:cs="Arial"/>
        </w:rPr>
        <w:t>NHSE</w:t>
      </w:r>
      <w:r w:rsidRPr="5D2A7310">
        <w:rPr>
          <w:rFonts w:cs="Arial"/>
        </w:rPr>
        <w:t>’s patient-level data to undertake its work, where it is legal and practical to do so (i</w:t>
      </w:r>
      <w:r w:rsidR="0A81A625" w:rsidRPr="5D2A7310">
        <w:rPr>
          <w:rFonts w:cs="Arial"/>
        </w:rPr>
        <w:t>.</w:t>
      </w:r>
      <w:r w:rsidRPr="5D2A7310">
        <w:rPr>
          <w:rFonts w:cs="Arial"/>
        </w:rPr>
        <w:t>e</w:t>
      </w:r>
      <w:r w:rsidR="0A81A625" w:rsidRPr="5D2A7310">
        <w:rPr>
          <w:rFonts w:cs="Arial"/>
        </w:rPr>
        <w:t>.</w:t>
      </w:r>
      <w:r w:rsidRPr="5D2A7310">
        <w:rPr>
          <w:rFonts w:cs="Arial"/>
        </w:rPr>
        <w:t xml:space="preserve"> when processing on behalf of </w:t>
      </w:r>
      <w:r w:rsidR="00E11857">
        <w:rPr>
          <w:rFonts w:cs="Arial"/>
        </w:rPr>
        <w:t>NHSE</w:t>
      </w:r>
      <w:r w:rsidRPr="5D2A7310">
        <w:rPr>
          <w:rFonts w:cs="Arial"/>
        </w:rPr>
        <w:t xml:space="preserve"> to lead to service improvement). </w:t>
      </w:r>
    </w:p>
    <w:p w14:paraId="50C5DA95" w14:textId="1F129012" w:rsidR="0187C6D8" w:rsidRDefault="0187C6D8" w:rsidP="26C6E80D">
      <w:pPr>
        <w:pStyle w:val="Heading4"/>
        <w:rPr>
          <w:rFonts w:cs="Arial"/>
        </w:rPr>
      </w:pPr>
      <w:r w:rsidRPr="09A57615">
        <w:rPr>
          <w:rFonts w:cs="Arial"/>
        </w:rPr>
        <w:t xml:space="preserve">The supplier will </w:t>
      </w:r>
      <w:r w:rsidR="089E5406" w:rsidRPr="09A57615">
        <w:rPr>
          <w:rFonts w:cs="Arial"/>
        </w:rPr>
        <w:t xml:space="preserve">be able to </w:t>
      </w:r>
      <w:proofErr w:type="gramStart"/>
      <w:r w:rsidR="089E5406" w:rsidRPr="09A57615">
        <w:rPr>
          <w:rFonts w:cs="Arial"/>
        </w:rPr>
        <w:t xml:space="preserve">provide  </w:t>
      </w:r>
      <w:r w:rsidR="5893113F" w:rsidRPr="09A57615">
        <w:rPr>
          <w:rFonts w:cs="Arial"/>
        </w:rPr>
        <w:t>as</w:t>
      </w:r>
      <w:proofErr w:type="gramEnd"/>
      <w:r w:rsidR="5893113F" w:rsidRPr="09A57615">
        <w:rPr>
          <w:rFonts w:cs="Arial"/>
        </w:rPr>
        <w:t xml:space="preserve"> a minimum, </w:t>
      </w:r>
      <w:r w:rsidR="6A3879CF" w:rsidRPr="09A57615">
        <w:rPr>
          <w:rFonts w:cs="Arial"/>
        </w:rPr>
        <w:t>3</w:t>
      </w:r>
      <w:r w:rsidR="060E8895" w:rsidRPr="09A57615">
        <w:rPr>
          <w:rFonts w:cs="Arial"/>
        </w:rPr>
        <w:t xml:space="preserve"> </w:t>
      </w:r>
      <w:r w:rsidR="6A3879CF" w:rsidRPr="09A57615">
        <w:rPr>
          <w:rFonts w:cs="Arial"/>
        </w:rPr>
        <w:t xml:space="preserve">key evaluations of national programmes under the following domains: digital primary care, </w:t>
      </w:r>
      <w:r w:rsidR="29DA1E81" w:rsidRPr="09A57615">
        <w:rPr>
          <w:lang w:eastAsia="en-GB"/>
        </w:rPr>
        <w:t>Primary care transformation; Impact of Psychiatric Decision Units; Virtual wards</w:t>
      </w:r>
      <w:r w:rsidR="676EF5F8" w:rsidRPr="09A57615">
        <w:rPr>
          <w:lang w:eastAsia="en-GB"/>
        </w:rPr>
        <w:t>. This will be delivered in the first 12 months of the contract com</w:t>
      </w:r>
      <w:r w:rsidR="73F8DAD1" w:rsidRPr="09A57615">
        <w:rPr>
          <w:lang w:eastAsia="en-GB"/>
        </w:rPr>
        <w:t>mencement.</w:t>
      </w:r>
    </w:p>
    <w:p w14:paraId="478EED96" w14:textId="705CA277" w:rsidR="0031493A" w:rsidRDefault="2903AE32" w:rsidP="00017D75">
      <w:pPr>
        <w:pStyle w:val="Heading4"/>
        <w:rPr>
          <w:rFonts w:cs="Arial"/>
        </w:rPr>
      </w:pPr>
      <w:r w:rsidRPr="17625D66">
        <w:rPr>
          <w:rFonts w:cs="Arial"/>
        </w:rPr>
        <w:t xml:space="preserve">The supplier will </w:t>
      </w:r>
      <w:r w:rsidR="08041010" w:rsidRPr="17625D66">
        <w:rPr>
          <w:rFonts w:cs="Arial"/>
        </w:rPr>
        <w:t xml:space="preserve">have a robust plan of knowledge sharing with our </w:t>
      </w:r>
      <w:r w:rsidR="00E11857" w:rsidRPr="17625D66">
        <w:rPr>
          <w:rFonts w:cs="Arial"/>
        </w:rPr>
        <w:t>NHSE</w:t>
      </w:r>
      <w:r w:rsidR="08041010" w:rsidRPr="17625D66">
        <w:rPr>
          <w:rFonts w:cs="Arial"/>
        </w:rPr>
        <w:t xml:space="preserve"> staff.</w:t>
      </w:r>
    </w:p>
    <w:p w14:paraId="27DC0602" w14:textId="1F7DCDEE" w:rsidR="77536A89" w:rsidRPr="007A146B" w:rsidRDefault="77536A89" w:rsidP="681DDC12">
      <w:pPr>
        <w:pStyle w:val="Heading4"/>
      </w:pPr>
      <w:r w:rsidRPr="681DDC12">
        <w:t xml:space="preserve">The Supplier will </w:t>
      </w:r>
      <w:r w:rsidR="16BF0EFC" w:rsidRPr="681DDC12">
        <w:t xml:space="preserve">have strong technical skills, with a blend of experience utilising Excel, SQL and Tableau, and knowledge of NHS datasets, </w:t>
      </w:r>
      <w:r w:rsidR="16BF0EFC" w:rsidRPr="007A146B">
        <w:t>including use of the National Data Commissioning Repository (NCDR).</w:t>
      </w:r>
    </w:p>
    <w:p w14:paraId="4B5C525D" w14:textId="0C996C74" w:rsidR="16BF0EFC" w:rsidRPr="007A146B" w:rsidRDefault="16BF0EFC" w:rsidP="17625D66">
      <w:pPr>
        <w:pStyle w:val="Heading4"/>
        <w:rPr>
          <w:rFonts w:cs="Arial"/>
        </w:rPr>
      </w:pPr>
      <w:r w:rsidRPr="007A146B">
        <w:t xml:space="preserve">The supplier will have the skills and capabilities to share </w:t>
      </w:r>
      <w:r w:rsidRPr="007A146B">
        <w:rPr>
          <w:rFonts w:cs="Arial"/>
        </w:rPr>
        <w:t xml:space="preserve">findings as they emerge via relevant blogs, </w:t>
      </w:r>
      <w:proofErr w:type="gramStart"/>
      <w:r w:rsidRPr="007A146B">
        <w:rPr>
          <w:rFonts w:cs="Arial"/>
        </w:rPr>
        <w:t>forums</w:t>
      </w:r>
      <w:proofErr w:type="gramEnd"/>
      <w:r w:rsidRPr="007A146B">
        <w:rPr>
          <w:rFonts w:cs="Arial"/>
        </w:rPr>
        <w:t xml:space="preserve"> and huddles such as those seen in </w:t>
      </w:r>
      <w:proofErr w:type="spellStart"/>
      <w:r w:rsidRPr="007A146B">
        <w:rPr>
          <w:rFonts w:cs="Arial"/>
        </w:rPr>
        <w:t>AnalystX</w:t>
      </w:r>
      <w:proofErr w:type="spellEnd"/>
    </w:p>
    <w:p w14:paraId="40A0783E" w14:textId="21A04659" w:rsidR="6D566A60" w:rsidRDefault="6D566A60" w:rsidP="681DDC12">
      <w:pPr>
        <w:pStyle w:val="Heading4"/>
      </w:pPr>
      <w:r>
        <w:t xml:space="preserve">The supplier will work with a range of health and care stakeholders such as Primary </w:t>
      </w:r>
      <w:r w:rsidR="12AAD7B9">
        <w:t>Care, Secondary</w:t>
      </w:r>
      <w:r>
        <w:t xml:space="preserve"> Care, Mental and </w:t>
      </w:r>
      <w:r w:rsidR="44EBF131">
        <w:t>C</w:t>
      </w:r>
      <w:r>
        <w:t>ommunity</w:t>
      </w:r>
      <w:r w:rsidR="17837233">
        <w:t xml:space="preserve"> Services.</w:t>
      </w:r>
    </w:p>
    <w:p w14:paraId="1B6A3183" w14:textId="4EAA38B9" w:rsidR="09A57615" w:rsidRDefault="09A57615" w:rsidP="005339E0">
      <w:pPr>
        <w:pStyle w:val="Heading3"/>
        <w:numPr>
          <w:ilvl w:val="1"/>
          <w:numId w:val="0"/>
        </w:numPr>
        <w:rPr>
          <w:rFonts w:cs="Arial"/>
        </w:rPr>
      </w:pPr>
    </w:p>
    <w:p w14:paraId="734EE5F3" w14:textId="77777777" w:rsidR="005339E0" w:rsidRPr="005339E0" w:rsidRDefault="005339E0" w:rsidP="005339E0"/>
    <w:p w14:paraId="37FD6D13" w14:textId="77777777" w:rsidR="004E6E2A" w:rsidRPr="00211547" w:rsidRDefault="003539A0" w:rsidP="00017D75">
      <w:pPr>
        <w:pStyle w:val="Heading3"/>
        <w:rPr>
          <w:rFonts w:cs="Arial"/>
        </w:rPr>
      </w:pPr>
      <w:r w:rsidRPr="17625D66">
        <w:rPr>
          <w:rFonts w:cs="Arial"/>
        </w:rPr>
        <w:t xml:space="preserve">    </w:t>
      </w:r>
      <w:r w:rsidR="004E6E2A" w:rsidRPr="17625D66">
        <w:rPr>
          <w:rFonts w:cs="Arial"/>
        </w:rPr>
        <w:t>Timescales &amp; Implementation</w:t>
      </w:r>
    </w:p>
    <w:p w14:paraId="57053839" w14:textId="775FF6D7" w:rsidR="0031493A" w:rsidRPr="00A945D7" w:rsidRDefault="3C32C691" w:rsidP="6296BB99">
      <w:pPr>
        <w:pStyle w:val="Heading3"/>
      </w:pPr>
      <w:r>
        <w:t>The timescale for implementation for this commission run</w:t>
      </w:r>
      <w:r w:rsidR="4B75E41C">
        <w:t xml:space="preserve"> for </w:t>
      </w:r>
      <w:r w:rsidR="21463C61">
        <w:t>12</w:t>
      </w:r>
      <w:r w:rsidR="4B75E41C">
        <w:t xml:space="preserve"> </w:t>
      </w:r>
      <w:r w:rsidR="1DE5CC1D">
        <w:t>months,</w:t>
      </w:r>
      <w:r w:rsidR="4E289419" w:rsidRPr="7B4C595B">
        <w:rPr>
          <w:rFonts w:eastAsia="Arial" w:cs="Arial"/>
        </w:rPr>
        <w:t xml:space="preserve"> however the contract will have an option to extend up to a further period or periods of an additional </w:t>
      </w:r>
      <w:r w:rsidR="603E32B4" w:rsidRPr="7B4C595B">
        <w:rPr>
          <w:rFonts w:eastAsia="Arial" w:cs="Arial"/>
        </w:rPr>
        <w:t>12</w:t>
      </w:r>
      <w:r w:rsidR="4E289419" w:rsidRPr="7B4C595B">
        <w:rPr>
          <w:rFonts w:eastAsia="Arial" w:cs="Arial"/>
        </w:rPr>
        <w:t xml:space="preserve"> months (</w:t>
      </w:r>
      <w:r w:rsidR="48D5AD9F" w:rsidRPr="7B4C595B">
        <w:rPr>
          <w:rFonts w:eastAsia="Arial" w:cs="Arial"/>
        </w:rPr>
        <w:t>24</w:t>
      </w:r>
      <w:r w:rsidR="4E289419" w:rsidRPr="7B4C595B">
        <w:rPr>
          <w:rFonts w:eastAsia="Arial" w:cs="Arial"/>
        </w:rPr>
        <w:t xml:space="preserve"> months in total) subject to performance review, budgetary approval and business planning. </w:t>
      </w:r>
    </w:p>
    <w:p w14:paraId="1B27941D" w14:textId="69DA9E0C" w:rsidR="0031493A" w:rsidRPr="00A945D7" w:rsidRDefault="365999A8" w:rsidP="383CC4F0">
      <w:pPr>
        <w:pStyle w:val="Heading3"/>
        <w:rPr>
          <w:rFonts w:cs="Arial"/>
        </w:rPr>
      </w:pPr>
      <w:r w:rsidRPr="17625D66">
        <w:rPr>
          <w:rFonts w:cs="Arial"/>
        </w:rPr>
        <w:t>Location</w:t>
      </w:r>
      <w:r w:rsidR="60FE0375" w:rsidRPr="17625D66">
        <w:rPr>
          <w:rFonts w:cs="Arial"/>
        </w:rPr>
        <w:t xml:space="preserve"> </w:t>
      </w:r>
      <w:r w:rsidR="6A3879CF" w:rsidRPr="17625D66">
        <w:rPr>
          <w:rFonts w:cs="Arial"/>
        </w:rPr>
        <w:t xml:space="preserve">We would expect that staff involved in this work stick to the current working policy at NHS England which encourages hybrid working. </w:t>
      </w:r>
    </w:p>
    <w:p w14:paraId="070D3959" w14:textId="77777777" w:rsidR="00403684" w:rsidRPr="00211547" w:rsidRDefault="1EA9B315" w:rsidP="00017D75">
      <w:pPr>
        <w:pStyle w:val="Heading3"/>
        <w:rPr>
          <w:rFonts w:cs="Arial"/>
        </w:rPr>
      </w:pPr>
      <w:r w:rsidRPr="17625D66">
        <w:rPr>
          <w:rFonts w:cs="Arial"/>
        </w:rPr>
        <w:t>Roles and Responsibilities</w:t>
      </w:r>
    </w:p>
    <w:p w14:paraId="6350D1C5" w14:textId="0671B077" w:rsidR="0031493A" w:rsidRPr="00A945D7" w:rsidRDefault="6A3879CF" w:rsidP="0031493A">
      <w:pPr>
        <w:pStyle w:val="Heading4"/>
        <w:rPr>
          <w:rFonts w:cs="Arial"/>
        </w:rPr>
      </w:pPr>
      <w:r w:rsidRPr="6296BB99">
        <w:rPr>
          <w:rFonts w:cs="Arial"/>
        </w:rPr>
        <w:t xml:space="preserve">NHS England will be responsible for the contract management, project management and matrix working with the analytical teams of the </w:t>
      </w:r>
      <w:r w:rsidR="4CB53CDE" w:rsidRPr="6296BB99">
        <w:rPr>
          <w:rFonts w:cs="Arial"/>
        </w:rPr>
        <w:t>successful supplier</w:t>
      </w:r>
      <w:r w:rsidRPr="6296BB99">
        <w:rPr>
          <w:rFonts w:cs="Arial"/>
        </w:rPr>
        <w:t xml:space="preserve"> through combined teams delivering the analyses and subsequent deliverables.</w:t>
      </w:r>
    </w:p>
    <w:p w14:paraId="19F78DA4" w14:textId="42BCAEFE" w:rsidR="0031493A" w:rsidRPr="00A945D7" w:rsidRDefault="6A3879CF" w:rsidP="6296BB99">
      <w:pPr>
        <w:pStyle w:val="Heading4"/>
        <w:rPr>
          <w:rFonts w:cs="Arial"/>
        </w:rPr>
      </w:pPr>
      <w:r w:rsidRPr="09A57615">
        <w:rPr>
          <w:rFonts w:cs="Arial"/>
        </w:rPr>
        <w:t>The supplier will be responsible for providing ‘closing the gap’ activities mentioned above.</w:t>
      </w:r>
    </w:p>
    <w:p w14:paraId="46EF8E1B" w14:textId="3DD87578" w:rsidR="00403684" w:rsidRPr="00211547" w:rsidRDefault="1EA9B315" w:rsidP="00017D75">
      <w:pPr>
        <w:pStyle w:val="Heading3"/>
        <w:rPr>
          <w:rFonts w:cs="Arial"/>
        </w:rPr>
      </w:pPr>
      <w:r w:rsidRPr="17625D66">
        <w:rPr>
          <w:rFonts w:cs="Arial"/>
        </w:rPr>
        <w:t>Management Information &amp; Governance</w:t>
      </w:r>
    </w:p>
    <w:p w14:paraId="426072B2" w14:textId="3C5165D4" w:rsidR="0031493A" w:rsidRPr="00A945D7" w:rsidRDefault="00D44EA7" w:rsidP="0031493A">
      <w:pPr>
        <w:pStyle w:val="Heading4"/>
        <w:rPr>
          <w:rFonts w:cs="Arial"/>
        </w:rPr>
      </w:pPr>
      <w:r w:rsidRPr="6296BB99">
        <w:rPr>
          <w:rFonts w:cs="Arial"/>
        </w:rPr>
        <w:t>The governance</w:t>
      </w:r>
      <w:r w:rsidR="0D399742" w:rsidRPr="6296BB99">
        <w:rPr>
          <w:rFonts w:cs="Arial"/>
        </w:rPr>
        <w:t xml:space="preserve"> will:</w:t>
      </w:r>
    </w:p>
    <w:p w14:paraId="091D00D7" w14:textId="674AC1FF" w:rsidR="0031493A" w:rsidRPr="00A945D7" w:rsidRDefault="0D399742" w:rsidP="006E2142">
      <w:pPr>
        <w:pStyle w:val="Heading4"/>
        <w:numPr>
          <w:ilvl w:val="3"/>
          <w:numId w:val="5"/>
        </w:numPr>
        <w:rPr>
          <w:rFonts w:cs="Arial"/>
        </w:rPr>
      </w:pPr>
      <w:r w:rsidRPr="6296BB99">
        <w:rPr>
          <w:rFonts w:cs="Arial"/>
        </w:rPr>
        <w:t xml:space="preserve">provide strategic oversight and </w:t>
      </w:r>
      <w:r w:rsidR="00D44EA7" w:rsidRPr="6296BB99">
        <w:rPr>
          <w:rFonts w:cs="Arial"/>
        </w:rPr>
        <w:t>direction.</w:t>
      </w:r>
    </w:p>
    <w:p w14:paraId="38B5FA58" w14:textId="20D6EE44" w:rsidR="0031493A" w:rsidRPr="00A945D7" w:rsidRDefault="0D399742" w:rsidP="006E2142">
      <w:pPr>
        <w:pStyle w:val="Heading4"/>
        <w:numPr>
          <w:ilvl w:val="3"/>
          <w:numId w:val="5"/>
        </w:numPr>
        <w:rPr>
          <w:rFonts w:cs="Arial"/>
        </w:rPr>
      </w:pPr>
      <w:r w:rsidRPr="6296BB99">
        <w:rPr>
          <w:rFonts w:cs="Arial"/>
        </w:rPr>
        <w:t xml:space="preserve">be based on clearly defined roles and responsibilities at organisation, group and, where necessary, individual </w:t>
      </w:r>
      <w:r w:rsidR="00D44EA7" w:rsidRPr="6296BB99">
        <w:rPr>
          <w:rFonts w:cs="Arial"/>
        </w:rPr>
        <w:t>level.</w:t>
      </w:r>
    </w:p>
    <w:p w14:paraId="3851CB53" w14:textId="5E9E606D" w:rsidR="0031493A" w:rsidRPr="00A945D7" w:rsidRDefault="0D399742" w:rsidP="006E2142">
      <w:pPr>
        <w:pStyle w:val="Heading4"/>
        <w:numPr>
          <w:ilvl w:val="3"/>
          <w:numId w:val="5"/>
        </w:numPr>
        <w:rPr>
          <w:rFonts w:cs="Arial"/>
        </w:rPr>
      </w:pPr>
      <w:r w:rsidRPr="6296BB99">
        <w:rPr>
          <w:rFonts w:cs="Arial"/>
        </w:rPr>
        <w:t xml:space="preserve">align decision-making authority with the criticality of the decisions </w:t>
      </w:r>
      <w:r w:rsidR="00D44EA7" w:rsidRPr="6296BB99">
        <w:rPr>
          <w:rFonts w:cs="Arial"/>
        </w:rPr>
        <w:t>required.</w:t>
      </w:r>
    </w:p>
    <w:p w14:paraId="34F20253" w14:textId="77777777" w:rsidR="0031493A" w:rsidRPr="00A945D7" w:rsidRDefault="0D399742" w:rsidP="006E2142">
      <w:pPr>
        <w:pStyle w:val="Heading4"/>
        <w:numPr>
          <w:ilvl w:val="3"/>
          <w:numId w:val="5"/>
        </w:numPr>
        <w:rPr>
          <w:rFonts w:cs="Arial"/>
        </w:rPr>
      </w:pPr>
      <w:r w:rsidRPr="6296BB99">
        <w:rPr>
          <w:rFonts w:cs="Arial"/>
        </w:rPr>
        <w:t>be aligned with the governance arrangements of each party (and may therefore require changes over time); and</w:t>
      </w:r>
    </w:p>
    <w:p w14:paraId="434FF575" w14:textId="77777777" w:rsidR="0031493A" w:rsidRPr="00A945D7" w:rsidRDefault="0D399742" w:rsidP="006E2142">
      <w:pPr>
        <w:pStyle w:val="Heading4"/>
        <w:numPr>
          <w:ilvl w:val="3"/>
          <w:numId w:val="5"/>
        </w:numPr>
        <w:rPr>
          <w:rFonts w:cs="Arial"/>
        </w:rPr>
      </w:pPr>
      <w:r w:rsidRPr="6296BB99">
        <w:rPr>
          <w:rFonts w:cs="Arial"/>
        </w:rPr>
        <w:t>provide coherent, timely and efficient decision-making.</w:t>
      </w:r>
    </w:p>
    <w:p w14:paraId="6D885208" w14:textId="17550CBB" w:rsidR="0031493A" w:rsidRPr="00A945D7" w:rsidRDefault="0D399742" w:rsidP="0031493A">
      <w:pPr>
        <w:pStyle w:val="Heading4"/>
        <w:rPr>
          <w:rFonts w:cs="Arial"/>
        </w:rPr>
      </w:pPr>
      <w:r w:rsidRPr="6296BB99">
        <w:rPr>
          <w:rFonts w:cs="Arial"/>
        </w:rPr>
        <w:lastRenderedPageBreak/>
        <w:t xml:space="preserve">The Chief Data and Analytics Officer in </w:t>
      </w:r>
      <w:r w:rsidR="00E11857">
        <w:rPr>
          <w:rFonts w:cs="Arial"/>
        </w:rPr>
        <w:t>NHSE</w:t>
      </w:r>
      <w:r w:rsidRPr="6296BB99">
        <w:rPr>
          <w:rFonts w:cs="Arial"/>
        </w:rPr>
        <w:t xml:space="preserve">, and Chief Executive of the supplier’s organisation, are the Senior Sponsors for this service and will be updated annually on the strategic plan and impact of the service. </w:t>
      </w:r>
    </w:p>
    <w:p w14:paraId="21BFF684" w14:textId="6A78AF38" w:rsidR="0031493A" w:rsidRPr="00A945D7" w:rsidRDefault="6A3879CF" w:rsidP="09A57615">
      <w:pPr>
        <w:pStyle w:val="Heading4"/>
        <w:rPr>
          <w:rFonts w:cs="Arial"/>
        </w:rPr>
      </w:pPr>
      <w:r w:rsidRPr="09A57615">
        <w:rPr>
          <w:rFonts w:cs="Arial"/>
        </w:rPr>
        <w:t xml:space="preserve">The </w:t>
      </w:r>
      <w:r w:rsidR="281F4B11" w:rsidRPr="09A57615">
        <w:rPr>
          <w:rFonts w:cs="Arial"/>
        </w:rPr>
        <w:t>joint unit (supplier and NHS England)</w:t>
      </w:r>
      <w:r w:rsidRPr="09A57615">
        <w:rPr>
          <w:rFonts w:cs="Arial"/>
        </w:rPr>
        <w:t xml:space="preserve"> will have a Board which will be chaired by </w:t>
      </w:r>
      <w:r w:rsidR="281F4B11" w:rsidRPr="09A57615">
        <w:rPr>
          <w:rFonts w:cs="Arial"/>
        </w:rPr>
        <w:t>the supplier</w:t>
      </w:r>
      <w:r w:rsidRPr="09A57615">
        <w:rPr>
          <w:rFonts w:cs="Arial"/>
        </w:rPr>
        <w:t xml:space="preserve"> and will include senior representatives</w:t>
      </w:r>
      <w:r w:rsidR="281F4B11" w:rsidRPr="09A57615">
        <w:rPr>
          <w:rFonts w:cs="Arial"/>
        </w:rPr>
        <w:t>.</w:t>
      </w:r>
    </w:p>
    <w:p w14:paraId="5C60F84C" w14:textId="13D7F0A1" w:rsidR="0031493A" w:rsidRPr="00A945D7" w:rsidRDefault="0D399742" w:rsidP="0031493A">
      <w:pPr>
        <w:pStyle w:val="Heading4"/>
        <w:rPr>
          <w:rFonts w:cs="Arial"/>
        </w:rPr>
      </w:pPr>
      <w:r w:rsidRPr="6296BB99">
        <w:rPr>
          <w:rFonts w:cs="Arial"/>
        </w:rPr>
        <w:t xml:space="preserve">For day-to-day decision-making, responsibility will be delegated to the </w:t>
      </w:r>
      <w:r w:rsidR="52629042" w:rsidRPr="6296BB99">
        <w:rPr>
          <w:rFonts w:cs="Arial"/>
        </w:rPr>
        <w:t>supplier</w:t>
      </w:r>
      <w:r w:rsidRPr="6296BB99">
        <w:rPr>
          <w:rFonts w:cs="Arial"/>
        </w:rPr>
        <w:t xml:space="preserve"> and </w:t>
      </w:r>
      <w:r w:rsidR="00E11857">
        <w:rPr>
          <w:rFonts w:cs="Arial"/>
        </w:rPr>
        <w:t>NHSE</w:t>
      </w:r>
      <w:r w:rsidRPr="6296BB99">
        <w:rPr>
          <w:rFonts w:cs="Arial"/>
        </w:rPr>
        <w:t xml:space="preserve"> Joint Senior Responsible Officers (JSROs), or their chosen delegates. The JSROs will make decisions about which individual workstreams are undertaken within the parameters set by the strategic plan. They will agree the overarching mandate for proceeding with each study and the direction of travel at agreed gateways during analysis and reporting.</w:t>
      </w:r>
    </w:p>
    <w:p w14:paraId="0F226D5B" w14:textId="2469F4C2" w:rsidR="0031493A" w:rsidRPr="00A945D7" w:rsidRDefault="0D399742" w:rsidP="0031493A">
      <w:pPr>
        <w:pStyle w:val="Heading4"/>
        <w:rPr>
          <w:rFonts w:cs="Arial"/>
        </w:rPr>
      </w:pPr>
      <w:r w:rsidRPr="6296BB99">
        <w:rPr>
          <w:rFonts w:cs="Arial"/>
        </w:rPr>
        <w:t xml:space="preserve">The </w:t>
      </w:r>
      <w:r w:rsidR="6F1B6521" w:rsidRPr="6296BB99">
        <w:rPr>
          <w:rFonts w:cs="Arial"/>
        </w:rPr>
        <w:t>joint unit</w:t>
      </w:r>
      <w:r w:rsidRPr="6296BB99">
        <w:rPr>
          <w:rFonts w:cs="Arial"/>
        </w:rPr>
        <w:t xml:space="preserve"> may, at the discretion of the JSROs, appoint and draw on the advice of a wider Advisory Group who can provide advice and guidance to the leadership and Board. The role and format of the Advisory Group will be set out in a separate Terms of Reference and will be periodically reviewed.</w:t>
      </w:r>
    </w:p>
    <w:p w14:paraId="6DAE2DED" w14:textId="02744BD1" w:rsidR="0A81A625" w:rsidRDefault="6A3879CF" w:rsidP="5D2A7310">
      <w:pPr>
        <w:pStyle w:val="Heading4"/>
        <w:rPr>
          <w:rFonts w:cs="Arial"/>
        </w:rPr>
      </w:pPr>
      <w:r w:rsidRPr="6296BB99">
        <w:rPr>
          <w:rFonts w:cs="Arial"/>
        </w:rPr>
        <w:t xml:space="preserve">To deliver the objectives of the </w:t>
      </w:r>
      <w:r w:rsidR="281F4B11" w:rsidRPr="6296BB99">
        <w:rPr>
          <w:rFonts w:cs="Arial"/>
        </w:rPr>
        <w:t>joint unit</w:t>
      </w:r>
      <w:r w:rsidRPr="6296BB99">
        <w:rPr>
          <w:rFonts w:cs="Arial"/>
        </w:rPr>
        <w:t xml:space="preserve">, </w:t>
      </w:r>
      <w:r w:rsidR="281F4B11" w:rsidRPr="6296BB99">
        <w:rPr>
          <w:rFonts w:cs="Arial"/>
        </w:rPr>
        <w:t>the supplier</w:t>
      </w:r>
      <w:r w:rsidRPr="6296BB99">
        <w:rPr>
          <w:rFonts w:cs="Arial"/>
        </w:rPr>
        <w:t xml:space="preserve"> will typically act as a Data Processor for </w:t>
      </w:r>
      <w:r w:rsidR="00E11857">
        <w:rPr>
          <w:rFonts w:cs="Arial"/>
        </w:rPr>
        <w:t>NHSE</w:t>
      </w:r>
      <w:r w:rsidRPr="6296BB99">
        <w:rPr>
          <w:rFonts w:cs="Arial"/>
        </w:rPr>
        <w:t xml:space="preserve"> for work delivered under this </w:t>
      </w:r>
      <w:r w:rsidR="5CC6FEBB" w:rsidRPr="6296BB99">
        <w:rPr>
          <w:rFonts w:cs="Arial"/>
        </w:rPr>
        <w:t>contract</w:t>
      </w:r>
      <w:r w:rsidRPr="6296BB99">
        <w:rPr>
          <w:rFonts w:cs="Arial"/>
        </w:rPr>
        <w:t>. Information governance arrangements are covered by a separate framework, including a Data Processing Agreement between the parties.</w:t>
      </w:r>
    </w:p>
    <w:p w14:paraId="1453755F" w14:textId="5D0FB904" w:rsidR="0AD96470" w:rsidRDefault="49884DDD" w:rsidP="09A57615">
      <w:pPr>
        <w:pStyle w:val="Heading4"/>
        <w:rPr>
          <w:rFonts w:eastAsia="Arial" w:cs="Arial"/>
        </w:rPr>
      </w:pPr>
      <w:r w:rsidRPr="09A57615">
        <w:rPr>
          <w:rFonts w:eastAsia="Arial" w:cs="Arial"/>
        </w:rPr>
        <w:t>Information can be provided in either Word documents, Excel spreadsheets (or other analysis tools, such as Tableau) if it is data, or PowerPoint.</w:t>
      </w:r>
    </w:p>
    <w:p w14:paraId="5571AFAB" w14:textId="525E1F04" w:rsidR="0AD96470" w:rsidRDefault="49884DDD" w:rsidP="09A57615">
      <w:pPr>
        <w:pStyle w:val="Heading4"/>
        <w:rPr>
          <w:rFonts w:eastAsia="Arial" w:cs="Arial"/>
        </w:rPr>
      </w:pPr>
      <w:r w:rsidRPr="09A57615">
        <w:rPr>
          <w:rFonts w:eastAsia="Arial" w:cs="Arial"/>
        </w:rPr>
        <w:t>The deadline dates for the reports will be agreed upon contract start.</w:t>
      </w:r>
    </w:p>
    <w:p w14:paraId="6CEA25D9" w14:textId="67E5DA1B" w:rsidR="0AD96470" w:rsidRDefault="49884DDD" w:rsidP="09A57615">
      <w:pPr>
        <w:pStyle w:val="Heading4"/>
        <w:rPr>
          <w:rFonts w:eastAsia="Arial" w:cs="Arial"/>
          <w:color w:val="000000" w:themeColor="text1"/>
        </w:rPr>
      </w:pPr>
      <w:r w:rsidRPr="09A57615">
        <w:rPr>
          <w:rFonts w:eastAsia="Arial" w:cs="Arial"/>
          <w:color w:val="000000" w:themeColor="text1"/>
        </w:rPr>
        <w:t xml:space="preserve">Upon termination of the contract the appointed supplier must return all data in an agreed digital format to NHS England or their nominated </w:t>
      </w:r>
      <w:r w:rsidRPr="09A57615">
        <w:rPr>
          <w:rFonts w:eastAsia="Arial" w:cs="Arial"/>
          <w:color w:val="000000" w:themeColor="text1"/>
        </w:rPr>
        <w:lastRenderedPageBreak/>
        <w:t xml:space="preserve">supplier within 1 month </w:t>
      </w:r>
      <w:r w:rsidR="3A3A9761" w:rsidRPr="09A57615">
        <w:rPr>
          <w:rFonts w:eastAsia="Arial" w:cs="Arial"/>
          <w:color w:val="000000" w:themeColor="text1"/>
        </w:rPr>
        <w:t xml:space="preserve">of expiry </w:t>
      </w:r>
      <w:r w:rsidR="77393BF5" w:rsidRPr="09A57615">
        <w:rPr>
          <w:rFonts w:eastAsia="Arial" w:cs="Arial"/>
          <w:color w:val="000000" w:themeColor="text1"/>
        </w:rPr>
        <w:t xml:space="preserve"> </w:t>
      </w:r>
      <w:r w:rsidRPr="09A57615">
        <w:rPr>
          <w:rFonts w:eastAsia="Arial" w:cs="Arial"/>
          <w:color w:val="000000" w:themeColor="text1"/>
        </w:rPr>
        <w:t>or provide a certificate of destruction if it is agreed that the data does not need to be retained.</w:t>
      </w:r>
    </w:p>
    <w:p w14:paraId="0B0C3ED5" w14:textId="2BE1833F" w:rsidR="0AD96470" w:rsidRDefault="49884DDD" w:rsidP="09A57615">
      <w:pPr>
        <w:pStyle w:val="Heading4"/>
        <w:rPr>
          <w:rFonts w:eastAsia="Arial" w:cs="Arial"/>
          <w:color w:val="000000" w:themeColor="text1"/>
        </w:rPr>
      </w:pPr>
      <w:r w:rsidRPr="09A57615">
        <w:rPr>
          <w:rFonts w:ascii="Times New Roman" w:hAnsi="Times New Roman"/>
          <w:color w:val="000000" w:themeColor="text1"/>
          <w:sz w:val="14"/>
          <w:szCs w:val="14"/>
        </w:rPr>
        <w:t xml:space="preserve"> </w:t>
      </w:r>
      <w:r w:rsidRPr="09A57615">
        <w:rPr>
          <w:rFonts w:eastAsia="Arial" w:cs="Arial"/>
          <w:color w:val="000000" w:themeColor="text1"/>
        </w:rPr>
        <w:t>All products of the work commissioned within the contract as identified in this specification will remain the intellectual property of NHS England and data and information relating to this work cannot be disclosed without prior approval of NHS England in writing.</w:t>
      </w:r>
    </w:p>
    <w:p w14:paraId="789ADFDC" w14:textId="39AE1802" w:rsidR="5D2A7310" w:rsidRDefault="5D2A7310" w:rsidP="5D2A7310">
      <w:pPr>
        <w:rPr>
          <w:highlight w:val="yellow"/>
        </w:rPr>
      </w:pPr>
    </w:p>
    <w:p w14:paraId="31BC6C91" w14:textId="249DBC70" w:rsidR="00A945D7" w:rsidRDefault="00A945D7" w:rsidP="00A945D7"/>
    <w:p w14:paraId="5252CC49" w14:textId="4D73DDD1" w:rsidR="00A945D7" w:rsidRDefault="00A945D7" w:rsidP="00A945D7"/>
    <w:p w14:paraId="711177D6" w14:textId="462F2F93" w:rsidR="00A945D7" w:rsidRDefault="00A945D7" w:rsidP="00A945D7"/>
    <w:p w14:paraId="1B40E45C" w14:textId="23855B9D" w:rsidR="00A945D7" w:rsidRDefault="00A945D7" w:rsidP="00A945D7"/>
    <w:p w14:paraId="4E1866BB" w14:textId="77777777" w:rsidR="00A945D7" w:rsidRPr="00A945D7" w:rsidRDefault="00A945D7" w:rsidP="00A945D7"/>
    <w:p w14:paraId="731B0777" w14:textId="2487F2A6" w:rsidR="00C80BDA" w:rsidRPr="00A945D7" w:rsidRDefault="7090FA8D" w:rsidP="00A945D7">
      <w:pPr>
        <w:pStyle w:val="Heading3"/>
        <w:rPr>
          <w:rFonts w:cs="Arial"/>
        </w:rPr>
      </w:pPr>
      <w:r w:rsidRPr="17625D66">
        <w:rPr>
          <w:rFonts w:cs="Arial"/>
        </w:rPr>
        <w:t>Performance and Measurement</w:t>
      </w:r>
    </w:p>
    <w:tbl>
      <w:tblPr>
        <w:tblW w:w="8963" w:type="dxa"/>
        <w:tblCellMar>
          <w:left w:w="0" w:type="dxa"/>
          <w:right w:w="0" w:type="dxa"/>
        </w:tblCellMar>
        <w:tblLook w:val="04A0" w:firstRow="1" w:lastRow="0" w:firstColumn="1" w:lastColumn="0" w:noHBand="0" w:noVBand="1"/>
      </w:tblPr>
      <w:tblGrid>
        <w:gridCol w:w="954"/>
        <w:gridCol w:w="1830"/>
        <w:gridCol w:w="3705"/>
        <w:gridCol w:w="2474"/>
      </w:tblGrid>
      <w:tr w:rsidR="00A945D7" w14:paraId="577D5617" w14:textId="77777777" w:rsidTr="09A57615">
        <w:tc>
          <w:tcPr>
            <w:tcW w:w="954"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5B59247D" w14:textId="77777777" w:rsidR="00A945D7" w:rsidRDefault="00A945D7">
            <w:pPr>
              <w:spacing w:line="276" w:lineRule="auto"/>
            </w:pPr>
            <w:r>
              <w:rPr>
                <w:lang w:eastAsia="en-GB"/>
              </w:rPr>
              <w:t>KPI Ref. Number</w:t>
            </w:r>
          </w:p>
        </w:tc>
        <w:tc>
          <w:tcPr>
            <w:tcW w:w="1830"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05D9C56D" w14:textId="77777777" w:rsidR="00A945D7" w:rsidRDefault="00A945D7">
            <w:pPr>
              <w:spacing w:line="276" w:lineRule="auto"/>
            </w:pPr>
            <w:r>
              <w:rPr>
                <w:color w:val="000000"/>
                <w:lang w:eastAsia="en-GB"/>
              </w:rPr>
              <w:t>Services that KPI relates to</w:t>
            </w:r>
          </w:p>
        </w:tc>
        <w:tc>
          <w:tcPr>
            <w:tcW w:w="3705"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0E779D4C" w14:textId="77777777" w:rsidR="00A945D7" w:rsidRDefault="12CCCBFA">
            <w:pPr>
              <w:spacing w:line="276" w:lineRule="auto"/>
            </w:pPr>
            <w:r w:rsidRPr="09A57615">
              <w:rPr>
                <w:color w:val="000000" w:themeColor="text1"/>
                <w:lang w:eastAsia="en-GB"/>
              </w:rPr>
              <w:t>Description of KPI</w:t>
            </w:r>
          </w:p>
        </w:tc>
        <w:tc>
          <w:tcPr>
            <w:tcW w:w="2474"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1DDA3704" w14:textId="77777777" w:rsidR="00A945D7" w:rsidRDefault="00A945D7">
            <w:pPr>
              <w:spacing w:line="276" w:lineRule="auto"/>
            </w:pPr>
            <w:r>
              <w:rPr>
                <w:color w:val="000000"/>
                <w:lang w:eastAsia="en-GB"/>
              </w:rPr>
              <w:t>Measurement</w:t>
            </w:r>
          </w:p>
        </w:tc>
      </w:tr>
      <w:tr w:rsidR="00A945D7" w14:paraId="7EFA8D70" w14:textId="77777777" w:rsidTr="09A57615">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C8EB0" w14:textId="19164FB7" w:rsidR="00A945D7" w:rsidRDefault="00E27313">
            <w:r>
              <w:t>1</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3FDAEA14" w14:textId="77777777" w:rsidR="00A945D7" w:rsidRDefault="00A945D7">
            <w:pPr>
              <w:spacing w:line="276" w:lineRule="auto"/>
              <w:rPr>
                <w:lang w:eastAsia="en-GB"/>
              </w:rPr>
            </w:pPr>
            <w:r>
              <w:rPr>
                <w:lang w:eastAsia="en-GB"/>
              </w:rPr>
              <w:t>Robust evaluations of complex change to support the development of strong and effective health care systems with a focus on integrated care</w:t>
            </w:r>
          </w:p>
        </w:tc>
        <w:tc>
          <w:tcPr>
            <w:tcW w:w="3705" w:type="dxa"/>
            <w:tcBorders>
              <w:top w:val="nil"/>
              <w:left w:val="nil"/>
              <w:bottom w:val="single" w:sz="8" w:space="0" w:color="auto"/>
              <w:right w:val="single" w:sz="8" w:space="0" w:color="auto"/>
            </w:tcBorders>
            <w:tcMar>
              <w:top w:w="0" w:type="dxa"/>
              <w:left w:w="108" w:type="dxa"/>
              <w:bottom w:w="0" w:type="dxa"/>
              <w:right w:w="108" w:type="dxa"/>
            </w:tcMar>
            <w:hideMark/>
          </w:tcPr>
          <w:p w14:paraId="4C52C9B9" w14:textId="02FD141E" w:rsidR="00A945D7" w:rsidRDefault="12CCCBFA">
            <w:pPr>
              <w:spacing w:line="276" w:lineRule="auto"/>
              <w:rPr>
                <w:lang w:eastAsia="en-GB"/>
              </w:rPr>
            </w:pPr>
            <w:r w:rsidRPr="09A57615">
              <w:rPr>
                <w:lang w:eastAsia="en-GB"/>
              </w:rPr>
              <w:t>Working with programme teams to provide robust evaluations of complex change such as impact and qualitative evaluations of integrated care programmes an</w:t>
            </w:r>
            <w:r w:rsidR="6F4A5D6D" w:rsidRPr="09A57615">
              <w:rPr>
                <w:lang w:eastAsia="en-GB"/>
              </w:rPr>
              <w:t>d</w:t>
            </w:r>
            <w:r w:rsidRPr="09A57615">
              <w:rPr>
                <w:lang w:eastAsia="en-GB"/>
              </w:rPr>
              <w:t xml:space="preserve"> multi-disciplinary teams, to support the development of strong and effective care systems. Within each evaluation providing action-oriented next steps.</w:t>
            </w:r>
          </w:p>
        </w:tc>
        <w:tc>
          <w:tcPr>
            <w:tcW w:w="2474" w:type="dxa"/>
            <w:tcBorders>
              <w:top w:val="nil"/>
              <w:left w:val="nil"/>
              <w:bottom w:val="single" w:sz="8" w:space="0" w:color="auto"/>
              <w:right w:val="single" w:sz="8" w:space="0" w:color="auto"/>
            </w:tcBorders>
            <w:tcMar>
              <w:top w:w="0" w:type="dxa"/>
              <w:left w:w="108" w:type="dxa"/>
              <w:bottom w:w="0" w:type="dxa"/>
              <w:right w:w="108" w:type="dxa"/>
            </w:tcMar>
            <w:hideMark/>
          </w:tcPr>
          <w:p w14:paraId="44405B54" w14:textId="32078D32" w:rsidR="00A945D7" w:rsidRDefault="6D8B5328" w:rsidP="09A57615">
            <w:pPr>
              <w:spacing w:line="276" w:lineRule="auto"/>
              <w:rPr>
                <w:lang w:eastAsia="en-GB"/>
              </w:rPr>
            </w:pPr>
            <w:r w:rsidRPr="09A57615">
              <w:rPr>
                <w:lang w:eastAsia="en-GB"/>
              </w:rPr>
              <w:t>Delivery of</w:t>
            </w:r>
            <w:r w:rsidR="79EF0ABA" w:rsidRPr="09A57615">
              <w:rPr>
                <w:lang w:eastAsia="en-GB"/>
              </w:rPr>
              <w:t xml:space="preserve"> </w:t>
            </w:r>
            <w:r w:rsidR="2A75936B" w:rsidRPr="09A57615">
              <w:rPr>
                <w:lang w:eastAsia="en-GB"/>
              </w:rPr>
              <w:t>minimum 3</w:t>
            </w:r>
            <w:r w:rsidRPr="09A57615">
              <w:rPr>
                <w:lang w:eastAsia="en-GB"/>
              </w:rPr>
              <w:t xml:space="preserve"> evaluations of complex change to support the development of integrated care systems</w:t>
            </w:r>
          </w:p>
          <w:p w14:paraId="414DEC2F" w14:textId="24F36190" w:rsidR="383CC4F0" w:rsidRDefault="383CC4F0" w:rsidP="09A57615">
            <w:pPr>
              <w:spacing w:line="276" w:lineRule="auto"/>
              <w:rPr>
                <w:lang w:eastAsia="en-GB"/>
              </w:rPr>
            </w:pPr>
          </w:p>
          <w:p w14:paraId="694CFEEF" w14:textId="54D4FBFF" w:rsidR="6CFAD2E1" w:rsidRDefault="5A0F7761" w:rsidP="09A57615">
            <w:pPr>
              <w:spacing w:line="276" w:lineRule="auto"/>
              <w:rPr>
                <w:lang w:eastAsia="en-GB"/>
              </w:rPr>
            </w:pPr>
            <w:r w:rsidRPr="09A57615">
              <w:rPr>
                <w:lang w:eastAsia="en-GB"/>
              </w:rPr>
              <w:t>Evaluation analysis</w:t>
            </w:r>
          </w:p>
          <w:p w14:paraId="176F49C0" w14:textId="58179E19" w:rsidR="00A945D7" w:rsidRDefault="00A945D7" w:rsidP="09A57615">
            <w:pPr>
              <w:spacing w:line="276" w:lineRule="auto"/>
              <w:rPr>
                <w:lang w:eastAsia="en-GB"/>
              </w:rPr>
            </w:pPr>
          </w:p>
          <w:p w14:paraId="60E1CDE2" w14:textId="3C7CEFE2" w:rsidR="00A945D7" w:rsidRDefault="00A945D7" w:rsidP="09A57615">
            <w:pPr>
              <w:spacing w:line="276" w:lineRule="auto"/>
              <w:rPr>
                <w:lang w:eastAsia="en-GB"/>
              </w:rPr>
            </w:pPr>
          </w:p>
          <w:p w14:paraId="1F118A7D" w14:textId="54BB78ED" w:rsidR="00A945D7" w:rsidRDefault="00A945D7" w:rsidP="5D2A7310">
            <w:pPr>
              <w:spacing w:line="276" w:lineRule="auto"/>
              <w:rPr>
                <w:lang w:eastAsia="en-GB"/>
              </w:rPr>
            </w:pPr>
          </w:p>
        </w:tc>
      </w:tr>
      <w:tr w:rsidR="00A945D7" w14:paraId="76EB2F59" w14:textId="77777777" w:rsidTr="09A57615">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10EC15" w14:textId="07FCEDB6" w:rsidR="00A945D7" w:rsidRDefault="00E27313">
            <w:pPr>
              <w:spacing w:line="276" w:lineRule="auto"/>
              <w:rPr>
                <w:lang w:eastAsia="en-GB"/>
              </w:rPr>
            </w:pPr>
            <w:r>
              <w:rPr>
                <w:lang w:eastAsia="en-GB"/>
              </w:rPr>
              <w:t>2</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3D3DDF22" w14:textId="77777777" w:rsidR="00A945D7" w:rsidRDefault="00A945D7">
            <w:pPr>
              <w:spacing w:line="276" w:lineRule="auto"/>
              <w:rPr>
                <w:lang w:eastAsia="en-GB"/>
              </w:rPr>
            </w:pPr>
            <w:r>
              <w:rPr>
                <w:lang w:eastAsia="en-GB"/>
              </w:rPr>
              <w:t>Spread the use of data analytics in NHS for purposes of quality improvement</w:t>
            </w:r>
          </w:p>
        </w:tc>
        <w:tc>
          <w:tcPr>
            <w:tcW w:w="3705" w:type="dxa"/>
            <w:tcBorders>
              <w:top w:val="nil"/>
              <w:left w:val="nil"/>
              <w:bottom w:val="single" w:sz="8" w:space="0" w:color="auto"/>
              <w:right w:val="single" w:sz="8" w:space="0" w:color="auto"/>
            </w:tcBorders>
            <w:tcMar>
              <w:top w:w="0" w:type="dxa"/>
              <w:left w:w="108" w:type="dxa"/>
              <w:bottom w:w="0" w:type="dxa"/>
              <w:right w:w="108" w:type="dxa"/>
            </w:tcMar>
            <w:hideMark/>
          </w:tcPr>
          <w:p w14:paraId="09A5FEC9" w14:textId="53F4731E" w:rsidR="00A945D7" w:rsidRDefault="12CCCBFA">
            <w:pPr>
              <w:spacing w:line="276" w:lineRule="auto"/>
              <w:rPr>
                <w:lang w:eastAsia="en-GB"/>
              </w:rPr>
            </w:pPr>
            <w:r w:rsidRPr="09A57615">
              <w:rPr>
                <w:lang w:eastAsia="en-GB"/>
              </w:rPr>
              <w:t xml:space="preserve">Documented methodologies, such as optimal matching, in the NHS E Methods toolbox template, submitted to the Methods peer review group and steering group, and inclusion in the toolbox. Also, sharing of code where applicable through Methods </w:t>
            </w:r>
            <w:proofErr w:type="spellStart"/>
            <w:r w:rsidRPr="09A57615">
              <w:rPr>
                <w:lang w:eastAsia="en-GB"/>
              </w:rPr>
              <w:t>Github</w:t>
            </w:r>
            <w:proofErr w:type="spellEnd"/>
            <w:r w:rsidRPr="09A57615">
              <w:rPr>
                <w:lang w:eastAsia="en-GB"/>
              </w:rPr>
              <w:t xml:space="preserve"> </w:t>
            </w:r>
          </w:p>
        </w:tc>
        <w:tc>
          <w:tcPr>
            <w:tcW w:w="2474" w:type="dxa"/>
            <w:tcBorders>
              <w:top w:val="nil"/>
              <w:left w:val="nil"/>
              <w:bottom w:val="single" w:sz="8" w:space="0" w:color="auto"/>
              <w:right w:val="single" w:sz="8" w:space="0" w:color="auto"/>
            </w:tcBorders>
            <w:tcMar>
              <w:top w:w="0" w:type="dxa"/>
              <w:left w:w="108" w:type="dxa"/>
              <w:bottom w:w="0" w:type="dxa"/>
              <w:right w:w="108" w:type="dxa"/>
            </w:tcMar>
            <w:hideMark/>
          </w:tcPr>
          <w:p w14:paraId="402C19EB" w14:textId="77777777" w:rsidR="00A945D7" w:rsidRDefault="44C33AD8" w:rsidP="09A57615">
            <w:pPr>
              <w:spacing w:line="276" w:lineRule="auto"/>
              <w:rPr>
                <w:lang w:eastAsia="en-GB"/>
              </w:rPr>
            </w:pPr>
            <w:r w:rsidRPr="09A57615">
              <w:rPr>
                <w:lang w:eastAsia="en-GB"/>
              </w:rPr>
              <w:t>Documentation of 3 statistical methodologies submitted and inclusion in the NHS EI Methods Toolbox</w:t>
            </w:r>
          </w:p>
        </w:tc>
      </w:tr>
      <w:tr w:rsidR="00A945D7" w14:paraId="54939F66" w14:textId="77777777" w:rsidTr="09A57615">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46783" w14:textId="0D380483" w:rsidR="00A945D7" w:rsidRDefault="00E27313">
            <w:pPr>
              <w:spacing w:line="276" w:lineRule="auto"/>
              <w:rPr>
                <w:lang w:eastAsia="en-GB"/>
              </w:rPr>
            </w:pPr>
            <w:r>
              <w:rPr>
                <w:lang w:eastAsia="en-GB"/>
              </w:rPr>
              <w:t>3</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6D83E1EE" w14:textId="77777777" w:rsidR="00A945D7" w:rsidRDefault="00A945D7">
            <w:pPr>
              <w:spacing w:line="276" w:lineRule="auto"/>
              <w:rPr>
                <w:lang w:eastAsia="en-GB"/>
              </w:rPr>
            </w:pPr>
            <w:r>
              <w:rPr>
                <w:lang w:eastAsia="en-GB"/>
              </w:rPr>
              <w:t xml:space="preserve">Application of best analytical approaches to identify whether patient outcomes have changed </w:t>
            </w:r>
            <w:r>
              <w:rPr>
                <w:lang w:eastAsia="en-GB"/>
              </w:rPr>
              <w:lastRenderedPageBreak/>
              <w:t>following an introduction of a new initiative</w:t>
            </w:r>
          </w:p>
        </w:tc>
        <w:tc>
          <w:tcPr>
            <w:tcW w:w="3705" w:type="dxa"/>
            <w:tcBorders>
              <w:top w:val="nil"/>
              <w:left w:val="nil"/>
              <w:bottom w:val="single" w:sz="8" w:space="0" w:color="auto"/>
              <w:right w:val="single" w:sz="8" w:space="0" w:color="auto"/>
            </w:tcBorders>
            <w:tcMar>
              <w:top w:w="0" w:type="dxa"/>
              <w:left w:w="108" w:type="dxa"/>
              <w:bottom w:w="0" w:type="dxa"/>
              <w:right w:w="108" w:type="dxa"/>
            </w:tcMar>
            <w:hideMark/>
          </w:tcPr>
          <w:p w14:paraId="777F6364" w14:textId="77777777" w:rsidR="00A945D7" w:rsidRDefault="12CCCBFA">
            <w:pPr>
              <w:spacing w:line="276" w:lineRule="auto"/>
              <w:rPr>
                <w:lang w:eastAsia="en-GB"/>
              </w:rPr>
            </w:pPr>
            <w:r w:rsidRPr="09A57615">
              <w:rPr>
                <w:lang w:eastAsia="en-GB"/>
              </w:rPr>
              <w:lastRenderedPageBreak/>
              <w:t xml:space="preserve">Working with programme teams to provide analytical pieces of work to identify whether </w:t>
            </w:r>
            <w:bookmarkStart w:id="5" w:name="_Int_bHHyqCaF"/>
            <w:proofErr w:type="gramStart"/>
            <w:r w:rsidRPr="09A57615">
              <w:rPr>
                <w:lang w:eastAsia="en-GB"/>
              </w:rPr>
              <w:t>patients</w:t>
            </w:r>
            <w:bookmarkEnd w:id="5"/>
            <w:proofErr w:type="gramEnd"/>
            <w:r w:rsidRPr="09A57615">
              <w:rPr>
                <w:lang w:eastAsia="en-GB"/>
              </w:rPr>
              <w:t xml:space="preserve"> outcomes have changed following an introduction of a new initiative, such </w:t>
            </w:r>
            <w:r w:rsidRPr="09A57615">
              <w:rPr>
                <w:lang w:eastAsia="en-GB"/>
              </w:rPr>
              <w:lastRenderedPageBreak/>
              <w:t>as the national diabetes prevention programme</w:t>
            </w:r>
          </w:p>
        </w:tc>
        <w:tc>
          <w:tcPr>
            <w:tcW w:w="2474" w:type="dxa"/>
            <w:tcBorders>
              <w:top w:val="nil"/>
              <w:left w:val="nil"/>
              <w:bottom w:val="single" w:sz="8" w:space="0" w:color="auto"/>
              <w:right w:val="single" w:sz="8" w:space="0" w:color="auto"/>
            </w:tcBorders>
            <w:tcMar>
              <w:top w:w="0" w:type="dxa"/>
              <w:left w:w="108" w:type="dxa"/>
              <w:bottom w:w="0" w:type="dxa"/>
              <w:right w:w="108" w:type="dxa"/>
            </w:tcMar>
            <w:hideMark/>
          </w:tcPr>
          <w:p w14:paraId="6D14DDF3" w14:textId="77777777" w:rsidR="00A945D7" w:rsidRDefault="44C33AD8" w:rsidP="09A57615">
            <w:pPr>
              <w:spacing w:line="276" w:lineRule="auto"/>
              <w:rPr>
                <w:lang w:eastAsia="en-GB"/>
              </w:rPr>
            </w:pPr>
            <w:r w:rsidRPr="09A57615">
              <w:rPr>
                <w:lang w:eastAsia="en-GB"/>
              </w:rPr>
              <w:lastRenderedPageBreak/>
              <w:t xml:space="preserve">Delivery of 3 analytical pieces of work to identify whether patient outcomes have changed following an </w:t>
            </w:r>
            <w:r w:rsidRPr="09A57615">
              <w:rPr>
                <w:lang w:eastAsia="en-GB"/>
              </w:rPr>
              <w:lastRenderedPageBreak/>
              <w:t>introduction of a new initiative</w:t>
            </w:r>
          </w:p>
        </w:tc>
      </w:tr>
      <w:tr w:rsidR="00A945D7" w14:paraId="16143E52" w14:textId="77777777" w:rsidTr="09A57615">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56EA17" w14:textId="3911BB34" w:rsidR="00A945D7" w:rsidRDefault="00E27313">
            <w:pPr>
              <w:spacing w:line="276" w:lineRule="auto"/>
              <w:rPr>
                <w:lang w:eastAsia="en-GB"/>
              </w:rPr>
            </w:pPr>
            <w:r>
              <w:rPr>
                <w:lang w:eastAsia="en-GB"/>
              </w:rPr>
              <w:lastRenderedPageBreak/>
              <w:t>4</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275F4C9F" w14:textId="77777777" w:rsidR="00A945D7" w:rsidRDefault="00A945D7">
            <w:pPr>
              <w:spacing w:line="276" w:lineRule="auto"/>
              <w:rPr>
                <w:lang w:eastAsia="en-GB"/>
              </w:rPr>
            </w:pPr>
            <w:r>
              <w:rPr>
                <w:lang w:eastAsia="en-GB"/>
              </w:rPr>
              <w:t>Development of analytical capability across the NHS</w:t>
            </w:r>
          </w:p>
        </w:tc>
        <w:tc>
          <w:tcPr>
            <w:tcW w:w="3705" w:type="dxa"/>
            <w:tcBorders>
              <w:top w:val="nil"/>
              <w:left w:val="nil"/>
              <w:bottom w:val="single" w:sz="8" w:space="0" w:color="auto"/>
              <w:right w:val="single" w:sz="8" w:space="0" w:color="auto"/>
            </w:tcBorders>
            <w:tcMar>
              <w:top w:w="0" w:type="dxa"/>
              <w:left w:w="108" w:type="dxa"/>
              <w:bottom w:w="0" w:type="dxa"/>
              <w:right w:w="108" w:type="dxa"/>
            </w:tcMar>
            <w:hideMark/>
          </w:tcPr>
          <w:p w14:paraId="0E0B488E" w14:textId="77777777" w:rsidR="00A945D7" w:rsidRDefault="00A945D7">
            <w:pPr>
              <w:spacing w:line="276" w:lineRule="auto"/>
              <w:rPr>
                <w:lang w:eastAsia="en-GB"/>
              </w:rPr>
            </w:pPr>
            <w:r>
              <w:rPr>
                <w:lang w:eastAsia="en-GB"/>
              </w:rPr>
              <w:t>Working with the analytical community to knowledge transfer the complex programme evaluation methodologies used.</w:t>
            </w:r>
          </w:p>
        </w:tc>
        <w:tc>
          <w:tcPr>
            <w:tcW w:w="2474" w:type="dxa"/>
            <w:tcBorders>
              <w:top w:val="nil"/>
              <w:left w:val="nil"/>
              <w:bottom w:val="single" w:sz="8" w:space="0" w:color="auto"/>
              <w:right w:val="single" w:sz="8" w:space="0" w:color="auto"/>
            </w:tcBorders>
            <w:tcMar>
              <w:top w:w="0" w:type="dxa"/>
              <w:left w:w="108" w:type="dxa"/>
              <w:bottom w:w="0" w:type="dxa"/>
              <w:right w:w="108" w:type="dxa"/>
            </w:tcMar>
            <w:hideMark/>
          </w:tcPr>
          <w:p w14:paraId="61EB2C6D" w14:textId="77777777" w:rsidR="00A945D7" w:rsidRDefault="44C33AD8" w:rsidP="09A57615">
            <w:pPr>
              <w:spacing w:line="276" w:lineRule="auto"/>
              <w:rPr>
                <w:lang w:eastAsia="en-GB"/>
              </w:rPr>
            </w:pPr>
            <w:r w:rsidRPr="09A57615">
              <w:rPr>
                <w:lang w:eastAsia="en-GB"/>
              </w:rPr>
              <w:t xml:space="preserve">Presentation at 2 </w:t>
            </w:r>
            <w:proofErr w:type="spellStart"/>
            <w:r w:rsidRPr="09A57615">
              <w:rPr>
                <w:lang w:eastAsia="en-GB"/>
              </w:rPr>
              <w:t>AnalystX</w:t>
            </w:r>
            <w:proofErr w:type="spellEnd"/>
            <w:r w:rsidRPr="09A57615">
              <w:rPr>
                <w:lang w:eastAsia="en-GB"/>
              </w:rPr>
              <w:t xml:space="preserve"> mini huddles or lunch and learns at the Health Foundation</w:t>
            </w:r>
          </w:p>
        </w:tc>
      </w:tr>
      <w:tr w:rsidR="2D4D5872" w14:paraId="309FD9E1" w14:textId="77777777" w:rsidTr="09A57615">
        <w:trPr>
          <w:trHeight w:val="300"/>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254655" w14:textId="0EFD55E8" w:rsidR="2D4D5872" w:rsidRDefault="04E68CDC" w:rsidP="2D4D5872">
            <w:pPr>
              <w:spacing w:line="276" w:lineRule="auto"/>
              <w:rPr>
                <w:lang w:eastAsia="en-GB"/>
              </w:rPr>
            </w:pPr>
            <w:r w:rsidRPr="06D44508">
              <w:rPr>
                <w:lang w:eastAsia="en-GB"/>
              </w:rPr>
              <w:t>5</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325D6A46" w14:textId="4DA78FC9" w:rsidR="2D4D5872" w:rsidRDefault="04E68CDC" w:rsidP="2D4D5872">
            <w:pPr>
              <w:spacing w:line="276" w:lineRule="auto"/>
              <w:rPr>
                <w:lang w:eastAsia="en-GB"/>
              </w:rPr>
            </w:pPr>
            <w:r w:rsidRPr="06D44508">
              <w:rPr>
                <w:lang w:eastAsia="en-GB"/>
              </w:rPr>
              <w:t>Invoicing</w:t>
            </w:r>
          </w:p>
        </w:tc>
        <w:tc>
          <w:tcPr>
            <w:tcW w:w="3705" w:type="dxa"/>
            <w:tcBorders>
              <w:top w:val="nil"/>
              <w:left w:val="nil"/>
              <w:bottom w:val="single" w:sz="8" w:space="0" w:color="auto"/>
              <w:right w:val="single" w:sz="8" w:space="0" w:color="auto"/>
            </w:tcBorders>
            <w:tcMar>
              <w:top w:w="0" w:type="dxa"/>
              <w:left w:w="108" w:type="dxa"/>
              <w:bottom w:w="0" w:type="dxa"/>
              <w:right w:w="108" w:type="dxa"/>
            </w:tcMar>
            <w:hideMark/>
          </w:tcPr>
          <w:p w14:paraId="42213C58" w14:textId="2ED5CFA8" w:rsidR="2D4D5872" w:rsidRDefault="04E68CDC" w:rsidP="2D4D5872">
            <w:pPr>
              <w:spacing w:line="276" w:lineRule="auto"/>
              <w:rPr>
                <w:lang w:eastAsia="en-GB"/>
              </w:rPr>
            </w:pPr>
            <w:r w:rsidRPr="06D44508">
              <w:rPr>
                <w:lang w:eastAsia="en-GB"/>
              </w:rPr>
              <w:t xml:space="preserve">Invoicing to be 99% accurate to the £ to authorise payment </w:t>
            </w:r>
          </w:p>
        </w:tc>
        <w:tc>
          <w:tcPr>
            <w:tcW w:w="2474" w:type="dxa"/>
            <w:tcBorders>
              <w:top w:val="nil"/>
              <w:left w:val="nil"/>
              <w:bottom w:val="single" w:sz="8" w:space="0" w:color="auto"/>
              <w:right w:val="single" w:sz="8" w:space="0" w:color="auto"/>
            </w:tcBorders>
            <w:tcMar>
              <w:top w:w="0" w:type="dxa"/>
              <w:left w:w="108" w:type="dxa"/>
              <w:bottom w:w="0" w:type="dxa"/>
              <w:right w:w="108" w:type="dxa"/>
            </w:tcMar>
            <w:hideMark/>
          </w:tcPr>
          <w:p w14:paraId="710F5B63" w14:textId="1E54C1DF" w:rsidR="2D4D5872" w:rsidRDefault="66C71FDE" w:rsidP="09A57615">
            <w:pPr>
              <w:spacing w:line="276" w:lineRule="auto"/>
              <w:rPr>
                <w:lang w:eastAsia="en-GB"/>
              </w:rPr>
            </w:pPr>
            <w:r w:rsidRPr="09A57615">
              <w:rPr>
                <w:lang w:eastAsia="en-GB"/>
              </w:rPr>
              <w:t xml:space="preserve">  </w:t>
            </w:r>
            <w:r w:rsidR="2B9BE9E1" w:rsidRPr="09A57615">
              <w:rPr>
                <w:lang w:eastAsia="en-GB"/>
              </w:rPr>
              <w:t xml:space="preserve">Invoices to be </w:t>
            </w:r>
            <w:r w:rsidR="0F4CFE90" w:rsidRPr="09A57615">
              <w:rPr>
                <w:lang w:eastAsia="en-GB"/>
              </w:rPr>
              <w:t>accurate</w:t>
            </w:r>
            <w:r w:rsidR="2B9BE9E1" w:rsidRPr="09A57615">
              <w:rPr>
                <w:lang w:eastAsia="en-GB"/>
              </w:rPr>
              <w:t xml:space="preserve"> </w:t>
            </w:r>
            <w:r w:rsidR="43780CFC" w:rsidRPr="09A57615">
              <w:rPr>
                <w:lang w:eastAsia="en-GB"/>
              </w:rPr>
              <w:t>upon submission</w:t>
            </w:r>
          </w:p>
        </w:tc>
      </w:tr>
    </w:tbl>
    <w:p w14:paraId="41643F77" w14:textId="6629F177" w:rsidR="000F2CAB" w:rsidRDefault="000F2CAB" w:rsidP="000F2CAB">
      <w:pPr>
        <w:pStyle w:val="ListParagraph"/>
      </w:pPr>
    </w:p>
    <w:p w14:paraId="5B7BD687" w14:textId="77777777" w:rsidR="000F2CAB" w:rsidRPr="000F2CAB" w:rsidRDefault="478949CA" w:rsidP="000F2CAB">
      <w:pPr>
        <w:pStyle w:val="Heading4"/>
      </w:pPr>
      <w:r w:rsidRPr="24FA661C">
        <w:rPr>
          <w:rStyle w:val="normaltextrun"/>
          <w:rFonts w:cs="Arial"/>
        </w:rPr>
        <w:t>Contract Term </w:t>
      </w:r>
      <w:r w:rsidRPr="24FA661C">
        <w:rPr>
          <w:rStyle w:val="eop"/>
          <w:rFonts w:cs="Arial"/>
        </w:rPr>
        <w:t> </w:t>
      </w:r>
    </w:p>
    <w:p w14:paraId="5125E4C4" w14:textId="40143A14" w:rsidR="5D2A7310" w:rsidRDefault="2EFDEE28" w:rsidP="06D44508">
      <w:pPr>
        <w:pStyle w:val="Heading4"/>
        <w:rPr>
          <w:rFonts w:eastAsia="Arial" w:cs="Arial"/>
        </w:rPr>
      </w:pPr>
      <w:r>
        <w:t xml:space="preserve">The contract term will run for 12 </w:t>
      </w:r>
      <w:proofErr w:type="gramStart"/>
      <w:r>
        <w:t>months,</w:t>
      </w:r>
      <w:proofErr w:type="gramEnd"/>
      <w:r w:rsidRPr="09A57615">
        <w:rPr>
          <w:rFonts w:eastAsia="Arial" w:cs="Arial"/>
        </w:rPr>
        <w:t xml:space="preserve"> however the contract will have an option to extend up to a further period or periods of an additional </w:t>
      </w:r>
      <w:r w:rsidR="48733A9B" w:rsidRPr="09A57615">
        <w:rPr>
          <w:rFonts w:eastAsia="Arial" w:cs="Arial"/>
        </w:rPr>
        <w:t>12</w:t>
      </w:r>
      <w:r w:rsidRPr="09A57615">
        <w:rPr>
          <w:rFonts w:eastAsia="Arial" w:cs="Arial"/>
        </w:rPr>
        <w:t xml:space="preserve"> months (</w:t>
      </w:r>
      <w:r w:rsidR="2284C118" w:rsidRPr="09A57615">
        <w:rPr>
          <w:rFonts w:eastAsia="Arial" w:cs="Arial"/>
        </w:rPr>
        <w:t>24</w:t>
      </w:r>
      <w:r w:rsidRPr="09A57615">
        <w:rPr>
          <w:rFonts w:eastAsia="Arial" w:cs="Arial"/>
        </w:rPr>
        <w:t xml:space="preserve"> months in total) subject to performance review, budgetary approval and business planning.</w:t>
      </w:r>
    </w:p>
    <w:p w14:paraId="3A22650C" w14:textId="3EAAF4E4" w:rsidR="06632165" w:rsidRDefault="06632165" w:rsidP="06D44508">
      <w:pPr>
        <w:pStyle w:val="Heading4"/>
        <w:rPr>
          <w:rFonts w:eastAsia="Arial" w:cs="Arial"/>
          <w:bCs w:val="0"/>
        </w:rPr>
      </w:pPr>
      <w:r w:rsidRPr="06D44508">
        <w:rPr>
          <w:rFonts w:eastAsia="Arial" w:cs="Arial"/>
          <w:bCs w:val="0"/>
        </w:rPr>
        <w:t>The minimum notice is 3 months following a performance review for an extension.</w:t>
      </w:r>
    </w:p>
    <w:p w14:paraId="7B177FC2" w14:textId="4B27B419" w:rsidR="06D44508" w:rsidRDefault="06D44508" w:rsidP="06D44508"/>
    <w:p w14:paraId="08FEBD56" w14:textId="616F8584" w:rsidR="000F2CAB" w:rsidRPr="00D44EA7" w:rsidRDefault="478949CA" w:rsidP="06D44508">
      <w:pPr>
        <w:pStyle w:val="Heading3"/>
        <w:rPr>
          <w:rFonts w:eastAsia="Arial" w:cs="Arial"/>
        </w:rPr>
      </w:pPr>
      <w:r w:rsidRPr="00D44EA7">
        <w:t>Budget  </w:t>
      </w:r>
    </w:p>
    <w:p w14:paraId="001C0784" w14:textId="2617AC05" w:rsidR="000F2CAB" w:rsidRPr="000F2CAB" w:rsidRDefault="75EE8CF6" w:rsidP="06D44508">
      <w:pPr>
        <w:pStyle w:val="Heading4"/>
        <w:rPr>
          <w:rFonts w:eastAsia="Arial" w:cs="Arial"/>
        </w:rPr>
      </w:pPr>
      <w:r w:rsidRPr="20DB603A">
        <w:rPr>
          <w:rFonts w:eastAsia="Arial" w:cs="Arial"/>
        </w:rPr>
        <w:t xml:space="preserve">Payment will be provided </w:t>
      </w:r>
      <w:r w:rsidR="36A02735" w:rsidRPr="20DB603A">
        <w:rPr>
          <w:rFonts w:eastAsia="Arial" w:cs="Arial"/>
        </w:rPr>
        <w:t>quarterly</w:t>
      </w:r>
      <w:r w:rsidRPr="20DB603A">
        <w:rPr>
          <w:rFonts w:eastAsia="Arial" w:cs="Arial"/>
        </w:rPr>
        <w:t xml:space="preserve"> in arrears with an annual review of deliverables.</w:t>
      </w:r>
      <w:r>
        <w:t xml:space="preserve"> </w:t>
      </w:r>
    </w:p>
    <w:p w14:paraId="17778EE9" w14:textId="11E916CA" w:rsidR="000F2CAB" w:rsidRPr="000F2CAB" w:rsidRDefault="43DA7FC2" w:rsidP="06D44508">
      <w:pPr>
        <w:pStyle w:val="Heading3"/>
        <w:rPr>
          <w:rFonts w:eastAsia="Arial" w:cs="Arial"/>
          <w:bCs w:val="0"/>
        </w:rPr>
      </w:pPr>
      <w:r w:rsidRPr="17625D66">
        <w:rPr>
          <w:rFonts w:eastAsia="Arial" w:cs="Arial"/>
        </w:rPr>
        <w:t>Exit Plan</w:t>
      </w:r>
    </w:p>
    <w:p w14:paraId="0C33D20D" w14:textId="4325DC4C" w:rsidR="000F2CAB" w:rsidRPr="000F2CAB" w:rsidRDefault="38D0F10A" w:rsidP="06D44508">
      <w:pPr>
        <w:pStyle w:val="Heading4"/>
        <w:rPr>
          <w:rFonts w:eastAsia="Arial" w:cs="Arial"/>
          <w:bCs w:val="0"/>
        </w:rPr>
      </w:pPr>
      <w:r w:rsidRPr="06D44508">
        <w:rPr>
          <w:rFonts w:eastAsia="Arial" w:cs="Arial"/>
          <w:bCs w:val="0"/>
        </w:rPr>
        <w:t xml:space="preserve">The contract will terminate following the initial contract period or after any extension period as notified.  </w:t>
      </w:r>
    </w:p>
    <w:p w14:paraId="31B7D783" w14:textId="4AC4E044" w:rsidR="000F2CAB" w:rsidRPr="000F2CAB" w:rsidRDefault="38D0F10A" w:rsidP="06D44508">
      <w:pPr>
        <w:pStyle w:val="Heading4"/>
        <w:rPr>
          <w:rFonts w:eastAsia="Arial" w:cs="Arial"/>
          <w:bCs w:val="0"/>
        </w:rPr>
      </w:pPr>
      <w:r w:rsidRPr="06D44508">
        <w:rPr>
          <w:rFonts w:eastAsia="Arial" w:cs="Arial"/>
          <w:bCs w:val="0"/>
        </w:rPr>
        <w:t>A plan should be agreed with NHS England 3 months before the end of the contract, to ensure sustainability of the project once it has been terminated.</w:t>
      </w:r>
    </w:p>
    <w:p w14:paraId="768A324A" w14:textId="21DA18D2" w:rsidR="000F2CAB" w:rsidRPr="000F2CAB" w:rsidRDefault="000F2CAB" w:rsidP="06D44508"/>
    <w:p w14:paraId="1F35FD85" w14:textId="683C0545" w:rsidR="000F2CAB" w:rsidRPr="000F2CAB" w:rsidRDefault="000F2CAB" w:rsidP="06D44508">
      <w:pPr>
        <w:pStyle w:val="Heading2"/>
        <w:numPr>
          <w:ilvl w:val="0"/>
          <w:numId w:val="0"/>
        </w:numPr>
      </w:pPr>
    </w:p>
    <w:p w14:paraId="79830918" w14:textId="32545ED7" w:rsidR="000F2CAB" w:rsidRPr="000F2CAB" w:rsidRDefault="000F2CAB" w:rsidP="06D44508">
      <w:pPr>
        <w:rPr>
          <w:highlight w:val="yellow"/>
        </w:rPr>
      </w:pPr>
    </w:p>
    <w:p w14:paraId="38C9DAD1" w14:textId="03BDBB1D" w:rsidR="000F2CAB" w:rsidRPr="000F2CAB" w:rsidRDefault="000F2CAB" w:rsidP="5D2A7310"/>
    <w:p w14:paraId="4B4AF6C5" w14:textId="2F0FB532" w:rsidR="000F2CAB" w:rsidRPr="000F2CAB" w:rsidRDefault="5B1B4B6F" w:rsidP="5D2A7310">
      <w:pPr>
        <w:pStyle w:val="Heading4"/>
        <w:numPr>
          <w:ilvl w:val="2"/>
          <w:numId w:val="0"/>
        </w:numPr>
      </w:pPr>
      <w:r w:rsidRPr="5D2A7310">
        <w:rPr>
          <w:rStyle w:val="eop"/>
          <w:rFonts w:cs="Arial"/>
        </w:rPr>
        <w:t> </w:t>
      </w:r>
    </w:p>
    <w:p w14:paraId="72214CB3" w14:textId="77777777" w:rsidR="000F2CAB" w:rsidRPr="000F2CAB" w:rsidRDefault="000F2CAB" w:rsidP="000F2CAB">
      <w:pPr>
        <w:pStyle w:val="ListParagraph"/>
      </w:pPr>
    </w:p>
    <w:sectPr w:rsidR="000F2CAB" w:rsidRPr="000F2C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B748" w14:textId="77777777" w:rsidR="001F3BA5" w:rsidRDefault="001F3BA5" w:rsidP="006415AA">
      <w:r>
        <w:separator/>
      </w:r>
    </w:p>
  </w:endnote>
  <w:endnote w:type="continuationSeparator" w:id="0">
    <w:p w14:paraId="50D87B3E" w14:textId="77777777" w:rsidR="001F3BA5" w:rsidRDefault="001F3BA5" w:rsidP="006415AA">
      <w:r>
        <w:continuationSeparator/>
      </w:r>
    </w:p>
  </w:endnote>
  <w:endnote w:type="continuationNotice" w:id="1">
    <w:p w14:paraId="4BB8BA4E" w14:textId="77777777" w:rsidR="001F3BA5" w:rsidRDefault="001F3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973811"/>
      <w:docPartObj>
        <w:docPartGallery w:val="Page Numbers (Bottom of Page)"/>
        <w:docPartUnique/>
      </w:docPartObj>
    </w:sdtPr>
    <w:sdtEndPr>
      <w:rPr>
        <w:noProof/>
      </w:rPr>
    </w:sdtEndPr>
    <w:sdtContent>
      <w:p w14:paraId="69AF6882" w14:textId="6D44771D" w:rsidR="006415AA" w:rsidRDefault="006415AA" w:rsidP="006415AA">
        <w:pPr>
          <w:pStyle w:val="Footer"/>
        </w:pPr>
        <w:r>
          <w:t xml:space="preserve">Statement of Requirements                                   </w:t>
        </w:r>
        <w:r>
          <w:fldChar w:fldCharType="begin"/>
        </w:r>
        <w:r>
          <w:instrText xml:space="preserve"> PAGE   \* MERGEFORMAT </w:instrText>
        </w:r>
        <w:r>
          <w:fldChar w:fldCharType="separate"/>
        </w:r>
        <w:r w:rsidR="00FC2853">
          <w:rPr>
            <w:noProof/>
          </w:rPr>
          <w:t>1</w:t>
        </w:r>
        <w:r>
          <w:rPr>
            <w:noProof/>
          </w:rPr>
          <w:fldChar w:fldCharType="end"/>
        </w:r>
        <w:r>
          <w:rPr>
            <w:noProof/>
          </w:rPr>
          <w:t xml:space="preserve">                       </w:t>
        </w:r>
        <w:r w:rsidR="00A945D7" w:rsidRPr="00A945D7">
          <w:rPr>
            <w:noProof/>
          </w:rPr>
          <w:t>Improvement Analytics Unit</w:t>
        </w:r>
        <w:r w:rsidR="00A945D7">
          <w:rPr>
            <w:noProof/>
          </w:rPr>
          <w:t>:</w:t>
        </w:r>
        <w:r w:rsidR="00A945D7" w:rsidRPr="00A945D7">
          <w:rPr>
            <w:noProof/>
          </w:rPr>
          <w:t xml:space="preserve"> BC-13850</w:t>
        </w:r>
      </w:p>
    </w:sdtContent>
  </w:sdt>
  <w:p w14:paraId="094933D9" w14:textId="77777777" w:rsidR="006415AA" w:rsidRDefault="0064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A793" w14:textId="77777777" w:rsidR="001F3BA5" w:rsidRDefault="001F3BA5" w:rsidP="006415AA">
      <w:r>
        <w:separator/>
      </w:r>
    </w:p>
  </w:footnote>
  <w:footnote w:type="continuationSeparator" w:id="0">
    <w:p w14:paraId="43A3367F" w14:textId="77777777" w:rsidR="001F3BA5" w:rsidRDefault="001F3BA5" w:rsidP="006415AA">
      <w:r>
        <w:continuationSeparator/>
      </w:r>
    </w:p>
  </w:footnote>
  <w:footnote w:type="continuationNotice" w:id="1">
    <w:p w14:paraId="179D4F90" w14:textId="77777777" w:rsidR="001F3BA5" w:rsidRDefault="001F3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CA91" w14:textId="77777777" w:rsidR="006415AA" w:rsidRDefault="006415AA" w:rsidP="006415AA">
    <w:pPr>
      <w:pStyle w:val="Header"/>
      <w:jc w:val="right"/>
    </w:pPr>
    <w:r>
      <w:rPr>
        <w:rFonts w:cs="Arial"/>
        <w:noProof/>
        <w:lang w:eastAsia="en-GB"/>
      </w:rPr>
      <w:drawing>
        <wp:inline distT="0" distB="0" distL="0" distR="0" wp14:anchorId="4EF25293" wp14:editId="4156A0C0">
          <wp:extent cx="14001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887" cy="820152"/>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8Qh5s2eZ3unyOS" int2:id="8qyROyx3">
      <int2:state int2:value="Rejected" int2:type="LegacyProofing"/>
    </int2:textHash>
    <int2:textHash int2:hashCode="ZLK20Sv+S6rn2t" int2:id="NH7PrV5q">
      <int2:state int2:value="Rejected" int2:type="LegacyProofing"/>
    </int2:textHash>
    <int2:bookmark int2:bookmarkName="_Int_bHHyqCaF" int2:invalidationBookmarkName="" int2:hashCode="ZammAZHv0Pqe4T" int2:id="NhjTtN1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76B3"/>
    <w:multiLevelType w:val="hybridMultilevel"/>
    <w:tmpl w:val="FFFFFFFF"/>
    <w:lvl w:ilvl="0" w:tplc="F2C049D6">
      <w:start w:val="1"/>
      <w:numFmt w:val="bullet"/>
      <w:lvlText w:val=""/>
      <w:lvlJc w:val="left"/>
      <w:pPr>
        <w:ind w:left="720" w:hanging="360"/>
      </w:pPr>
      <w:rPr>
        <w:rFonts w:ascii="Symbol" w:hAnsi="Symbol" w:hint="default"/>
      </w:rPr>
    </w:lvl>
    <w:lvl w:ilvl="1" w:tplc="1AAA3AC0">
      <w:start w:val="1"/>
      <w:numFmt w:val="bullet"/>
      <w:lvlText w:val="o"/>
      <w:lvlJc w:val="left"/>
      <w:pPr>
        <w:ind w:left="1440" w:hanging="360"/>
      </w:pPr>
      <w:rPr>
        <w:rFonts w:ascii="Courier New" w:hAnsi="Courier New" w:hint="default"/>
      </w:rPr>
    </w:lvl>
    <w:lvl w:ilvl="2" w:tplc="40C2A13E">
      <w:start w:val="1"/>
      <w:numFmt w:val="bullet"/>
      <w:lvlText w:val=""/>
      <w:lvlJc w:val="left"/>
      <w:pPr>
        <w:ind w:left="2160" w:hanging="360"/>
      </w:pPr>
      <w:rPr>
        <w:rFonts w:ascii="Wingdings" w:hAnsi="Wingdings" w:hint="default"/>
      </w:rPr>
    </w:lvl>
    <w:lvl w:ilvl="3" w:tplc="6E96DE8E">
      <w:start w:val="1"/>
      <w:numFmt w:val="bullet"/>
      <w:lvlText w:val=""/>
      <w:lvlJc w:val="left"/>
      <w:pPr>
        <w:ind w:left="2880" w:hanging="360"/>
      </w:pPr>
      <w:rPr>
        <w:rFonts w:ascii="Symbol" w:hAnsi="Symbol" w:hint="default"/>
      </w:rPr>
    </w:lvl>
    <w:lvl w:ilvl="4" w:tplc="6B9E1438">
      <w:start w:val="1"/>
      <w:numFmt w:val="bullet"/>
      <w:lvlText w:val="o"/>
      <w:lvlJc w:val="left"/>
      <w:pPr>
        <w:ind w:left="3600" w:hanging="360"/>
      </w:pPr>
      <w:rPr>
        <w:rFonts w:ascii="Courier New" w:hAnsi="Courier New" w:hint="default"/>
      </w:rPr>
    </w:lvl>
    <w:lvl w:ilvl="5" w:tplc="2DEAE63A">
      <w:start w:val="1"/>
      <w:numFmt w:val="bullet"/>
      <w:lvlText w:val=""/>
      <w:lvlJc w:val="left"/>
      <w:pPr>
        <w:ind w:left="4320" w:hanging="360"/>
      </w:pPr>
      <w:rPr>
        <w:rFonts w:ascii="Wingdings" w:hAnsi="Wingdings" w:hint="default"/>
      </w:rPr>
    </w:lvl>
    <w:lvl w:ilvl="6" w:tplc="020840A2">
      <w:start w:val="1"/>
      <w:numFmt w:val="bullet"/>
      <w:lvlText w:val=""/>
      <w:lvlJc w:val="left"/>
      <w:pPr>
        <w:ind w:left="5040" w:hanging="360"/>
      </w:pPr>
      <w:rPr>
        <w:rFonts w:ascii="Symbol" w:hAnsi="Symbol" w:hint="default"/>
      </w:rPr>
    </w:lvl>
    <w:lvl w:ilvl="7" w:tplc="ECF620AE">
      <w:start w:val="1"/>
      <w:numFmt w:val="bullet"/>
      <w:lvlText w:val="o"/>
      <w:lvlJc w:val="left"/>
      <w:pPr>
        <w:ind w:left="5760" w:hanging="360"/>
      </w:pPr>
      <w:rPr>
        <w:rFonts w:ascii="Courier New" w:hAnsi="Courier New" w:hint="default"/>
      </w:rPr>
    </w:lvl>
    <w:lvl w:ilvl="8" w:tplc="20244C24">
      <w:start w:val="1"/>
      <w:numFmt w:val="bullet"/>
      <w:lvlText w:val=""/>
      <w:lvlJc w:val="left"/>
      <w:pPr>
        <w:ind w:left="6480" w:hanging="360"/>
      </w:pPr>
      <w:rPr>
        <w:rFonts w:ascii="Wingdings" w:hAnsi="Wingdings" w:hint="default"/>
      </w:rPr>
    </w:lvl>
  </w:abstractNum>
  <w:abstractNum w:abstractNumId="1" w15:restartNumberingAfterBreak="0">
    <w:nsid w:val="0D551B93"/>
    <w:multiLevelType w:val="hybridMultilevel"/>
    <w:tmpl w:val="DCD8F0EA"/>
    <w:lvl w:ilvl="0" w:tplc="CC74015E">
      <w:start w:val="1"/>
      <w:numFmt w:val="bullet"/>
      <w:lvlText w:val=""/>
      <w:lvlJc w:val="left"/>
      <w:pPr>
        <w:ind w:left="720" w:hanging="360"/>
      </w:pPr>
      <w:rPr>
        <w:rFonts w:ascii="Wingdings" w:hAnsi="Wingdings" w:hint="default"/>
        <w:b/>
        <w:color w:val="C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E0BD9"/>
    <w:multiLevelType w:val="multilevel"/>
    <w:tmpl w:val="B242358E"/>
    <w:lvl w:ilvl="0">
      <w:start w:val="1"/>
      <w:numFmt w:val="decimal"/>
      <w:lvlText w:val="%1"/>
      <w:lvlJc w:val="left"/>
      <w:pPr>
        <w:ind w:left="789" w:hanging="432"/>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1.%2.1"/>
      <w:lvlJc w:val="left"/>
      <w:pPr>
        <w:ind w:left="1434"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color w:val="000000" w:themeColor="text1"/>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007952F"/>
    <w:multiLevelType w:val="hybridMultilevel"/>
    <w:tmpl w:val="FFFFFFFF"/>
    <w:lvl w:ilvl="0" w:tplc="DEFABF0A">
      <w:start w:val="1"/>
      <w:numFmt w:val="bullet"/>
      <w:lvlText w:val=""/>
      <w:lvlJc w:val="left"/>
      <w:pPr>
        <w:ind w:left="720" w:hanging="360"/>
      </w:pPr>
      <w:rPr>
        <w:rFonts w:ascii="Symbol" w:hAnsi="Symbol" w:hint="default"/>
      </w:rPr>
    </w:lvl>
    <w:lvl w:ilvl="1" w:tplc="68088998">
      <w:start w:val="1"/>
      <w:numFmt w:val="bullet"/>
      <w:lvlText w:val="o"/>
      <w:lvlJc w:val="left"/>
      <w:pPr>
        <w:ind w:left="1440" w:hanging="360"/>
      </w:pPr>
      <w:rPr>
        <w:rFonts w:ascii="Courier New" w:hAnsi="Courier New" w:hint="default"/>
      </w:rPr>
    </w:lvl>
    <w:lvl w:ilvl="2" w:tplc="2390A6F4">
      <w:start w:val="1"/>
      <w:numFmt w:val="bullet"/>
      <w:lvlText w:val=""/>
      <w:lvlJc w:val="left"/>
      <w:pPr>
        <w:ind w:left="2160" w:hanging="360"/>
      </w:pPr>
      <w:rPr>
        <w:rFonts w:ascii="Wingdings" w:hAnsi="Wingdings" w:hint="default"/>
      </w:rPr>
    </w:lvl>
    <w:lvl w:ilvl="3" w:tplc="8C007D50">
      <w:start w:val="1"/>
      <w:numFmt w:val="bullet"/>
      <w:lvlText w:val=""/>
      <w:lvlJc w:val="left"/>
      <w:pPr>
        <w:ind w:left="2880" w:hanging="360"/>
      </w:pPr>
      <w:rPr>
        <w:rFonts w:ascii="Symbol" w:hAnsi="Symbol" w:hint="default"/>
      </w:rPr>
    </w:lvl>
    <w:lvl w:ilvl="4" w:tplc="DFDEC156">
      <w:start w:val="1"/>
      <w:numFmt w:val="bullet"/>
      <w:lvlText w:val="o"/>
      <w:lvlJc w:val="left"/>
      <w:pPr>
        <w:ind w:left="3600" w:hanging="360"/>
      </w:pPr>
      <w:rPr>
        <w:rFonts w:ascii="Courier New" w:hAnsi="Courier New" w:hint="default"/>
      </w:rPr>
    </w:lvl>
    <w:lvl w:ilvl="5" w:tplc="9F3660C0">
      <w:start w:val="1"/>
      <w:numFmt w:val="bullet"/>
      <w:lvlText w:val=""/>
      <w:lvlJc w:val="left"/>
      <w:pPr>
        <w:ind w:left="4320" w:hanging="360"/>
      </w:pPr>
      <w:rPr>
        <w:rFonts w:ascii="Wingdings" w:hAnsi="Wingdings" w:hint="default"/>
      </w:rPr>
    </w:lvl>
    <w:lvl w:ilvl="6" w:tplc="3DD8DF20">
      <w:start w:val="1"/>
      <w:numFmt w:val="bullet"/>
      <w:lvlText w:val=""/>
      <w:lvlJc w:val="left"/>
      <w:pPr>
        <w:ind w:left="5040" w:hanging="360"/>
      </w:pPr>
      <w:rPr>
        <w:rFonts w:ascii="Symbol" w:hAnsi="Symbol" w:hint="default"/>
      </w:rPr>
    </w:lvl>
    <w:lvl w:ilvl="7" w:tplc="4D82E014">
      <w:start w:val="1"/>
      <w:numFmt w:val="bullet"/>
      <w:lvlText w:val="o"/>
      <w:lvlJc w:val="left"/>
      <w:pPr>
        <w:ind w:left="5760" w:hanging="360"/>
      </w:pPr>
      <w:rPr>
        <w:rFonts w:ascii="Courier New" w:hAnsi="Courier New" w:hint="default"/>
      </w:rPr>
    </w:lvl>
    <w:lvl w:ilvl="8" w:tplc="E480AA82">
      <w:start w:val="1"/>
      <w:numFmt w:val="bullet"/>
      <w:lvlText w:val=""/>
      <w:lvlJc w:val="left"/>
      <w:pPr>
        <w:ind w:left="6480" w:hanging="360"/>
      </w:pPr>
      <w:rPr>
        <w:rFonts w:ascii="Wingdings" w:hAnsi="Wingdings" w:hint="default"/>
      </w:rPr>
    </w:lvl>
  </w:abstractNum>
  <w:abstractNum w:abstractNumId="4" w15:restartNumberingAfterBreak="0">
    <w:nsid w:val="352B62C9"/>
    <w:multiLevelType w:val="multilevel"/>
    <w:tmpl w:val="04CA17AE"/>
    <w:lvl w:ilvl="0">
      <w:start w:val="1"/>
      <w:numFmt w:val="decimal"/>
      <w:lvlText w:val="%1."/>
      <w:lvlJc w:val="left"/>
      <w:pPr>
        <w:ind w:left="720" w:hanging="36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8800" w:hanging="720"/>
      </w:pPr>
      <w:rPr>
        <w:rFonts w:hint="default"/>
      </w:rPr>
    </w:lvl>
    <w:lvl w:ilvl="2">
      <w:start w:val="1"/>
      <w:numFmt w:val="bullet"/>
      <w:lvlText w:val=""/>
      <w:lvlJc w:val="left"/>
      <w:pPr>
        <w:ind w:left="1512" w:hanging="720"/>
      </w:pPr>
      <w:rPr>
        <w:rFonts w:ascii="Symbol" w:hAnsi="Symbol" w:hint="default"/>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088" w:hanging="1080"/>
      </w:pPr>
      <w:rPr>
        <w:rFonts w:hint="default"/>
        <w:b w:val="0"/>
        <w:color w:val="auto"/>
        <w:sz w:val="24"/>
        <w:szCs w:val="24"/>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5" w15:restartNumberingAfterBreak="0">
    <w:nsid w:val="399302A7"/>
    <w:multiLevelType w:val="hybridMultilevel"/>
    <w:tmpl w:val="FA3E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126FB7"/>
    <w:multiLevelType w:val="multilevel"/>
    <w:tmpl w:val="003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77296"/>
    <w:multiLevelType w:val="multilevel"/>
    <w:tmpl w:val="EEE0A524"/>
    <w:lvl w:ilvl="0">
      <w:start w:val="1"/>
      <w:numFmt w:val="decimal"/>
      <w:pStyle w:val="Heading2"/>
      <w:lvlText w:val="%1."/>
      <w:lvlJc w:val="left"/>
      <w:pPr>
        <w:ind w:left="720" w:hanging="360"/>
      </w:pPr>
      <w:rPr>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8800" w:hanging="720"/>
      </w:pPr>
    </w:lvl>
    <w:lvl w:ilvl="2">
      <w:start w:val="1"/>
      <w:numFmt w:val="decimal"/>
      <w:pStyle w:val="Heading4"/>
      <w:lvlText w:val="%1.%2.%3."/>
      <w:lvlJc w:val="left"/>
      <w:pPr>
        <w:ind w:left="1512" w:hanging="720"/>
      </w:pPr>
      <w:rPr>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088" w:hanging="1080"/>
      </w:pPr>
      <w:rPr>
        <w:b w:val="0"/>
        <w:color w:val="auto"/>
        <w:sz w:val="24"/>
        <w:szCs w:val="24"/>
      </w:rPr>
    </w:lvl>
    <w:lvl w:ilvl="4">
      <w:start w:val="1"/>
      <w:numFmt w:val="decimal"/>
      <w:lvlText w:val="%1.%2.%3.%4.%5."/>
      <w:lvlJc w:val="left"/>
      <w:pPr>
        <w:ind w:left="2664" w:hanging="1440"/>
      </w:pPr>
    </w:lvl>
    <w:lvl w:ilvl="5">
      <w:start w:val="1"/>
      <w:numFmt w:val="decimal"/>
      <w:lvlText w:val="%1.%2.%3.%4.%5.%6."/>
      <w:lvlJc w:val="left"/>
      <w:pPr>
        <w:ind w:left="2880" w:hanging="1440"/>
      </w:pPr>
    </w:lvl>
    <w:lvl w:ilvl="6">
      <w:start w:val="1"/>
      <w:numFmt w:val="decimal"/>
      <w:lvlText w:val="%1.%2.%3.%4.%5.%6.%7."/>
      <w:lvlJc w:val="left"/>
      <w:pPr>
        <w:ind w:left="3456" w:hanging="1800"/>
      </w:pPr>
    </w:lvl>
    <w:lvl w:ilvl="7">
      <w:start w:val="1"/>
      <w:numFmt w:val="decimal"/>
      <w:lvlText w:val="%1.%2.%3.%4.%5.%6.%7.%8."/>
      <w:lvlJc w:val="left"/>
      <w:pPr>
        <w:ind w:left="4032" w:hanging="2160"/>
      </w:pPr>
    </w:lvl>
    <w:lvl w:ilvl="8">
      <w:start w:val="1"/>
      <w:numFmt w:val="decimal"/>
      <w:lvlText w:val="%1.%2.%3.%4.%5.%6.%7.%8.%9."/>
      <w:lvlJc w:val="left"/>
      <w:pPr>
        <w:ind w:left="4248" w:hanging="2160"/>
      </w:pPr>
    </w:lvl>
  </w:abstractNum>
  <w:abstractNum w:abstractNumId="8" w15:restartNumberingAfterBreak="0">
    <w:nsid w:val="5D51313C"/>
    <w:multiLevelType w:val="hybridMultilevel"/>
    <w:tmpl w:val="17E8992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1743406640">
    <w:abstractNumId w:val="0"/>
  </w:num>
  <w:num w:numId="2" w16cid:durableId="1067268156">
    <w:abstractNumId w:val="3"/>
  </w:num>
  <w:num w:numId="3" w16cid:durableId="1272472762">
    <w:abstractNumId w:val="2"/>
  </w:num>
  <w:num w:numId="4" w16cid:durableId="756369504">
    <w:abstractNumId w:val="1"/>
  </w:num>
  <w:num w:numId="5" w16cid:durableId="1811360826">
    <w:abstractNumId w:val="7"/>
  </w:num>
  <w:num w:numId="6" w16cid:durableId="1074350531">
    <w:abstractNumId w:val="5"/>
  </w:num>
  <w:num w:numId="7" w16cid:durableId="1750418433">
    <w:abstractNumId w:val="6"/>
  </w:num>
  <w:num w:numId="8" w16cid:durableId="1071196935">
    <w:abstractNumId w:val="8"/>
  </w:num>
  <w:num w:numId="9" w16cid:durableId="45383687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18"/>
    <w:rsid w:val="00017D75"/>
    <w:rsid w:val="0001BA34"/>
    <w:rsid w:val="00023A3B"/>
    <w:rsid w:val="0006527B"/>
    <w:rsid w:val="00082A6E"/>
    <w:rsid w:val="000C45FB"/>
    <w:rsid w:val="000E51C6"/>
    <w:rsid w:val="000F2CAB"/>
    <w:rsid w:val="000F4CC1"/>
    <w:rsid w:val="00116002"/>
    <w:rsid w:val="00120677"/>
    <w:rsid w:val="0012155C"/>
    <w:rsid w:val="0013587F"/>
    <w:rsid w:val="001D6DC5"/>
    <w:rsid w:val="001E5559"/>
    <w:rsid w:val="001E65C0"/>
    <w:rsid w:val="001F3BA5"/>
    <w:rsid w:val="001F4868"/>
    <w:rsid w:val="00211547"/>
    <w:rsid w:val="002150CE"/>
    <w:rsid w:val="00272222"/>
    <w:rsid w:val="002730AE"/>
    <w:rsid w:val="0028264E"/>
    <w:rsid w:val="002A31EE"/>
    <w:rsid w:val="002A6657"/>
    <w:rsid w:val="002F55CE"/>
    <w:rsid w:val="003074A9"/>
    <w:rsid w:val="0031493A"/>
    <w:rsid w:val="003539A0"/>
    <w:rsid w:val="00390E69"/>
    <w:rsid w:val="003A3EFD"/>
    <w:rsid w:val="003D22DB"/>
    <w:rsid w:val="003D44F2"/>
    <w:rsid w:val="00403684"/>
    <w:rsid w:val="00411355"/>
    <w:rsid w:val="0043603E"/>
    <w:rsid w:val="00475347"/>
    <w:rsid w:val="004B5320"/>
    <w:rsid w:val="004C7CE5"/>
    <w:rsid w:val="004E306C"/>
    <w:rsid w:val="004E6E2A"/>
    <w:rsid w:val="005123C8"/>
    <w:rsid w:val="0052087A"/>
    <w:rsid w:val="005339E0"/>
    <w:rsid w:val="0053607E"/>
    <w:rsid w:val="00537953"/>
    <w:rsid w:val="0056240B"/>
    <w:rsid w:val="00601690"/>
    <w:rsid w:val="00613B18"/>
    <w:rsid w:val="0063215A"/>
    <w:rsid w:val="00637351"/>
    <w:rsid w:val="006415AA"/>
    <w:rsid w:val="00680F72"/>
    <w:rsid w:val="00692C6B"/>
    <w:rsid w:val="006D3F69"/>
    <w:rsid w:val="006E2142"/>
    <w:rsid w:val="0072044D"/>
    <w:rsid w:val="00751D09"/>
    <w:rsid w:val="007610FF"/>
    <w:rsid w:val="007A146B"/>
    <w:rsid w:val="0081580E"/>
    <w:rsid w:val="00816191"/>
    <w:rsid w:val="008314BF"/>
    <w:rsid w:val="00843B1B"/>
    <w:rsid w:val="008466DA"/>
    <w:rsid w:val="008663C4"/>
    <w:rsid w:val="008B13E7"/>
    <w:rsid w:val="008C6F31"/>
    <w:rsid w:val="00932E05"/>
    <w:rsid w:val="0094651D"/>
    <w:rsid w:val="009D21E9"/>
    <w:rsid w:val="009E7E7E"/>
    <w:rsid w:val="00A87DE7"/>
    <w:rsid w:val="00A945D7"/>
    <w:rsid w:val="00B13CCC"/>
    <w:rsid w:val="00B72FC3"/>
    <w:rsid w:val="00BB600A"/>
    <w:rsid w:val="00C00436"/>
    <w:rsid w:val="00C24B1E"/>
    <w:rsid w:val="00C43178"/>
    <w:rsid w:val="00C80BDA"/>
    <w:rsid w:val="00C9538E"/>
    <w:rsid w:val="00CA13D7"/>
    <w:rsid w:val="00CF3F04"/>
    <w:rsid w:val="00D26C10"/>
    <w:rsid w:val="00D433E9"/>
    <w:rsid w:val="00D44EA7"/>
    <w:rsid w:val="00D64E95"/>
    <w:rsid w:val="00DB09C9"/>
    <w:rsid w:val="00DB48DF"/>
    <w:rsid w:val="00E11857"/>
    <w:rsid w:val="00E14D9B"/>
    <w:rsid w:val="00E27313"/>
    <w:rsid w:val="00E27D4B"/>
    <w:rsid w:val="00E375B1"/>
    <w:rsid w:val="00E56781"/>
    <w:rsid w:val="00E93387"/>
    <w:rsid w:val="00EB509E"/>
    <w:rsid w:val="00ED01A0"/>
    <w:rsid w:val="00EE58D3"/>
    <w:rsid w:val="00FC2853"/>
    <w:rsid w:val="00FD1DED"/>
    <w:rsid w:val="00FF4062"/>
    <w:rsid w:val="01055738"/>
    <w:rsid w:val="012CBC54"/>
    <w:rsid w:val="0132B0A1"/>
    <w:rsid w:val="01351741"/>
    <w:rsid w:val="01657835"/>
    <w:rsid w:val="0187C6D8"/>
    <w:rsid w:val="01BB7F69"/>
    <w:rsid w:val="029015D8"/>
    <w:rsid w:val="02C62CFD"/>
    <w:rsid w:val="034E564B"/>
    <w:rsid w:val="035CD899"/>
    <w:rsid w:val="0371B570"/>
    <w:rsid w:val="0393F948"/>
    <w:rsid w:val="04E68CDC"/>
    <w:rsid w:val="04E92885"/>
    <w:rsid w:val="05263227"/>
    <w:rsid w:val="05741D4A"/>
    <w:rsid w:val="0582A170"/>
    <w:rsid w:val="05847B33"/>
    <w:rsid w:val="05E5672F"/>
    <w:rsid w:val="060E8895"/>
    <w:rsid w:val="06632165"/>
    <w:rsid w:val="06B363BA"/>
    <w:rsid w:val="06D44508"/>
    <w:rsid w:val="06D5389C"/>
    <w:rsid w:val="06F667C1"/>
    <w:rsid w:val="073B8ADD"/>
    <w:rsid w:val="075D5FDD"/>
    <w:rsid w:val="0797F9C9"/>
    <w:rsid w:val="07A256CC"/>
    <w:rsid w:val="07C15921"/>
    <w:rsid w:val="07CDCB3B"/>
    <w:rsid w:val="08041010"/>
    <w:rsid w:val="081A3FAC"/>
    <w:rsid w:val="0824178C"/>
    <w:rsid w:val="089E5406"/>
    <w:rsid w:val="08C9799F"/>
    <w:rsid w:val="09A57615"/>
    <w:rsid w:val="09B1861F"/>
    <w:rsid w:val="0A2060B7"/>
    <w:rsid w:val="0A81A625"/>
    <w:rsid w:val="0AD96470"/>
    <w:rsid w:val="0B1629E7"/>
    <w:rsid w:val="0B3AE80F"/>
    <w:rsid w:val="0B8275B6"/>
    <w:rsid w:val="0C3DC03D"/>
    <w:rsid w:val="0C4011C8"/>
    <w:rsid w:val="0C76CDC9"/>
    <w:rsid w:val="0C8AC0FF"/>
    <w:rsid w:val="0CA131DA"/>
    <w:rsid w:val="0CBFDD32"/>
    <w:rsid w:val="0CF0AADB"/>
    <w:rsid w:val="0CFC3381"/>
    <w:rsid w:val="0D399742"/>
    <w:rsid w:val="0F3F1B82"/>
    <w:rsid w:val="0F4CFE90"/>
    <w:rsid w:val="0F91F349"/>
    <w:rsid w:val="10ABBD01"/>
    <w:rsid w:val="111D7EA1"/>
    <w:rsid w:val="11C81CC0"/>
    <w:rsid w:val="11F89C8E"/>
    <w:rsid w:val="1221E4F3"/>
    <w:rsid w:val="1272EBEC"/>
    <w:rsid w:val="12AAD7B9"/>
    <w:rsid w:val="12CCCBFA"/>
    <w:rsid w:val="130CD379"/>
    <w:rsid w:val="13634B25"/>
    <w:rsid w:val="139298C5"/>
    <w:rsid w:val="139314E9"/>
    <w:rsid w:val="14144238"/>
    <w:rsid w:val="14BA2F1B"/>
    <w:rsid w:val="14E9C760"/>
    <w:rsid w:val="1564FE47"/>
    <w:rsid w:val="15957140"/>
    <w:rsid w:val="15A1E465"/>
    <w:rsid w:val="16509EB4"/>
    <w:rsid w:val="16597B49"/>
    <w:rsid w:val="1684AB20"/>
    <w:rsid w:val="16A8C984"/>
    <w:rsid w:val="16BF0EFC"/>
    <w:rsid w:val="16C0761B"/>
    <w:rsid w:val="172B24F7"/>
    <w:rsid w:val="17625D66"/>
    <w:rsid w:val="17738D62"/>
    <w:rsid w:val="17837233"/>
    <w:rsid w:val="180FB313"/>
    <w:rsid w:val="189A0F2E"/>
    <w:rsid w:val="189A4CFF"/>
    <w:rsid w:val="18ED739C"/>
    <w:rsid w:val="195828CB"/>
    <w:rsid w:val="1962358A"/>
    <w:rsid w:val="1976BD7B"/>
    <w:rsid w:val="19ECB809"/>
    <w:rsid w:val="1A3D0334"/>
    <w:rsid w:val="1A4C19D3"/>
    <w:rsid w:val="1B0B880A"/>
    <w:rsid w:val="1B528073"/>
    <w:rsid w:val="1B554A3E"/>
    <w:rsid w:val="1B9DEB3D"/>
    <w:rsid w:val="1BC7E052"/>
    <w:rsid w:val="1C04762D"/>
    <w:rsid w:val="1C13B1EF"/>
    <w:rsid w:val="1CC53D0D"/>
    <w:rsid w:val="1D369DF9"/>
    <w:rsid w:val="1D6F6232"/>
    <w:rsid w:val="1DE16D25"/>
    <w:rsid w:val="1DE5CC1D"/>
    <w:rsid w:val="1DED88D3"/>
    <w:rsid w:val="1E2DD576"/>
    <w:rsid w:val="1E6596E6"/>
    <w:rsid w:val="1E69A071"/>
    <w:rsid w:val="1EA9B315"/>
    <w:rsid w:val="1EC2EF67"/>
    <w:rsid w:val="1F019622"/>
    <w:rsid w:val="1F3C16EF"/>
    <w:rsid w:val="1F3CE4F9"/>
    <w:rsid w:val="1F6A3D10"/>
    <w:rsid w:val="1FBB4409"/>
    <w:rsid w:val="1FC75FB7"/>
    <w:rsid w:val="20068954"/>
    <w:rsid w:val="2049C473"/>
    <w:rsid w:val="20584899"/>
    <w:rsid w:val="2060355E"/>
    <w:rsid w:val="20A058B1"/>
    <w:rsid w:val="20D7E750"/>
    <w:rsid w:val="20DB603A"/>
    <w:rsid w:val="20DB6D06"/>
    <w:rsid w:val="2128D6AB"/>
    <w:rsid w:val="21463C61"/>
    <w:rsid w:val="21AD0FA8"/>
    <w:rsid w:val="21F3A87D"/>
    <w:rsid w:val="2284C118"/>
    <w:rsid w:val="22AAEFC4"/>
    <w:rsid w:val="22BDD678"/>
    <w:rsid w:val="22DAF278"/>
    <w:rsid w:val="233CEECF"/>
    <w:rsid w:val="236D46DE"/>
    <w:rsid w:val="23AE6E8D"/>
    <w:rsid w:val="23D3A748"/>
    <w:rsid w:val="23D7F973"/>
    <w:rsid w:val="23E52F7B"/>
    <w:rsid w:val="23F3FCF4"/>
    <w:rsid w:val="2459A6D9"/>
    <w:rsid w:val="24FA661C"/>
    <w:rsid w:val="25535E19"/>
    <w:rsid w:val="25D420F6"/>
    <w:rsid w:val="26490ABF"/>
    <w:rsid w:val="264D53F8"/>
    <w:rsid w:val="26C6E80D"/>
    <w:rsid w:val="281F4B11"/>
    <w:rsid w:val="284C6DA9"/>
    <w:rsid w:val="289D96C8"/>
    <w:rsid w:val="28AB6A96"/>
    <w:rsid w:val="28C218F6"/>
    <w:rsid w:val="28C63351"/>
    <w:rsid w:val="28E91A02"/>
    <w:rsid w:val="2903AE32"/>
    <w:rsid w:val="292D17FC"/>
    <w:rsid w:val="2957CF18"/>
    <w:rsid w:val="2997D168"/>
    <w:rsid w:val="29C99D84"/>
    <w:rsid w:val="29DA1E81"/>
    <w:rsid w:val="29E14D9E"/>
    <w:rsid w:val="2A03AF91"/>
    <w:rsid w:val="2A0579C1"/>
    <w:rsid w:val="2A0F232B"/>
    <w:rsid w:val="2A3B15D1"/>
    <w:rsid w:val="2A3F6425"/>
    <w:rsid w:val="2A75936B"/>
    <w:rsid w:val="2B522040"/>
    <w:rsid w:val="2B9BE9E1"/>
    <w:rsid w:val="2BC6C9D2"/>
    <w:rsid w:val="2BD855B5"/>
    <w:rsid w:val="2C46EC20"/>
    <w:rsid w:val="2C79E119"/>
    <w:rsid w:val="2CD50F66"/>
    <w:rsid w:val="2CEBA2B9"/>
    <w:rsid w:val="2D039C26"/>
    <w:rsid w:val="2D4D5872"/>
    <w:rsid w:val="2D921C90"/>
    <w:rsid w:val="2E23C523"/>
    <w:rsid w:val="2E4C61D4"/>
    <w:rsid w:val="2E514ACA"/>
    <w:rsid w:val="2E8B6FF2"/>
    <w:rsid w:val="2EA40AE9"/>
    <w:rsid w:val="2EFDEE28"/>
    <w:rsid w:val="2F272F56"/>
    <w:rsid w:val="2F42E53A"/>
    <w:rsid w:val="2F627E2D"/>
    <w:rsid w:val="2F778C6D"/>
    <w:rsid w:val="2FC877B8"/>
    <w:rsid w:val="2FD55E8B"/>
    <w:rsid w:val="2FED5394"/>
    <w:rsid w:val="2FF347E1"/>
    <w:rsid w:val="304D4D69"/>
    <w:rsid w:val="3115D77E"/>
    <w:rsid w:val="3201E921"/>
    <w:rsid w:val="321D6FD9"/>
    <w:rsid w:val="32549088"/>
    <w:rsid w:val="325DBC7C"/>
    <w:rsid w:val="325E38A0"/>
    <w:rsid w:val="32EFAE62"/>
    <w:rsid w:val="336C5F2E"/>
    <w:rsid w:val="33DAA304"/>
    <w:rsid w:val="34379360"/>
    <w:rsid w:val="344C64A4"/>
    <w:rsid w:val="34A99E53"/>
    <w:rsid w:val="34C8B7D3"/>
    <w:rsid w:val="34E1E030"/>
    <w:rsid w:val="350B540C"/>
    <w:rsid w:val="35C501F3"/>
    <w:rsid w:val="36496B8C"/>
    <w:rsid w:val="365999A8"/>
    <w:rsid w:val="36A02735"/>
    <w:rsid w:val="37008966"/>
    <w:rsid w:val="37234402"/>
    <w:rsid w:val="37505DA1"/>
    <w:rsid w:val="37836DEE"/>
    <w:rsid w:val="378423FD"/>
    <w:rsid w:val="37AA67A5"/>
    <w:rsid w:val="380B4903"/>
    <w:rsid w:val="383CC4F0"/>
    <w:rsid w:val="385A23F2"/>
    <w:rsid w:val="388A499D"/>
    <w:rsid w:val="38D0F10A"/>
    <w:rsid w:val="38F7F769"/>
    <w:rsid w:val="393F479A"/>
    <w:rsid w:val="39D6C127"/>
    <w:rsid w:val="39F2A16E"/>
    <w:rsid w:val="3A128C22"/>
    <w:rsid w:val="3A3A9761"/>
    <w:rsid w:val="3A9D06E0"/>
    <w:rsid w:val="3ADA74AD"/>
    <w:rsid w:val="3B22B739"/>
    <w:rsid w:val="3B5BD4CD"/>
    <w:rsid w:val="3B61C91A"/>
    <w:rsid w:val="3BA0CBBC"/>
    <w:rsid w:val="3BBCE0EA"/>
    <w:rsid w:val="3BC2DA39"/>
    <w:rsid w:val="3BDDDEE0"/>
    <w:rsid w:val="3BEBE9C9"/>
    <w:rsid w:val="3BF58EFA"/>
    <w:rsid w:val="3C32C691"/>
    <w:rsid w:val="3CB44B91"/>
    <w:rsid w:val="3CDAECF5"/>
    <w:rsid w:val="3CF8F92D"/>
    <w:rsid w:val="3DCC3DB5"/>
    <w:rsid w:val="3E297764"/>
    <w:rsid w:val="3E4D8C7F"/>
    <w:rsid w:val="3F49C977"/>
    <w:rsid w:val="3F5E55D0"/>
    <w:rsid w:val="3FA61499"/>
    <w:rsid w:val="3FEB54DB"/>
    <w:rsid w:val="4026D1C7"/>
    <w:rsid w:val="406B33C2"/>
    <w:rsid w:val="408D17E0"/>
    <w:rsid w:val="40C17839"/>
    <w:rsid w:val="413F9EDA"/>
    <w:rsid w:val="415E1DBB"/>
    <w:rsid w:val="42F13204"/>
    <w:rsid w:val="430D5A10"/>
    <w:rsid w:val="433ECB2E"/>
    <w:rsid w:val="43780CFC"/>
    <w:rsid w:val="43870936"/>
    <w:rsid w:val="43A6EC04"/>
    <w:rsid w:val="43DA7FC2"/>
    <w:rsid w:val="44C33AD8"/>
    <w:rsid w:val="44C7A858"/>
    <w:rsid w:val="44EBF131"/>
    <w:rsid w:val="45C7B444"/>
    <w:rsid w:val="466F04C0"/>
    <w:rsid w:val="46D9509B"/>
    <w:rsid w:val="47006FFE"/>
    <w:rsid w:val="478949CA"/>
    <w:rsid w:val="48733A9B"/>
    <w:rsid w:val="48831802"/>
    <w:rsid w:val="488BA689"/>
    <w:rsid w:val="48C4B415"/>
    <w:rsid w:val="48D5AD9F"/>
    <w:rsid w:val="48DCAD82"/>
    <w:rsid w:val="48FD9A74"/>
    <w:rsid w:val="493441E6"/>
    <w:rsid w:val="4949780A"/>
    <w:rsid w:val="49884DDD"/>
    <w:rsid w:val="49C4B56C"/>
    <w:rsid w:val="4A0790F2"/>
    <w:rsid w:val="4A940A93"/>
    <w:rsid w:val="4B360C4C"/>
    <w:rsid w:val="4B3AE37B"/>
    <w:rsid w:val="4B75E41C"/>
    <w:rsid w:val="4BA6E39F"/>
    <w:rsid w:val="4BC2D06B"/>
    <w:rsid w:val="4BE167D6"/>
    <w:rsid w:val="4C3B0A49"/>
    <w:rsid w:val="4C48A294"/>
    <w:rsid w:val="4C57DAB2"/>
    <w:rsid w:val="4CB53CDE"/>
    <w:rsid w:val="4D1CF106"/>
    <w:rsid w:val="4D613932"/>
    <w:rsid w:val="4DCBAB55"/>
    <w:rsid w:val="4E289419"/>
    <w:rsid w:val="4E4B9F1C"/>
    <w:rsid w:val="4E87F6F7"/>
    <w:rsid w:val="50610A69"/>
    <w:rsid w:val="5093A13A"/>
    <w:rsid w:val="5175DB2A"/>
    <w:rsid w:val="517A0952"/>
    <w:rsid w:val="51F620F0"/>
    <w:rsid w:val="521BC4A3"/>
    <w:rsid w:val="52629042"/>
    <w:rsid w:val="5384608A"/>
    <w:rsid w:val="543AECD9"/>
    <w:rsid w:val="545DD6B4"/>
    <w:rsid w:val="5467ED85"/>
    <w:rsid w:val="550E9072"/>
    <w:rsid w:val="5569FD11"/>
    <w:rsid w:val="55AFD283"/>
    <w:rsid w:val="55C74447"/>
    <w:rsid w:val="5625059F"/>
    <w:rsid w:val="56377043"/>
    <w:rsid w:val="5639D6E3"/>
    <w:rsid w:val="5641C469"/>
    <w:rsid w:val="56C20A2F"/>
    <w:rsid w:val="57FBB45A"/>
    <w:rsid w:val="584E8407"/>
    <w:rsid w:val="585D6A13"/>
    <w:rsid w:val="5893113F"/>
    <w:rsid w:val="59B06D3B"/>
    <w:rsid w:val="59C599B3"/>
    <w:rsid w:val="5A0220EF"/>
    <w:rsid w:val="5A0F7761"/>
    <w:rsid w:val="5A640BA8"/>
    <w:rsid w:val="5B06EBE8"/>
    <w:rsid w:val="5B1B4B6F"/>
    <w:rsid w:val="5B6F33BA"/>
    <w:rsid w:val="5B8DF36E"/>
    <w:rsid w:val="5BAC39F9"/>
    <w:rsid w:val="5BF130E8"/>
    <w:rsid w:val="5C1BD24E"/>
    <w:rsid w:val="5CC6FEBB"/>
    <w:rsid w:val="5CD3B947"/>
    <w:rsid w:val="5D295352"/>
    <w:rsid w:val="5D2A7310"/>
    <w:rsid w:val="5D4F9958"/>
    <w:rsid w:val="5DE7C696"/>
    <w:rsid w:val="5EF2E1C3"/>
    <w:rsid w:val="5F2FF4E7"/>
    <w:rsid w:val="5F74EBD6"/>
    <w:rsid w:val="5F805A3F"/>
    <w:rsid w:val="603E32B4"/>
    <w:rsid w:val="608383E0"/>
    <w:rsid w:val="60FE0375"/>
    <w:rsid w:val="61877900"/>
    <w:rsid w:val="619FA286"/>
    <w:rsid w:val="6296BB99"/>
    <w:rsid w:val="62E6D687"/>
    <w:rsid w:val="6374C659"/>
    <w:rsid w:val="63B58D81"/>
    <w:rsid w:val="6451DAEC"/>
    <w:rsid w:val="6489698B"/>
    <w:rsid w:val="648B9C0B"/>
    <w:rsid w:val="64D20184"/>
    <w:rsid w:val="654A306B"/>
    <w:rsid w:val="665F7017"/>
    <w:rsid w:val="66AC671B"/>
    <w:rsid w:val="66C71FDE"/>
    <w:rsid w:val="66F2990E"/>
    <w:rsid w:val="6728D09F"/>
    <w:rsid w:val="676EF5F8"/>
    <w:rsid w:val="680B2914"/>
    <w:rsid w:val="681DDC12"/>
    <w:rsid w:val="684B413D"/>
    <w:rsid w:val="69254C0F"/>
    <w:rsid w:val="6950620D"/>
    <w:rsid w:val="69518272"/>
    <w:rsid w:val="695D9E20"/>
    <w:rsid w:val="69C11AC7"/>
    <w:rsid w:val="69D9B5BE"/>
    <w:rsid w:val="69F70571"/>
    <w:rsid w:val="6A3879CF"/>
    <w:rsid w:val="6AB6263A"/>
    <w:rsid w:val="6ACE9BCB"/>
    <w:rsid w:val="6AFA2FA1"/>
    <w:rsid w:val="6B298212"/>
    <w:rsid w:val="6B5FE5D6"/>
    <w:rsid w:val="6C08D611"/>
    <w:rsid w:val="6C39BADF"/>
    <w:rsid w:val="6C8657ED"/>
    <w:rsid w:val="6C947B70"/>
    <w:rsid w:val="6CFAD2E1"/>
    <w:rsid w:val="6D0E23BF"/>
    <w:rsid w:val="6D1EC6DB"/>
    <w:rsid w:val="6D531AAE"/>
    <w:rsid w:val="6D566A60"/>
    <w:rsid w:val="6D8B5328"/>
    <w:rsid w:val="6E7606B8"/>
    <w:rsid w:val="6EDC73CC"/>
    <w:rsid w:val="6F14C5DA"/>
    <w:rsid w:val="6F1B6521"/>
    <w:rsid w:val="6F4A5D6D"/>
    <w:rsid w:val="6F765DFA"/>
    <w:rsid w:val="6FA53F7D"/>
    <w:rsid w:val="6FAFF4E0"/>
    <w:rsid w:val="6FD969B3"/>
    <w:rsid w:val="7011351D"/>
    <w:rsid w:val="706DC992"/>
    <w:rsid w:val="708579AC"/>
    <w:rsid w:val="7090FA8D"/>
    <w:rsid w:val="70C211A5"/>
    <w:rsid w:val="71412EA1"/>
    <w:rsid w:val="71443643"/>
    <w:rsid w:val="719898E1"/>
    <w:rsid w:val="71B20B5A"/>
    <w:rsid w:val="71C36E1C"/>
    <w:rsid w:val="72026034"/>
    <w:rsid w:val="7214148E"/>
    <w:rsid w:val="7247A076"/>
    <w:rsid w:val="730424B5"/>
    <w:rsid w:val="731C7E98"/>
    <w:rsid w:val="734DDBBB"/>
    <w:rsid w:val="73F8DAD1"/>
    <w:rsid w:val="73FB8CF4"/>
    <w:rsid w:val="74455A2A"/>
    <w:rsid w:val="749338FA"/>
    <w:rsid w:val="74C2907D"/>
    <w:rsid w:val="74C7F131"/>
    <w:rsid w:val="754836F7"/>
    <w:rsid w:val="75EE8CF6"/>
    <w:rsid w:val="7612FBFC"/>
    <w:rsid w:val="76CE4973"/>
    <w:rsid w:val="76D96271"/>
    <w:rsid w:val="770121F1"/>
    <w:rsid w:val="771389B5"/>
    <w:rsid w:val="77220DDB"/>
    <w:rsid w:val="77393BF5"/>
    <w:rsid w:val="77536A89"/>
    <w:rsid w:val="779ADE22"/>
    <w:rsid w:val="77A96070"/>
    <w:rsid w:val="77DFE9A7"/>
    <w:rsid w:val="78033436"/>
    <w:rsid w:val="78082481"/>
    <w:rsid w:val="7816F3E8"/>
    <w:rsid w:val="78953CB4"/>
    <w:rsid w:val="78BD6DBF"/>
    <w:rsid w:val="78C19BE7"/>
    <w:rsid w:val="78F75C65"/>
    <w:rsid w:val="7901E88A"/>
    <w:rsid w:val="790FF75A"/>
    <w:rsid w:val="7921481B"/>
    <w:rsid w:val="79EF0ABA"/>
    <w:rsid w:val="7A13A6F9"/>
    <w:rsid w:val="7A142036"/>
    <w:rsid w:val="7A1635B1"/>
    <w:rsid w:val="7A1D4C2A"/>
    <w:rsid w:val="7A8F571D"/>
    <w:rsid w:val="7ADBBF6E"/>
    <w:rsid w:val="7AF090B2"/>
    <w:rsid w:val="7B0779C6"/>
    <w:rsid w:val="7B4C595B"/>
    <w:rsid w:val="7B4DCA61"/>
    <w:rsid w:val="7BAF801A"/>
    <w:rsid w:val="7BDF72F4"/>
    <w:rsid w:val="7BEEDEA3"/>
    <w:rsid w:val="7C22131D"/>
    <w:rsid w:val="7CC0C265"/>
    <w:rsid w:val="7D8956FE"/>
    <w:rsid w:val="7DB22119"/>
    <w:rsid w:val="7E0A844D"/>
    <w:rsid w:val="7E892C4C"/>
    <w:rsid w:val="7EE00975"/>
    <w:rsid w:val="7EE97B92"/>
    <w:rsid w:val="7EF09ECF"/>
    <w:rsid w:val="7EF1681D"/>
    <w:rsid w:val="7F2E75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DDDDC"/>
  <w15:docId w15:val="{0F8A9458-3D19-438A-8DE3-A73EE1E7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B18"/>
    <w:pPr>
      <w:spacing w:after="0" w:line="240" w:lineRule="auto"/>
    </w:pPr>
    <w:rPr>
      <w:rFonts w:ascii="Calibri" w:hAnsi="Calibri" w:cs="Calibri"/>
    </w:rPr>
  </w:style>
  <w:style w:type="paragraph" w:styleId="Heading1">
    <w:name w:val="heading 1"/>
    <w:basedOn w:val="Normal"/>
    <w:next w:val="Normal"/>
    <w:link w:val="Heading1Char"/>
    <w:uiPriority w:val="9"/>
    <w:qFormat/>
    <w:rsid w:val="008466DA"/>
    <w:pPr>
      <w:spacing w:before="240" w:after="240" w:line="276" w:lineRule="auto"/>
      <w:ind w:left="-142"/>
      <w:outlineLvl w:val="0"/>
    </w:pPr>
    <w:rPr>
      <w:rFonts w:ascii="Arial" w:eastAsia="BatangChe" w:hAnsi="Arial" w:cs="Arial"/>
      <w:b/>
      <w:bCs/>
      <w:color w:val="0072C6"/>
      <w:kern w:val="32"/>
      <w:sz w:val="32"/>
      <w:szCs w:val="32"/>
    </w:rPr>
  </w:style>
  <w:style w:type="paragraph" w:styleId="Heading2">
    <w:name w:val="heading 2"/>
    <w:basedOn w:val="Normal"/>
    <w:next w:val="Normal"/>
    <w:link w:val="Heading2Char"/>
    <w:uiPriority w:val="9"/>
    <w:unhideWhenUsed/>
    <w:qFormat/>
    <w:rsid w:val="00017D75"/>
    <w:pPr>
      <w:numPr>
        <w:numId w:val="5"/>
      </w:numPr>
      <w:spacing w:before="240" w:after="240" w:line="360" w:lineRule="auto"/>
      <w:ind w:left="425" w:hanging="567"/>
      <w:outlineLvl w:val="1"/>
    </w:pPr>
    <w:rPr>
      <w:rFonts w:ascii="Arial" w:eastAsia="Times New Roman" w:hAnsi="Arial" w:cs="Times New Roman"/>
      <w:b/>
      <w:bCs/>
      <w:iCs/>
      <w:sz w:val="28"/>
      <w:szCs w:val="28"/>
    </w:rPr>
  </w:style>
  <w:style w:type="paragraph" w:styleId="Heading3">
    <w:name w:val="heading 3"/>
    <w:basedOn w:val="Heading2"/>
    <w:next w:val="Normal"/>
    <w:link w:val="Heading3Char"/>
    <w:uiPriority w:val="9"/>
    <w:unhideWhenUsed/>
    <w:qFormat/>
    <w:rsid w:val="00E14D9B"/>
    <w:pPr>
      <w:numPr>
        <w:ilvl w:val="1"/>
      </w:numPr>
      <w:ind w:left="567" w:hanging="579"/>
      <w:outlineLvl w:val="2"/>
    </w:pPr>
    <w:rPr>
      <w:b w:val="0"/>
      <w:sz w:val="24"/>
      <w:szCs w:val="24"/>
    </w:rPr>
  </w:style>
  <w:style w:type="paragraph" w:styleId="Heading4">
    <w:name w:val="heading 4"/>
    <w:basedOn w:val="Heading2"/>
    <w:next w:val="Normal"/>
    <w:link w:val="Heading4Char"/>
    <w:unhideWhenUsed/>
    <w:qFormat/>
    <w:rsid w:val="00C80BDA"/>
    <w:pPr>
      <w:numPr>
        <w:ilvl w:val="2"/>
      </w:numPr>
      <w:ind w:left="1134" w:hanging="992"/>
      <w:outlineLvl w:val="3"/>
    </w:pPr>
    <w:rPr>
      <w:b w:val="0"/>
      <w:sz w:val="24"/>
      <w:szCs w:val="24"/>
    </w:rPr>
  </w:style>
  <w:style w:type="paragraph" w:styleId="Heading5">
    <w:name w:val="heading 5"/>
    <w:basedOn w:val="Normal"/>
    <w:next w:val="Normal"/>
    <w:link w:val="Heading5Char"/>
    <w:unhideWhenUsed/>
    <w:qFormat/>
    <w:rsid w:val="00390E69"/>
    <w:pPr>
      <w:keepNext/>
      <w:keepLines/>
      <w:numPr>
        <w:ilvl w:val="4"/>
        <w:numId w:val="3"/>
      </w:numPr>
      <w:spacing w:before="200"/>
      <w:outlineLvl w:val="4"/>
    </w:pPr>
    <w:rPr>
      <w:rFonts w:asciiTheme="majorHAnsi" w:eastAsiaTheme="majorEastAsia" w:hAnsiTheme="majorHAnsi" w:cstheme="majorBidi"/>
      <w:bCs/>
      <w:color w:val="243F60" w:themeColor="accent1" w:themeShade="7F"/>
      <w:sz w:val="24"/>
      <w:szCs w:val="26"/>
    </w:rPr>
  </w:style>
  <w:style w:type="paragraph" w:styleId="Heading6">
    <w:name w:val="heading 6"/>
    <w:basedOn w:val="Normal"/>
    <w:next w:val="Normal"/>
    <w:link w:val="Heading6Char"/>
    <w:unhideWhenUsed/>
    <w:qFormat/>
    <w:rsid w:val="00390E69"/>
    <w:pPr>
      <w:keepNext/>
      <w:keepLines/>
      <w:numPr>
        <w:ilvl w:val="5"/>
        <w:numId w:val="3"/>
      </w:numPr>
      <w:spacing w:before="200"/>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basedOn w:val="Normal"/>
    <w:next w:val="Normal"/>
    <w:link w:val="Heading7Char"/>
    <w:unhideWhenUsed/>
    <w:qFormat/>
    <w:rsid w:val="00390E69"/>
    <w:pPr>
      <w:keepNext/>
      <w:keepLines/>
      <w:numPr>
        <w:ilvl w:val="6"/>
        <w:numId w:val="3"/>
      </w:numPr>
      <w:spacing w:before="20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nhideWhenUsed/>
    <w:qFormat/>
    <w:rsid w:val="00390E69"/>
    <w:pPr>
      <w:keepNext/>
      <w:keepLines/>
      <w:numPr>
        <w:ilvl w:val="7"/>
        <w:numId w:val="3"/>
      </w:numPr>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nhideWhenUsed/>
    <w:qFormat/>
    <w:rsid w:val="00390E69"/>
    <w:pPr>
      <w:keepNext/>
      <w:keepLines/>
      <w:numPr>
        <w:ilvl w:val="8"/>
        <w:numId w:val="3"/>
      </w:numPr>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B18"/>
    <w:pPr>
      <w:ind w:left="720"/>
    </w:pPr>
  </w:style>
  <w:style w:type="paragraph" w:styleId="Title">
    <w:name w:val="Title"/>
    <w:basedOn w:val="Normal"/>
    <w:next w:val="Normal"/>
    <w:link w:val="TitleChar"/>
    <w:qFormat/>
    <w:rsid w:val="00390E69"/>
    <w:rPr>
      <w:rFonts w:ascii="Arial" w:eastAsia="Times New Roman" w:hAnsi="Arial" w:cs="Times New Roman"/>
      <w:b/>
      <w:bCs/>
      <w:color w:val="1F497D" w:themeColor="text2"/>
      <w:sz w:val="80"/>
      <w:szCs w:val="80"/>
    </w:r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rPr>
  </w:style>
  <w:style w:type="character" w:customStyle="1" w:styleId="Heading4Char">
    <w:name w:val="Heading 4 Char"/>
    <w:basedOn w:val="DefaultParagraphFont"/>
    <w:link w:val="Heading4"/>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rsid w:val="00390E69"/>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rsid w:val="00390E69"/>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rPr>
  </w:style>
  <w:style w:type="character" w:customStyle="1" w:styleId="Heading3Char">
    <w:name w:val="Heading 3 Char"/>
    <w:basedOn w:val="DefaultParagraphFont"/>
    <w:link w:val="Heading3"/>
    <w:uiPriority w:val="9"/>
    <w:rsid w:val="00E14D9B"/>
    <w:rPr>
      <w:rFonts w:ascii="Arial" w:eastAsia="Times New Roman" w:hAnsi="Arial" w:cs="Times New Roman"/>
      <w:bCs/>
      <w:iCs/>
      <w:sz w:val="24"/>
      <w:szCs w:val="24"/>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4036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3684"/>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C80BDA"/>
    <w:pPr>
      <w:spacing w:after="100"/>
    </w:pPr>
  </w:style>
  <w:style w:type="paragraph" w:styleId="TOC2">
    <w:name w:val="toc 2"/>
    <w:basedOn w:val="Normal"/>
    <w:next w:val="Normal"/>
    <w:autoRedefine/>
    <w:uiPriority w:val="39"/>
    <w:unhideWhenUsed/>
    <w:rsid w:val="00C80BDA"/>
    <w:pPr>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iPriority w:val="99"/>
    <w:unhideWhenUsed/>
    <w:rsid w:val="006415AA"/>
    <w:pPr>
      <w:tabs>
        <w:tab w:val="center" w:pos="4513"/>
        <w:tab w:val="right" w:pos="9026"/>
      </w:tabs>
    </w:pPr>
  </w:style>
  <w:style w:type="character" w:customStyle="1" w:styleId="HeaderChar">
    <w:name w:val="Header Char"/>
    <w:basedOn w:val="DefaultParagraphFont"/>
    <w:link w:val="Header"/>
    <w:uiPriority w:val="99"/>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uiPriority w:val="59"/>
    <w:rsid w:val="0001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93A"/>
    <w:rPr>
      <w:sz w:val="16"/>
      <w:szCs w:val="16"/>
    </w:rPr>
  </w:style>
  <w:style w:type="paragraph" w:styleId="CommentText">
    <w:name w:val="annotation text"/>
    <w:basedOn w:val="Normal"/>
    <w:link w:val="CommentTextChar"/>
    <w:uiPriority w:val="99"/>
    <w:unhideWhenUsed/>
    <w:rsid w:val="0031493A"/>
    <w:rPr>
      <w:sz w:val="20"/>
      <w:szCs w:val="20"/>
    </w:rPr>
  </w:style>
  <w:style w:type="character" w:customStyle="1" w:styleId="CommentTextChar">
    <w:name w:val="Comment Text Char"/>
    <w:basedOn w:val="DefaultParagraphFont"/>
    <w:link w:val="CommentText"/>
    <w:uiPriority w:val="99"/>
    <w:rsid w:val="0031493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1493A"/>
    <w:rPr>
      <w:b/>
      <w:bCs/>
    </w:rPr>
  </w:style>
  <w:style w:type="character" w:customStyle="1" w:styleId="CommentSubjectChar">
    <w:name w:val="Comment Subject Char"/>
    <w:basedOn w:val="CommentTextChar"/>
    <w:link w:val="CommentSubject"/>
    <w:uiPriority w:val="99"/>
    <w:semiHidden/>
    <w:rsid w:val="0031493A"/>
    <w:rPr>
      <w:rFonts w:ascii="Calibri" w:hAnsi="Calibri" w:cs="Calibri"/>
      <w:b/>
      <w:bCs/>
      <w:sz w:val="20"/>
      <w:szCs w:val="20"/>
    </w:rPr>
  </w:style>
  <w:style w:type="paragraph" w:customStyle="1" w:styleId="paragraph">
    <w:name w:val="paragraph"/>
    <w:basedOn w:val="Normal"/>
    <w:rsid w:val="000F2CA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2CAB"/>
  </w:style>
  <w:style w:type="character" w:customStyle="1" w:styleId="eop">
    <w:name w:val="eop"/>
    <w:basedOn w:val="DefaultParagraphFont"/>
    <w:rsid w:val="000F2CAB"/>
  </w:style>
  <w:style w:type="character" w:styleId="Strong">
    <w:name w:val="Strong"/>
    <w:basedOn w:val="DefaultParagraphFont"/>
    <w:uiPriority w:val="22"/>
    <w:qFormat/>
    <w:rsid w:val="00720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14">
      <w:bodyDiv w:val="1"/>
      <w:marLeft w:val="0"/>
      <w:marRight w:val="0"/>
      <w:marTop w:val="0"/>
      <w:marBottom w:val="0"/>
      <w:divBdr>
        <w:top w:val="none" w:sz="0" w:space="0" w:color="auto"/>
        <w:left w:val="none" w:sz="0" w:space="0" w:color="auto"/>
        <w:bottom w:val="none" w:sz="0" w:space="0" w:color="auto"/>
        <w:right w:val="none" w:sz="0" w:space="0" w:color="auto"/>
      </w:divBdr>
    </w:div>
    <w:div w:id="41297147">
      <w:bodyDiv w:val="1"/>
      <w:marLeft w:val="0"/>
      <w:marRight w:val="0"/>
      <w:marTop w:val="0"/>
      <w:marBottom w:val="0"/>
      <w:divBdr>
        <w:top w:val="none" w:sz="0" w:space="0" w:color="auto"/>
        <w:left w:val="none" w:sz="0" w:space="0" w:color="auto"/>
        <w:bottom w:val="none" w:sz="0" w:space="0" w:color="auto"/>
        <w:right w:val="none" w:sz="0" w:space="0" w:color="auto"/>
      </w:divBdr>
    </w:div>
    <w:div w:id="294337459">
      <w:bodyDiv w:val="1"/>
      <w:marLeft w:val="0"/>
      <w:marRight w:val="0"/>
      <w:marTop w:val="0"/>
      <w:marBottom w:val="0"/>
      <w:divBdr>
        <w:top w:val="none" w:sz="0" w:space="0" w:color="auto"/>
        <w:left w:val="none" w:sz="0" w:space="0" w:color="auto"/>
        <w:bottom w:val="none" w:sz="0" w:space="0" w:color="auto"/>
        <w:right w:val="none" w:sz="0" w:space="0" w:color="auto"/>
      </w:divBdr>
    </w:div>
    <w:div w:id="651250693">
      <w:bodyDiv w:val="1"/>
      <w:marLeft w:val="0"/>
      <w:marRight w:val="0"/>
      <w:marTop w:val="0"/>
      <w:marBottom w:val="0"/>
      <w:divBdr>
        <w:top w:val="none" w:sz="0" w:space="0" w:color="auto"/>
        <w:left w:val="none" w:sz="0" w:space="0" w:color="auto"/>
        <w:bottom w:val="none" w:sz="0" w:space="0" w:color="auto"/>
        <w:right w:val="none" w:sz="0" w:space="0" w:color="auto"/>
      </w:divBdr>
    </w:div>
    <w:div w:id="856038986">
      <w:bodyDiv w:val="1"/>
      <w:marLeft w:val="0"/>
      <w:marRight w:val="0"/>
      <w:marTop w:val="0"/>
      <w:marBottom w:val="0"/>
      <w:divBdr>
        <w:top w:val="none" w:sz="0" w:space="0" w:color="auto"/>
        <w:left w:val="none" w:sz="0" w:space="0" w:color="auto"/>
        <w:bottom w:val="none" w:sz="0" w:space="0" w:color="auto"/>
        <w:right w:val="none" w:sz="0" w:space="0" w:color="auto"/>
      </w:divBdr>
    </w:div>
    <w:div w:id="903492244">
      <w:bodyDiv w:val="1"/>
      <w:marLeft w:val="0"/>
      <w:marRight w:val="0"/>
      <w:marTop w:val="0"/>
      <w:marBottom w:val="0"/>
      <w:divBdr>
        <w:top w:val="none" w:sz="0" w:space="0" w:color="auto"/>
        <w:left w:val="none" w:sz="0" w:space="0" w:color="auto"/>
        <w:bottom w:val="none" w:sz="0" w:space="0" w:color="auto"/>
        <w:right w:val="none" w:sz="0" w:space="0" w:color="auto"/>
      </w:divBdr>
    </w:div>
    <w:div w:id="1029257919">
      <w:bodyDiv w:val="1"/>
      <w:marLeft w:val="0"/>
      <w:marRight w:val="0"/>
      <w:marTop w:val="0"/>
      <w:marBottom w:val="0"/>
      <w:divBdr>
        <w:top w:val="none" w:sz="0" w:space="0" w:color="auto"/>
        <w:left w:val="none" w:sz="0" w:space="0" w:color="auto"/>
        <w:bottom w:val="none" w:sz="0" w:space="0" w:color="auto"/>
        <w:right w:val="none" w:sz="0" w:space="0" w:color="auto"/>
      </w:divBdr>
    </w:div>
    <w:div w:id="1052466911">
      <w:bodyDiv w:val="1"/>
      <w:marLeft w:val="0"/>
      <w:marRight w:val="0"/>
      <w:marTop w:val="0"/>
      <w:marBottom w:val="0"/>
      <w:divBdr>
        <w:top w:val="none" w:sz="0" w:space="0" w:color="auto"/>
        <w:left w:val="none" w:sz="0" w:space="0" w:color="auto"/>
        <w:bottom w:val="none" w:sz="0" w:space="0" w:color="auto"/>
        <w:right w:val="none" w:sz="0" w:space="0" w:color="auto"/>
      </w:divBdr>
    </w:div>
    <w:div w:id="1441417138">
      <w:bodyDiv w:val="1"/>
      <w:marLeft w:val="0"/>
      <w:marRight w:val="0"/>
      <w:marTop w:val="0"/>
      <w:marBottom w:val="0"/>
      <w:divBdr>
        <w:top w:val="none" w:sz="0" w:space="0" w:color="auto"/>
        <w:left w:val="none" w:sz="0" w:space="0" w:color="auto"/>
        <w:bottom w:val="none" w:sz="0" w:space="0" w:color="auto"/>
        <w:right w:val="none" w:sz="0" w:space="0" w:color="auto"/>
      </w:divBdr>
    </w:div>
    <w:div w:id="1718897266">
      <w:bodyDiv w:val="1"/>
      <w:marLeft w:val="0"/>
      <w:marRight w:val="0"/>
      <w:marTop w:val="0"/>
      <w:marBottom w:val="0"/>
      <w:divBdr>
        <w:top w:val="none" w:sz="0" w:space="0" w:color="auto"/>
        <w:left w:val="none" w:sz="0" w:space="0" w:color="auto"/>
        <w:bottom w:val="none" w:sz="0" w:space="0" w:color="auto"/>
        <w:right w:val="none" w:sz="0" w:space="0" w:color="auto"/>
      </w:divBdr>
    </w:div>
    <w:div w:id="1852604304">
      <w:bodyDiv w:val="1"/>
      <w:marLeft w:val="0"/>
      <w:marRight w:val="0"/>
      <w:marTop w:val="0"/>
      <w:marBottom w:val="0"/>
      <w:divBdr>
        <w:top w:val="none" w:sz="0" w:space="0" w:color="auto"/>
        <w:left w:val="none" w:sz="0" w:space="0" w:color="auto"/>
        <w:bottom w:val="none" w:sz="0" w:space="0" w:color="auto"/>
        <w:right w:val="none" w:sz="0" w:space="0" w:color="auto"/>
      </w:divBdr>
      <w:divsChild>
        <w:div w:id="34937387">
          <w:marLeft w:val="0"/>
          <w:marRight w:val="0"/>
          <w:marTop w:val="0"/>
          <w:marBottom w:val="0"/>
          <w:divBdr>
            <w:top w:val="none" w:sz="0" w:space="0" w:color="auto"/>
            <w:left w:val="none" w:sz="0" w:space="0" w:color="auto"/>
            <w:bottom w:val="none" w:sz="0" w:space="0" w:color="auto"/>
            <w:right w:val="none" w:sz="0" w:space="0" w:color="auto"/>
          </w:divBdr>
        </w:div>
        <w:div w:id="55248025">
          <w:marLeft w:val="0"/>
          <w:marRight w:val="0"/>
          <w:marTop w:val="0"/>
          <w:marBottom w:val="0"/>
          <w:divBdr>
            <w:top w:val="none" w:sz="0" w:space="0" w:color="auto"/>
            <w:left w:val="none" w:sz="0" w:space="0" w:color="auto"/>
            <w:bottom w:val="none" w:sz="0" w:space="0" w:color="auto"/>
            <w:right w:val="none" w:sz="0" w:space="0" w:color="auto"/>
          </w:divBdr>
        </w:div>
        <w:div w:id="144975168">
          <w:marLeft w:val="0"/>
          <w:marRight w:val="0"/>
          <w:marTop w:val="0"/>
          <w:marBottom w:val="0"/>
          <w:divBdr>
            <w:top w:val="none" w:sz="0" w:space="0" w:color="auto"/>
            <w:left w:val="none" w:sz="0" w:space="0" w:color="auto"/>
            <w:bottom w:val="none" w:sz="0" w:space="0" w:color="auto"/>
            <w:right w:val="none" w:sz="0" w:space="0" w:color="auto"/>
          </w:divBdr>
        </w:div>
        <w:div w:id="252326861">
          <w:marLeft w:val="0"/>
          <w:marRight w:val="0"/>
          <w:marTop w:val="0"/>
          <w:marBottom w:val="0"/>
          <w:divBdr>
            <w:top w:val="none" w:sz="0" w:space="0" w:color="auto"/>
            <w:left w:val="none" w:sz="0" w:space="0" w:color="auto"/>
            <w:bottom w:val="none" w:sz="0" w:space="0" w:color="auto"/>
            <w:right w:val="none" w:sz="0" w:space="0" w:color="auto"/>
          </w:divBdr>
        </w:div>
        <w:div w:id="297734790">
          <w:marLeft w:val="0"/>
          <w:marRight w:val="0"/>
          <w:marTop w:val="0"/>
          <w:marBottom w:val="0"/>
          <w:divBdr>
            <w:top w:val="none" w:sz="0" w:space="0" w:color="auto"/>
            <w:left w:val="none" w:sz="0" w:space="0" w:color="auto"/>
            <w:bottom w:val="none" w:sz="0" w:space="0" w:color="auto"/>
            <w:right w:val="none" w:sz="0" w:space="0" w:color="auto"/>
          </w:divBdr>
        </w:div>
        <w:div w:id="496654917">
          <w:marLeft w:val="0"/>
          <w:marRight w:val="0"/>
          <w:marTop w:val="0"/>
          <w:marBottom w:val="0"/>
          <w:divBdr>
            <w:top w:val="none" w:sz="0" w:space="0" w:color="auto"/>
            <w:left w:val="none" w:sz="0" w:space="0" w:color="auto"/>
            <w:bottom w:val="none" w:sz="0" w:space="0" w:color="auto"/>
            <w:right w:val="none" w:sz="0" w:space="0" w:color="auto"/>
          </w:divBdr>
        </w:div>
        <w:div w:id="686910403">
          <w:marLeft w:val="0"/>
          <w:marRight w:val="0"/>
          <w:marTop w:val="0"/>
          <w:marBottom w:val="0"/>
          <w:divBdr>
            <w:top w:val="none" w:sz="0" w:space="0" w:color="auto"/>
            <w:left w:val="none" w:sz="0" w:space="0" w:color="auto"/>
            <w:bottom w:val="none" w:sz="0" w:space="0" w:color="auto"/>
            <w:right w:val="none" w:sz="0" w:space="0" w:color="auto"/>
          </w:divBdr>
        </w:div>
        <w:div w:id="926573185">
          <w:marLeft w:val="0"/>
          <w:marRight w:val="0"/>
          <w:marTop w:val="0"/>
          <w:marBottom w:val="0"/>
          <w:divBdr>
            <w:top w:val="none" w:sz="0" w:space="0" w:color="auto"/>
            <w:left w:val="none" w:sz="0" w:space="0" w:color="auto"/>
            <w:bottom w:val="none" w:sz="0" w:space="0" w:color="auto"/>
            <w:right w:val="none" w:sz="0" w:space="0" w:color="auto"/>
          </w:divBdr>
        </w:div>
        <w:div w:id="1044597323">
          <w:marLeft w:val="0"/>
          <w:marRight w:val="0"/>
          <w:marTop w:val="0"/>
          <w:marBottom w:val="0"/>
          <w:divBdr>
            <w:top w:val="none" w:sz="0" w:space="0" w:color="auto"/>
            <w:left w:val="none" w:sz="0" w:space="0" w:color="auto"/>
            <w:bottom w:val="none" w:sz="0" w:space="0" w:color="auto"/>
            <w:right w:val="none" w:sz="0" w:space="0" w:color="auto"/>
          </w:divBdr>
        </w:div>
        <w:div w:id="1122572088">
          <w:marLeft w:val="0"/>
          <w:marRight w:val="0"/>
          <w:marTop w:val="0"/>
          <w:marBottom w:val="0"/>
          <w:divBdr>
            <w:top w:val="none" w:sz="0" w:space="0" w:color="auto"/>
            <w:left w:val="none" w:sz="0" w:space="0" w:color="auto"/>
            <w:bottom w:val="none" w:sz="0" w:space="0" w:color="auto"/>
            <w:right w:val="none" w:sz="0" w:space="0" w:color="auto"/>
          </w:divBdr>
        </w:div>
        <w:div w:id="1432706257">
          <w:marLeft w:val="0"/>
          <w:marRight w:val="0"/>
          <w:marTop w:val="0"/>
          <w:marBottom w:val="0"/>
          <w:divBdr>
            <w:top w:val="none" w:sz="0" w:space="0" w:color="auto"/>
            <w:left w:val="none" w:sz="0" w:space="0" w:color="auto"/>
            <w:bottom w:val="none" w:sz="0" w:space="0" w:color="auto"/>
            <w:right w:val="none" w:sz="0" w:space="0" w:color="auto"/>
          </w:divBdr>
        </w:div>
        <w:div w:id="1717117423">
          <w:marLeft w:val="0"/>
          <w:marRight w:val="0"/>
          <w:marTop w:val="0"/>
          <w:marBottom w:val="0"/>
          <w:divBdr>
            <w:top w:val="none" w:sz="0" w:space="0" w:color="auto"/>
            <w:left w:val="none" w:sz="0" w:space="0" w:color="auto"/>
            <w:bottom w:val="none" w:sz="0" w:space="0" w:color="auto"/>
            <w:right w:val="none" w:sz="0" w:space="0" w:color="auto"/>
          </w:divBdr>
        </w:div>
        <w:div w:id="1867408212">
          <w:marLeft w:val="0"/>
          <w:marRight w:val="0"/>
          <w:marTop w:val="0"/>
          <w:marBottom w:val="0"/>
          <w:divBdr>
            <w:top w:val="none" w:sz="0" w:space="0" w:color="auto"/>
            <w:left w:val="none" w:sz="0" w:space="0" w:color="auto"/>
            <w:bottom w:val="none" w:sz="0" w:space="0" w:color="auto"/>
            <w:right w:val="none" w:sz="0" w:space="0" w:color="auto"/>
          </w:divBdr>
        </w:div>
        <w:div w:id="2012172000">
          <w:marLeft w:val="0"/>
          <w:marRight w:val="0"/>
          <w:marTop w:val="0"/>
          <w:marBottom w:val="0"/>
          <w:divBdr>
            <w:top w:val="none" w:sz="0" w:space="0" w:color="auto"/>
            <w:left w:val="none" w:sz="0" w:space="0" w:color="auto"/>
            <w:bottom w:val="none" w:sz="0" w:space="0" w:color="auto"/>
            <w:right w:val="none" w:sz="0" w:space="0" w:color="auto"/>
          </w:divBdr>
        </w:div>
        <w:div w:id="2096901354">
          <w:marLeft w:val="0"/>
          <w:marRight w:val="0"/>
          <w:marTop w:val="0"/>
          <w:marBottom w:val="0"/>
          <w:divBdr>
            <w:top w:val="none" w:sz="0" w:space="0" w:color="auto"/>
            <w:left w:val="none" w:sz="0" w:space="0" w:color="auto"/>
            <w:bottom w:val="none" w:sz="0" w:space="0" w:color="auto"/>
            <w:right w:val="none" w:sz="0" w:space="0" w:color="auto"/>
          </w:divBdr>
        </w:div>
      </w:divsChild>
    </w:div>
    <w:div w:id="208394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C0BE0ED931154BABD2ABE36FDB3436" ma:contentTypeVersion="2" ma:contentTypeDescription="Create a new document." ma:contentTypeScope="" ma:versionID="0ab1f65718541e53060584c81743af64">
  <xsd:schema xmlns:xsd="http://www.w3.org/2001/XMLSchema" xmlns:xs="http://www.w3.org/2001/XMLSchema" xmlns:p="http://schemas.microsoft.com/office/2006/metadata/properties" xmlns:ns2="eb891cf6-8419-49cb-8edb-c1387c81614a" targetNamespace="http://schemas.microsoft.com/office/2006/metadata/properties" ma:root="true" ma:fieldsID="7c3ce9cb6b3ba0c6521508bdca3f0bbd" ns2:_="">
    <xsd:import namespace="eb891cf6-8419-49cb-8edb-c1387c8161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91cf6-8419-49cb-8edb-c1387c81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3F10C-1BD5-4A41-B590-847015A0C21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eb891cf6-8419-49cb-8edb-c1387c81614a"/>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564667F-A29E-4DC8-A005-6AF8789C93DC}">
  <ds:schemaRefs>
    <ds:schemaRef ds:uri="http://schemas.microsoft.com/sharepoint/v3/contenttype/forms"/>
  </ds:schemaRefs>
</ds:datastoreItem>
</file>

<file path=customXml/itemProps3.xml><?xml version="1.0" encoding="utf-8"?>
<ds:datastoreItem xmlns:ds="http://schemas.openxmlformats.org/officeDocument/2006/customXml" ds:itemID="{589F6D83-C133-4A3D-916D-13BFDD916889}">
  <ds:schemaRefs>
    <ds:schemaRef ds:uri="http://schemas.openxmlformats.org/officeDocument/2006/bibliography"/>
  </ds:schemaRefs>
</ds:datastoreItem>
</file>

<file path=customXml/itemProps4.xml><?xml version="1.0" encoding="utf-8"?>
<ds:datastoreItem xmlns:ds="http://schemas.openxmlformats.org/officeDocument/2006/customXml" ds:itemID="{C141FB12-BE30-44FC-8EF1-5E52D9B8D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91cf6-8419-49cb-8edb-c1387c81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2118</Words>
  <Characters>12075</Characters>
  <Application>Microsoft Office Word</Application>
  <DocSecurity>0</DocSecurity>
  <Lines>100</Lines>
  <Paragraphs>28</Paragraphs>
  <ScaleCrop>false</ScaleCrop>
  <Company>IMS3</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Howlin</dc:creator>
  <cp:keywords/>
  <cp:lastModifiedBy>Kaysha Maynard</cp:lastModifiedBy>
  <cp:revision>2</cp:revision>
  <dcterms:created xsi:type="dcterms:W3CDTF">2023-02-01T12:09:00Z</dcterms:created>
  <dcterms:modified xsi:type="dcterms:W3CDTF">2023-02-01T12:09:00Z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0x010100F1C0BE0ED931154BABD2ABE36FDB3436</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ies>
</file>