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F0F" w:rsidRPr="00096459" w:rsidRDefault="00AF7F0F" w:rsidP="00096459">
      <w:pPr>
        <w:ind w:left="360"/>
        <w:jc w:val="center"/>
        <w:rPr>
          <w:rFonts w:ascii="Arial" w:hAnsi="Arial" w:cs="Arial"/>
          <w:b/>
          <w:caps/>
        </w:rPr>
      </w:pPr>
      <w:r w:rsidRPr="00096459">
        <w:rPr>
          <w:rFonts w:ascii="Arial" w:hAnsi="Arial" w:cs="Arial"/>
          <w:b/>
          <w:caps/>
        </w:rPr>
        <w:t>Instructions to Tenderers</w:t>
      </w:r>
    </w:p>
    <w:p w:rsidR="00AF7F0F" w:rsidRDefault="00AF7F0F" w:rsidP="00AF7F0F">
      <w:pPr>
        <w:jc w:val="both"/>
        <w:rPr>
          <w:rFonts w:ascii="Arial" w:hAnsi="Arial" w:cs="Arial"/>
          <w:b/>
        </w:rPr>
      </w:pPr>
    </w:p>
    <w:p w:rsidR="00096459" w:rsidRPr="00096459" w:rsidRDefault="00096459" w:rsidP="00096459">
      <w:pPr>
        <w:pStyle w:val="ListParagraph"/>
        <w:numPr>
          <w:ilvl w:val="0"/>
          <w:numId w:val="1"/>
        </w:numPr>
        <w:tabs>
          <w:tab w:val="clear" w:pos="720"/>
          <w:tab w:val="num" w:pos="426"/>
        </w:tabs>
        <w:ind w:left="426"/>
        <w:jc w:val="both"/>
        <w:rPr>
          <w:rFonts w:ascii="Arial" w:hAnsi="Arial" w:cs="Arial"/>
          <w:b/>
        </w:rPr>
      </w:pPr>
      <w:r w:rsidRPr="00096459">
        <w:rPr>
          <w:rFonts w:ascii="Arial" w:hAnsi="Arial" w:cs="Arial"/>
          <w:b/>
        </w:rPr>
        <w:t>Submission</w:t>
      </w:r>
      <w:r w:rsidR="001D5F3B">
        <w:rPr>
          <w:rFonts w:ascii="Arial" w:hAnsi="Arial" w:cs="Arial"/>
          <w:b/>
        </w:rPr>
        <w:t xml:space="preserve"> and Validity</w:t>
      </w:r>
      <w:r w:rsidRPr="00096459">
        <w:rPr>
          <w:rFonts w:ascii="Arial" w:hAnsi="Arial" w:cs="Arial"/>
          <w:b/>
        </w:rPr>
        <w:t xml:space="preserve"> of Tenders</w:t>
      </w:r>
    </w:p>
    <w:p w:rsidR="00096459" w:rsidRDefault="00096459" w:rsidP="00096459">
      <w:pPr>
        <w:jc w:val="both"/>
        <w:rPr>
          <w:rFonts w:ascii="Arial" w:hAnsi="Arial" w:cs="Arial"/>
        </w:rPr>
      </w:pPr>
    </w:p>
    <w:p w:rsidR="00AF7F0F" w:rsidRDefault="00AF7F0F" w:rsidP="00AF7F0F">
      <w:pPr>
        <w:numPr>
          <w:ilvl w:val="1"/>
          <w:numId w:val="1"/>
        </w:numPr>
        <w:tabs>
          <w:tab w:val="clear" w:pos="1080"/>
          <w:tab w:val="num" w:pos="540"/>
        </w:tabs>
        <w:ind w:left="540" w:hanging="540"/>
        <w:jc w:val="both"/>
        <w:rPr>
          <w:rFonts w:ascii="Arial" w:hAnsi="Arial" w:cs="Arial"/>
        </w:rPr>
      </w:pPr>
      <w:r>
        <w:rPr>
          <w:rFonts w:ascii="Arial" w:hAnsi="Arial" w:cs="Arial"/>
        </w:rPr>
        <w:t xml:space="preserve">The deadline for submission of tenders is </w:t>
      </w:r>
      <w:r w:rsidR="0063486E" w:rsidRPr="0063486E">
        <w:rPr>
          <w:rFonts w:ascii="Arial" w:hAnsi="Arial" w:cs="Arial"/>
          <w:b/>
        </w:rPr>
        <w:t>11a</w:t>
      </w:r>
      <w:r w:rsidRPr="00BF63E3">
        <w:rPr>
          <w:rFonts w:ascii="Arial" w:hAnsi="Arial" w:cs="Arial"/>
          <w:b/>
        </w:rPr>
        <w:t xml:space="preserve">m on </w:t>
      </w:r>
      <w:r w:rsidR="008C1D37">
        <w:rPr>
          <w:rFonts w:ascii="Arial" w:hAnsi="Arial" w:cs="Arial"/>
          <w:b/>
        </w:rPr>
        <w:t>12</w:t>
      </w:r>
      <w:r w:rsidRPr="0063486E">
        <w:rPr>
          <w:rFonts w:ascii="Arial" w:hAnsi="Arial" w:cs="Arial"/>
          <w:b/>
          <w:vertAlign w:val="superscript"/>
        </w:rPr>
        <w:t>th</w:t>
      </w:r>
      <w:r w:rsidR="00096459" w:rsidRPr="0063486E">
        <w:rPr>
          <w:rFonts w:ascii="Arial" w:hAnsi="Arial" w:cs="Arial"/>
          <w:b/>
        </w:rPr>
        <w:t xml:space="preserve"> </w:t>
      </w:r>
      <w:r w:rsidR="008C1D37">
        <w:rPr>
          <w:rFonts w:ascii="Arial" w:hAnsi="Arial" w:cs="Arial"/>
          <w:b/>
        </w:rPr>
        <w:t>Octo</w:t>
      </w:r>
      <w:bookmarkStart w:id="0" w:name="_GoBack"/>
      <w:bookmarkEnd w:id="0"/>
      <w:r w:rsidR="00096459" w:rsidRPr="0063486E">
        <w:rPr>
          <w:rFonts w:ascii="Arial" w:hAnsi="Arial" w:cs="Arial"/>
          <w:b/>
        </w:rPr>
        <w:t>ber</w:t>
      </w:r>
      <w:r w:rsidRPr="0063486E">
        <w:rPr>
          <w:rFonts w:ascii="Arial" w:hAnsi="Arial" w:cs="Arial"/>
          <w:b/>
        </w:rPr>
        <w:t xml:space="preserve"> 201</w:t>
      </w:r>
      <w:r w:rsidR="00096459" w:rsidRPr="0063486E">
        <w:rPr>
          <w:rFonts w:ascii="Arial" w:hAnsi="Arial" w:cs="Arial"/>
          <w:b/>
        </w:rPr>
        <w:t>5</w:t>
      </w:r>
      <w:r>
        <w:rPr>
          <w:rFonts w:ascii="Arial" w:hAnsi="Arial" w:cs="Arial"/>
        </w:rPr>
        <w:t xml:space="preserve">.  </w:t>
      </w:r>
      <w:r w:rsidR="00EA46B7">
        <w:rPr>
          <w:rFonts w:ascii="Arial" w:hAnsi="Arial" w:cs="Arial"/>
        </w:rPr>
        <w:t xml:space="preserve">It is the </w:t>
      </w:r>
      <w:r w:rsidR="0063486E">
        <w:rPr>
          <w:rFonts w:ascii="Arial" w:hAnsi="Arial" w:cs="Arial"/>
        </w:rPr>
        <w:t>potential contracto</w:t>
      </w:r>
      <w:r w:rsidR="00EA46B7">
        <w:rPr>
          <w:rFonts w:ascii="Arial" w:hAnsi="Arial" w:cs="Arial"/>
        </w:rPr>
        <w:t xml:space="preserve">r’s responsibility to ensure that their tender is delivered at or before this time.  </w:t>
      </w:r>
      <w:r>
        <w:rPr>
          <w:rFonts w:ascii="Arial" w:hAnsi="Arial" w:cs="Arial"/>
        </w:rPr>
        <w:t>The MCA may refuse to consider any tender that is submitted late, is incomplete or otherwise not in accordance with these instructions.</w:t>
      </w:r>
    </w:p>
    <w:p w:rsidR="00AF7F0F" w:rsidRDefault="00AF7F0F" w:rsidP="00AF7F0F">
      <w:pPr>
        <w:jc w:val="both"/>
        <w:rPr>
          <w:rFonts w:ascii="Arial" w:hAnsi="Arial" w:cs="Arial"/>
        </w:rPr>
      </w:pPr>
    </w:p>
    <w:p w:rsidR="00096459" w:rsidRDefault="0063486E" w:rsidP="00AF7F0F">
      <w:pPr>
        <w:numPr>
          <w:ilvl w:val="1"/>
          <w:numId w:val="1"/>
        </w:numPr>
        <w:tabs>
          <w:tab w:val="clear" w:pos="1080"/>
          <w:tab w:val="num" w:pos="540"/>
        </w:tabs>
        <w:ind w:left="540" w:hanging="540"/>
        <w:jc w:val="both"/>
        <w:rPr>
          <w:rFonts w:ascii="Arial" w:hAnsi="Arial" w:cs="Arial"/>
        </w:rPr>
      </w:pPr>
      <w:r>
        <w:rPr>
          <w:rFonts w:ascii="Arial" w:hAnsi="Arial" w:cs="Arial"/>
        </w:rPr>
        <w:t>One original and one copy (so marked) of your t</w:t>
      </w:r>
      <w:r w:rsidR="00AF7F0F" w:rsidRPr="00604A42">
        <w:rPr>
          <w:rFonts w:ascii="Arial" w:hAnsi="Arial" w:cs="Arial"/>
        </w:rPr>
        <w:t>ender must be submitted</w:t>
      </w:r>
      <w:r w:rsidR="00096459">
        <w:rPr>
          <w:rFonts w:ascii="Arial" w:hAnsi="Arial" w:cs="Arial"/>
        </w:rPr>
        <w:t xml:space="preserve"> in hard copy to:</w:t>
      </w:r>
    </w:p>
    <w:p w:rsidR="00096459" w:rsidRDefault="00096459" w:rsidP="00096459">
      <w:pPr>
        <w:pStyle w:val="ListParagraph"/>
        <w:rPr>
          <w:rFonts w:ascii="Arial" w:hAnsi="Arial" w:cs="Arial"/>
        </w:rPr>
      </w:pPr>
    </w:p>
    <w:p w:rsidR="00096459" w:rsidRDefault="00096459" w:rsidP="00096459">
      <w:pPr>
        <w:ind w:left="540"/>
        <w:jc w:val="both"/>
        <w:rPr>
          <w:rFonts w:ascii="Arial" w:hAnsi="Arial" w:cs="Arial"/>
        </w:rPr>
      </w:pPr>
      <w:r>
        <w:rPr>
          <w:rFonts w:ascii="Arial" w:hAnsi="Arial" w:cs="Arial"/>
        </w:rPr>
        <w:t>Secretary of the Tender Board</w:t>
      </w:r>
    </w:p>
    <w:p w:rsidR="00096459" w:rsidRDefault="00096459" w:rsidP="00096459">
      <w:pPr>
        <w:ind w:left="540"/>
        <w:jc w:val="both"/>
        <w:rPr>
          <w:rFonts w:ascii="Arial" w:hAnsi="Arial" w:cs="Arial"/>
        </w:rPr>
      </w:pPr>
      <w:r>
        <w:rPr>
          <w:rFonts w:ascii="Arial" w:hAnsi="Arial" w:cs="Arial"/>
        </w:rPr>
        <w:t>Maritime and Coastguard Agency</w:t>
      </w:r>
    </w:p>
    <w:p w:rsidR="00096459" w:rsidRDefault="00096459" w:rsidP="00096459">
      <w:pPr>
        <w:ind w:left="540"/>
        <w:jc w:val="both"/>
        <w:rPr>
          <w:rFonts w:ascii="Arial" w:hAnsi="Arial" w:cs="Arial"/>
        </w:rPr>
      </w:pPr>
      <w:r>
        <w:rPr>
          <w:rFonts w:ascii="Arial" w:hAnsi="Arial" w:cs="Arial"/>
        </w:rPr>
        <w:t>Bay 3/21 Spring Place</w:t>
      </w:r>
    </w:p>
    <w:p w:rsidR="00096459" w:rsidRDefault="00096459" w:rsidP="00096459">
      <w:pPr>
        <w:ind w:left="540"/>
        <w:jc w:val="both"/>
        <w:rPr>
          <w:rFonts w:ascii="Arial" w:hAnsi="Arial" w:cs="Arial"/>
        </w:rPr>
      </w:pPr>
      <w:r>
        <w:rPr>
          <w:rFonts w:ascii="Arial" w:hAnsi="Arial" w:cs="Arial"/>
        </w:rPr>
        <w:t>105 Commercial Road</w:t>
      </w:r>
    </w:p>
    <w:p w:rsidR="00096459" w:rsidRDefault="00096459" w:rsidP="00096459">
      <w:pPr>
        <w:ind w:left="540"/>
        <w:jc w:val="both"/>
        <w:rPr>
          <w:rFonts w:ascii="Arial" w:hAnsi="Arial" w:cs="Arial"/>
        </w:rPr>
      </w:pPr>
      <w:r>
        <w:rPr>
          <w:rFonts w:ascii="Arial" w:hAnsi="Arial" w:cs="Arial"/>
        </w:rPr>
        <w:t xml:space="preserve">Southampton </w:t>
      </w:r>
    </w:p>
    <w:p w:rsidR="00096459" w:rsidRDefault="00096459" w:rsidP="00096459">
      <w:pPr>
        <w:ind w:left="540"/>
        <w:jc w:val="both"/>
        <w:rPr>
          <w:rFonts w:ascii="Arial" w:hAnsi="Arial" w:cs="Arial"/>
        </w:rPr>
      </w:pPr>
      <w:r>
        <w:rPr>
          <w:rFonts w:ascii="Arial" w:hAnsi="Arial" w:cs="Arial"/>
        </w:rPr>
        <w:t>SO15 1EG</w:t>
      </w:r>
      <w:r w:rsidR="00AF7F0F" w:rsidRPr="00604A42">
        <w:rPr>
          <w:rFonts w:ascii="Arial" w:hAnsi="Arial" w:cs="Arial"/>
        </w:rPr>
        <w:t>.</w:t>
      </w:r>
      <w:r>
        <w:rPr>
          <w:rFonts w:ascii="Arial" w:hAnsi="Arial" w:cs="Arial"/>
        </w:rPr>
        <w:t xml:space="preserve">  </w:t>
      </w:r>
    </w:p>
    <w:p w:rsidR="00096459" w:rsidRDefault="00096459" w:rsidP="00096459">
      <w:pPr>
        <w:jc w:val="both"/>
        <w:rPr>
          <w:rFonts w:ascii="Arial" w:hAnsi="Arial" w:cs="Arial"/>
        </w:rPr>
      </w:pPr>
    </w:p>
    <w:p w:rsidR="00AF7F0F" w:rsidRPr="00604A42" w:rsidRDefault="001D5F3B" w:rsidP="00096459">
      <w:pPr>
        <w:ind w:left="540"/>
        <w:jc w:val="both"/>
        <w:rPr>
          <w:rFonts w:ascii="Arial" w:hAnsi="Arial" w:cs="Arial"/>
        </w:rPr>
      </w:pPr>
      <w:r>
        <w:rPr>
          <w:rFonts w:ascii="Arial" w:hAnsi="Arial" w:cs="Arial"/>
        </w:rPr>
        <w:t xml:space="preserve">The </w:t>
      </w:r>
      <w:r w:rsidR="0063486E">
        <w:rPr>
          <w:rFonts w:ascii="Arial" w:hAnsi="Arial" w:cs="Arial"/>
        </w:rPr>
        <w:t>potential contractor</w:t>
      </w:r>
      <w:r w:rsidR="00096459">
        <w:rPr>
          <w:rFonts w:ascii="Arial" w:hAnsi="Arial" w:cs="Arial"/>
        </w:rPr>
        <w:t xml:space="preserve"> must ensure that the envelope and/or other packaging used </w:t>
      </w:r>
      <w:r w:rsidR="00096459" w:rsidRPr="00096459">
        <w:rPr>
          <w:rFonts w:ascii="Arial" w:hAnsi="Arial" w:cs="Arial"/>
          <w:b/>
        </w:rPr>
        <w:t>does</w:t>
      </w:r>
      <w:r w:rsidR="00096459">
        <w:rPr>
          <w:rFonts w:ascii="Arial" w:hAnsi="Arial" w:cs="Arial"/>
        </w:rPr>
        <w:t xml:space="preserve"> show the reference number for this procurement (</w:t>
      </w:r>
      <w:r>
        <w:rPr>
          <w:rFonts w:ascii="Arial" w:hAnsi="Arial" w:cs="Arial"/>
        </w:rPr>
        <w:t xml:space="preserve">which is </w:t>
      </w:r>
      <w:r w:rsidR="00096459">
        <w:rPr>
          <w:rFonts w:ascii="Arial" w:hAnsi="Arial" w:cs="Arial"/>
        </w:rPr>
        <w:t>TCA 3/7/9</w:t>
      </w:r>
      <w:r w:rsidR="0063486E">
        <w:rPr>
          <w:rFonts w:ascii="Arial" w:hAnsi="Arial" w:cs="Arial"/>
        </w:rPr>
        <w:t>66</w:t>
      </w:r>
      <w:r w:rsidR="00096459">
        <w:rPr>
          <w:rFonts w:ascii="Arial" w:hAnsi="Arial" w:cs="Arial"/>
        </w:rPr>
        <w:t xml:space="preserve">), and </w:t>
      </w:r>
      <w:r w:rsidR="00096459" w:rsidRPr="00096459">
        <w:rPr>
          <w:rFonts w:ascii="Arial" w:hAnsi="Arial" w:cs="Arial"/>
          <w:b/>
        </w:rPr>
        <w:t>does not</w:t>
      </w:r>
      <w:r w:rsidR="00096459">
        <w:rPr>
          <w:rFonts w:ascii="Arial" w:hAnsi="Arial" w:cs="Arial"/>
        </w:rPr>
        <w:t xml:space="preserve"> identify the </w:t>
      </w:r>
      <w:r w:rsidR="0063486E">
        <w:rPr>
          <w:rFonts w:ascii="Arial" w:hAnsi="Arial" w:cs="Arial"/>
        </w:rPr>
        <w:t>potential contractor</w:t>
      </w:r>
      <w:r w:rsidR="00096459">
        <w:rPr>
          <w:rFonts w:ascii="Arial" w:hAnsi="Arial" w:cs="Arial"/>
        </w:rPr>
        <w:t>.</w:t>
      </w:r>
      <w:r w:rsidR="00AF7F0F" w:rsidRPr="00604A42">
        <w:rPr>
          <w:rFonts w:ascii="Arial" w:hAnsi="Arial" w:cs="Arial"/>
        </w:rPr>
        <w:t xml:space="preserve">  </w:t>
      </w:r>
    </w:p>
    <w:p w:rsidR="00AF7F0F" w:rsidRDefault="00AF7F0F" w:rsidP="00EA46B7">
      <w:pPr>
        <w:numPr>
          <w:ilvl w:val="1"/>
          <w:numId w:val="1"/>
        </w:numPr>
        <w:tabs>
          <w:tab w:val="clear" w:pos="1080"/>
          <w:tab w:val="num" w:pos="540"/>
        </w:tabs>
        <w:spacing w:before="240" w:after="240"/>
        <w:ind w:left="540" w:hanging="540"/>
        <w:jc w:val="both"/>
        <w:rPr>
          <w:rFonts w:ascii="Arial" w:hAnsi="Arial" w:cs="Arial"/>
        </w:rPr>
      </w:pPr>
      <w:r>
        <w:rPr>
          <w:rFonts w:ascii="Arial" w:hAnsi="Arial" w:cs="Arial"/>
        </w:rPr>
        <w:t>Tenders must be submitted in English, and prices must be in Sterling and exclude Value Added Tax.</w:t>
      </w:r>
    </w:p>
    <w:p w:rsidR="00EA46B7" w:rsidRPr="00EA46B7" w:rsidRDefault="0063486E" w:rsidP="00EA46B7">
      <w:pPr>
        <w:pStyle w:val="DfTLevel1"/>
        <w:keepLines/>
        <w:numPr>
          <w:ilvl w:val="1"/>
          <w:numId w:val="1"/>
        </w:numPr>
        <w:suppressLineNumbers/>
        <w:tabs>
          <w:tab w:val="clear" w:pos="1080"/>
          <w:tab w:val="num" w:pos="567"/>
        </w:tabs>
        <w:spacing w:before="240" w:after="120"/>
        <w:ind w:left="540" w:hanging="567"/>
        <w:jc w:val="both"/>
        <w:rPr>
          <w:rFonts w:cs="Arial"/>
        </w:rPr>
      </w:pPr>
      <w:r>
        <w:t>Potential contractors</w:t>
      </w:r>
      <w:r w:rsidR="00EA46B7">
        <w:t xml:space="preserve"> must ensure that they include as part of their tender all </w:t>
      </w:r>
      <w:r>
        <w:t xml:space="preserve">items </w:t>
      </w:r>
      <w:r w:rsidR="00EA46B7">
        <w:t>requested in</w:t>
      </w:r>
      <w:r>
        <w:t xml:space="preserve"> the attached document ‘Surveyor Technical Training 2015 – Structure and Scoring of Tenders’</w:t>
      </w:r>
      <w:r w:rsidR="00EA46B7">
        <w:t>.  Tenders may not be considered if any of the information requested is not supplied or the tender is otherwise non-compliant or incomplete.</w:t>
      </w:r>
    </w:p>
    <w:p w:rsidR="001D5F3B" w:rsidRDefault="001D5F3B" w:rsidP="00EA46B7">
      <w:pPr>
        <w:numPr>
          <w:ilvl w:val="1"/>
          <w:numId w:val="1"/>
        </w:numPr>
        <w:tabs>
          <w:tab w:val="clear" w:pos="1080"/>
          <w:tab w:val="num" w:pos="540"/>
        </w:tabs>
        <w:spacing w:before="240"/>
        <w:ind w:left="540" w:hanging="540"/>
        <w:jc w:val="both"/>
        <w:rPr>
          <w:rFonts w:ascii="Arial" w:hAnsi="Arial" w:cs="Arial"/>
        </w:rPr>
      </w:pPr>
      <w:r w:rsidRPr="001D5F3B">
        <w:rPr>
          <w:rFonts w:ascii="Arial" w:hAnsi="Arial" w:cs="Arial"/>
        </w:rPr>
        <w:t>The MCA will assume that tender</w:t>
      </w:r>
      <w:r>
        <w:rPr>
          <w:rFonts w:ascii="Arial" w:hAnsi="Arial" w:cs="Arial"/>
        </w:rPr>
        <w:t>s</w:t>
      </w:r>
      <w:r w:rsidRPr="001D5F3B">
        <w:rPr>
          <w:rFonts w:ascii="Arial" w:hAnsi="Arial" w:cs="Arial"/>
        </w:rPr>
        <w:t xml:space="preserve"> will remain open for acceptance for a minimu</w:t>
      </w:r>
      <w:r>
        <w:rPr>
          <w:rFonts w:ascii="Arial" w:hAnsi="Arial" w:cs="Arial"/>
        </w:rPr>
        <w:t>m of 60 calendar days from the tender d</w:t>
      </w:r>
      <w:r w:rsidRPr="001D5F3B">
        <w:rPr>
          <w:rFonts w:ascii="Arial" w:hAnsi="Arial" w:cs="Arial"/>
        </w:rPr>
        <w:t>eadline.</w:t>
      </w:r>
    </w:p>
    <w:p w:rsidR="001D5F3B" w:rsidRDefault="001D5F3B" w:rsidP="001D5F3B">
      <w:pPr>
        <w:pStyle w:val="ListParagraph"/>
        <w:rPr>
          <w:rFonts w:ascii="Arial" w:hAnsi="Arial" w:cs="Arial"/>
        </w:rPr>
      </w:pPr>
    </w:p>
    <w:p w:rsidR="001D5F3B" w:rsidRPr="001D5F3B" w:rsidRDefault="001D5F3B" w:rsidP="001D5F3B">
      <w:pPr>
        <w:pStyle w:val="ListParagraph"/>
        <w:numPr>
          <w:ilvl w:val="0"/>
          <w:numId w:val="1"/>
        </w:numPr>
        <w:tabs>
          <w:tab w:val="clear" w:pos="720"/>
          <w:tab w:val="num" w:pos="426"/>
        </w:tabs>
        <w:ind w:left="426"/>
        <w:jc w:val="both"/>
        <w:rPr>
          <w:rFonts w:ascii="Arial" w:hAnsi="Arial" w:cs="Arial"/>
          <w:b/>
        </w:rPr>
      </w:pPr>
      <w:r>
        <w:rPr>
          <w:rFonts w:ascii="Arial" w:hAnsi="Arial" w:cs="Arial"/>
          <w:b/>
        </w:rPr>
        <w:t>Legal Requirements</w:t>
      </w:r>
    </w:p>
    <w:p w:rsidR="00AF7F0F" w:rsidRDefault="00AF7F0F" w:rsidP="00AF7F0F">
      <w:pPr>
        <w:jc w:val="both"/>
        <w:rPr>
          <w:rFonts w:ascii="Arial" w:hAnsi="Arial" w:cs="Arial"/>
        </w:rPr>
      </w:pPr>
    </w:p>
    <w:p w:rsidR="00AF7F0F" w:rsidRDefault="00AF7F0F" w:rsidP="001D5F3B">
      <w:pPr>
        <w:pStyle w:val="ListParagraph"/>
        <w:keepLines/>
        <w:numPr>
          <w:ilvl w:val="1"/>
          <w:numId w:val="1"/>
        </w:numPr>
        <w:suppressLineNumbers/>
        <w:tabs>
          <w:tab w:val="clear" w:pos="1080"/>
          <w:tab w:val="num" w:pos="567"/>
        </w:tabs>
        <w:suppressAutoHyphens/>
        <w:ind w:left="567" w:hanging="567"/>
        <w:jc w:val="both"/>
        <w:rPr>
          <w:rFonts w:ascii="Arial" w:hAnsi="Arial" w:cs="Arial"/>
        </w:rPr>
      </w:pPr>
      <w:r w:rsidRPr="001D5F3B">
        <w:rPr>
          <w:rFonts w:ascii="Arial" w:hAnsi="Arial" w:cs="Arial"/>
        </w:rPr>
        <w:t xml:space="preserve">Where reference is made to an International, European or British Standard then </w:t>
      </w:r>
      <w:r w:rsidR="0063486E">
        <w:rPr>
          <w:rFonts w:ascii="Arial" w:hAnsi="Arial" w:cs="Arial"/>
        </w:rPr>
        <w:t xml:space="preserve">potential contractors </w:t>
      </w:r>
      <w:r w:rsidRPr="001D5F3B">
        <w:rPr>
          <w:rFonts w:ascii="Arial" w:hAnsi="Arial" w:cs="Arial"/>
        </w:rPr>
        <w:t xml:space="preserve">may offer an equivalent to any of these, provided that </w:t>
      </w:r>
      <w:r w:rsidR="001D5F3B" w:rsidRPr="001D5F3B">
        <w:rPr>
          <w:rFonts w:ascii="Arial" w:hAnsi="Arial" w:cs="Arial"/>
        </w:rPr>
        <w:t>the proposed</w:t>
      </w:r>
      <w:r w:rsidRPr="001D5F3B">
        <w:rPr>
          <w:rFonts w:ascii="Arial" w:hAnsi="Arial" w:cs="Arial"/>
        </w:rPr>
        <w:t xml:space="preserve"> Standard offers equivalent guarantees of safety, suitability and fitness for purpose to the one specified.</w:t>
      </w:r>
    </w:p>
    <w:p w:rsidR="001D5F3B" w:rsidRPr="001D5F3B" w:rsidRDefault="001D5F3B" w:rsidP="001D5F3B">
      <w:pPr>
        <w:pStyle w:val="ListParagraph"/>
        <w:keepLines/>
        <w:suppressLineNumbers/>
        <w:tabs>
          <w:tab w:val="num" w:pos="567"/>
        </w:tabs>
        <w:suppressAutoHyphens/>
        <w:ind w:left="567" w:hanging="567"/>
        <w:jc w:val="both"/>
        <w:rPr>
          <w:rFonts w:ascii="Arial" w:hAnsi="Arial" w:cs="Arial"/>
        </w:rPr>
      </w:pPr>
    </w:p>
    <w:p w:rsidR="001D5F3B" w:rsidRDefault="001D5F3B" w:rsidP="001D5F3B">
      <w:pPr>
        <w:pStyle w:val="DfTLevel1"/>
        <w:keepLines/>
        <w:numPr>
          <w:ilvl w:val="1"/>
          <w:numId w:val="1"/>
        </w:numPr>
        <w:suppressLineNumbers/>
        <w:tabs>
          <w:tab w:val="clear" w:pos="1080"/>
          <w:tab w:val="num" w:pos="567"/>
        </w:tabs>
        <w:spacing w:after="0"/>
        <w:ind w:left="567" w:hanging="567"/>
        <w:jc w:val="both"/>
      </w:pPr>
      <w:r>
        <w:lastRenderedPageBreak/>
        <w:t xml:space="preserve">Under the Freedom of Information Act 2000 (“FOIA”) and the Environmental Information Regulations 2004 (“EIRs”), the MCA is obliged (subject to the application of any relevant exemptions and, where applicable, the public interest test) to disclose information in response to requests for information. Suppliers need to be aware that the MCA could receive requests for </w:t>
      </w:r>
      <w:r>
        <w:rPr>
          <w:i/>
        </w:rPr>
        <w:t>any</w:t>
      </w:r>
      <w:r>
        <w:t xml:space="preserve"> information relating to this Contract. The Contract will include provisions to reflect the MCA’s obligations under those disclosure regimes. The MCA cannot contract out of its obligations in this respect and will only accept confidentiality clauses in </w:t>
      </w:r>
      <w:r>
        <w:rPr>
          <w:u w:val="single"/>
        </w:rPr>
        <w:t>very</w:t>
      </w:r>
      <w:r>
        <w:t xml:space="preserve"> exceptional and narrowly defined circumstances. In this regard, your attention is drawn to the Code of Practice (in particular, section V thereof) issued by the Lord Chancellor under section 45 of the FOIA (section IX of </w:t>
      </w:r>
      <w:r w:rsidRPr="008900F9">
        <w:t>the</w:t>
      </w:r>
      <w:r>
        <w:t xml:space="preserve"> Code of Practice issued under regulation 16 of the EIRs includes similar guidance).</w:t>
      </w:r>
    </w:p>
    <w:p w:rsidR="00EA46B7" w:rsidRDefault="00EA46B7" w:rsidP="00EA46B7">
      <w:pPr>
        <w:pStyle w:val="DfTLevel1"/>
        <w:keepLines/>
        <w:suppressLineNumbers/>
        <w:spacing w:after="0"/>
        <w:jc w:val="both"/>
      </w:pPr>
    </w:p>
    <w:p w:rsidR="001D5F3B" w:rsidRDefault="001D5F3B" w:rsidP="002354A0">
      <w:pPr>
        <w:pStyle w:val="DfTLevel1"/>
        <w:keepLines/>
        <w:numPr>
          <w:ilvl w:val="1"/>
          <w:numId w:val="1"/>
        </w:numPr>
        <w:suppressLineNumbers/>
        <w:tabs>
          <w:tab w:val="clear" w:pos="1080"/>
          <w:tab w:val="num" w:pos="567"/>
        </w:tabs>
        <w:spacing w:after="0"/>
        <w:ind w:left="567" w:hanging="567"/>
        <w:jc w:val="both"/>
      </w:pPr>
      <w:r>
        <w:t xml:space="preserve">The attention of </w:t>
      </w:r>
      <w:r w:rsidR="0063486E">
        <w:t xml:space="preserve">potential contractors </w:t>
      </w:r>
      <w:r>
        <w:t>is drawn to the Transfer of Undertakings (Protection of Employment) Regulations 2006 (referred to as TUPE 2006). In some cases, where work awarded to a contractor is subsequently awarded to another organisation, such a transfer of work may constitute a "transfer of an undertaking" for the purposes of TUPE.</w:t>
      </w:r>
      <w:r w:rsidR="002354A0">
        <w:t xml:space="preserve">  </w:t>
      </w:r>
      <w:r>
        <w:t>TUPE provides that where there is a transfer of an undertaking (or possibly part of one), the new employer takes over any employment liabilities and the responsibility for the employment contracts of the employees, who then transfer on their previous terms and conditio</w:t>
      </w:r>
      <w:r w:rsidR="002354A0">
        <w:t xml:space="preserve">ns of service. As a successful </w:t>
      </w:r>
      <w:r w:rsidR="0063486E">
        <w:t xml:space="preserve">contractor </w:t>
      </w:r>
      <w:r>
        <w:t xml:space="preserve">may be a potential transferee for the purposes of TUPE, </w:t>
      </w:r>
      <w:r w:rsidR="0063486E">
        <w:t xml:space="preserve">potential contractors </w:t>
      </w:r>
      <w:r>
        <w:t xml:space="preserve">should seek legal advice as to whether TUPE will be likely to apply to the proposed </w:t>
      </w:r>
      <w:r w:rsidR="002354A0">
        <w:t>C</w:t>
      </w:r>
      <w:r>
        <w:t xml:space="preserve">ontract, and if so, to reflect the financial implications of such a transfer in their tender. In such cases, as the MCA will be neither transferee nor transferor for the purposes of TUPE, the application of TUPE is a matter for each </w:t>
      </w:r>
      <w:r w:rsidR="002354A0">
        <w:t xml:space="preserve">Supplier </w:t>
      </w:r>
      <w:r>
        <w:t xml:space="preserve">to clarify with their legal advisers. If TUPE is deemed to apply then the financial implications are a matter for discussion between the prospective </w:t>
      </w:r>
      <w:r w:rsidR="0063486E">
        <w:t>contractor</w:t>
      </w:r>
      <w:r w:rsidR="002354A0">
        <w:t xml:space="preserve"> </w:t>
      </w:r>
      <w:r>
        <w:t xml:space="preserve">and the existing </w:t>
      </w:r>
      <w:r w:rsidR="0063486E">
        <w:t>one</w:t>
      </w:r>
      <w:r>
        <w:t>, rather than for the MCA.</w:t>
      </w:r>
    </w:p>
    <w:p w:rsidR="002354A0" w:rsidRDefault="002354A0" w:rsidP="002354A0">
      <w:pPr>
        <w:pStyle w:val="DfTLevel1"/>
        <w:keepLines/>
        <w:suppressLineNumbers/>
        <w:spacing w:after="0"/>
        <w:jc w:val="both"/>
      </w:pPr>
    </w:p>
    <w:p w:rsidR="002354A0" w:rsidRPr="002354A0" w:rsidRDefault="002354A0" w:rsidP="002354A0">
      <w:pPr>
        <w:pStyle w:val="DfTLevel1"/>
        <w:keepLines/>
        <w:numPr>
          <w:ilvl w:val="0"/>
          <w:numId w:val="1"/>
        </w:numPr>
        <w:suppressLineNumbers/>
        <w:tabs>
          <w:tab w:val="clear" w:pos="720"/>
          <w:tab w:val="num" w:pos="426"/>
        </w:tabs>
        <w:spacing w:after="0"/>
        <w:ind w:left="426"/>
        <w:jc w:val="both"/>
        <w:rPr>
          <w:b/>
        </w:rPr>
      </w:pPr>
      <w:r w:rsidRPr="002354A0">
        <w:rPr>
          <w:b/>
        </w:rPr>
        <w:t>Competitive Tendering and Non-Collusion</w:t>
      </w:r>
    </w:p>
    <w:p w:rsidR="001D5F3B" w:rsidRPr="001D5F3B" w:rsidRDefault="001D5F3B" w:rsidP="002354A0">
      <w:pPr>
        <w:pStyle w:val="ListParagraph"/>
        <w:keepLines/>
        <w:suppressLineNumbers/>
        <w:suppressAutoHyphens/>
        <w:ind w:left="1080"/>
        <w:jc w:val="both"/>
        <w:rPr>
          <w:rFonts w:ascii="Arial" w:hAnsi="Arial" w:cs="Arial"/>
        </w:rPr>
      </w:pPr>
    </w:p>
    <w:p w:rsidR="00AF7F0F" w:rsidRPr="002354A0" w:rsidRDefault="0063486E" w:rsidP="002354A0">
      <w:pPr>
        <w:pStyle w:val="ListParagraph"/>
        <w:numPr>
          <w:ilvl w:val="1"/>
          <w:numId w:val="1"/>
        </w:numPr>
        <w:tabs>
          <w:tab w:val="clear" w:pos="1080"/>
          <w:tab w:val="num" w:pos="567"/>
        </w:tabs>
        <w:ind w:left="567" w:hanging="567"/>
        <w:jc w:val="both"/>
        <w:rPr>
          <w:rFonts w:ascii="Arial" w:hAnsi="Arial" w:cs="Arial"/>
        </w:rPr>
      </w:pPr>
      <w:r>
        <w:rPr>
          <w:rFonts w:ascii="Arial" w:hAnsi="Arial" w:cs="Arial"/>
        </w:rPr>
        <w:t>Potential contractors</w:t>
      </w:r>
      <w:r w:rsidR="00AF7F0F" w:rsidRPr="002354A0">
        <w:rPr>
          <w:rFonts w:ascii="Arial" w:hAnsi="Arial" w:cs="Arial"/>
        </w:rPr>
        <w:t xml:space="preserve"> must not alter any of the tender documents.</w:t>
      </w:r>
    </w:p>
    <w:p w:rsidR="00AF7F0F" w:rsidRDefault="00AF7F0F" w:rsidP="00AF7F0F">
      <w:pPr>
        <w:jc w:val="both"/>
        <w:rPr>
          <w:rFonts w:ascii="Arial" w:hAnsi="Arial" w:cs="Arial"/>
        </w:rPr>
      </w:pPr>
    </w:p>
    <w:p w:rsidR="002354A0" w:rsidRDefault="0063486E" w:rsidP="002354A0">
      <w:pPr>
        <w:pStyle w:val="DfTLevel1"/>
        <w:keepLines/>
        <w:numPr>
          <w:ilvl w:val="1"/>
          <w:numId w:val="1"/>
        </w:numPr>
        <w:suppressLineNumbers/>
        <w:spacing w:after="0"/>
        <w:ind w:left="540" w:hanging="540"/>
        <w:jc w:val="both"/>
      </w:pPr>
      <w:r>
        <w:t>Potential contractors</w:t>
      </w:r>
      <w:r w:rsidR="00AF7F0F">
        <w:t xml:space="preserve"> must not tell anyone else, even approximately, what </w:t>
      </w:r>
      <w:r w:rsidR="001D5F3B">
        <w:t>their</w:t>
      </w:r>
      <w:r w:rsidR="00AF7F0F">
        <w:t xml:space="preserve"> tender price is or will be, </w:t>
      </w:r>
      <w:r>
        <w:t>before the date of c</w:t>
      </w:r>
      <w:r w:rsidR="00AF7F0F">
        <w:t>ontract award. The only exception</w:t>
      </w:r>
      <w:r w:rsidR="001D5F3B">
        <w:t>s</w:t>
      </w:r>
      <w:r w:rsidR="00AF7F0F">
        <w:t xml:space="preserve"> </w:t>
      </w:r>
      <w:r w:rsidR="001D5F3B">
        <w:t>are</w:t>
      </w:r>
      <w:r w:rsidR="002354A0">
        <w:t>:</w:t>
      </w:r>
    </w:p>
    <w:p w:rsidR="002354A0" w:rsidRDefault="002354A0" w:rsidP="002354A0">
      <w:pPr>
        <w:pStyle w:val="ListParagraph"/>
      </w:pPr>
    </w:p>
    <w:p w:rsidR="00AF7F0F" w:rsidRDefault="00AF7F0F" w:rsidP="002354A0">
      <w:pPr>
        <w:pStyle w:val="DfTLevel1"/>
        <w:keepLines/>
        <w:numPr>
          <w:ilvl w:val="2"/>
          <w:numId w:val="1"/>
        </w:numPr>
        <w:suppressLineNumbers/>
        <w:tabs>
          <w:tab w:val="clear" w:pos="1080"/>
          <w:tab w:val="num" w:pos="1134"/>
        </w:tabs>
        <w:spacing w:after="0"/>
        <w:ind w:left="1134" w:hanging="567"/>
        <w:jc w:val="both"/>
      </w:pPr>
      <w:r>
        <w:t xml:space="preserve">if </w:t>
      </w:r>
      <w:r w:rsidR="0063486E">
        <w:t>a potential contractor</w:t>
      </w:r>
      <w:r>
        <w:t xml:space="preserve"> need</w:t>
      </w:r>
      <w:r w:rsidR="002354A0">
        <w:t>s</w:t>
      </w:r>
      <w:r>
        <w:t xml:space="preserve"> an insurance quotation to calculate </w:t>
      </w:r>
      <w:r w:rsidR="002354A0">
        <w:t>their tender price - in which case they</w:t>
      </w:r>
      <w:r>
        <w:t xml:space="preserve"> may give </w:t>
      </w:r>
      <w:r w:rsidR="002354A0">
        <w:t>their</w:t>
      </w:r>
      <w:r>
        <w:t xml:space="preserve"> insurance company or brokers any es</w:t>
      </w:r>
      <w:r w:rsidR="002354A0">
        <w:t>sential information</w:t>
      </w:r>
      <w:r>
        <w:t>, provided th</w:t>
      </w:r>
      <w:r w:rsidR="002354A0">
        <w:t>is is done</w:t>
      </w:r>
      <w:r>
        <w:t xml:space="preserve"> in str</w:t>
      </w:r>
      <w:r w:rsidR="002354A0">
        <w:t>ict confidence; and</w:t>
      </w:r>
    </w:p>
    <w:p w:rsidR="002354A0" w:rsidRDefault="0063486E" w:rsidP="002354A0">
      <w:pPr>
        <w:pStyle w:val="DfTLevel1"/>
        <w:keepLines/>
        <w:numPr>
          <w:ilvl w:val="2"/>
          <w:numId w:val="1"/>
        </w:numPr>
        <w:suppressLineNumbers/>
        <w:tabs>
          <w:tab w:val="clear" w:pos="1080"/>
          <w:tab w:val="num" w:pos="1134"/>
        </w:tabs>
        <w:spacing w:after="0"/>
        <w:ind w:left="1134" w:hanging="567"/>
        <w:jc w:val="both"/>
      </w:pPr>
      <w:r>
        <w:t>if a potential contractor is tendering as a p</w:t>
      </w:r>
      <w:r w:rsidR="002354A0">
        <w:t xml:space="preserve">rime </w:t>
      </w:r>
      <w:r>
        <w:t>c</w:t>
      </w:r>
      <w:r w:rsidR="002354A0">
        <w:t>ontractor or the lead member of a consortium - in which case they may share essential information in st</w:t>
      </w:r>
      <w:r>
        <w:t>rict confidence with their sub-c</w:t>
      </w:r>
      <w:r w:rsidR="002354A0">
        <w:t>ontractors or consortium partners, in so far as this is necessary for the preparation of a joint tender.</w:t>
      </w:r>
    </w:p>
    <w:p w:rsidR="00AF7F0F" w:rsidRDefault="00AF7F0F" w:rsidP="00AF7F0F">
      <w:pPr>
        <w:pStyle w:val="DfTLevel1"/>
        <w:keepLines/>
        <w:suppressLineNumbers/>
        <w:tabs>
          <w:tab w:val="num" w:pos="540"/>
        </w:tabs>
        <w:spacing w:after="0"/>
        <w:ind w:left="540" w:hanging="540"/>
        <w:jc w:val="both"/>
      </w:pPr>
    </w:p>
    <w:p w:rsidR="00AF7F0F" w:rsidRDefault="0063486E" w:rsidP="002354A0">
      <w:pPr>
        <w:pStyle w:val="DfTLevel1"/>
        <w:keepLines/>
        <w:numPr>
          <w:ilvl w:val="1"/>
          <w:numId w:val="1"/>
        </w:numPr>
        <w:suppressLineNumbers/>
        <w:spacing w:after="0"/>
        <w:ind w:left="540" w:hanging="540"/>
        <w:jc w:val="both"/>
      </w:pPr>
      <w:r>
        <w:t>Potential contractors</w:t>
      </w:r>
      <w:r w:rsidR="00AF7F0F">
        <w:t xml:space="preserve"> must not try to obtain any information about anyone else’s tender or prop</w:t>
      </w:r>
      <w:r w:rsidR="002354A0">
        <w:t xml:space="preserve">osed tender before the date of </w:t>
      </w:r>
      <w:r>
        <w:t>c</w:t>
      </w:r>
      <w:r w:rsidR="00AF7F0F">
        <w:t>ontract award.</w:t>
      </w:r>
    </w:p>
    <w:p w:rsidR="00AF7F0F" w:rsidRDefault="00AF7F0F" w:rsidP="00AF7F0F">
      <w:pPr>
        <w:pStyle w:val="DfTLevel1"/>
        <w:keepLines/>
        <w:suppressLineNumbers/>
        <w:tabs>
          <w:tab w:val="num" w:pos="540"/>
        </w:tabs>
        <w:spacing w:after="0"/>
        <w:ind w:left="540" w:hanging="540"/>
        <w:jc w:val="both"/>
      </w:pPr>
    </w:p>
    <w:p w:rsidR="00AF7F0F" w:rsidRDefault="00135826" w:rsidP="002354A0">
      <w:pPr>
        <w:pStyle w:val="DfTLevel1"/>
        <w:keepLines/>
        <w:numPr>
          <w:ilvl w:val="1"/>
          <w:numId w:val="1"/>
        </w:numPr>
        <w:suppressLineNumbers/>
        <w:spacing w:after="0"/>
        <w:ind w:left="540" w:hanging="540"/>
        <w:jc w:val="both"/>
      </w:pPr>
      <w:r>
        <w:lastRenderedPageBreak/>
        <w:t>Potential contractors</w:t>
      </w:r>
      <w:r w:rsidR="00AF7F0F">
        <w:t xml:space="preserve"> must not make any arrangements with anyone else about whether or not they should tender, or about their or </w:t>
      </w:r>
      <w:r w:rsidR="002354A0">
        <w:t>you</w:t>
      </w:r>
      <w:r w:rsidR="00AF7F0F">
        <w:t xml:space="preserve">r tender price. </w:t>
      </w:r>
    </w:p>
    <w:p w:rsidR="00AF7F0F" w:rsidRDefault="00AF7F0F" w:rsidP="00AF7F0F">
      <w:pPr>
        <w:pStyle w:val="DfTLevel1"/>
        <w:keepLines/>
        <w:suppressLineNumbers/>
        <w:tabs>
          <w:tab w:val="num" w:pos="540"/>
        </w:tabs>
        <w:spacing w:after="0"/>
        <w:ind w:left="540" w:hanging="540"/>
        <w:jc w:val="both"/>
      </w:pPr>
    </w:p>
    <w:p w:rsidR="00AF7F0F" w:rsidRDefault="00AF7F0F" w:rsidP="002354A0">
      <w:pPr>
        <w:pStyle w:val="DfTLevel1"/>
        <w:keepLines/>
        <w:numPr>
          <w:ilvl w:val="1"/>
          <w:numId w:val="1"/>
        </w:numPr>
        <w:suppressLineNumbers/>
        <w:tabs>
          <w:tab w:val="num" w:pos="540"/>
        </w:tabs>
        <w:spacing w:after="0"/>
        <w:ind w:left="540" w:hanging="540"/>
        <w:jc w:val="both"/>
      </w:pPr>
      <w:r>
        <w:t xml:space="preserve">Tender documents must not be transferred to anyone (other than the firm named in the </w:t>
      </w:r>
      <w:r w:rsidR="002354A0">
        <w:t>Invitation to Tender</w:t>
      </w:r>
      <w:r>
        <w:t>) without the prior specific approval of the MCA in writing.</w:t>
      </w:r>
    </w:p>
    <w:p w:rsidR="00EA46B7" w:rsidRDefault="00EA46B7" w:rsidP="00EA46B7">
      <w:pPr>
        <w:pStyle w:val="ListParagraph"/>
      </w:pPr>
    </w:p>
    <w:p w:rsidR="00EA46B7" w:rsidRDefault="00EA46B7" w:rsidP="00EA46B7">
      <w:pPr>
        <w:pStyle w:val="DfTLevel1"/>
        <w:keepLines/>
        <w:numPr>
          <w:ilvl w:val="0"/>
          <w:numId w:val="1"/>
        </w:numPr>
        <w:suppressLineNumbers/>
        <w:tabs>
          <w:tab w:val="clear" w:pos="720"/>
          <w:tab w:val="num" w:pos="426"/>
        </w:tabs>
        <w:spacing w:after="0"/>
        <w:ind w:left="426" w:hanging="426"/>
        <w:jc w:val="both"/>
        <w:rPr>
          <w:b/>
        </w:rPr>
      </w:pPr>
      <w:r w:rsidRPr="00EA46B7">
        <w:rPr>
          <w:b/>
        </w:rPr>
        <w:t>Joint or Alternative Tenders</w:t>
      </w:r>
    </w:p>
    <w:p w:rsidR="00EA46B7" w:rsidRDefault="00EA46B7" w:rsidP="00EA46B7">
      <w:pPr>
        <w:pStyle w:val="DfTLevel1"/>
        <w:keepLines/>
        <w:suppressLineNumbers/>
        <w:spacing w:after="0"/>
        <w:jc w:val="both"/>
        <w:rPr>
          <w:b/>
        </w:rPr>
      </w:pPr>
    </w:p>
    <w:p w:rsidR="00EA46B7" w:rsidRDefault="00EA46B7" w:rsidP="00EA46B7">
      <w:pPr>
        <w:pStyle w:val="DfTLevel1"/>
        <w:keepLines/>
        <w:numPr>
          <w:ilvl w:val="1"/>
          <w:numId w:val="1"/>
        </w:numPr>
        <w:suppressLineNumbers/>
        <w:tabs>
          <w:tab w:val="clear" w:pos="1080"/>
          <w:tab w:val="num" w:pos="426"/>
        </w:tabs>
        <w:spacing w:after="120"/>
        <w:ind w:left="426" w:hanging="426"/>
        <w:jc w:val="both"/>
      </w:pPr>
      <w:r>
        <w:t xml:space="preserve">In the event of a consortium of </w:t>
      </w:r>
      <w:r w:rsidR="00135826">
        <w:t xml:space="preserve">potential contractors </w:t>
      </w:r>
      <w:r>
        <w:t xml:space="preserve">submitting an acceptable offer, the consortium will be required to nominate a lead member with whom the MCA can contract.  Alternatively the consortium will need to form themselves into a </w:t>
      </w:r>
      <w:r w:rsidR="00135826">
        <w:t>single legal entity before the c</w:t>
      </w:r>
      <w:r>
        <w:t xml:space="preserve">ontract is awarded. An undertaking that the </w:t>
      </w:r>
      <w:r w:rsidR="00817404">
        <w:t>consortium</w:t>
      </w:r>
      <w:r>
        <w:t xml:space="preserve"> will so form themselves, if required by the</w:t>
      </w:r>
      <w:r w:rsidR="00817404">
        <w:t xml:space="preserve"> MCA</w:t>
      </w:r>
      <w:r>
        <w:t>, must be provided when the tender is submitted.</w:t>
      </w:r>
    </w:p>
    <w:p w:rsidR="00EA46B7" w:rsidRDefault="00EA46B7" w:rsidP="00817404">
      <w:pPr>
        <w:pStyle w:val="DfTLevel1"/>
        <w:keepLines/>
        <w:suppressLineNumbers/>
        <w:spacing w:after="0"/>
        <w:ind w:left="426"/>
        <w:jc w:val="both"/>
      </w:pPr>
    </w:p>
    <w:p w:rsidR="00EA46B7" w:rsidRDefault="00EA46B7" w:rsidP="00EA46B7">
      <w:pPr>
        <w:pStyle w:val="DfTLevel1"/>
        <w:keepLines/>
        <w:numPr>
          <w:ilvl w:val="1"/>
          <w:numId w:val="1"/>
        </w:numPr>
        <w:suppressLineNumbers/>
        <w:tabs>
          <w:tab w:val="clear" w:pos="1080"/>
          <w:tab w:val="num" w:pos="426"/>
        </w:tabs>
        <w:spacing w:before="120" w:after="120"/>
        <w:ind w:left="426" w:hanging="426"/>
        <w:jc w:val="both"/>
      </w:pPr>
      <w:r>
        <w:t xml:space="preserve">If </w:t>
      </w:r>
      <w:r w:rsidR="00817404">
        <w:t>they</w:t>
      </w:r>
      <w:r>
        <w:t xml:space="preserve"> wish </w:t>
      </w:r>
      <w:r w:rsidR="00135826">
        <w:t>potential contractors</w:t>
      </w:r>
      <w:r>
        <w:t xml:space="preserve"> may tender on the basis of an alternative specification but if </w:t>
      </w:r>
      <w:r w:rsidR="00817404">
        <w:t>they</w:t>
      </w:r>
      <w:r>
        <w:t xml:space="preserve"> do this then </w:t>
      </w:r>
      <w:r w:rsidR="00817404">
        <w:t>they</w:t>
      </w:r>
      <w:r>
        <w:t xml:space="preserve"> must also submit a separate, primary, tender </w:t>
      </w:r>
      <w:r w:rsidR="00817404">
        <w:t xml:space="preserve">based strictly on the </w:t>
      </w:r>
      <w:r w:rsidR="00135826">
        <w:t>MCA’s s</w:t>
      </w:r>
      <w:r>
        <w:t xml:space="preserve">pecification. </w:t>
      </w:r>
      <w:r w:rsidR="00817404">
        <w:t xml:space="preserve"> </w:t>
      </w:r>
      <w:r>
        <w:t>Alternative tenders must be fully priced to show clearly how and where costs differ from the primary tender.</w:t>
      </w:r>
      <w:r w:rsidR="00817404">
        <w:t xml:space="preserve"> </w:t>
      </w:r>
      <w:r>
        <w:t xml:space="preserve"> </w:t>
      </w:r>
      <w:r w:rsidR="00817404">
        <w:t>The MCA</w:t>
      </w:r>
      <w:r>
        <w:t xml:space="preserve"> reserves the right to accept an alternative tender without recourse to re-tendering.</w:t>
      </w:r>
    </w:p>
    <w:p w:rsidR="00817404" w:rsidRDefault="00817404" w:rsidP="00817404">
      <w:pPr>
        <w:pStyle w:val="DfTLevel1"/>
        <w:keepLines/>
        <w:suppressLineNumbers/>
        <w:spacing w:after="0"/>
        <w:ind w:left="426"/>
        <w:jc w:val="both"/>
        <w:rPr>
          <w:b/>
        </w:rPr>
      </w:pPr>
    </w:p>
    <w:p w:rsidR="002354A0" w:rsidRPr="002354A0" w:rsidRDefault="002354A0" w:rsidP="002354A0">
      <w:pPr>
        <w:pStyle w:val="DfTLevel1"/>
        <w:keepLines/>
        <w:numPr>
          <w:ilvl w:val="0"/>
          <w:numId w:val="1"/>
        </w:numPr>
        <w:suppressLineNumbers/>
        <w:tabs>
          <w:tab w:val="clear" w:pos="720"/>
          <w:tab w:val="num" w:pos="426"/>
        </w:tabs>
        <w:spacing w:after="0"/>
        <w:ind w:left="426"/>
        <w:jc w:val="both"/>
        <w:rPr>
          <w:b/>
        </w:rPr>
      </w:pPr>
      <w:r w:rsidRPr="002354A0">
        <w:rPr>
          <w:b/>
        </w:rPr>
        <w:t>Points to Note</w:t>
      </w:r>
    </w:p>
    <w:p w:rsidR="002354A0" w:rsidRDefault="002354A0" w:rsidP="002354A0">
      <w:pPr>
        <w:pStyle w:val="DfTLevel1"/>
        <w:keepLines/>
        <w:suppressLineNumbers/>
        <w:spacing w:after="0"/>
        <w:ind w:left="720"/>
        <w:jc w:val="both"/>
      </w:pPr>
    </w:p>
    <w:p w:rsidR="00AF7F0F" w:rsidRPr="00E432B2" w:rsidRDefault="00135826" w:rsidP="002354A0">
      <w:pPr>
        <w:pStyle w:val="DfTLevel1"/>
        <w:keepLines/>
        <w:numPr>
          <w:ilvl w:val="1"/>
          <w:numId w:val="1"/>
        </w:numPr>
        <w:suppressLineNumbers/>
        <w:spacing w:after="0"/>
        <w:ind w:left="540" w:hanging="539"/>
        <w:jc w:val="both"/>
      </w:pPr>
      <w:r>
        <w:rPr>
          <w:rFonts w:cs="Arial"/>
          <w:color w:val="000000"/>
          <w:szCs w:val="24"/>
        </w:rPr>
        <w:t>Potential contractors</w:t>
      </w:r>
      <w:r w:rsidR="00AF7F0F" w:rsidRPr="00C05389">
        <w:rPr>
          <w:rFonts w:cs="Arial"/>
          <w:color w:val="000000"/>
          <w:szCs w:val="24"/>
        </w:rPr>
        <w:t xml:space="preserve"> should note that any expenditure, work or effort undertaken by </w:t>
      </w:r>
      <w:r w:rsidR="002354A0">
        <w:rPr>
          <w:rFonts w:cs="Arial"/>
          <w:color w:val="000000"/>
          <w:szCs w:val="24"/>
        </w:rPr>
        <w:t>them</w:t>
      </w:r>
      <w:r w:rsidR="00AF7F0F" w:rsidRPr="00C05389">
        <w:rPr>
          <w:rFonts w:cs="Arial"/>
          <w:color w:val="000000"/>
          <w:szCs w:val="24"/>
        </w:rPr>
        <w:t xml:space="preserve"> prior to the award of a </w:t>
      </w:r>
      <w:r>
        <w:rPr>
          <w:rFonts w:cs="Arial"/>
          <w:color w:val="000000"/>
          <w:szCs w:val="24"/>
        </w:rPr>
        <w:t>c</w:t>
      </w:r>
      <w:r w:rsidR="00AF7F0F" w:rsidRPr="00C05389">
        <w:rPr>
          <w:rFonts w:cs="Arial"/>
          <w:color w:val="000000"/>
          <w:szCs w:val="24"/>
        </w:rPr>
        <w:t xml:space="preserve">ontract is a matter solely for </w:t>
      </w:r>
      <w:r w:rsidR="002354A0">
        <w:rPr>
          <w:rFonts w:cs="Arial"/>
          <w:color w:val="000000"/>
          <w:szCs w:val="24"/>
        </w:rPr>
        <w:t>their</w:t>
      </w:r>
      <w:r w:rsidR="00AF7F0F" w:rsidRPr="00C05389">
        <w:rPr>
          <w:rFonts w:cs="Arial"/>
          <w:color w:val="000000"/>
          <w:szCs w:val="24"/>
        </w:rPr>
        <w:t xml:space="preserve"> own commercial judgement.  The </w:t>
      </w:r>
      <w:r w:rsidR="00AF7F0F">
        <w:rPr>
          <w:rFonts w:cs="Arial"/>
          <w:color w:val="000000"/>
          <w:szCs w:val="24"/>
        </w:rPr>
        <w:t xml:space="preserve">MCA </w:t>
      </w:r>
      <w:r w:rsidR="00AF7F0F" w:rsidRPr="00C05389">
        <w:rPr>
          <w:rFonts w:cs="Arial"/>
          <w:color w:val="000000"/>
          <w:szCs w:val="24"/>
        </w:rPr>
        <w:t>reserves the right to withdraw this </w:t>
      </w:r>
      <w:r w:rsidR="00EA46B7">
        <w:rPr>
          <w:rFonts w:cs="Arial"/>
          <w:color w:val="000000"/>
          <w:szCs w:val="24"/>
        </w:rPr>
        <w:t>invitation to tender</w:t>
      </w:r>
      <w:r w:rsidR="00AF7F0F" w:rsidRPr="00C05389">
        <w:rPr>
          <w:rFonts w:cs="Arial"/>
          <w:color w:val="000000"/>
          <w:szCs w:val="24"/>
        </w:rPr>
        <w:t xml:space="preserve"> at any time or to re-invite tenders on the same or any alternative basis.  In such circumstances, and in any event, the </w:t>
      </w:r>
      <w:r w:rsidR="00AF7F0F">
        <w:rPr>
          <w:rFonts w:cs="Arial"/>
          <w:color w:val="000000"/>
          <w:szCs w:val="24"/>
        </w:rPr>
        <w:t xml:space="preserve">MCA </w:t>
      </w:r>
      <w:r w:rsidR="00AF7F0F" w:rsidRPr="00C05389">
        <w:rPr>
          <w:rFonts w:cs="Arial"/>
          <w:color w:val="000000"/>
          <w:szCs w:val="24"/>
        </w:rPr>
        <w:t xml:space="preserve">and/or its advisers shall not be liable for any costs or loss of expenses whatsoever incurred by the </w:t>
      </w:r>
      <w:r>
        <w:rPr>
          <w:rFonts w:cs="Arial"/>
          <w:color w:val="000000"/>
          <w:szCs w:val="24"/>
        </w:rPr>
        <w:t>potential contractor</w:t>
      </w:r>
      <w:r w:rsidR="00AF7F0F" w:rsidRPr="00C05389">
        <w:rPr>
          <w:rFonts w:cs="Arial"/>
          <w:color w:val="000000"/>
          <w:szCs w:val="24"/>
        </w:rPr>
        <w:t xml:space="preserve"> or any company, agent, subsidiary or organisation who may have contributed to the proposals submitted by the </w:t>
      </w:r>
      <w:r>
        <w:rPr>
          <w:rFonts w:cs="Arial"/>
          <w:color w:val="000000"/>
          <w:szCs w:val="24"/>
        </w:rPr>
        <w:t>potential contractor</w:t>
      </w:r>
      <w:r w:rsidR="00EA46B7">
        <w:rPr>
          <w:rFonts w:cs="Arial"/>
          <w:color w:val="000000"/>
          <w:szCs w:val="24"/>
        </w:rPr>
        <w:t xml:space="preserve"> </w:t>
      </w:r>
      <w:r w:rsidR="00AF7F0F" w:rsidRPr="00C05389">
        <w:rPr>
          <w:rFonts w:cs="Arial"/>
          <w:color w:val="000000"/>
          <w:szCs w:val="24"/>
        </w:rPr>
        <w:t>in response to this</w:t>
      </w:r>
      <w:r w:rsidR="00AF7F0F">
        <w:rPr>
          <w:rFonts w:cs="Arial"/>
          <w:color w:val="000000"/>
          <w:szCs w:val="24"/>
        </w:rPr>
        <w:t xml:space="preserve"> </w:t>
      </w:r>
      <w:r w:rsidR="00EA46B7">
        <w:rPr>
          <w:rFonts w:cs="Arial"/>
          <w:color w:val="000000"/>
          <w:szCs w:val="24"/>
        </w:rPr>
        <w:t>invitation to tender</w:t>
      </w:r>
      <w:r w:rsidR="00AF7F0F" w:rsidRPr="00C05389">
        <w:rPr>
          <w:rFonts w:cs="Arial"/>
          <w:color w:val="000000"/>
          <w:szCs w:val="24"/>
        </w:rPr>
        <w:t>.</w:t>
      </w:r>
    </w:p>
    <w:p w:rsidR="00AF7F0F" w:rsidRPr="008A7019" w:rsidRDefault="00AF7F0F" w:rsidP="00AF7F0F">
      <w:pPr>
        <w:pStyle w:val="DfTLevel1"/>
        <w:keepLines/>
        <w:suppressLineNumbers/>
        <w:spacing w:after="0"/>
        <w:jc w:val="both"/>
      </w:pPr>
    </w:p>
    <w:p w:rsidR="00AF7F0F" w:rsidRDefault="00135826" w:rsidP="002354A0">
      <w:pPr>
        <w:pStyle w:val="DfTLevel1"/>
        <w:keepLines/>
        <w:numPr>
          <w:ilvl w:val="1"/>
          <w:numId w:val="1"/>
        </w:numPr>
        <w:suppressLineNumbers/>
        <w:spacing w:after="0"/>
        <w:ind w:left="540" w:hanging="539"/>
        <w:jc w:val="both"/>
      </w:pPr>
      <w:r>
        <w:t>Potential contractors</w:t>
      </w:r>
      <w:r w:rsidR="00AF7F0F">
        <w:t xml:space="preserve"> should note that:-</w:t>
      </w:r>
    </w:p>
    <w:p w:rsidR="00AF7F0F" w:rsidRDefault="00AF7F0F" w:rsidP="00AF7F0F">
      <w:pPr>
        <w:pStyle w:val="DfTLevel1"/>
        <w:keepLines/>
        <w:suppressLineNumbers/>
        <w:spacing w:after="0"/>
        <w:jc w:val="both"/>
      </w:pPr>
    </w:p>
    <w:p w:rsidR="00AF7F0F" w:rsidRDefault="00AF7F0F" w:rsidP="00AF7F0F">
      <w:pPr>
        <w:keepLines/>
        <w:suppressLineNumbers/>
        <w:tabs>
          <w:tab w:val="left" w:pos="1080"/>
        </w:tabs>
        <w:suppressAutoHyphens/>
        <w:ind w:left="1080" w:hanging="539"/>
        <w:jc w:val="both"/>
        <w:rPr>
          <w:rFonts w:ascii="Arial" w:hAnsi="Arial" w:cs="Arial"/>
        </w:rPr>
      </w:pPr>
      <w:proofErr w:type="spellStart"/>
      <w:proofErr w:type="gramStart"/>
      <w:r w:rsidRPr="00E432B2">
        <w:rPr>
          <w:rFonts w:ascii="Arial" w:hAnsi="Arial" w:cs="Arial"/>
        </w:rPr>
        <w:t>i</w:t>
      </w:r>
      <w:proofErr w:type="spellEnd"/>
      <w:proofErr w:type="gramEnd"/>
      <w:r w:rsidRPr="00E432B2">
        <w:rPr>
          <w:rFonts w:ascii="Arial" w:hAnsi="Arial" w:cs="Arial"/>
        </w:rPr>
        <w:tab/>
        <w:t xml:space="preserve">The </w:t>
      </w:r>
      <w:r>
        <w:rPr>
          <w:rFonts w:ascii="Arial" w:hAnsi="Arial" w:cs="Arial"/>
        </w:rPr>
        <w:t xml:space="preserve">MCA </w:t>
      </w:r>
      <w:r w:rsidRPr="00E432B2">
        <w:rPr>
          <w:rFonts w:ascii="Arial" w:hAnsi="Arial" w:cs="Arial"/>
        </w:rPr>
        <w:t>reserves the right not to accept the lowest, or any, tender.</w:t>
      </w:r>
    </w:p>
    <w:p w:rsidR="00817404" w:rsidRDefault="00AF7F0F" w:rsidP="00817404">
      <w:pPr>
        <w:keepLines/>
        <w:suppressLineNumbers/>
        <w:tabs>
          <w:tab w:val="left" w:pos="1080"/>
        </w:tabs>
        <w:suppressAutoHyphens/>
        <w:ind w:left="1080" w:hanging="539"/>
        <w:jc w:val="both"/>
        <w:rPr>
          <w:rFonts w:ascii="Arial" w:hAnsi="Arial" w:cs="Arial"/>
        </w:rPr>
      </w:pPr>
      <w:proofErr w:type="gramStart"/>
      <w:r w:rsidRPr="00E432B2">
        <w:rPr>
          <w:rFonts w:ascii="Arial" w:hAnsi="Arial" w:cs="Arial"/>
        </w:rPr>
        <w:t>ii</w:t>
      </w:r>
      <w:proofErr w:type="gramEnd"/>
      <w:r w:rsidRPr="00E432B2">
        <w:rPr>
          <w:rFonts w:ascii="Arial" w:hAnsi="Arial" w:cs="Arial"/>
        </w:rPr>
        <w:tab/>
        <w:t xml:space="preserve">Acceptance of a tender/award of contract will be by written communication from the </w:t>
      </w:r>
      <w:r>
        <w:rPr>
          <w:rFonts w:ascii="Arial" w:hAnsi="Arial" w:cs="Arial"/>
        </w:rPr>
        <w:t>MCA</w:t>
      </w:r>
      <w:r w:rsidRPr="00E432B2">
        <w:rPr>
          <w:rFonts w:ascii="Arial" w:hAnsi="Arial" w:cs="Arial"/>
        </w:rPr>
        <w:t>.</w:t>
      </w:r>
    </w:p>
    <w:p w:rsidR="00817404" w:rsidRPr="00817404" w:rsidRDefault="00817404" w:rsidP="00817404">
      <w:pPr>
        <w:pStyle w:val="ListParagraph"/>
        <w:keepLines/>
        <w:numPr>
          <w:ilvl w:val="0"/>
          <w:numId w:val="5"/>
        </w:numPr>
        <w:suppressLineNumbers/>
        <w:tabs>
          <w:tab w:val="left" w:pos="1080"/>
        </w:tabs>
        <w:suppressAutoHyphens/>
        <w:ind w:left="1134" w:hanging="567"/>
        <w:jc w:val="both"/>
        <w:rPr>
          <w:rFonts w:ascii="Arial" w:hAnsi="Arial" w:cs="Arial"/>
        </w:rPr>
      </w:pPr>
      <w:r w:rsidRPr="00817404">
        <w:rPr>
          <w:rFonts w:ascii="Arial" w:hAnsi="Arial" w:cs="Arial"/>
        </w:rPr>
        <w:t>Complaints arising from the tender process should be directed in the first instance to the Procurement Team (</w:t>
      </w:r>
      <w:hyperlink r:id="rId7" w:history="1">
        <w:r w:rsidRPr="00817404">
          <w:rPr>
            <w:rStyle w:val="Hyperlink"/>
            <w:rFonts w:ascii="Arial" w:hAnsi="Arial" w:cs="Arial"/>
          </w:rPr>
          <w:t>contracts@mcga.gov.uk</w:t>
        </w:r>
      </w:hyperlink>
      <w:r w:rsidRPr="00817404">
        <w:rPr>
          <w:rFonts w:ascii="Arial" w:hAnsi="Arial" w:cs="Arial"/>
        </w:rPr>
        <w:t>).</w:t>
      </w:r>
    </w:p>
    <w:p w:rsidR="00AF7F0F" w:rsidRPr="00E432B2" w:rsidRDefault="00AF7F0F" w:rsidP="00AF7F0F">
      <w:pPr>
        <w:keepLines/>
        <w:suppressLineNumbers/>
        <w:tabs>
          <w:tab w:val="left" w:pos="1080"/>
        </w:tabs>
        <w:suppressAutoHyphens/>
        <w:jc w:val="both"/>
        <w:rPr>
          <w:rFonts w:ascii="Arial" w:hAnsi="Arial" w:cs="Arial"/>
        </w:rPr>
      </w:pPr>
    </w:p>
    <w:p w:rsidR="004F25A5" w:rsidRDefault="00AF7F0F" w:rsidP="00817404">
      <w:pPr>
        <w:pStyle w:val="DfTLevel1"/>
        <w:keepLines/>
        <w:numPr>
          <w:ilvl w:val="1"/>
          <w:numId w:val="1"/>
        </w:numPr>
        <w:suppressLineNumbers/>
        <w:spacing w:after="0"/>
        <w:ind w:left="567" w:hanging="539"/>
        <w:jc w:val="both"/>
      </w:pPr>
      <w:r>
        <w:t>If your tender is submitted in the name of one organisation but you intend submitting invoices in the name of another, or require payments to be made to another, please give full details. Otherwise there may be delay in payment.</w:t>
      </w:r>
    </w:p>
    <w:sectPr w:rsidR="004F25A5" w:rsidSect="00096459">
      <w:headerReference w:type="default" r:id="rId8"/>
      <w:pgSz w:w="11906" w:h="16838"/>
      <w:pgMar w:top="1440" w:right="1440" w:bottom="1440" w:left="1440" w:header="34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459" w:rsidRDefault="00096459" w:rsidP="00096459">
      <w:r>
        <w:separator/>
      </w:r>
    </w:p>
  </w:endnote>
  <w:endnote w:type="continuationSeparator" w:id="0">
    <w:p w:rsidR="00096459" w:rsidRDefault="00096459" w:rsidP="00096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459" w:rsidRDefault="00096459" w:rsidP="00096459">
      <w:r>
        <w:separator/>
      </w:r>
    </w:p>
  </w:footnote>
  <w:footnote w:type="continuationSeparator" w:id="0">
    <w:p w:rsidR="00096459" w:rsidRDefault="00096459" w:rsidP="000964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459" w:rsidRDefault="00096459">
    <w:pPr>
      <w:pStyle w:val="Header"/>
    </w:pPr>
    <w:r>
      <w:rPr>
        <w:noProof/>
      </w:rPr>
      <w:drawing>
        <wp:inline distT="0" distB="0" distL="0" distR="0">
          <wp:extent cx="1018032" cy="929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A logo 2013 with spacing - 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8032" cy="929640"/>
                  </a:xfrm>
                  <a:prstGeom prst="rect">
                    <a:avLst/>
                  </a:prstGeom>
                </pic:spPr>
              </pic:pic>
            </a:graphicData>
          </a:graphic>
        </wp:inline>
      </w:drawing>
    </w:r>
    <w:r>
      <w:rPr>
        <w:rFonts w:ascii="Arial" w:hAnsi="Arial" w:cs="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331DD4"/>
    <w:multiLevelType w:val="multilevel"/>
    <w:tmpl w:val="864C9F16"/>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465C7AF9"/>
    <w:multiLevelType w:val="hybridMultilevel"/>
    <w:tmpl w:val="ABEE4A7E"/>
    <w:lvl w:ilvl="0" w:tplc="A2227818">
      <w:start w:val="4"/>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nsid w:val="47486019"/>
    <w:multiLevelType w:val="singleLevel"/>
    <w:tmpl w:val="E9F622EC"/>
    <w:lvl w:ilvl="0">
      <w:start w:val="2"/>
      <w:numFmt w:val="decimal"/>
      <w:lvlText w:val="%1."/>
      <w:lvlJc w:val="left"/>
      <w:pPr>
        <w:tabs>
          <w:tab w:val="num" w:pos="720"/>
        </w:tabs>
        <w:ind w:left="720" w:hanging="720"/>
      </w:pPr>
      <w:rPr>
        <w:rFonts w:hint="default"/>
      </w:rPr>
    </w:lvl>
  </w:abstractNum>
  <w:abstractNum w:abstractNumId="3">
    <w:nsid w:val="74187A9B"/>
    <w:multiLevelType w:val="hybridMultilevel"/>
    <w:tmpl w:val="96107FFC"/>
    <w:lvl w:ilvl="0" w:tplc="724A16D0">
      <w:start w:val="3"/>
      <w:numFmt w:val="lowerRoman"/>
      <w:lvlText w:val="%1."/>
      <w:lvlJc w:val="left"/>
      <w:pPr>
        <w:ind w:left="1261" w:hanging="720"/>
      </w:pPr>
      <w:rPr>
        <w:rFonts w:hint="default"/>
        <w:sz w:val="24"/>
      </w:rPr>
    </w:lvl>
    <w:lvl w:ilvl="1" w:tplc="08090019" w:tentative="1">
      <w:start w:val="1"/>
      <w:numFmt w:val="lowerLetter"/>
      <w:lvlText w:val="%2."/>
      <w:lvlJc w:val="left"/>
      <w:pPr>
        <w:ind w:left="1621" w:hanging="360"/>
      </w:pPr>
    </w:lvl>
    <w:lvl w:ilvl="2" w:tplc="0809001B" w:tentative="1">
      <w:start w:val="1"/>
      <w:numFmt w:val="lowerRoman"/>
      <w:lvlText w:val="%3."/>
      <w:lvlJc w:val="right"/>
      <w:pPr>
        <w:ind w:left="2341" w:hanging="180"/>
      </w:pPr>
    </w:lvl>
    <w:lvl w:ilvl="3" w:tplc="0809000F" w:tentative="1">
      <w:start w:val="1"/>
      <w:numFmt w:val="decimal"/>
      <w:lvlText w:val="%4."/>
      <w:lvlJc w:val="left"/>
      <w:pPr>
        <w:ind w:left="3061" w:hanging="360"/>
      </w:pPr>
    </w:lvl>
    <w:lvl w:ilvl="4" w:tplc="08090019" w:tentative="1">
      <w:start w:val="1"/>
      <w:numFmt w:val="lowerLetter"/>
      <w:lvlText w:val="%5."/>
      <w:lvlJc w:val="left"/>
      <w:pPr>
        <w:ind w:left="3781" w:hanging="360"/>
      </w:pPr>
    </w:lvl>
    <w:lvl w:ilvl="5" w:tplc="0809001B" w:tentative="1">
      <w:start w:val="1"/>
      <w:numFmt w:val="lowerRoman"/>
      <w:lvlText w:val="%6."/>
      <w:lvlJc w:val="right"/>
      <w:pPr>
        <w:ind w:left="4501" w:hanging="180"/>
      </w:pPr>
    </w:lvl>
    <w:lvl w:ilvl="6" w:tplc="0809000F" w:tentative="1">
      <w:start w:val="1"/>
      <w:numFmt w:val="decimal"/>
      <w:lvlText w:val="%7."/>
      <w:lvlJc w:val="left"/>
      <w:pPr>
        <w:ind w:left="5221" w:hanging="360"/>
      </w:pPr>
    </w:lvl>
    <w:lvl w:ilvl="7" w:tplc="08090019" w:tentative="1">
      <w:start w:val="1"/>
      <w:numFmt w:val="lowerLetter"/>
      <w:lvlText w:val="%8."/>
      <w:lvlJc w:val="left"/>
      <w:pPr>
        <w:ind w:left="5941" w:hanging="360"/>
      </w:pPr>
    </w:lvl>
    <w:lvl w:ilvl="8" w:tplc="0809001B" w:tentative="1">
      <w:start w:val="1"/>
      <w:numFmt w:val="lowerRoman"/>
      <w:lvlText w:val="%9."/>
      <w:lvlJc w:val="right"/>
      <w:pPr>
        <w:ind w:left="6661" w:hanging="180"/>
      </w:pPr>
    </w:lvl>
  </w:abstractNum>
  <w:abstractNum w:abstractNumId="4">
    <w:nsid w:val="7C1805F5"/>
    <w:multiLevelType w:val="multilevel"/>
    <w:tmpl w:val="5620A4E8"/>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F0F"/>
    <w:rsid w:val="00096459"/>
    <w:rsid w:val="00135826"/>
    <w:rsid w:val="001D5F3B"/>
    <w:rsid w:val="002354A0"/>
    <w:rsid w:val="00396663"/>
    <w:rsid w:val="004F25A5"/>
    <w:rsid w:val="0063486E"/>
    <w:rsid w:val="00817404"/>
    <w:rsid w:val="008C1D37"/>
    <w:rsid w:val="00AF7F0F"/>
    <w:rsid w:val="00EA4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2BD68E7B-0602-4FB3-B10D-F4718478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F0F"/>
    <w:pPr>
      <w:jc w:val="left"/>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TLevel1">
    <w:name w:val="DfT Level 1"/>
    <w:basedOn w:val="Normal"/>
    <w:rsid w:val="00AF7F0F"/>
    <w:pPr>
      <w:tabs>
        <w:tab w:val="left" w:pos="-720"/>
      </w:tabs>
      <w:suppressAutoHyphens/>
      <w:spacing w:after="240"/>
    </w:pPr>
    <w:rPr>
      <w:rFonts w:ascii="Arial" w:hAnsi="Arial"/>
      <w:spacing w:val="-2"/>
      <w:szCs w:val="20"/>
    </w:rPr>
  </w:style>
  <w:style w:type="character" w:styleId="Hyperlink">
    <w:name w:val="Hyperlink"/>
    <w:rsid w:val="00AF7F0F"/>
    <w:rPr>
      <w:color w:val="0000FF"/>
      <w:u w:val="single"/>
    </w:rPr>
  </w:style>
  <w:style w:type="paragraph" w:styleId="Header">
    <w:name w:val="header"/>
    <w:basedOn w:val="Normal"/>
    <w:link w:val="HeaderChar"/>
    <w:uiPriority w:val="99"/>
    <w:unhideWhenUsed/>
    <w:rsid w:val="00096459"/>
    <w:pPr>
      <w:tabs>
        <w:tab w:val="center" w:pos="4513"/>
        <w:tab w:val="right" w:pos="9026"/>
      </w:tabs>
    </w:pPr>
  </w:style>
  <w:style w:type="character" w:customStyle="1" w:styleId="HeaderChar">
    <w:name w:val="Header Char"/>
    <w:basedOn w:val="DefaultParagraphFont"/>
    <w:link w:val="Header"/>
    <w:uiPriority w:val="99"/>
    <w:rsid w:val="0009645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96459"/>
    <w:pPr>
      <w:tabs>
        <w:tab w:val="center" w:pos="4513"/>
        <w:tab w:val="right" w:pos="9026"/>
      </w:tabs>
    </w:pPr>
  </w:style>
  <w:style w:type="character" w:customStyle="1" w:styleId="FooterChar">
    <w:name w:val="Footer Char"/>
    <w:basedOn w:val="DefaultParagraphFont"/>
    <w:link w:val="Footer"/>
    <w:uiPriority w:val="99"/>
    <w:rsid w:val="00096459"/>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964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racts@mcga.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1088</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7276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Hadnutt</dc:creator>
  <cp:keywords/>
  <dc:description/>
  <cp:lastModifiedBy>Cheryl Hadnutt</cp:lastModifiedBy>
  <cp:revision>2</cp:revision>
  <dcterms:created xsi:type="dcterms:W3CDTF">2015-08-24T13:34:00Z</dcterms:created>
  <dcterms:modified xsi:type="dcterms:W3CDTF">2015-08-24T13:34:00Z</dcterms:modified>
</cp:coreProperties>
</file>