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485A4" w14:textId="058410D4" w:rsidR="008C6673" w:rsidRDefault="008C6673" w:rsidP="008C6673">
      <w:pPr>
        <w:jc w:val="center"/>
        <w:rPr>
          <w:b/>
          <w:sz w:val="28"/>
          <w:szCs w:val="28"/>
        </w:rPr>
      </w:pPr>
      <w:r>
        <w:rPr>
          <w:noProof/>
          <w:lang w:eastAsia="en-GB"/>
        </w:rPr>
        <w:drawing>
          <wp:inline distT="0" distB="0" distL="0" distR="0" wp14:anchorId="3686401A" wp14:editId="5755E9EE">
            <wp:extent cx="1591945" cy="565785"/>
            <wp:effectExtent l="0" t="0" r="8255" b="5715"/>
            <wp:docPr id="1" name="Picture 1" descr="cid:image001.jpg@01D6A61C.AE86E720"/>
            <wp:cNvGraphicFramePr/>
            <a:graphic xmlns:a="http://schemas.openxmlformats.org/drawingml/2006/main">
              <a:graphicData uri="http://schemas.openxmlformats.org/drawingml/2006/picture">
                <pic:pic xmlns:pic="http://schemas.openxmlformats.org/drawingml/2006/picture">
                  <pic:nvPicPr>
                    <pic:cNvPr id="1" name="Picture 1" descr="cid:image001.jpg@01D6A61C.AE86E72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945" cy="565785"/>
                    </a:xfrm>
                    <a:prstGeom prst="rect">
                      <a:avLst/>
                    </a:prstGeom>
                    <a:noFill/>
                    <a:ln>
                      <a:noFill/>
                    </a:ln>
                  </pic:spPr>
                </pic:pic>
              </a:graphicData>
            </a:graphic>
          </wp:inline>
        </w:drawing>
      </w:r>
    </w:p>
    <w:p w14:paraId="104DD457" w14:textId="38619316" w:rsidR="008C6673" w:rsidRDefault="003F63A7" w:rsidP="00B04D09">
      <w:pPr>
        <w:rPr>
          <w:b/>
          <w:sz w:val="28"/>
          <w:szCs w:val="28"/>
        </w:rPr>
      </w:pPr>
      <w:r>
        <w:rPr>
          <w:b/>
          <w:sz w:val="28"/>
          <w:szCs w:val="28"/>
        </w:rPr>
        <w:t xml:space="preserve">Request for </w:t>
      </w:r>
      <w:r w:rsidR="008C6673">
        <w:rPr>
          <w:b/>
          <w:sz w:val="28"/>
          <w:szCs w:val="28"/>
        </w:rPr>
        <w:t>Quote</w:t>
      </w:r>
      <w:r>
        <w:rPr>
          <w:b/>
          <w:sz w:val="28"/>
          <w:szCs w:val="28"/>
        </w:rPr>
        <w:t>:</w:t>
      </w:r>
    </w:p>
    <w:p w14:paraId="20D8C90D" w14:textId="6018EFAB" w:rsidR="00B04D09" w:rsidRPr="00B04D09" w:rsidRDefault="00BB4091" w:rsidP="00B04D09">
      <w:pPr>
        <w:rPr>
          <w:b/>
          <w:sz w:val="28"/>
          <w:szCs w:val="28"/>
        </w:rPr>
      </w:pPr>
      <w:r>
        <w:rPr>
          <w:b/>
          <w:sz w:val="28"/>
          <w:szCs w:val="28"/>
        </w:rPr>
        <w:t xml:space="preserve">Outline Business Plan for </w:t>
      </w:r>
      <w:r w:rsidR="006B55BF">
        <w:rPr>
          <w:rFonts w:cs="Arial"/>
          <w:b/>
          <w:noProof/>
          <w:sz w:val="28"/>
          <w:szCs w:val="28"/>
          <w:lang w:eastAsia="en-GB"/>
        </w:rPr>
        <w:t>h</w:t>
      </w:r>
      <w:r w:rsidR="00B04D09" w:rsidRPr="00B04D09">
        <w:rPr>
          <w:rFonts w:cs="Arial"/>
          <w:b/>
          <w:noProof/>
          <w:sz w:val="28"/>
          <w:szCs w:val="28"/>
          <w:lang w:eastAsia="en-GB"/>
        </w:rPr>
        <w:t>igher</w:t>
      </w:r>
      <w:r w:rsidR="00FF6D36">
        <w:rPr>
          <w:rFonts w:cs="Arial"/>
          <w:b/>
          <w:noProof/>
          <w:sz w:val="28"/>
          <w:szCs w:val="28"/>
          <w:lang w:eastAsia="en-GB"/>
        </w:rPr>
        <w:t>-</w:t>
      </w:r>
      <w:r w:rsidR="006B55BF">
        <w:rPr>
          <w:rFonts w:cs="Arial"/>
          <w:b/>
          <w:noProof/>
          <w:sz w:val="28"/>
          <w:szCs w:val="28"/>
          <w:lang w:eastAsia="en-GB"/>
        </w:rPr>
        <w:t>t</w:t>
      </w:r>
      <w:r w:rsidR="00B04D09" w:rsidRPr="00B04D09">
        <w:rPr>
          <w:rFonts w:cs="Arial"/>
          <w:b/>
          <w:noProof/>
          <w:sz w:val="28"/>
          <w:szCs w:val="28"/>
          <w:lang w:eastAsia="en-GB"/>
        </w:rPr>
        <w:t xml:space="preserve">echnical </w:t>
      </w:r>
      <w:r w:rsidR="00FF6D36">
        <w:rPr>
          <w:rFonts w:cs="Arial"/>
          <w:b/>
          <w:noProof/>
          <w:sz w:val="28"/>
          <w:szCs w:val="28"/>
          <w:lang w:eastAsia="en-GB"/>
        </w:rPr>
        <w:t>education</w:t>
      </w:r>
      <w:r w:rsidR="00B04D09" w:rsidRPr="00B04D09">
        <w:rPr>
          <w:rFonts w:cs="Arial"/>
          <w:b/>
          <w:noProof/>
          <w:sz w:val="28"/>
          <w:szCs w:val="28"/>
          <w:lang w:eastAsia="en-GB"/>
        </w:rPr>
        <w:t xml:space="preserve"> </w:t>
      </w:r>
      <w:r w:rsidR="00C56AFF">
        <w:rPr>
          <w:rFonts w:cs="Arial"/>
          <w:b/>
          <w:noProof/>
          <w:sz w:val="28"/>
          <w:szCs w:val="28"/>
          <w:lang w:eastAsia="en-GB"/>
        </w:rPr>
        <w:t xml:space="preserve">involving </w:t>
      </w:r>
      <w:r w:rsidR="00B04D09" w:rsidRPr="00B04D09">
        <w:rPr>
          <w:rFonts w:cs="Arial"/>
          <w:b/>
          <w:noProof/>
          <w:sz w:val="28"/>
          <w:szCs w:val="28"/>
          <w:lang w:eastAsia="en-GB"/>
        </w:rPr>
        <w:t>regional Further Education Colleges, Group Training Associations</w:t>
      </w:r>
      <w:r w:rsidR="00B920F7">
        <w:rPr>
          <w:rFonts w:cs="Arial"/>
          <w:b/>
          <w:noProof/>
          <w:sz w:val="28"/>
          <w:szCs w:val="28"/>
          <w:lang w:eastAsia="en-GB"/>
        </w:rPr>
        <w:t>,</w:t>
      </w:r>
      <w:r w:rsidR="00B04D09" w:rsidRPr="00B04D09">
        <w:rPr>
          <w:rFonts w:cs="Arial"/>
          <w:b/>
          <w:noProof/>
          <w:sz w:val="28"/>
          <w:szCs w:val="28"/>
          <w:lang w:eastAsia="en-GB"/>
        </w:rPr>
        <w:t xml:space="preserve"> and Universities </w:t>
      </w:r>
    </w:p>
    <w:p w14:paraId="6991761A" w14:textId="77777777" w:rsidR="005178FF" w:rsidRPr="00697E15" w:rsidRDefault="005178FF">
      <w:r w:rsidRPr="00B04D09">
        <w:rPr>
          <w:b/>
        </w:rPr>
        <w:t>Industry:</w:t>
      </w:r>
      <w:r w:rsidRPr="00697E15">
        <w:t xml:space="preserve"> Research and development services and related consultancy services</w:t>
      </w:r>
    </w:p>
    <w:p w14:paraId="0C6CB9B0" w14:textId="77777777" w:rsidR="005178FF" w:rsidRPr="00697E15" w:rsidRDefault="005178FF">
      <w:r w:rsidRPr="00B04D09">
        <w:rPr>
          <w:b/>
        </w:rPr>
        <w:t>Location of contract:</w:t>
      </w:r>
      <w:r w:rsidRPr="00697E15">
        <w:t xml:space="preserve"> NW</w:t>
      </w:r>
    </w:p>
    <w:p w14:paraId="421C3A2D" w14:textId="77777777" w:rsidR="005178FF" w:rsidRPr="00697E15" w:rsidRDefault="005178FF">
      <w:r w:rsidRPr="00B04D09">
        <w:rPr>
          <w:b/>
        </w:rPr>
        <w:t>Value of contract:</w:t>
      </w:r>
      <w:r w:rsidRPr="00697E15">
        <w:t xml:space="preserve"> £0 - </w:t>
      </w:r>
      <w:r w:rsidR="00E0278F" w:rsidRPr="00697E15">
        <w:t>£24,999</w:t>
      </w:r>
    </w:p>
    <w:p w14:paraId="4FF0B4C0" w14:textId="058CB417" w:rsidR="005178FF" w:rsidRPr="00B04D09" w:rsidRDefault="005178FF">
      <w:pPr>
        <w:rPr>
          <w:b/>
        </w:rPr>
      </w:pPr>
      <w:r w:rsidRPr="00B04D09">
        <w:rPr>
          <w:b/>
        </w:rPr>
        <w:t>Published</w:t>
      </w:r>
      <w:r w:rsidR="008C6673">
        <w:rPr>
          <w:b/>
        </w:rPr>
        <w:t xml:space="preserve"> request for quote</w:t>
      </w:r>
      <w:r w:rsidRPr="00B04D09">
        <w:rPr>
          <w:b/>
        </w:rPr>
        <w:t xml:space="preserve"> date:</w:t>
      </w:r>
      <w:r w:rsidR="00B04D09">
        <w:rPr>
          <w:b/>
        </w:rPr>
        <w:t xml:space="preserve"> </w:t>
      </w:r>
      <w:r w:rsidR="0034345A" w:rsidRPr="000D14F3">
        <w:t>1</w:t>
      </w:r>
      <w:r w:rsidR="008C6673">
        <w:t>9</w:t>
      </w:r>
      <w:r w:rsidR="00B04D09" w:rsidRPr="000D14F3">
        <w:t>/</w:t>
      </w:r>
      <w:r w:rsidR="0034345A" w:rsidRPr="000D14F3">
        <w:t>05</w:t>
      </w:r>
      <w:r w:rsidR="00B04D09" w:rsidRPr="000D14F3">
        <w:t>/2021</w:t>
      </w:r>
    </w:p>
    <w:p w14:paraId="605312DF" w14:textId="44EFDAEB" w:rsidR="005178FF" w:rsidRPr="00697E15" w:rsidRDefault="005178FF">
      <w:r w:rsidRPr="00B04D09">
        <w:rPr>
          <w:b/>
        </w:rPr>
        <w:t>Closing date:</w:t>
      </w:r>
      <w:r w:rsidRPr="00697E15">
        <w:t xml:space="preserve"> </w:t>
      </w:r>
      <w:r w:rsidR="0034345A" w:rsidRPr="000D14F3">
        <w:t>04/06/2021</w:t>
      </w:r>
    </w:p>
    <w:p w14:paraId="6E07EF24" w14:textId="62191A57" w:rsidR="005178FF" w:rsidRPr="00697E15" w:rsidRDefault="005178FF">
      <w:r w:rsidRPr="00B04D09">
        <w:rPr>
          <w:b/>
        </w:rPr>
        <w:t>Closing time:</w:t>
      </w:r>
      <w:r w:rsidRPr="00697E15">
        <w:t xml:space="preserve"> </w:t>
      </w:r>
      <w:r w:rsidR="008C6673">
        <w:t>12 Noon</w:t>
      </w:r>
    </w:p>
    <w:p w14:paraId="416E3B21" w14:textId="798A60EF" w:rsidR="005178FF" w:rsidRPr="00697E15" w:rsidRDefault="005178FF">
      <w:r w:rsidRPr="00B04D09">
        <w:rPr>
          <w:b/>
        </w:rPr>
        <w:t>Contract start date:</w:t>
      </w:r>
      <w:r w:rsidR="00977237">
        <w:t xml:space="preserve"> </w:t>
      </w:r>
      <w:r w:rsidR="0034345A" w:rsidRPr="000D14F3">
        <w:t>28</w:t>
      </w:r>
      <w:r w:rsidR="00977237" w:rsidRPr="000D14F3">
        <w:t xml:space="preserve"> June</w:t>
      </w:r>
      <w:r w:rsidRPr="000D14F3">
        <w:t xml:space="preserve"> 2021</w:t>
      </w:r>
    </w:p>
    <w:p w14:paraId="3CDF2EFD" w14:textId="2211D04A" w:rsidR="005178FF" w:rsidRPr="00697E15" w:rsidRDefault="005178FF">
      <w:r w:rsidRPr="00B04D09">
        <w:rPr>
          <w:b/>
        </w:rPr>
        <w:t>Contract end date:</w:t>
      </w:r>
      <w:r w:rsidR="00977237">
        <w:t xml:space="preserve"> </w:t>
      </w:r>
      <w:r w:rsidR="0034345A" w:rsidRPr="000D14F3">
        <w:t>01 October</w:t>
      </w:r>
      <w:r w:rsidRPr="000D14F3">
        <w:t xml:space="preserve"> 2021</w:t>
      </w:r>
    </w:p>
    <w:p w14:paraId="683EE69A" w14:textId="77777777" w:rsidR="005178FF" w:rsidRPr="00585E3E" w:rsidRDefault="005178FF">
      <w:pPr>
        <w:rPr>
          <w:b/>
        </w:rPr>
      </w:pPr>
      <w:r w:rsidRPr="00585E3E">
        <w:rPr>
          <w:b/>
        </w:rPr>
        <w:t>Description</w:t>
      </w:r>
    </w:p>
    <w:p w14:paraId="2AAB9200" w14:textId="66F0300A" w:rsidR="00106D5D" w:rsidRPr="00697E15" w:rsidRDefault="005178FF" w:rsidP="00106D5D">
      <w:pPr>
        <w:spacing w:before="120" w:after="120"/>
        <w:jc w:val="both"/>
        <w:rPr>
          <w:lang w:eastAsia="en-GB"/>
        </w:rPr>
      </w:pPr>
      <w:r w:rsidRPr="00697E15">
        <w:t>L</w:t>
      </w:r>
      <w:r w:rsidR="00B04D09">
        <w:t xml:space="preserve">iverpool </w:t>
      </w:r>
      <w:r w:rsidRPr="00697E15">
        <w:t>J</w:t>
      </w:r>
      <w:r w:rsidR="00B04D09">
        <w:t xml:space="preserve">ohn </w:t>
      </w:r>
      <w:r w:rsidRPr="00697E15">
        <w:t>M</w:t>
      </w:r>
      <w:r w:rsidR="00B04D09">
        <w:t xml:space="preserve">oores </w:t>
      </w:r>
      <w:r w:rsidRPr="00697E15">
        <w:t>U</w:t>
      </w:r>
      <w:r w:rsidR="00B04D09">
        <w:t>niversity</w:t>
      </w:r>
      <w:r w:rsidR="00CC35FA">
        <w:t xml:space="preserve"> (LJMU)</w:t>
      </w:r>
      <w:r w:rsidR="79BB8545">
        <w:t xml:space="preserve"> has been awarded pre-development funding from Liverpool City Region Combined Authority</w:t>
      </w:r>
      <w:r w:rsidR="21037C82">
        <w:t xml:space="preserve"> (LCRCA) to develop an outline business case for </w:t>
      </w:r>
      <w:r w:rsidR="21037C82" w:rsidRPr="001396AB">
        <w:rPr>
          <w:noProof/>
          <w:lang w:eastAsia="en-GB"/>
        </w:rPr>
        <w:t>a regional higher technical skills progression framework to underpin innovation in the region and respond to demand from new and emerging sectors.</w:t>
      </w:r>
      <w:r w:rsidR="5496ED6D" w:rsidRPr="001396AB">
        <w:rPr>
          <w:noProof/>
          <w:lang w:eastAsia="en-GB"/>
        </w:rPr>
        <w:t xml:space="preserve"> LJMU </w:t>
      </w:r>
      <w:r w:rsidR="001976DC">
        <w:rPr>
          <w:noProof/>
          <w:lang w:eastAsia="en-GB"/>
        </w:rPr>
        <w:t>is</w:t>
      </w:r>
      <w:r w:rsidR="5496ED6D" w:rsidRPr="001396AB">
        <w:rPr>
          <w:noProof/>
          <w:lang w:eastAsia="en-GB"/>
        </w:rPr>
        <w:t xml:space="preserve"> working with </w:t>
      </w:r>
      <w:r w:rsidR="00231158">
        <w:t xml:space="preserve">three </w:t>
      </w:r>
      <w:r w:rsidR="00B04D09">
        <w:t>regional Further Education</w:t>
      </w:r>
      <w:r w:rsidRPr="00697E15">
        <w:t xml:space="preserve"> </w:t>
      </w:r>
      <w:r w:rsidR="00442C4F">
        <w:t>C</w:t>
      </w:r>
      <w:r w:rsidRPr="00697E15">
        <w:t>olleges</w:t>
      </w:r>
      <w:r w:rsidR="00B04D09">
        <w:t xml:space="preserve"> (FE</w:t>
      </w:r>
      <w:r w:rsidR="00442C4F">
        <w:t>C</w:t>
      </w:r>
      <w:r w:rsidR="00B04D09">
        <w:t>)</w:t>
      </w:r>
      <w:r w:rsidR="00585E3E">
        <w:t xml:space="preserve">, </w:t>
      </w:r>
      <w:r w:rsidR="00231158">
        <w:t xml:space="preserve">two </w:t>
      </w:r>
      <w:r w:rsidR="00B04D09">
        <w:t>Group Training Associations (GTA)</w:t>
      </w:r>
      <w:r w:rsidR="00231158">
        <w:t>,</w:t>
      </w:r>
      <w:r w:rsidR="00585E3E">
        <w:t xml:space="preserve"> and the Merseyside Colleges Association,</w:t>
      </w:r>
      <w:r w:rsidRPr="00697E15">
        <w:t xml:space="preserve"> to ex</w:t>
      </w:r>
      <w:r w:rsidR="00B04D09">
        <w:t>plore the feasibility and de</w:t>
      </w:r>
      <w:r w:rsidR="0039276E">
        <w:t xml:space="preserve">velopment of </w:t>
      </w:r>
      <w:r w:rsidR="7BFABF9D">
        <w:t>the project.</w:t>
      </w:r>
    </w:p>
    <w:p w14:paraId="0C9BD760" w14:textId="77777777" w:rsidR="008003FB" w:rsidRPr="00E5553C" w:rsidRDefault="008003FB" w:rsidP="008003FB">
      <w:pPr>
        <w:pStyle w:val="Heading1"/>
        <w:rPr>
          <w:b w:val="0"/>
        </w:rPr>
      </w:pPr>
      <w:r w:rsidRPr="00DC1421">
        <w:t>Scope of work</w:t>
      </w:r>
    </w:p>
    <w:p w14:paraId="6109F755" w14:textId="77777777" w:rsidR="00106D5D" w:rsidRPr="00B04D09" w:rsidRDefault="00106D5D" w:rsidP="00106D5D">
      <w:bookmarkStart w:id="0" w:name="_GoBack"/>
      <w:r w:rsidRPr="00B04D09">
        <w:t xml:space="preserve">LJMU </w:t>
      </w:r>
      <w:r>
        <w:t xml:space="preserve">is seeking the professional services </w:t>
      </w:r>
      <w:r w:rsidRPr="00B04D09">
        <w:t>from a suitably skilled</w:t>
      </w:r>
      <w:r>
        <w:t xml:space="preserve"> consultancy, with experience </w:t>
      </w:r>
      <w:r w:rsidRPr="00B04D09">
        <w:rPr>
          <w:rFonts w:cstheme="minorHAnsi"/>
        </w:rPr>
        <w:t>in higher technical skills as a driver for current and future economic growth and productivity gains</w:t>
      </w:r>
      <w:r>
        <w:rPr>
          <w:rFonts w:cstheme="minorHAnsi"/>
        </w:rPr>
        <w:t>.</w:t>
      </w:r>
    </w:p>
    <w:p w14:paraId="259454A4" w14:textId="07ECC8FC" w:rsidR="008003FB" w:rsidRDefault="008003FB" w:rsidP="008003FB">
      <w:pPr>
        <w:spacing w:before="120" w:after="120"/>
        <w:jc w:val="both"/>
      </w:pPr>
      <w:r>
        <w:rPr>
          <w:rFonts w:cstheme="minorHAnsi"/>
          <w:noProof/>
          <w:lang w:eastAsia="en-GB"/>
        </w:rPr>
        <w:t xml:space="preserve">The proposed work concerns the development of a </w:t>
      </w:r>
      <w:r w:rsidRPr="00697E15">
        <w:t xml:space="preserve">robust and reliable feasibility study, to </w:t>
      </w:r>
      <w:r>
        <w:t xml:space="preserve">provide a level of confidence among delivery partners </w:t>
      </w:r>
      <w:r w:rsidRPr="00697E15">
        <w:t xml:space="preserve">in the financial viability of the model, with a view to piloting the model </w:t>
      </w:r>
      <w:r w:rsidR="001976DC">
        <w:t>from</w:t>
      </w:r>
      <w:r w:rsidRPr="00697E15">
        <w:t xml:space="preserve"> September 202</w:t>
      </w:r>
      <w:r w:rsidR="001976DC">
        <w:t>2</w:t>
      </w:r>
      <w:r w:rsidRPr="00697E15">
        <w:t>.</w:t>
      </w:r>
    </w:p>
    <w:p w14:paraId="22955386" w14:textId="785A9A15" w:rsidR="008003FB" w:rsidRDefault="008003FB" w:rsidP="008003FB">
      <w:pPr>
        <w:jc w:val="both"/>
        <w:rPr>
          <w:rFonts w:cstheme="minorHAnsi"/>
          <w:noProof/>
          <w:lang w:eastAsia="en-GB"/>
        </w:rPr>
      </w:pPr>
      <w:r w:rsidRPr="00697E15">
        <w:t>This first step involves</w:t>
      </w:r>
      <w:r>
        <w:t xml:space="preserve"> a 3-month </w:t>
      </w:r>
      <w:r w:rsidR="00DB5229">
        <w:t>review</w:t>
      </w:r>
      <w:r>
        <w:t xml:space="preserve"> </w:t>
      </w:r>
      <w:bookmarkEnd w:id="0"/>
      <w:r>
        <w:t xml:space="preserve">focused on the Engineering curriculum. </w:t>
      </w:r>
      <w:r w:rsidRPr="00697E15">
        <w:rPr>
          <w:rFonts w:cstheme="minorHAnsi"/>
          <w:noProof/>
          <w:lang w:eastAsia="en-GB"/>
        </w:rPr>
        <w:t xml:space="preserve">The </w:t>
      </w:r>
      <w:r>
        <w:rPr>
          <w:rFonts w:cstheme="minorHAnsi"/>
          <w:noProof/>
          <w:lang w:eastAsia="en-GB"/>
        </w:rPr>
        <w:t xml:space="preserve">work </w:t>
      </w:r>
      <w:r w:rsidRPr="00697E15">
        <w:rPr>
          <w:rFonts w:cstheme="minorHAnsi"/>
          <w:noProof/>
          <w:lang w:eastAsia="en-GB"/>
        </w:rPr>
        <w:t>will include</w:t>
      </w:r>
      <w:r>
        <w:rPr>
          <w:rFonts w:cstheme="minorHAnsi"/>
          <w:noProof/>
          <w:lang w:eastAsia="en-GB"/>
        </w:rPr>
        <w:t xml:space="preserve"> working 1-2-1 with partners to deliver</w:t>
      </w:r>
      <w:r w:rsidRPr="00697E15">
        <w:rPr>
          <w:rFonts w:cstheme="minorHAnsi"/>
          <w:noProof/>
          <w:lang w:eastAsia="en-GB"/>
        </w:rPr>
        <w:t>:</w:t>
      </w:r>
    </w:p>
    <w:p w14:paraId="1F3875B2" w14:textId="400D3B8C" w:rsidR="008003FB" w:rsidRPr="00B708B3" w:rsidRDefault="008003FB" w:rsidP="00B708B3">
      <w:pPr>
        <w:pStyle w:val="ListParagraph"/>
        <w:numPr>
          <w:ilvl w:val="0"/>
          <w:numId w:val="12"/>
        </w:numPr>
        <w:spacing w:before="120" w:after="120"/>
        <w:rPr>
          <w:rFonts w:cstheme="minorHAnsi"/>
        </w:rPr>
      </w:pPr>
      <w:r w:rsidRPr="00C7462A">
        <w:rPr>
          <w:rFonts w:cstheme="minorHAnsi"/>
        </w:rPr>
        <w:t xml:space="preserve">An Outline Business Case </w:t>
      </w:r>
      <w:r w:rsidRPr="00B708B3">
        <w:rPr>
          <w:rFonts w:cstheme="minorHAnsi"/>
        </w:rPr>
        <w:t>compliant with HM Treasury Green Book methodology including:</w:t>
      </w:r>
    </w:p>
    <w:p w14:paraId="4489DA7D" w14:textId="77777777" w:rsidR="00106D5D" w:rsidRDefault="00106D5D" w:rsidP="00106D5D">
      <w:pPr>
        <w:pStyle w:val="ListParagraph"/>
        <w:spacing w:before="120" w:after="120"/>
        <w:ind w:left="360"/>
        <w:rPr>
          <w:rFonts w:cstheme="minorHAnsi"/>
        </w:rPr>
      </w:pPr>
    </w:p>
    <w:p w14:paraId="2E0B6F81" w14:textId="3DBA420C" w:rsidR="00106D5D" w:rsidRDefault="008003FB" w:rsidP="00686357">
      <w:pPr>
        <w:pStyle w:val="ListParagraph"/>
        <w:numPr>
          <w:ilvl w:val="0"/>
          <w:numId w:val="14"/>
        </w:numPr>
        <w:spacing w:before="120" w:after="120"/>
        <w:jc w:val="both"/>
        <w:rPr>
          <w:rFonts w:cstheme="minorHAnsi"/>
        </w:rPr>
      </w:pPr>
      <w:r w:rsidRPr="00B708B3">
        <w:rPr>
          <w:rFonts w:cstheme="minorHAnsi"/>
        </w:rPr>
        <w:t>Presentation of the short-listed options</w:t>
      </w:r>
      <w:r w:rsidR="00CC6344">
        <w:rPr>
          <w:rStyle w:val="FootnoteReference"/>
          <w:rFonts w:cstheme="minorHAnsi"/>
        </w:rPr>
        <w:footnoteReference w:id="2"/>
      </w:r>
      <w:r w:rsidRPr="00B708B3">
        <w:rPr>
          <w:rFonts w:cstheme="minorHAnsi"/>
        </w:rPr>
        <w:t xml:space="preserve"> and articulation of the rationale for the proposed way forward</w:t>
      </w:r>
      <w:r w:rsidR="00106D5D">
        <w:rPr>
          <w:rFonts w:cstheme="minorHAnsi"/>
        </w:rPr>
        <w:t>*</w:t>
      </w:r>
      <w:r w:rsidR="00106D5D" w:rsidRPr="00106D5D">
        <w:rPr>
          <w:rFonts w:cstheme="minorHAnsi"/>
          <w:noProof/>
          <w:lang w:eastAsia="en-GB"/>
        </w:rPr>
        <w:t xml:space="preserve"> including independent analysis of</w:t>
      </w:r>
      <w:r w:rsidR="00106D5D" w:rsidRPr="00106D5D">
        <w:rPr>
          <w:rFonts w:cstheme="minorHAnsi"/>
        </w:rPr>
        <w:t xml:space="preserve"> the levels of demand, potential growth, and risk assessment</w:t>
      </w:r>
      <w:r w:rsidR="00B07CFB">
        <w:rPr>
          <w:rFonts w:cstheme="minorHAnsi"/>
        </w:rPr>
        <w:t>;</w:t>
      </w:r>
    </w:p>
    <w:p w14:paraId="0FCB6352" w14:textId="1B789CFF" w:rsidR="00106D5D" w:rsidRDefault="00106D5D" w:rsidP="00106D5D">
      <w:pPr>
        <w:pStyle w:val="ListParagraph"/>
        <w:numPr>
          <w:ilvl w:val="0"/>
          <w:numId w:val="14"/>
        </w:numPr>
        <w:spacing w:before="120" w:after="120"/>
        <w:jc w:val="both"/>
        <w:rPr>
          <w:rFonts w:cstheme="minorHAnsi"/>
        </w:rPr>
      </w:pPr>
      <w:r w:rsidRPr="00106D5D">
        <w:rPr>
          <w:rFonts w:cstheme="minorHAnsi"/>
        </w:rPr>
        <w:lastRenderedPageBreak/>
        <w:t>Outline delivery model for the preferred option</w:t>
      </w:r>
      <w:r>
        <w:rPr>
          <w:rFonts w:cstheme="minorHAnsi"/>
        </w:rPr>
        <w:t xml:space="preserve"> including timelines</w:t>
      </w:r>
      <w:r w:rsidRPr="00106D5D">
        <w:rPr>
          <w:rFonts w:cstheme="minorHAnsi"/>
        </w:rPr>
        <w:t>;</w:t>
      </w:r>
    </w:p>
    <w:p w14:paraId="318EF044" w14:textId="1B604D4F" w:rsidR="00106D5D" w:rsidRDefault="008003FB" w:rsidP="00E47DCC">
      <w:pPr>
        <w:pStyle w:val="ListParagraph"/>
        <w:numPr>
          <w:ilvl w:val="0"/>
          <w:numId w:val="14"/>
        </w:numPr>
        <w:spacing w:before="120" w:after="120"/>
        <w:jc w:val="both"/>
        <w:rPr>
          <w:rFonts w:cstheme="minorHAnsi"/>
        </w:rPr>
      </w:pPr>
      <w:r w:rsidRPr="00B708B3">
        <w:rPr>
          <w:rFonts w:cstheme="minorHAnsi"/>
        </w:rPr>
        <w:t>Articulation of the reference case</w:t>
      </w:r>
      <w:r w:rsidR="002D09E3">
        <w:rPr>
          <w:rFonts w:cstheme="minorHAnsi"/>
        </w:rPr>
        <w:t xml:space="preserve"> (business as usual)</w:t>
      </w:r>
      <w:r w:rsidRPr="00B708B3">
        <w:rPr>
          <w:rFonts w:cstheme="minorHAnsi"/>
        </w:rPr>
        <w:t xml:space="preserve">, against which the preferred option can be assessed; </w:t>
      </w:r>
    </w:p>
    <w:p w14:paraId="32CC7E86" w14:textId="77777777" w:rsidR="00106D5D" w:rsidRDefault="008003FB" w:rsidP="00A11ED0">
      <w:pPr>
        <w:pStyle w:val="ListParagraph"/>
        <w:numPr>
          <w:ilvl w:val="0"/>
          <w:numId w:val="14"/>
        </w:numPr>
        <w:spacing w:before="120" w:after="120"/>
        <w:jc w:val="both"/>
        <w:rPr>
          <w:rFonts w:cstheme="minorHAnsi"/>
        </w:rPr>
      </w:pPr>
      <w:r w:rsidRPr="00B708B3">
        <w:rPr>
          <w:rFonts w:cstheme="minorHAnsi"/>
        </w:rPr>
        <w:t xml:space="preserve">Calculation of the gross and net economic benefits, profiled over an appropriate appraisal period and discounted in line with HM Treasury Guidance; </w:t>
      </w:r>
    </w:p>
    <w:p w14:paraId="3E41D275" w14:textId="686326C3" w:rsidR="00106D5D" w:rsidRDefault="008003FB" w:rsidP="00C017E4">
      <w:pPr>
        <w:pStyle w:val="ListParagraph"/>
        <w:numPr>
          <w:ilvl w:val="0"/>
          <w:numId w:val="14"/>
        </w:numPr>
        <w:spacing w:before="120" w:after="120"/>
        <w:jc w:val="both"/>
        <w:rPr>
          <w:rFonts w:cstheme="minorHAnsi"/>
        </w:rPr>
      </w:pPr>
      <w:r w:rsidRPr="00B708B3">
        <w:rPr>
          <w:rFonts w:cstheme="minorHAnsi"/>
        </w:rPr>
        <w:t>Calculation of Value for Money indic</w:t>
      </w:r>
      <w:r w:rsidR="001976DC">
        <w:rPr>
          <w:rFonts w:cstheme="minorHAnsi"/>
        </w:rPr>
        <w:t>a</w:t>
      </w:r>
      <w:r w:rsidRPr="00B708B3">
        <w:rPr>
          <w:rFonts w:cstheme="minorHAnsi"/>
        </w:rPr>
        <w:t>tors including the Net Present Value of the preferred option and the Benefit Cost ratio; and</w:t>
      </w:r>
    </w:p>
    <w:p w14:paraId="5BD85943" w14:textId="17618692" w:rsidR="008003FB" w:rsidRPr="00B708B3" w:rsidRDefault="008003FB" w:rsidP="00B708B3">
      <w:pPr>
        <w:pStyle w:val="ListParagraph"/>
        <w:numPr>
          <w:ilvl w:val="0"/>
          <w:numId w:val="14"/>
        </w:numPr>
        <w:spacing w:before="120" w:after="120"/>
        <w:jc w:val="both"/>
      </w:pPr>
      <w:r w:rsidRPr="00B708B3">
        <w:t>Sensitivity analysis at project level, incl</w:t>
      </w:r>
      <w:r w:rsidR="00BD3C03">
        <w:t>u</w:t>
      </w:r>
      <w:r w:rsidR="049A89DB" w:rsidRPr="001396AB">
        <w:t>d</w:t>
      </w:r>
      <w:r w:rsidRPr="00B708B3">
        <w:t xml:space="preserve">ing switching values analysis where appropriate. </w:t>
      </w:r>
    </w:p>
    <w:p w14:paraId="15E546E5" w14:textId="46D9369B" w:rsidR="008003FB" w:rsidRDefault="008003FB" w:rsidP="008003FB">
      <w:pPr>
        <w:pStyle w:val="NormalWeb"/>
        <w:jc w:val="both"/>
        <w:rPr>
          <w:rFonts w:asciiTheme="minorHAnsi" w:eastAsiaTheme="minorHAnsi" w:hAnsiTheme="minorHAnsi" w:cstheme="minorHAnsi"/>
          <w:sz w:val="22"/>
          <w:szCs w:val="22"/>
          <w:lang w:eastAsia="en-US"/>
        </w:rPr>
      </w:pPr>
      <w:r w:rsidRPr="00B708B3">
        <w:rPr>
          <w:rFonts w:asciiTheme="minorHAnsi" w:eastAsiaTheme="minorHAnsi" w:hAnsiTheme="minorHAnsi" w:cstheme="minorHAnsi"/>
          <w:sz w:val="22"/>
          <w:szCs w:val="22"/>
          <w:lang w:eastAsia="en-US"/>
        </w:rPr>
        <w:t xml:space="preserve">For each, this should be summarised in a report setting out, inter alia, the approach </w:t>
      </w:r>
      <w:r w:rsidR="00BD3C03" w:rsidRPr="00B708B3">
        <w:rPr>
          <w:rFonts w:asciiTheme="minorHAnsi" w:eastAsiaTheme="minorHAnsi" w:hAnsiTheme="minorHAnsi" w:cstheme="minorHAnsi"/>
          <w:sz w:val="22"/>
          <w:szCs w:val="22"/>
          <w:lang w:eastAsia="en-US"/>
        </w:rPr>
        <w:t>adopted,</w:t>
      </w:r>
      <w:r w:rsidRPr="00B708B3">
        <w:rPr>
          <w:rFonts w:asciiTheme="minorHAnsi" w:eastAsiaTheme="minorHAnsi" w:hAnsiTheme="minorHAnsi" w:cstheme="minorHAnsi"/>
          <w:sz w:val="22"/>
          <w:szCs w:val="22"/>
          <w:lang w:eastAsia="en-US"/>
        </w:rPr>
        <w:t xml:space="preserve"> and assumptions made in accordance with HM Treasury Green Book methodology. Any areas of uncertainty should be highlighted.</w:t>
      </w:r>
    </w:p>
    <w:p w14:paraId="7D7DED83" w14:textId="32B6DC26" w:rsidR="00106D5D" w:rsidRPr="00B708B3" w:rsidRDefault="00106D5D" w:rsidP="008003FB">
      <w:pPr>
        <w:pStyle w:val="NormalWeb"/>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t>
      </w:r>
      <w:r w:rsidRPr="00106D5D">
        <w:t xml:space="preserve"> </w:t>
      </w:r>
      <w:r w:rsidRPr="00106D5D">
        <w:rPr>
          <w:rFonts w:asciiTheme="minorHAnsi" w:eastAsiaTheme="minorHAnsi" w:hAnsiTheme="minorHAnsi" w:cstheme="minorHAnsi"/>
          <w:sz w:val="22"/>
          <w:szCs w:val="22"/>
          <w:lang w:eastAsia="en-US"/>
        </w:rPr>
        <w:t>It is anticipated the scope of the pilot will include</w:t>
      </w:r>
      <w:r>
        <w:rPr>
          <w:rFonts w:asciiTheme="minorHAnsi" w:eastAsiaTheme="minorHAnsi" w:hAnsiTheme="minorHAnsi" w:cstheme="minorHAnsi"/>
          <w:sz w:val="22"/>
          <w:szCs w:val="22"/>
          <w:lang w:eastAsia="en-US"/>
        </w:rPr>
        <w:t>:</w:t>
      </w:r>
    </w:p>
    <w:p w14:paraId="044EE09F" w14:textId="77777777" w:rsidR="008003FB" w:rsidRDefault="008003FB" w:rsidP="008003FB">
      <w:pPr>
        <w:pStyle w:val="ListParagraph"/>
        <w:numPr>
          <w:ilvl w:val="0"/>
          <w:numId w:val="5"/>
        </w:numPr>
        <w:spacing w:before="120" w:after="120"/>
        <w:rPr>
          <w:rFonts w:eastAsia="Times New Roman" w:cstheme="minorHAnsi"/>
          <w:noProof/>
          <w:lang w:eastAsia="en-GB"/>
        </w:rPr>
      </w:pPr>
      <w:r>
        <w:rPr>
          <w:rFonts w:cstheme="minorHAnsi"/>
          <w:noProof/>
          <w:lang w:eastAsia="en-GB"/>
        </w:rPr>
        <w:t>Regional p</w:t>
      </w:r>
      <w:r w:rsidRPr="00697E15">
        <w:rPr>
          <w:rFonts w:cstheme="minorHAnsi"/>
          <w:noProof/>
          <w:lang w:eastAsia="en-GB"/>
        </w:rPr>
        <w:t xml:space="preserve">rovision </w:t>
      </w:r>
      <w:r>
        <w:rPr>
          <w:rFonts w:cstheme="minorHAnsi"/>
          <w:noProof/>
          <w:lang w:eastAsia="en-GB"/>
        </w:rPr>
        <w:t xml:space="preserve">for </w:t>
      </w:r>
      <w:r w:rsidRPr="00697E15">
        <w:rPr>
          <w:rFonts w:eastAsia="Times New Roman" w:cstheme="minorHAnsi"/>
          <w:noProof/>
          <w:lang w:eastAsia="en-GB"/>
        </w:rPr>
        <w:t xml:space="preserve">Level 3 </w:t>
      </w:r>
      <w:r>
        <w:rPr>
          <w:rFonts w:eastAsia="Times New Roman" w:cstheme="minorHAnsi"/>
          <w:noProof/>
          <w:lang w:eastAsia="en-GB"/>
        </w:rPr>
        <w:t xml:space="preserve">‘bridging/access’ </w:t>
      </w:r>
      <w:r w:rsidRPr="00697E15">
        <w:rPr>
          <w:rFonts w:eastAsia="Times New Roman" w:cstheme="minorHAnsi"/>
          <w:noProof/>
          <w:lang w:eastAsia="en-GB"/>
        </w:rPr>
        <w:t>programme</w:t>
      </w:r>
      <w:r>
        <w:rPr>
          <w:rFonts w:eastAsia="Times New Roman" w:cstheme="minorHAnsi"/>
          <w:noProof/>
          <w:lang w:eastAsia="en-GB"/>
        </w:rPr>
        <w:t>s</w:t>
      </w:r>
      <w:r w:rsidRPr="00697E15">
        <w:rPr>
          <w:rFonts w:eastAsia="Times New Roman" w:cstheme="minorHAnsi"/>
          <w:noProof/>
          <w:lang w:eastAsia="en-GB"/>
        </w:rPr>
        <w:t xml:space="preserve"> </w:t>
      </w:r>
      <w:r>
        <w:rPr>
          <w:rFonts w:eastAsia="Times New Roman" w:cstheme="minorHAnsi"/>
          <w:noProof/>
          <w:lang w:eastAsia="en-GB"/>
        </w:rPr>
        <w:t xml:space="preserve">designed for </w:t>
      </w:r>
      <w:r w:rsidRPr="00697E15">
        <w:rPr>
          <w:rFonts w:eastAsia="Times New Roman" w:cstheme="minorHAnsi"/>
          <w:noProof/>
          <w:lang w:eastAsia="en-GB"/>
        </w:rPr>
        <w:t xml:space="preserve">people with a Level 3 </w:t>
      </w:r>
      <w:r>
        <w:rPr>
          <w:rFonts w:eastAsia="Times New Roman" w:cstheme="minorHAnsi"/>
          <w:noProof/>
          <w:lang w:eastAsia="en-GB"/>
        </w:rPr>
        <w:t>'C</w:t>
      </w:r>
      <w:r w:rsidRPr="00697E15">
        <w:rPr>
          <w:rFonts w:eastAsia="Times New Roman" w:cstheme="minorHAnsi"/>
          <w:noProof/>
          <w:lang w:eastAsia="en-GB"/>
        </w:rPr>
        <w:t>raft</w:t>
      </w:r>
      <w:r>
        <w:rPr>
          <w:rFonts w:eastAsia="Times New Roman" w:cstheme="minorHAnsi"/>
          <w:noProof/>
          <w:lang w:eastAsia="en-GB"/>
        </w:rPr>
        <w:t>’</w:t>
      </w:r>
      <w:r w:rsidRPr="00697E15">
        <w:rPr>
          <w:rFonts w:eastAsia="Times New Roman" w:cstheme="minorHAnsi"/>
          <w:noProof/>
          <w:lang w:eastAsia="en-GB"/>
        </w:rPr>
        <w:t xml:space="preserve"> apprenticeship qualification</w:t>
      </w:r>
      <w:r>
        <w:rPr>
          <w:rFonts w:eastAsia="Times New Roman" w:cstheme="minorHAnsi"/>
          <w:noProof/>
          <w:lang w:eastAsia="en-GB"/>
        </w:rPr>
        <w:t>s</w:t>
      </w:r>
      <w:r w:rsidRPr="00697E15">
        <w:rPr>
          <w:rFonts w:eastAsia="Times New Roman" w:cstheme="minorHAnsi"/>
          <w:noProof/>
          <w:lang w:eastAsia="en-GB"/>
        </w:rPr>
        <w:t xml:space="preserve"> to progress</w:t>
      </w:r>
      <w:r>
        <w:rPr>
          <w:rFonts w:eastAsia="Times New Roman" w:cstheme="minorHAnsi"/>
          <w:noProof/>
          <w:lang w:eastAsia="en-GB"/>
        </w:rPr>
        <w:t xml:space="preserve"> </w:t>
      </w:r>
      <w:r w:rsidRPr="00697E15">
        <w:rPr>
          <w:rFonts w:eastAsia="Times New Roman" w:cstheme="minorHAnsi"/>
          <w:noProof/>
          <w:lang w:eastAsia="en-GB"/>
        </w:rPr>
        <w:t>to Level 4</w:t>
      </w:r>
      <w:r>
        <w:rPr>
          <w:rFonts w:eastAsia="Times New Roman" w:cstheme="minorHAnsi"/>
          <w:noProof/>
          <w:lang w:eastAsia="en-GB"/>
        </w:rPr>
        <w:t>+</w:t>
      </w:r>
      <w:r w:rsidRPr="00697E15">
        <w:rPr>
          <w:rFonts w:eastAsia="Times New Roman" w:cstheme="minorHAnsi"/>
          <w:noProof/>
          <w:lang w:eastAsia="en-GB"/>
        </w:rPr>
        <w:t xml:space="preserve">. </w:t>
      </w:r>
    </w:p>
    <w:p w14:paraId="610BE3DD" w14:textId="77777777" w:rsidR="008003FB" w:rsidRPr="00697E15" w:rsidRDefault="008003FB" w:rsidP="008003FB">
      <w:pPr>
        <w:pStyle w:val="ListParagraph"/>
        <w:spacing w:before="120" w:after="120"/>
        <w:ind w:left="360"/>
        <w:rPr>
          <w:rFonts w:eastAsia="Times New Roman" w:cstheme="minorHAnsi"/>
          <w:noProof/>
          <w:lang w:eastAsia="en-GB"/>
        </w:rPr>
      </w:pPr>
    </w:p>
    <w:p w14:paraId="20319227" w14:textId="77777777" w:rsidR="008003FB" w:rsidRDefault="008003FB" w:rsidP="008003FB">
      <w:pPr>
        <w:pStyle w:val="ListParagraph"/>
        <w:numPr>
          <w:ilvl w:val="0"/>
          <w:numId w:val="5"/>
        </w:numPr>
        <w:spacing w:before="120" w:after="120"/>
        <w:jc w:val="both"/>
        <w:rPr>
          <w:rFonts w:eastAsia="Times New Roman" w:cstheme="minorHAnsi"/>
          <w:noProof/>
          <w:lang w:eastAsia="en-GB"/>
        </w:rPr>
      </w:pPr>
      <w:r w:rsidRPr="00697E15">
        <w:rPr>
          <w:rFonts w:cstheme="minorHAnsi"/>
          <w:noProof/>
          <w:lang w:eastAsia="en-GB"/>
        </w:rPr>
        <w:t xml:space="preserve">The development of a </w:t>
      </w:r>
      <w:r>
        <w:rPr>
          <w:rFonts w:cstheme="minorHAnsi"/>
          <w:noProof/>
          <w:lang w:eastAsia="en-GB"/>
        </w:rPr>
        <w:t>shared core</w:t>
      </w:r>
      <w:r w:rsidRPr="00697E15">
        <w:rPr>
          <w:rFonts w:cstheme="minorHAnsi"/>
          <w:noProof/>
          <w:lang w:eastAsia="en-GB"/>
        </w:rPr>
        <w:t xml:space="preserve"> curriculum at Levels 4</w:t>
      </w:r>
      <w:r>
        <w:rPr>
          <w:rFonts w:cstheme="minorHAnsi"/>
          <w:noProof/>
          <w:lang w:eastAsia="en-GB"/>
        </w:rPr>
        <w:t xml:space="preserve"> to </w:t>
      </w:r>
      <w:r w:rsidRPr="00697E15">
        <w:rPr>
          <w:rFonts w:cstheme="minorHAnsi"/>
          <w:noProof/>
          <w:lang w:eastAsia="en-GB"/>
        </w:rPr>
        <w:t>5</w:t>
      </w:r>
      <w:r>
        <w:rPr>
          <w:rFonts w:cstheme="minorHAnsi"/>
          <w:noProof/>
          <w:lang w:eastAsia="en-GB"/>
        </w:rPr>
        <w:t xml:space="preserve">,  and sharing of </w:t>
      </w:r>
      <w:r w:rsidRPr="00697E15">
        <w:rPr>
          <w:rFonts w:cstheme="minorHAnsi"/>
          <w:noProof/>
          <w:lang w:eastAsia="en-GB"/>
        </w:rPr>
        <w:t xml:space="preserve">specialist </w:t>
      </w:r>
      <w:r>
        <w:rPr>
          <w:rFonts w:cstheme="minorHAnsi"/>
          <w:noProof/>
          <w:lang w:eastAsia="en-GB"/>
        </w:rPr>
        <w:t xml:space="preserve">technical  higher education </w:t>
      </w:r>
      <w:r w:rsidRPr="00697E15">
        <w:rPr>
          <w:rFonts w:cstheme="minorHAnsi"/>
          <w:noProof/>
          <w:lang w:eastAsia="en-GB"/>
        </w:rPr>
        <w:t xml:space="preserve">modules </w:t>
      </w:r>
      <w:r>
        <w:rPr>
          <w:rFonts w:cstheme="minorHAnsi"/>
          <w:noProof/>
          <w:lang w:eastAsia="en-GB"/>
        </w:rPr>
        <w:t xml:space="preserve">which are </w:t>
      </w:r>
      <w:r w:rsidRPr="00697E15">
        <w:rPr>
          <w:rFonts w:cstheme="minorHAnsi"/>
          <w:noProof/>
          <w:lang w:eastAsia="en-GB"/>
        </w:rPr>
        <w:t>currently</w:t>
      </w:r>
      <w:r>
        <w:rPr>
          <w:rFonts w:cstheme="minorHAnsi"/>
          <w:noProof/>
          <w:lang w:eastAsia="en-GB"/>
        </w:rPr>
        <w:t xml:space="preserve"> not viable </w:t>
      </w:r>
      <w:r w:rsidRPr="00697E15">
        <w:rPr>
          <w:rFonts w:cstheme="minorHAnsi"/>
          <w:noProof/>
          <w:lang w:eastAsia="en-GB"/>
        </w:rPr>
        <w:t xml:space="preserve">in terms of </w:t>
      </w:r>
      <w:r>
        <w:rPr>
          <w:rFonts w:cstheme="minorHAnsi"/>
          <w:noProof/>
          <w:lang w:eastAsia="en-GB"/>
        </w:rPr>
        <w:t>student numbers and recruitment/retention of</w:t>
      </w:r>
      <w:r w:rsidRPr="00697E15">
        <w:rPr>
          <w:rFonts w:cstheme="minorHAnsi"/>
          <w:noProof/>
          <w:lang w:eastAsia="en-GB"/>
        </w:rPr>
        <w:t xml:space="preserve"> specialist staff. </w:t>
      </w:r>
      <w:r>
        <w:rPr>
          <w:rFonts w:cstheme="minorHAnsi"/>
          <w:noProof/>
          <w:lang w:eastAsia="en-GB"/>
        </w:rPr>
        <w:t>A</w:t>
      </w:r>
      <w:r>
        <w:rPr>
          <w:rFonts w:eastAsia="Times New Roman" w:cstheme="minorHAnsi"/>
          <w:noProof/>
          <w:lang w:eastAsia="en-GB"/>
        </w:rPr>
        <w:t xml:space="preserve"> </w:t>
      </w:r>
      <w:r w:rsidRPr="00697E15">
        <w:rPr>
          <w:rFonts w:eastAsia="Times New Roman" w:cstheme="minorHAnsi"/>
          <w:noProof/>
          <w:lang w:eastAsia="en-GB"/>
        </w:rPr>
        <w:t xml:space="preserve">model of pooling student numbers from a number of </w:t>
      </w:r>
      <w:r>
        <w:rPr>
          <w:rFonts w:eastAsia="Times New Roman" w:cstheme="minorHAnsi"/>
          <w:noProof/>
          <w:lang w:eastAsia="en-GB"/>
        </w:rPr>
        <w:t xml:space="preserve">regional </w:t>
      </w:r>
      <w:r w:rsidRPr="00697E15">
        <w:rPr>
          <w:rFonts w:eastAsia="Times New Roman" w:cstheme="minorHAnsi"/>
          <w:noProof/>
          <w:lang w:eastAsia="en-GB"/>
        </w:rPr>
        <w:t>colleges to achieve critical mass</w:t>
      </w:r>
      <w:r>
        <w:rPr>
          <w:rFonts w:eastAsia="Times New Roman" w:cstheme="minorHAnsi"/>
          <w:noProof/>
          <w:lang w:eastAsia="en-GB"/>
        </w:rPr>
        <w:t>es</w:t>
      </w:r>
      <w:r w:rsidRPr="00697E15">
        <w:rPr>
          <w:rFonts w:eastAsia="Times New Roman" w:cstheme="minorHAnsi"/>
          <w:noProof/>
          <w:lang w:eastAsia="en-GB"/>
        </w:rPr>
        <w:t xml:space="preserve"> of learners.</w:t>
      </w:r>
    </w:p>
    <w:p w14:paraId="28C095DF" w14:textId="77777777" w:rsidR="008003FB" w:rsidRPr="00E5553C" w:rsidRDefault="008003FB" w:rsidP="008003FB">
      <w:pPr>
        <w:pStyle w:val="ListParagraph"/>
        <w:rPr>
          <w:rFonts w:eastAsia="Times New Roman" w:cstheme="minorHAnsi"/>
          <w:noProof/>
          <w:lang w:eastAsia="en-GB"/>
        </w:rPr>
      </w:pPr>
    </w:p>
    <w:p w14:paraId="7F424C39" w14:textId="77777777" w:rsidR="008003FB" w:rsidRPr="00697E15" w:rsidRDefault="008003FB" w:rsidP="008003FB">
      <w:pPr>
        <w:pStyle w:val="ListParagraph"/>
        <w:numPr>
          <w:ilvl w:val="0"/>
          <w:numId w:val="5"/>
        </w:numPr>
        <w:spacing w:before="120" w:after="120"/>
        <w:rPr>
          <w:rFonts w:cstheme="minorHAnsi"/>
          <w:noProof/>
          <w:lang w:eastAsia="en-GB"/>
        </w:rPr>
      </w:pPr>
      <w:r w:rsidRPr="00697E15">
        <w:rPr>
          <w:rFonts w:cstheme="minorHAnsi"/>
          <w:noProof/>
          <w:lang w:eastAsia="en-GB"/>
        </w:rPr>
        <w:t xml:space="preserve">Establishing </w:t>
      </w:r>
      <w:r>
        <w:rPr>
          <w:rFonts w:cstheme="minorHAnsi"/>
          <w:noProof/>
          <w:lang w:eastAsia="en-GB"/>
        </w:rPr>
        <w:t xml:space="preserve">a viable collaborative model </w:t>
      </w:r>
      <w:r w:rsidRPr="00697E15">
        <w:rPr>
          <w:rFonts w:cstheme="minorHAnsi"/>
          <w:noProof/>
          <w:lang w:eastAsia="en-GB"/>
        </w:rPr>
        <w:t xml:space="preserve">for </w:t>
      </w:r>
      <w:r>
        <w:rPr>
          <w:rFonts w:cstheme="minorHAnsi"/>
          <w:noProof/>
          <w:lang w:eastAsia="en-GB"/>
        </w:rPr>
        <w:t>d</w:t>
      </w:r>
      <w:r w:rsidRPr="00697E15">
        <w:rPr>
          <w:rFonts w:cstheme="minorHAnsi"/>
          <w:noProof/>
          <w:lang w:eastAsia="en-GB"/>
        </w:rPr>
        <w:t xml:space="preserve">egree </w:t>
      </w:r>
      <w:r>
        <w:rPr>
          <w:rFonts w:cstheme="minorHAnsi"/>
          <w:noProof/>
          <w:lang w:eastAsia="en-GB"/>
        </w:rPr>
        <w:t>a</w:t>
      </w:r>
      <w:r w:rsidRPr="00697E15">
        <w:rPr>
          <w:rFonts w:cstheme="minorHAnsi"/>
          <w:noProof/>
          <w:lang w:eastAsia="en-GB"/>
        </w:rPr>
        <w:t xml:space="preserve">pprenticeships </w:t>
      </w:r>
      <w:r>
        <w:rPr>
          <w:rFonts w:cstheme="minorHAnsi"/>
          <w:noProof/>
          <w:lang w:eastAsia="en-GB"/>
        </w:rPr>
        <w:t>between the r</w:t>
      </w:r>
      <w:r w:rsidRPr="00697E15">
        <w:rPr>
          <w:rFonts w:cstheme="minorHAnsi"/>
          <w:noProof/>
          <w:lang w:eastAsia="en-GB"/>
        </w:rPr>
        <w:t xml:space="preserve">egion’s FECs and GTAs, </w:t>
      </w:r>
      <w:r>
        <w:rPr>
          <w:rFonts w:cstheme="minorHAnsi"/>
          <w:noProof/>
          <w:lang w:eastAsia="en-GB"/>
        </w:rPr>
        <w:t xml:space="preserve">and regional </w:t>
      </w:r>
      <w:r w:rsidRPr="00697E15">
        <w:rPr>
          <w:rFonts w:cstheme="minorHAnsi"/>
          <w:noProof/>
          <w:lang w:eastAsia="en-GB"/>
        </w:rPr>
        <w:t>HE.</w:t>
      </w:r>
    </w:p>
    <w:p w14:paraId="7A6DA557" w14:textId="04B903DB" w:rsidR="008003FB" w:rsidRDefault="008003FB" w:rsidP="008003FB">
      <w:pPr>
        <w:pStyle w:val="Heading1"/>
      </w:pPr>
      <w:r w:rsidRPr="00E5553C">
        <w:t>Information to be provided in the quotation</w:t>
      </w:r>
    </w:p>
    <w:p w14:paraId="4587FA2D" w14:textId="19C3D106" w:rsidR="005B1FD1" w:rsidRPr="00B708B3" w:rsidRDefault="005B1FD1" w:rsidP="005B1FD1">
      <w:pPr>
        <w:pStyle w:val="NormalWeb"/>
        <w:spacing w:before="120" w:beforeAutospacing="0" w:after="120" w:afterAutospacing="0"/>
        <w:jc w:val="both"/>
        <w:rPr>
          <w:rFonts w:asciiTheme="minorHAnsi" w:eastAsiaTheme="minorHAnsi" w:hAnsiTheme="minorHAnsi" w:cstheme="minorHAnsi"/>
          <w:noProof/>
          <w:sz w:val="22"/>
          <w:szCs w:val="22"/>
        </w:rPr>
      </w:pPr>
      <w:r w:rsidRPr="00B708B3">
        <w:rPr>
          <w:rFonts w:asciiTheme="minorHAnsi" w:eastAsiaTheme="minorHAnsi" w:hAnsiTheme="minorHAnsi" w:cstheme="minorHAnsi"/>
          <w:noProof/>
          <w:sz w:val="22"/>
          <w:szCs w:val="22"/>
        </w:rPr>
        <w:t xml:space="preserve">The following information is required in response to this </w:t>
      </w:r>
      <w:r w:rsidR="008C6673">
        <w:rPr>
          <w:rFonts w:asciiTheme="minorHAnsi" w:eastAsiaTheme="minorHAnsi" w:hAnsiTheme="minorHAnsi" w:cstheme="minorHAnsi"/>
          <w:noProof/>
          <w:sz w:val="22"/>
          <w:szCs w:val="22"/>
        </w:rPr>
        <w:t>quotation request</w:t>
      </w:r>
      <w:r w:rsidRPr="00B708B3">
        <w:rPr>
          <w:rFonts w:asciiTheme="minorHAnsi" w:eastAsiaTheme="minorHAnsi" w:hAnsiTheme="minorHAnsi" w:cstheme="minorHAnsi"/>
          <w:noProof/>
          <w:sz w:val="22"/>
          <w:szCs w:val="22"/>
        </w:rPr>
        <w:t>:</w:t>
      </w:r>
    </w:p>
    <w:p w14:paraId="5B6CF8A2" w14:textId="77777777" w:rsidR="008003FB" w:rsidRPr="00697E15" w:rsidRDefault="008003FB" w:rsidP="008003FB">
      <w:pPr>
        <w:pStyle w:val="ListParagraph"/>
        <w:numPr>
          <w:ilvl w:val="0"/>
          <w:numId w:val="1"/>
        </w:numPr>
        <w:jc w:val="both"/>
      </w:pPr>
      <w:r w:rsidRPr="00697E15">
        <w:t>A comprehensive proposal covering all aspects of the scope of work.</w:t>
      </w:r>
    </w:p>
    <w:p w14:paraId="7E8B4CC5" w14:textId="77777777" w:rsidR="008003FB" w:rsidRPr="00697E15" w:rsidRDefault="008003FB" w:rsidP="008003FB">
      <w:pPr>
        <w:pStyle w:val="ListParagraph"/>
        <w:numPr>
          <w:ilvl w:val="0"/>
          <w:numId w:val="1"/>
        </w:numPr>
        <w:jc w:val="both"/>
      </w:pPr>
      <w:r w:rsidRPr="00697E15">
        <w:t>A project plan with defined stages</w:t>
      </w:r>
      <w:r>
        <w:t>,</w:t>
      </w:r>
      <w:r w:rsidRPr="00697E15">
        <w:t xml:space="preserve"> including key deliverables at each stage and overall timeframe.</w:t>
      </w:r>
    </w:p>
    <w:p w14:paraId="410D0D50" w14:textId="77777777" w:rsidR="008003FB" w:rsidRPr="00697E15" w:rsidRDefault="008003FB" w:rsidP="008003FB">
      <w:pPr>
        <w:pStyle w:val="ListParagraph"/>
        <w:numPr>
          <w:ilvl w:val="0"/>
          <w:numId w:val="1"/>
        </w:numPr>
        <w:jc w:val="both"/>
      </w:pPr>
      <w:r>
        <w:t xml:space="preserve">A demonstrable track </w:t>
      </w:r>
      <w:r w:rsidRPr="00697E15">
        <w:t>record of experience in the relevant field, to include a statement of experience listing any similar projects and CV</w:t>
      </w:r>
      <w:r>
        <w:t>(</w:t>
      </w:r>
      <w:r w:rsidRPr="00697E15">
        <w:t>s</w:t>
      </w:r>
      <w:r>
        <w:t>)</w:t>
      </w:r>
      <w:r w:rsidRPr="00697E15">
        <w:t xml:space="preserve"> of the consultant(s) who will undertake the project.</w:t>
      </w:r>
    </w:p>
    <w:p w14:paraId="2CC497B2" w14:textId="77777777" w:rsidR="008003FB" w:rsidRPr="00697E15" w:rsidRDefault="008003FB" w:rsidP="008003FB">
      <w:pPr>
        <w:pStyle w:val="ListParagraph"/>
        <w:numPr>
          <w:ilvl w:val="0"/>
          <w:numId w:val="1"/>
        </w:numPr>
        <w:jc w:val="both"/>
      </w:pPr>
      <w:r w:rsidRPr="00697E15">
        <w:t>A budgetary estimate of the fixed price (inclusive of VAT).</w:t>
      </w:r>
    </w:p>
    <w:p w14:paraId="0CFC5525" w14:textId="27B47FCF" w:rsidR="008003FB" w:rsidRDefault="008003FB" w:rsidP="008003FB">
      <w:pPr>
        <w:pStyle w:val="ListParagraph"/>
        <w:numPr>
          <w:ilvl w:val="0"/>
          <w:numId w:val="1"/>
        </w:numPr>
        <w:jc w:val="both"/>
      </w:pPr>
      <w:r w:rsidRPr="00697E15">
        <w:t>A statement agreeing to sign a Non-Disclosure Agreement to protect commercially sensitive data and to share all intellectual property (IP) with the partner consortium and the LCRCA.</w:t>
      </w:r>
    </w:p>
    <w:p w14:paraId="525F66EB" w14:textId="61E3C56C" w:rsidR="008C6673" w:rsidRDefault="005B1FD1" w:rsidP="00B708B3">
      <w:pPr>
        <w:pStyle w:val="NoSpacing"/>
      </w:pPr>
      <w:r w:rsidRPr="00C7462A">
        <w:t>Responses should be sent to</w:t>
      </w:r>
      <w:r w:rsidR="00232A75">
        <w:t xml:space="preserve"> </w:t>
      </w:r>
      <w:r w:rsidR="008C6673">
        <w:t xml:space="preserve">Helen McCormack – </w:t>
      </w:r>
      <w:hyperlink r:id="rId12" w:history="1">
        <w:r w:rsidR="008C6673" w:rsidRPr="000A3AD4">
          <w:rPr>
            <w:rStyle w:val="Hyperlink"/>
          </w:rPr>
          <w:t>H.McCormack@ljmu.ac.uk</w:t>
        </w:r>
      </w:hyperlink>
      <w:r w:rsidR="008C6673">
        <w:t xml:space="preserve"> </w:t>
      </w:r>
      <w:r w:rsidRPr="00C7462A">
        <w:t xml:space="preserve">by no later than </w:t>
      </w:r>
      <w:r w:rsidR="008C6673">
        <w:t xml:space="preserve">12 Noon on </w:t>
      </w:r>
      <w:r w:rsidR="005A19D0">
        <w:t>4</w:t>
      </w:r>
      <w:r w:rsidR="008C6673">
        <w:t>th</w:t>
      </w:r>
      <w:r w:rsidR="005A19D0">
        <w:t xml:space="preserve"> June 2021</w:t>
      </w:r>
    </w:p>
    <w:p w14:paraId="7D11D5E8" w14:textId="77777777" w:rsidR="008C6673" w:rsidRDefault="008C6673" w:rsidP="00B708B3">
      <w:pPr>
        <w:pStyle w:val="NoSpacing"/>
      </w:pPr>
    </w:p>
    <w:p w14:paraId="1D189CFE" w14:textId="00D2EC0F" w:rsidR="005B1FD1" w:rsidRPr="0076609B" w:rsidRDefault="005B1FD1" w:rsidP="00B708B3">
      <w:pPr>
        <w:pStyle w:val="NoSpacing"/>
      </w:pPr>
      <w:r w:rsidRPr="001396AB">
        <w:t xml:space="preserve"> </w:t>
      </w:r>
      <w:r w:rsidR="008C6673">
        <w:t>The anticipated contract commencement date is</w:t>
      </w:r>
      <w:r w:rsidRPr="001396AB">
        <w:t xml:space="preserve"> </w:t>
      </w:r>
      <w:r w:rsidR="005A19D0" w:rsidRPr="000D14F3">
        <w:t>28</w:t>
      </w:r>
      <w:r w:rsidR="008C6673" w:rsidRPr="008C6673">
        <w:rPr>
          <w:vertAlign w:val="superscript"/>
        </w:rPr>
        <w:t>th</w:t>
      </w:r>
      <w:r w:rsidR="008C6673">
        <w:t xml:space="preserve"> </w:t>
      </w:r>
      <w:r w:rsidR="005A19D0" w:rsidRPr="000D14F3">
        <w:t xml:space="preserve"> June </w:t>
      </w:r>
      <w:r w:rsidR="007C2DCE">
        <w:t>2</w:t>
      </w:r>
      <w:r w:rsidR="005A19D0" w:rsidRPr="000D14F3">
        <w:t>021</w:t>
      </w:r>
      <w:r w:rsidRPr="000D14F3">
        <w:t>,</w:t>
      </w:r>
      <w:r w:rsidRPr="001396AB">
        <w:t xml:space="preserve"> or earlier at mutual agreement.</w:t>
      </w:r>
    </w:p>
    <w:p w14:paraId="66B88C63" w14:textId="77777777" w:rsidR="00106D5D" w:rsidRDefault="00106D5D" w:rsidP="00106D5D">
      <w:pPr>
        <w:pStyle w:val="Heading1"/>
      </w:pPr>
      <w:r>
        <w:t>Timescales</w:t>
      </w:r>
    </w:p>
    <w:p w14:paraId="3D3C812E" w14:textId="1C59F6C1" w:rsidR="005B1FD1" w:rsidRPr="00B708B3" w:rsidRDefault="005B1FD1" w:rsidP="005B1FD1">
      <w:pPr>
        <w:jc w:val="both"/>
      </w:pPr>
      <w:r w:rsidRPr="00B708B3">
        <w:t xml:space="preserve">Subject to the timely provision of information, the successful </w:t>
      </w:r>
      <w:r w:rsidR="008C6673">
        <w:t xml:space="preserve">company </w:t>
      </w:r>
      <w:r w:rsidRPr="00B708B3">
        <w:t xml:space="preserve">should aim to provide the appraisal findings </w:t>
      </w:r>
      <w:r w:rsidRPr="00B708B3">
        <w:rPr>
          <w:b/>
          <w:bCs/>
        </w:rPr>
        <w:t>within 3 months</w:t>
      </w:r>
      <w:r w:rsidRPr="00B708B3">
        <w:t xml:space="preserve"> of commencing work and </w:t>
      </w:r>
      <w:r>
        <w:t>preferably by</w:t>
      </w:r>
      <w:r w:rsidR="005A19D0">
        <w:t xml:space="preserve"> </w:t>
      </w:r>
      <w:r w:rsidR="005A19D0" w:rsidRPr="000D14F3">
        <w:t>01 October 2021</w:t>
      </w:r>
      <w:r w:rsidRPr="00B708B3">
        <w:t xml:space="preserve">. If the deadline provided is unachievable, the consultant should provide an indicative timescale of when the work can be completed by. </w:t>
      </w:r>
    </w:p>
    <w:p w14:paraId="55348DB0" w14:textId="66E1CC9B" w:rsidR="005B1FD1" w:rsidRPr="00B708B3" w:rsidRDefault="005B1FD1" w:rsidP="005B1FD1">
      <w:pPr>
        <w:jc w:val="both"/>
      </w:pPr>
      <w:r w:rsidRPr="00B708B3">
        <w:lastRenderedPageBreak/>
        <w:t xml:space="preserve">In order to achieve the timetable set out in their submission, the </w:t>
      </w:r>
      <w:r w:rsidR="008C6673">
        <w:t>Company</w:t>
      </w:r>
      <w:r w:rsidRPr="00B708B3">
        <w:t xml:space="preserve"> should provide an indicative guide to the information required to undertake the appraisal.</w:t>
      </w:r>
    </w:p>
    <w:p w14:paraId="5C2C79D2" w14:textId="77777777" w:rsidR="005B1FD1" w:rsidRPr="00B708B3" w:rsidRDefault="005B1FD1" w:rsidP="005B1FD1">
      <w:pPr>
        <w:jc w:val="both"/>
      </w:pPr>
      <w:r w:rsidRPr="00B708B3">
        <w:t>The commitment and evidence of the capacity to achieve the proposed timetable will be determinant in the selection of the consultant.</w:t>
      </w:r>
    </w:p>
    <w:p w14:paraId="0C6B39AB" w14:textId="77777777" w:rsidR="008003FB" w:rsidRPr="00AB60FD" w:rsidRDefault="008003FB" w:rsidP="008003FB">
      <w:pPr>
        <w:pStyle w:val="Heading1"/>
      </w:pPr>
      <w:r w:rsidRPr="00AB60FD">
        <w:t>Assessment criteria</w:t>
      </w:r>
    </w:p>
    <w:p w14:paraId="08900022" w14:textId="77777777" w:rsidR="008003FB" w:rsidRDefault="008003FB" w:rsidP="008003FB">
      <w:r>
        <w:t>Project plan (20%)</w:t>
      </w:r>
    </w:p>
    <w:p w14:paraId="1761D5DF" w14:textId="77777777" w:rsidR="008003FB" w:rsidRDefault="008003FB" w:rsidP="008003FB">
      <w:r w:rsidRPr="00697E15">
        <w:t>Evidence of understanding of the policy area</w:t>
      </w:r>
      <w:r>
        <w:t>, and track record in this field (30%)</w:t>
      </w:r>
    </w:p>
    <w:p w14:paraId="1F56845C" w14:textId="77777777" w:rsidR="008003FB" w:rsidRPr="00697E15" w:rsidRDefault="008003FB" w:rsidP="008003FB">
      <w:r>
        <w:t>Project budget (30%)</w:t>
      </w:r>
    </w:p>
    <w:p w14:paraId="552087AD" w14:textId="77777777" w:rsidR="008003FB" w:rsidRPr="00697E15" w:rsidRDefault="008003FB" w:rsidP="008003FB">
      <w:r w:rsidRPr="00697E15">
        <w:t>Evidence of professional/technical ability to undertake the work</w:t>
      </w:r>
      <w:r>
        <w:t xml:space="preserve"> (20%)</w:t>
      </w:r>
    </w:p>
    <w:p w14:paraId="5C01D1E9" w14:textId="3B6A2AFB" w:rsidR="008003FB" w:rsidRDefault="008003FB" w:rsidP="008003FB">
      <w:r w:rsidRPr="00697E15">
        <w:t>Please limit responses to a maximum 4 A4 pages</w:t>
      </w:r>
      <w:r w:rsidR="008C6673">
        <w:t xml:space="preserve"> – font 12 - Arial</w:t>
      </w:r>
      <w:r w:rsidRPr="00697E15">
        <w:t>.</w:t>
      </w:r>
    </w:p>
    <w:p w14:paraId="0EB0199A" w14:textId="77777777" w:rsidR="005B1FD1" w:rsidRPr="00B708B3" w:rsidRDefault="005B1FD1" w:rsidP="005B1FD1">
      <w:pPr>
        <w:jc w:val="both"/>
        <w:rPr>
          <w:rFonts w:cstheme="minorHAnsi"/>
          <w:noProof/>
          <w:lang w:eastAsia="en-GB"/>
        </w:rPr>
      </w:pPr>
      <w:r w:rsidRPr="00B708B3">
        <w:rPr>
          <w:rFonts w:cstheme="minorHAnsi"/>
          <w:noProof/>
          <w:lang w:eastAsia="en-GB"/>
        </w:rPr>
        <w:t>The scoring mechanism for scored questions is as follows unless stated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986"/>
        <w:gridCol w:w="7743"/>
      </w:tblGrid>
      <w:tr w:rsidR="005B1FD1" w:rsidRPr="005B1FD1" w14:paraId="35233EDA" w14:textId="77777777" w:rsidTr="005B1FD1">
        <w:trPr>
          <w:cantSplit/>
          <w:tblHeader/>
          <w:jc w:val="center"/>
        </w:trPr>
        <w:tc>
          <w:tcPr>
            <w:tcW w:w="986" w:type="dxa"/>
            <w:tcBorders>
              <w:top w:val="single" w:sz="4" w:space="0" w:color="auto"/>
              <w:left w:val="single" w:sz="4" w:space="0" w:color="auto"/>
              <w:bottom w:val="single" w:sz="4" w:space="0" w:color="auto"/>
              <w:right w:val="single" w:sz="4" w:space="0" w:color="auto"/>
            </w:tcBorders>
            <w:hideMark/>
          </w:tcPr>
          <w:p w14:paraId="14D2ED6F" w14:textId="77777777" w:rsidR="005B1FD1" w:rsidRPr="00B708B3" w:rsidRDefault="005B1FD1">
            <w:pPr>
              <w:jc w:val="both"/>
              <w:rPr>
                <w:rFonts w:cstheme="minorHAnsi"/>
                <w:b/>
              </w:rPr>
            </w:pPr>
            <w:r w:rsidRPr="00B708B3">
              <w:rPr>
                <w:rFonts w:cstheme="minorHAnsi"/>
                <w:b/>
              </w:rPr>
              <w:t>Score</w:t>
            </w:r>
          </w:p>
        </w:tc>
        <w:tc>
          <w:tcPr>
            <w:tcW w:w="7743" w:type="dxa"/>
            <w:tcBorders>
              <w:top w:val="single" w:sz="4" w:space="0" w:color="auto"/>
              <w:left w:val="single" w:sz="4" w:space="0" w:color="auto"/>
              <w:bottom w:val="single" w:sz="4" w:space="0" w:color="auto"/>
              <w:right w:val="single" w:sz="4" w:space="0" w:color="auto"/>
            </w:tcBorders>
            <w:hideMark/>
          </w:tcPr>
          <w:p w14:paraId="7AEB6F8C" w14:textId="77777777" w:rsidR="005B1FD1" w:rsidRPr="00B708B3" w:rsidRDefault="005B1FD1">
            <w:pPr>
              <w:jc w:val="both"/>
              <w:rPr>
                <w:rFonts w:cstheme="minorHAnsi"/>
                <w:b/>
              </w:rPr>
            </w:pPr>
            <w:r w:rsidRPr="00B708B3">
              <w:rPr>
                <w:rFonts w:cstheme="minorHAnsi"/>
                <w:b/>
              </w:rPr>
              <w:t>Meaning</w:t>
            </w:r>
          </w:p>
        </w:tc>
      </w:tr>
      <w:tr w:rsidR="005B1FD1" w:rsidRPr="005B1FD1" w14:paraId="6E86A8C0" w14:textId="77777777" w:rsidTr="005B1FD1">
        <w:trPr>
          <w:cantSplit/>
          <w:trHeight w:val="1104"/>
          <w:jc w:val="center"/>
        </w:trPr>
        <w:tc>
          <w:tcPr>
            <w:tcW w:w="986" w:type="dxa"/>
            <w:tcBorders>
              <w:top w:val="single" w:sz="4" w:space="0" w:color="auto"/>
              <w:left w:val="single" w:sz="4" w:space="0" w:color="auto"/>
              <w:bottom w:val="single" w:sz="4" w:space="0" w:color="auto"/>
              <w:right w:val="single" w:sz="4" w:space="0" w:color="auto"/>
            </w:tcBorders>
            <w:hideMark/>
          </w:tcPr>
          <w:p w14:paraId="242F07BD" w14:textId="77777777" w:rsidR="005B1FD1" w:rsidRPr="00B708B3" w:rsidRDefault="005B1FD1">
            <w:pPr>
              <w:tabs>
                <w:tab w:val="right" w:pos="9072"/>
              </w:tabs>
              <w:ind w:left="34"/>
              <w:jc w:val="both"/>
              <w:rPr>
                <w:rFonts w:cstheme="minorHAnsi"/>
                <w:kern w:val="28"/>
                <w:lang w:eastAsia="en-GB"/>
              </w:rPr>
            </w:pPr>
            <w:r w:rsidRPr="00B708B3">
              <w:rPr>
                <w:rFonts w:cstheme="minorHAnsi"/>
                <w:kern w:val="28"/>
                <w:lang w:eastAsia="en-GB"/>
              </w:rPr>
              <w:t>0</w:t>
            </w:r>
          </w:p>
        </w:tc>
        <w:tc>
          <w:tcPr>
            <w:tcW w:w="7743" w:type="dxa"/>
            <w:tcBorders>
              <w:top w:val="single" w:sz="4" w:space="0" w:color="auto"/>
              <w:left w:val="single" w:sz="4" w:space="0" w:color="auto"/>
              <w:bottom w:val="single" w:sz="4" w:space="0" w:color="auto"/>
              <w:right w:val="single" w:sz="4" w:space="0" w:color="auto"/>
            </w:tcBorders>
            <w:hideMark/>
          </w:tcPr>
          <w:p w14:paraId="3B48AFA2" w14:textId="77777777" w:rsidR="005B1FD1" w:rsidRPr="00B708B3" w:rsidRDefault="005B1FD1">
            <w:pPr>
              <w:ind w:left="34"/>
              <w:jc w:val="both"/>
              <w:rPr>
                <w:rFonts w:cstheme="minorHAnsi"/>
              </w:rPr>
            </w:pPr>
            <w:r w:rsidRPr="00B708B3">
              <w:rPr>
                <w:rFonts w:cstheme="minorHAnsi"/>
              </w:rPr>
              <w:t>Unacceptable response. Requirement level not met. Many important issues are completely un-addressed or response wholly inadequate or inappropriate. Concerns are serious and risk levels unacceptable for many areas.</w:t>
            </w:r>
          </w:p>
        </w:tc>
      </w:tr>
      <w:tr w:rsidR="005B1FD1" w:rsidRPr="005B1FD1" w14:paraId="408E4874" w14:textId="77777777" w:rsidTr="005B1FD1">
        <w:trPr>
          <w:cantSplit/>
          <w:trHeight w:val="849"/>
          <w:jc w:val="center"/>
        </w:trPr>
        <w:tc>
          <w:tcPr>
            <w:tcW w:w="986" w:type="dxa"/>
            <w:tcBorders>
              <w:top w:val="single" w:sz="4" w:space="0" w:color="auto"/>
              <w:left w:val="single" w:sz="4" w:space="0" w:color="auto"/>
              <w:bottom w:val="single" w:sz="4" w:space="0" w:color="auto"/>
              <w:right w:val="single" w:sz="4" w:space="0" w:color="auto"/>
            </w:tcBorders>
            <w:hideMark/>
          </w:tcPr>
          <w:p w14:paraId="3F04B1DB" w14:textId="77777777" w:rsidR="005B1FD1" w:rsidRPr="00B708B3" w:rsidRDefault="005B1FD1">
            <w:pPr>
              <w:ind w:left="34"/>
              <w:jc w:val="both"/>
              <w:rPr>
                <w:rFonts w:cstheme="minorHAnsi"/>
              </w:rPr>
            </w:pPr>
            <w:r w:rsidRPr="00B708B3">
              <w:rPr>
                <w:rFonts w:cstheme="minorHAnsi"/>
              </w:rPr>
              <w:t>2</w:t>
            </w:r>
          </w:p>
        </w:tc>
        <w:tc>
          <w:tcPr>
            <w:tcW w:w="7743" w:type="dxa"/>
            <w:tcBorders>
              <w:top w:val="single" w:sz="4" w:space="0" w:color="auto"/>
              <w:left w:val="single" w:sz="4" w:space="0" w:color="auto"/>
              <w:bottom w:val="single" w:sz="4" w:space="0" w:color="auto"/>
              <w:right w:val="single" w:sz="4" w:space="0" w:color="auto"/>
            </w:tcBorders>
            <w:hideMark/>
          </w:tcPr>
          <w:p w14:paraId="3227EBD0" w14:textId="77777777" w:rsidR="005B1FD1" w:rsidRPr="00B708B3" w:rsidRDefault="005B1FD1">
            <w:pPr>
              <w:ind w:left="34"/>
              <w:jc w:val="both"/>
              <w:rPr>
                <w:rFonts w:cstheme="minorHAnsi"/>
              </w:rPr>
            </w:pPr>
            <w:r w:rsidRPr="00B708B3">
              <w:rPr>
                <w:rFonts w:cstheme="minorHAnsi"/>
              </w:rPr>
              <w:t>Poor response. Requirement levels are adequate for only some important issues. Some important issues are largely incomplete. Concerns are serious and risk levels unacceptable for some areas.</w:t>
            </w:r>
          </w:p>
        </w:tc>
      </w:tr>
      <w:tr w:rsidR="005B1FD1" w:rsidRPr="005B1FD1" w14:paraId="1E19CDFB" w14:textId="77777777" w:rsidTr="005B1FD1">
        <w:trPr>
          <w:cantSplit/>
          <w:trHeight w:val="1104"/>
          <w:jc w:val="center"/>
        </w:trPr>
        <w:tc>
          <w:tcPr>
            <w:tcW w:w="986" w:type="dxa"/>
            <w:tcBorders>
              <w:top w:val="single" w:sz="4" w:space="0" w:color="auto"/>
              <w:left w:val="single" w:sz="4" w:space="0" w:color="auto"/>
              <w:bottom w:val="single" w:sz="4" w:space="0" w:color="auto"/>
              <w:right w:val="single" w:sz="4" w:space="0" w:color="auto"/>
            </w:tcBorders>
            <w:hideMark/>
          </w:tcPr>
          <w:p w14:paraId="2D7E6554" w14:textId="77777777" w:rsidR="005B1FD1" w:rsidRPr="00B708B3" w:rsidRDefault="005B1FD1">
            <w:pPr>
              <w:ind w:left="34"/>
              <w:jc w:val="both"/>
              <w:rPr>
                <w:rFonts w:cstheme="minorHAnsi"/>
              </w:rPr>
            </w:pPr>
            <w:r w:rsidRPr="00B708B3">
              <w:rPr>
                <w:rFonts w:cstheme="minorHAnsi"/>
              </w:rPr>
              <w:t>4</w:t>
            </w:r>
          </w:p>
        </w:tc>
        <w:tc>
          <w:tcPr>
            <w:tcW w:w="7743" w:type="dxa"/>
            <w:tcBorders>
              <w:top w:val="single" w:sz="4" w:space="0" w:color="auto"/>
              <w:left w:val="single" w:sz="4" w:space="0" w:color="auto"/>
              <w:bottom w:val="single" w:sz="4" w:space="0" w:color="auto"/>
              <w:right w:val="single" w:sz="4" w:space="0" w:color="auto"/>
            </w:tcBorders>
            <w:hideMark/>
          </w:tcPr>
          <w:p w14:paraId="65022387" w14:textId="77777777" w:rsidR="005B1FD1" w:rsidRPr="00B708B3" w:rsidRDefault="005B1FD1">
            <w:pPr>
              <w:ind w:left="34"/>
              <w:jc w:val="both"/>
              <w:rPr>
                <w:rFonts w:cstheme="minorHAnsi"/>
              </w:rPr>
            </w:pPr>
            <w:r w:rsidRPr="00B708B3">
              <w:rPr>
                <w:rFonts w:cstheme="minorHAnsi"/>
              </w:rPr>
              <w:t xml:space="preserve">Adequate response. Requirement level partially met. Overall, the proposals are satisfactory, but some issues are weak. Risk levels apply but Bidder has demonstrated </w:t>
            </w:r>
            <w:r w:rsidRPr="00B708B3">
              <w:rPr>
                <w:rFonts w:cstheme="minorHAnsi"/>
                <w:noProof/>
              </w:rPr>
              <w:t>understanding</w:t>
            </w:r>
            <w:r w:rsidRPr="00B708B3">
              <w:rPr>
                <w:rFonts w:cstheme="minorHAnsi"/>
              </w:rPr>
              <w:t xml:space="preserve"> of how they will meet all minimum requirements.</w:t>
            </w:r>
          </w:p>
        </w:tc>
      </w:tr>
      <w:tr w:rsidR="005B1FD1" w:rsidRPr="005B1FD1" w14:paraId="13958CB2" w14:textId="77777777" w:rsidTr="005B1FD1">
        <w:trPr>
          <w:cantSplit/>
          <w:trHeight w:val="828"/>
          <w:jc w:val="center"/>
        </w:trPr>
        <w:tc>
          <w:tcPr>
            <w:tcW w:w="986" w:type="dxa"/>
            <w:tcBorders>
              <w:top w:val="single" w:sz="4" w:space="0" w:color="auto"/>
              <w:left w:val="single" w:sz="4" w:space="0" w:color="auto"/>
              <w:bottom w:val="single" w:sz="4" w:space="0" w:color="auto"/>
              <w:right w:val="single" w:sz="4" w:space="0" w:color="auto"/>
            </w:tcBorders>
            <w:hideMark/>
          </w:tcPr>
          <w:p w14:paraId="5EFFEB27" w14:textId="77777777" w:rsidR="005B1FD1" w:rsidRPr="00B708B3" w:rsidRDefault="005B1FD1">
            <w:pPr>
              <w:ind w:left="34"/>
              <w:jc w:val="both"/>
              <w:rPr>
                <w:rFonts w:cstheme="minorHAnsi"/>
              </w:rPr>
            </w:pPr>
            <w:r w:rsidRPr="00B708B3">
              <w:rPr>
                <w:rFonts w:cstheme="minorHAnsi"/>
              </w:rPr>
              <w:t>6</w:t>
            </w:r>
          </w:p>
        </w:tc>
        <w:tc>
          <w:tcPr>
            <w:tcW w:w="7743" w:type="dxa"/>
            <w:tcBorders>
              <w:top w:val="single" w:sz="4" w:space="0" w:color="auto"/>
              <w:left w:val="single" w:sz="4" w:space="0" w:color="auto"/>
              <w:bottom w:val="single" w:sz="4" w:space="0" w:color="auto"/>
              <w:right w:val="single" w:sz="4" w:space="0" w:color="auto"/>
            </w:tcBorders>
            <w:hideMark/>
          </w:tcPr>
          <w:p w14:paraId="1AED1043" w14:textId="77777777" w:rsidR="005B1FD1" w:rsidRPr="00B708B3" w:rsidRDefault="005B1FD1">
            <w:pPr>
              <w:ind w:left="34"/>
              <w:jc w:val="both"/>
              <w:rPr>
                <w:rFonts w:cstheme="minorHAnsi"/>
              </w:rPr>
            </w:pPr>
            <w:r w:rsidRPr="00B708B3">
              <w:rPr>
                <w:rFonts w:cstheme="minorHAnsi"/>
              </w:rPr>
              <w:t>Good response. Requirement level partially met, competence demonstrated in all areas but there is scope for more detail and more depth in some areas.</w:t>
            </w:r>
          </w:p>
        </w:tc>
      </w:tr>
      <w:tr w:rsidR="005B1FD1" w:rsidRPr="005B1FD1" w14:paraId="0CAE95CB" w14:textId="77777777" w:rsidTr="005B1FD1">
        <w:trPr>
          <w:cantSplit/>
          <w:trHeight w:val="828"/>
          <w:jc w:val="center"/>
        </w:trPr>
        <w:tc>
          <w:tcPr>
            <w:tcW w:w="986" w:type="dxa"/>
            <w:tcBorders>
              <w:top w:val="single" w:sz="4" w:space="0" w:color="auto"/>
              <w:left w:val="single" w:sz="4" w:space="0" w:color="auto"/>
              <w:bottom w:val="single" w:sz="4" w:space="0" w:color="auto"/>
              <w:right w:val="single" w:sz="4" w:space="0" w:color="auto"/>
            </w:tcBorders>
            <w:hideMark/>
          </w:tcPr>
          <w:p w14:paraId="6B433E89" w14:textId="77777777" w:rsidR="005B1FD1" w:rsidRPr="00B708B3" w:rsidRDefault="005B1FD1">
            <w:pPr>
              <w:ind w:left="34"/>
              <w:jc w:val="both"/>
              <w:rPr>
                <w:rFonts w:cstheme="minorHAnsi"/>
              </w:rPr>
            </w:pPr>
            <w:r w:rsidRPr="00B708B3">
              <w:rPr>
                <w:rFonts w:cstheme="minorHAnsi"/>
              </w:rPr>
              <w:t>8</w:t>
            </w:r>
          </w:p>
        </w:tc>
        <w:tc>
          <w:tcPr>
            <w:tcW w:w="7743" w:type="dxa"/>
            <w:tcBorders>
              <w:top w:val="single" w:sz="4" w:space="0" w:color="auto"/>
              <w:left w:val="single" w:sz="4" w:space="0" w:color="auto"/>
              <w:bottom w:val="single" w:sz="4" w:space="0" w:color="auto"/>
              <w:right w:val="single" w:sz="4" w:space="0" w:color="auto"/>
            </w:tcBorders>
            <w:hideMark/>
          </w:tcPr>
          <w:p w14:paraId="0DC2FE9D" w14:textId="77777777" w:rsidR="005B1FD1" w:rsidRPr="00B708B3" w:rsidRDefault="005B1FD1">
            <w:pPr>
              <w:ind w:left="34"/>
              <w:jc w:val="both"/>
              <w:rPr>
                <w:rFonts w:cstheme="minorHAnsi"/>
              </w:rPr>
            </w:pPr>
            <w:r w:rsidRPr="00B708B3">
              <w:rPr>
                <w:rFonts w:cstheme="minorHAnsi"/>
              </w:rPr>
              <w:t xml:space="preserve">Very good response. Requirement level met with only a few minor weaknesses or queries. Competent bid demonstrating </w:t>
            </w:r>
            <w:r w:rsidRPr="00B708B3">
              <w:rPr>
                <w:rFonts w:cstheme="minorHAnsi"/>
                <w:noProof/>
              </w:rPr>
              <w:t>overall</w:t>
            </w:r>
            <w:r w:rsidRPr="00B708B3">
              <w:rPr>
                <w:rFonts w:cstheme="minorHAnsi"/>
              </w:rPr>
              <w:t xml:space="preserve"> understanding of requirements and experience in all areas.</w:t>
            </w:r>
          </w:p>
        </w:tc>
      </w:tr>
      <w:tr w:rsidR="005B1FD1" w:rsidRPr="005B1FD1" w14:paraId="229E0FBF" w14:textId="77777777" w:rsidTr="005B1FD1">
        <w:trPr>
          <w:cantSplit/>
          <w:trHeight w:val="828"/>
          <w:jc w:val="center"/>
        </w:trPr>
        <w:tc>
          <w:tcPr>
            <w:tcW w:w="986" w:type="dxa"/>
            <w:tcBorders>
              <w:top w:val="single" w:sz="4" w:space="0" w:color="auto"/>
              <w:left w:val="single" w:sz="4" w:space="0" w:color="auto"/>
              <w:bottom w:val="single" w:sz="4" w:space="0" w:color="auto"/>
              <w:right w:val="single" w:sz="4" w:space="0" w:color="auto"/>
            </w:tcBorders>
            <w:hideMark/>
          </w:tcPr>
          <w:p w14:paraId="20B54E89" w14:textId="77777777" w:rsidR="005B1FD1" w:rsidRPr="00B708B3" w:rsidRDefault="005B1FD1">
            <w:pPr>
              <w:ind w:left="34"/>
              <w:jc w:val="both"/>
              <w:rPr>
                <w:rFonts w:cstheme="minorHAnsi"/>
              </w:rPr>
            </w:pPr>
            <w:r w:rsidRPr="00B708B3">
              <w:rPr>
                <w:rFonts w:cstheme="minorHAnsi"/>
              </w:rPr>
              <w:t>10</w:t>
            </w:r>
          </w:p>
        </w:tc>
        <w:tc>
          <w:tcPr>
            <w:tcW w:w="7743" w:type="dxa"/>
            <w:tcBorders>
              <w:top w:val="single" w:sz="4" w:space="0" w:color="auto"/>
              <w:left w:val="single" w:sz="4" w:space="0" w:color="auto"/>
              <w:bottom w:val="single" w:sz="4" w:space="0" w:color="auto"/>
              <w:right w:val="single" w:sz="4" w:space="0" w:color="auto"/>
            </w:tcBorders>
            <w:hideMark/>
          </w:tcPr>
          <w:p w14:paraId="6692A3AD" w14:textId="77777777" w:rsidR="005B1FD1" w:rsidRPr="00B708B3" w:rsidRDefault="005B1FD1">
            <w:pPr>
              <w:keepNext/>
              <w:ind w:left="34"/>
              <w:jc w:val="both"/>
              <w:rPr>
                <w:rFonts w:cstheme="minorHAnsi"/>
              </w:rPr>
            </w:pPr>
            <w:r w:rsidRPr="00B708B3">
              <w:rPr>
                <w:rFonts w:cstheme="minorHAnsi"/>
              </w:rPr>
              <w:t xml:space="preserve">Excellent response. Requirement level fully met. All key issues addressed. </w:t>
            </w:r>
            <w:r w:rsidRPr="00B708B3">
              <w:rPr>
                <w:rFonts w:cstheme="minorHAnsi"/>
                <w:noProof/>
              </w:rPr>
              <w:t>Range</w:t>
            </w:r>
            <w:r w:rsidRPr="00B708B3">
              <w:rPr>
                <w:rFonts w:cstheme="minorHAnsi"/>
              </w:rPr>
              <w:t xml:space="preserve"> of examples of good practice, experience, understanding of requirements. </w:t>
            </w:r>
          </w:p>
        </w:tc>
      </w:tr>
    </w:tbl>
    <w:p w14:paraId="736A91AF" w14:textId="5A63E953" w:rsidR="005B1FD1" w:rsidRPr="00B708B3" w:rsidRDefault="005B1FD1" w:rsidP="00DC1421">
      <w:pPr>
        <w:jc w:val="both"/>
        <w:rPr>
          <w:rFonts w:cstheme="minorHAnsi"/>
        </w:rPr>
        <w:sectPr w:rsidR="005B1FD1" w:rsidRPr="00B708B3">
          <w:footerReference w:type="default" r:id="rId13"/>
          <w:pgSz w:w="11906" w:h="16838"/>
          <w:pgMar w:top="1440" w:right="1440" w:bottom="1440" w:left="1440" w:header="708" w:footer="708" w:gutter="0"/>
          <w:cols w:space="708"/>
          <w:docGrid w:linePitch="360"/>
        </w:sectPr>
      </w:pPr>
    </w:p>
    <w:p w14:paraId="51A6F2CD" w14:textId="758D9A8C" w:rsidR="005178FF" w:rsidRPr="00697E15" w:rsidRDefault="005B1FD1" w:rsidP="005178FF">
      <w:pPr>
        <w:rPr>
          <w:b/>
          <w:sz w:val="28"/>
          <w:szCs w:val="28"/>
        </w:rPr>
      </w:pPr>
      <w:r w:rsidRPr="00B708B3">
        <w:rPr>
          <w:b/>
          <w:sz w:val="28"/>
          <w:szCs w:val="28"/>
        </w:rPr>
        <w:lastRenderedPageBreak/>
        <w:t>Supporting</w:t>
      </w:r>
      <w:r w:rsidR="005178FF" w:rsidRPr="00B708B3">
        <w:rPr>
          <w:b/>
          <w:sz w:val="28"/>
          <w:szCs w:val="28"/>
        </w:rPr>
        <w:t xml:space="preserve"> information</w:t>
      </w:r>
      <w:r>
        <w:rPr>
          <w:b/>
          <w:sz w:val="28"/>
          <w:szCs w:val="28"/>
        </w:rPr>
        <w:t xml:space="preserve"> - </w:t>
      </w:r>
      <w:r w:rsidR="005178FF" w:rsidRPr="00C7462A">
        <w:rPr>
          <w:b/>
          <w:bCs/>
          <w:sz w:val="28"/>
          <w:szCs w:val="28"/>
        </w:rPr>
        <w:t>Higher technical skills in</w:t>
      </w:r>
      <w:r w:rsidR="005178FF" w:rsidRPr="00697E15">
        <w:rPr>
          <w:b/>
          <w:sz w:val="28"/>
          <w:szCs w:val="28"/>
        </w:rPr>
        <w:t xml:space="preserve"> the Liverpool City Region </w:t>
      </w:r>
    </w:p>
    <w:p w14:paraId="0CBD8681" w14:textId="77777777" w:rsidR="005178FF" w:rsidRPr="00DC1421" w:rsidRDefault="00437C44" w:rsidP="00B708B3">
      <w:pPr>
        <w:pStyle w:val="Heading1"/>
        <w:numPr>
          <w:ilvl w:val="0"/>
          <w:numId w:val="16"/>
        </w:numPr>
      </w:pPr>
      <w:r w:rsidRPr="00BD19C5">
        <w:t>Introduction</w:t>
      </w:r>
    </w:p>
    <w:p w14:paraId="5DDDC925" w14:textId="1236797A" w:rsidR="00A70E74" w:rsidRPr="00697E15" w:rsidRDefault="00AB6F52" w:rsidP="00A70E74">
      <w:pPr>
        <w:spacing w:before="120" w:after="120"/>
        <w:jc w:val="both"/>
        <w:rPr>
          <w:rFonts w:cstheme="minorHAnsi"/>
          <w:b/>
          <w:noProof/>
          <w:lang w:eastAsia="en-GB"/>
        </w:rPr>
      </w:pPr>
      <w:r>
        <w:rPr>
          <w:rFonts w:cs="Arial"/>
          <w:noProof/>
          <w:lang w:eastAsia="en-GB"/>
        </w:rPr>
        <w:t xml:space="preserve">Productivity gains through socially-inclusive green growth and innovation are at the heart of national and regional government plans to Build Back Better. </w:t>
      </w:r>
      <w:r w:rsidR="00A70E74" w:rsidRPr="00697E15">
        <w:rPr>
          <w:rFonts w:cs="Arial"/>
          <w:noProof/>
          <w:lang w:eastAsia="en-GB"/>
        </w:rPr>
        <w:t xml:space="preserve">The UK has the second lowest productivity rate in the G7. Over the last 10 years productivity has fallen from an annual rate of 2.6 per cent to around 0.4 per cent. </w:t>
      </w:r>
      <w:r w:rsidR="00A70E74" w:rsidRPr="00697E15">
        <w:rPr>
          <w:rFonts w:cs="Arial"/>
          <w:noProof/>
          <w:lang w:val="en-US" w:eastAsia="en-GB"/>
        </w:rPr>
        <w:t>The capacity of firms to absorb innovation is strongly linked to the availability of skilled</w:t>
      </w:r>
      <w:r w:rsidR="00A70E74" w:rsidRPr="00697E15">
        <w:rPr>
          <w:rFonts w:cs="FS Lola"/>
          <w:color w:val="000000"/>
        </w:rPr>
        <w:t xml:space="preserve"> technical labour at Levels 4 to 5 (HNC</w:t>
      </w:r>
      <w:r w:rsidR="00DB79C0">
        <w:rPr>
          <w:rFonts w:cs="FS Lola"/>
          <w:color w:val="000000"/>
        </w:rPr>
        <w:t xml:space="preserve">, and </w:t>
      </w:r>
      <w:r w:rsidR="00A70E74" w:rsidRPr="00697E15">
        <w:rPr>
          <w:rFonts w:cs="FS Lola"/>
          <w:color w:val="000000"/>
        </w:rPr>
        <w:t xml:space="preserve">HND) delivered by the regional Further Education Colleges (FEC) and Group Training Associations (GTA), and </w:t>
      </w:r>
      <w:r>
        <w:rPr>
          <w:rFonts w:cs="FS Lola"/>
          <w:color w:val="000000"/>
        </w:rPr>
        <w:t>Level 6</w:t>
      </w:r>
      <w:r w:rsidR="00DB79C0">
        <w:rPr>
          <w:rFonts w:cs="FS Lola"/>
          <w:color w:val="000000"/>
        </w:rPr>
        <w:t>, 7, and</w:t>
      </w:r>
      <w:r>
        <w:rPr>
          <w:rFonts w:cs="FS Lola"/>
          <w:color w:val="000000"/>
        </w:rPr>
        <w:t xml:space="preserve"> 8</w:t>
      </w:r>
      <w:r w:rsidR="00DB79C0">
        <w:rPr>
          <w:rFonts w:cs="FS Lola"/>
          <w:color w:val="000000"/>
        </w:rPr>
        <w:t xml:space="preserve"> (Degree, Masters, Professional Doctorate)</w:t>
      </w:r>
      <w:r>
        <w:rPr>
          <w:rFonts w:cs="FS Lola"/>
          <w:color w:val="000000"/>
        </w:rPr>
        <w:t xml:space="preserve"> </w:t>
      </w:r>
      <w:r w:rsidR="00A70E74" w:rsidRPr="00697E15">
        <w:rPr>
          <w:rFonts w:cs="FS Lola"/>
          <w:color w:val="000000"/>
        </w:rPr>
        <w:t>technical and</w:t>
      </w:r>
      <w:r w:rsidR="00A76FE7">
        <w:rPr>
          <w:rFonts w:cs="FS Lola"/>
          <w:color w:val="000000"/>
        </w:rPr>
        <w:t xml:space="preserve"> </w:t>
      </w:r>
      <w:r w:rsidR="00A70E74" w:rsidRPr="00697E15">
        <w:rPr>
          <w:rFonts w:cs="FS Lola"/>
          <w:color w:val="000000"/>
        </w:rPr>
        <w:t>management</w:t>
      </w:r>
      <w:r>
        <w:rPr>
          <w:rFonts w:cs="FS Lola"/>
          <w:color w:val="000000"/>
        </w:rPr>
        <w:t xml:space="preserve"> qualifications delivered by universities</w:t>
      </w:r>
      <w:r w:rsidR="00A70E74" w:rsidRPr="00697E15">
        <w:rPr>
          <w:rFonts w:cs="FS Lola"/>
          <w:color w:val="000000"/>
        </w:rPr>
        <w:t>.</w:t>
      </w:r>
      <w:r w:rsidR="00A70E74" w:rsidRPr="00697E15">
        <w:rPr>
          <w:rFonts w:cs="Arial"/>
          <w:noProof/>
          <w:lang w:eastAsia="en-GB"/>
        </w:rPr>
        <w:t xml:space="preserve"> </w:t>
      </w:r>
      <w:r w:rsidR="00A70E74" w:rsidRPr="007D40CF">
        <w:rPr>
          <w:rFonts w:cstheme="minorHAnsi"/>
          <w:b/>
          <w:noProof/>
          <w:lang w:eastAsia="en-GB"/>
        </w:rPr>
        <w:t>I</w:t>
      </w:r>
      <w:r>
        <w:rPr>
          <w:rFonts w:cstheme="minorHAnsi"/>
          <w:b/>
          <w:noProof/>
          <w:lang w:eastAsia="en-GB"/>
        </w:rPr>
        <w:t>t will be the skills of a</w:t>
      </w:r>
      <w:r w:rsidR="00A70E74" w:rsidRPr="00697E15">
        <w:rPr>
          <w:rFonts w:cstheme="minorHAnsi"/>
          <w:b/>
          <w:noProof/>
          <w:lang w:eastAsia="en-GB"/>
        </w:rPr>
        <w:t xml:space="preserve"> region’s workforce that will determine whether opportunities for innovation are recognised and </w:t>
      </w:r>
      <w:r w:rsidR="00A76FE7">
        <w:rPr>
          <w:rFonts w:cstheme="minorHAnsi"/>
          <w:b/>
          <w:noProof/>
          <w:lang w:eastAsia="en-GB"/>
        </w:rPr>
        <w:t xml:space="preserve">taken up by firms, </w:t>
      </w:r>
      <w:r w:rsidR="00585E3E">
        <w:rPr>
          <w:rFonts w:cstheme="minorHAnsi"/>
          <w:b/>
          <w:noProof/>
          <w:lang w:eastAsia="en-GB"/>
        </w:rPr>
        <w:t xml:space="preserve">and </w:t>
      </w:r>
      <w:r w:rsidR="00A76FE7">
        <w:rPr>
          <w:rFonts w:cstheme="minorHAnsi"/>
          <w:b/>
          <w:noProof/>
          <w:lang w:eastAsia="en-GB"/>
        </w:rPr>
        <w:t xml:space="preserve">aspirations for </w:t>
      </w:r>
      <w:r w:rsidR="00585E3E">
        <w:rPr>
          <w:rFonts w:cstheme="minorHAnsi"/>
          <w:b/>
          <w:noProof/>
          <w:lang w:eastAsia="en-GB"/>
        </w:rPr>
        <w:t xml:space="preserve">regional productivity </w:t>
      </w:r>
      <w:r w:rsidR="00A76FE7">
        <w:rPr>
          <w:rFonts w:cstheme="minorHAnsi"/>
          <w:b/>
          <w:noProof/>
          <w:lang w:eastAsia="en-GB"/>
        </w:rPr>
        <w:t xml:space="preserve">growth </w:t>
      </w:r>
      <w:r w:rsidR="00585E3E">
        <w:rPr>
          <w:rFonts w:cstheme="minorHAnsi"/>
          <w:b/>
          <w:noProof/>
          <w:lang w:eastAsia="en-GB"/>
        </w:rPr>
        <w:t>realised</w:t>
      </w:r>
      <w:r w:rsidR="00A70E74" w:rsidRPr="00697E15">
        <w:rPr>
          <w:rFonts w:cstheme="minorHAnsi"/>
          <w:b/>
          <w:noProof/>
          <w:lang w:eastAsia="en-GB"/>
        </w:rPr>
        <w:t>.</w:t>
      </w:r>
    </w:p>
    <w:p w14:paraId="207A78D2" w14:textId="5F7081F2" w:rsidR="00A70E74" w:rsidRPr="00697E15" w:rsidRDefault="00A70E74" w:rsidP="00A70E74">
      <w:pPr>
        <w:spacing w:before="120" w:after="120"/>
        <w:jc w:val="both"/>
        <w:rPr>
          <w:rFonts w:cs="Arial"/>
          <w:noProof/>
          <w:lang w:val="en-US" w:eastAsia="en-GB"/>
        </w:rPr>
      </w:pPr>
      <w:r w:rsidRPr="00697E15">
        <w:rPr>
          <w:rFonts w:cstheme="minorHAnsi"/>
          <w:noProof/>
          <w:lang w:eastAsia="en-GB"/>
        </w:rPr>
        <w:t>Government policy recognises the role of F</w:t>
      </w:r>
      <w:r w:rsidR="00A76FE7">
        <w:rPr>
          <w:rFonts w:cstheme="minorHAnsi"/>
          <w:noProof/>
          <w:lang w:eastAsia="en-GB"/>
        </w:rPr>
        <w:t>urther Educ</w:t>
      </w:r>
      <w:r w:rsidR="007D40CF">
        <w:rPr>
          <w:rFonts w:cstheme="minorHAnsi"/>
          <w:noProof/>
          <w:lang w:eastAsia="en-GB"/>
        </w:rPr>
        <w:t>at</w:t>
      </w:r>
      <w:r w:rsidR="00A76FE7">
        <w:rPr>
          <w:rFonts w:cstheme="minorHAnsi"/>
          <w:noProof/>
          <w:lang w:eastAsia="en-GB"/>
        </w:rPr>
        <w:t xml:space="preserve">ion </w:t>
      </w:r>
      <w:r w:rsidRPr="00697E15">
        <w:rPr>
          <w:rFonts w:cstheme="minorHAnsi"/>
          <w:noProof/>
          <w:lang w:eastAsia="en-GB"/>
        </w:rPr>
        <w:t xml:space="preserve">in addressing the problems of </w:t>
      </w:r>
      <w:r w:rsidR="00AB6F52">
        <w:rPr>
          <w:rFonts w:cstheme="minorHAnsi"/>
          <w:noProof/>
          <w:lang w:eastAsia="en-GB"/>
        </w:rPr>
        <w:t xml:space="preserve">productivity, social mobility, </w:t>
      </w:r>
      <w:r w:rsidRPr="00697E15">
        <w:rPr>
          <w:rFonts w:cstheme="minorHAnsi"/>
          <w:noProof/>
          <w:lang w:eastAsia="en-GB"/>
        </w:rPr>
        <w:t>the increasing need for labour market flexibility, and the acute national and regional shortage of skilled technicians.</w:t>
      </w:r>
      <w:r w:rsidRPr="00697E15">
        <w:rPr>
          <w:rStyle w:val="FootnoteReference"/>
          <w:rFonts w:cstheme="minorHAnsi"/>
          <w:noProof/>
          <w:lang w:eastAsia="en-GB"/>
        </w:rPr>
        <w:footnoteReference w:id="3"/>
      </w:r>
      <w:r w:rsidRPr="00697E15">
        <w:rPr>
          <w:rFonts w:cstheme="minorHAnsi"/>
          <w:noProof/>
          <w:lang w:eastAsia="en-GB"/>
        </w:rPr>
        <w:t xml:space="preserve"> Technicians occupy roles that require intermediate skills in technical subjects (Levels 3 to 5). </w:t>
      </w:r>
      <w:r w:rsidRPr="00697E15">
        <w:rPr>
          <w:rFonts w:cstheme="minorHAnsi"/>
          <w:bCs/>
          <w:noProof/>
          <w:lang w:eastAsia="en-GB"/>
        </w:rPr>
        <w:t>The availability of technicians significantly increases the capacity of businesses to innovate.</w:t>
      </w:r>
      <w:r w:rsidRPr="00697E15">
        <w:rPr>
          <w:rStyle w:val="FootnoteReference"/>
          <w:rFonts w:cstheme="minorHAnsi"/>
          <w:b/>
          <w:noProof/>
          <w:lang w:eastAsia="en-GB"/>
        </w:rPr>
        <w:t xml:space="preserve"> </w:t>
      </w:r>
      <w:r w:rsidRPr="00697E15">
        <w:rPr>
          <w:rStyle w:val="FootnoteReference"/>
          <w:rFonts w:cstheme="minorHAnsi"/>
          <w:bCs/>
          <w:noProof/>
          <w:lang w:eastAsia="en-GB"/>
        </w:rPr>
        <w:footnoteReference w:id="4"/>
      </w:r>
      <w:r w:rsidRPr="00697E15">
        <w:rPr>
          <w:rFonts w:cstheme="minorHAnsi"/>
          <w:bCs/>
          <w:noProof/>
          <w:lang w:eastAsia="en-GB"/>
        </w:rPr>
        <w:t xml:space="preserve"> </w:t>
      </w:r>
      <w:r w:rsidRPr="00697E15">
        <w:t>A recent research study concluded that degrees and apprenticeships alone will not be enough to fill the UK’s higher technical skills gap.</w:t>
      </w:r>
      <w:r w:rsidRPr="00697E15">
        <w:rPr>
          <w:rStyle w:val="FootnoteReference"/>
        </w:rPr>
        <w:t xml:space="preserve"> </w:t>
      </w:r>
      <w:r w:rsidRPr="00697E15">
        <w:rPr>
          <w:rStyle w:val="FootnoteReference"/>
        </w:rPr>
        <w:footnoteReference w:id="5"/>
      </w:r>
      <w:r w:rsidRPr="00697E15">
        <w:t xml:space="preserve"> While i</w:t>
      </w:r>
      <w:r w:rsidRPr="00697E15">
        <w:rPr>
          <w:rFonts w:cstheme="minorHAnsi"/>
          <w:noProof/>
          <w:lang w:eastAsia="en-GB"/>
        </w:rPr>
        <w:t xml:space="preserve">n Germany 20% of the </w:t>
      </w:r>
      <w:r w:rsidR="00AB6F52">
        <w:rPr>
          <w:rFonts w:cstheme="minorHAnsi"/>
          <w:noProof/>
          <w:lang w:eastAsia="en-GB"/>
        </w:rPr>
        <w:t xml:space="preserve">younger </w:t>
      </w:r>
      <w:r w:rsidRPr="00697E15">
        <w:rPr>
          <w:rFonts w:cstheme="minorHAnsi"/>
          <w:noProof/>
          <w:lang w:eastAsia="en-GB"/>
        </w:rPr>
        <w:t xml:space="preserve">workforce have a Higher Technical Vocational qualification, in the UK </w:t>
      </w:r>
      <w:r w:rsidRPr="00697E15">
        <w:rPr>
          <w:rFonts w:cstheme="minorHAnsi"/>
        </w:rPr>
        <w:t>just 4% hold similar qualifications. This compares with over 30% who have a qualification at Level 3 (e.g. A-Level) and Level 6 (degree)</w:t>
      </w:r>
      <w:r w:rsidRPr="00697E15">
        <w:rPr>
          <w:rStyle w:val="FootnoteReference"/>
        </w:rPr>
        <w:footnoteReference w:id="6"/>
      </w:r>
      <w:r w:rsidRPr="00697E15">
        <w:t>.</w:t>
      </w:r>
    </w:p>
    <w:p w14:paraId="1579C4BE" w14:textId="4A4F2E91" w:rsidR="00D044F4" w:rsidRPr="00697E15" w:rsidRDefault="00D044F4" w:rsidP="007D40CF">
      <w:pPr>
        <w:pStyle w:val="Heading1"/>
      </w:pPr>
      <w:r w:rsidRPr="00697E15">
        <w:t xml:space="preserve">Problem to be addressed </w:t>
      </w:r>
    </w:p>
    <w:p w14:paraId="7B7D6631" w14:textId="36EE7E3A" w:rsidR="00D044F4" w:rsidRPr="00697E15" w:rsidRDefault="00D044F4" w:rsidP="00D044F4">
      <w:pPr>
        <w:spacing w:before="120" w:after="120"/>
        <w:jc w:val="both"/>
        <w:rPr>
          <w:rFonts w:cstheme="minorHAnsi"/>
          <w:noProof/>
          <w:lang w:eastAsia="en-GB"/>
        </w:rPr>
      </w:pPr>
      <w:r w:rsidRPr="00697E15">
        <w:rPr>
          <w:rFonts w:cstheme="minorHAnsi"/>
          <w:noProof/>
          <w:lang w:eastAsia="en-GB"/>
        </w:rPr>
        <w:t>(1) Large numbers of people with ‘Craft’ Level 3 Apprenticeships</w:t>
      </w:r>
      <w:r w:rsidR="00A76FE7">
        <w:rPr>
          <w:rFonts w:cstheme="minorHAnsi"/>
          <w:noProof/>
          <w:lang w:eastAsia="en-GB"/>
        </w:rPr>
        <w:t xml:space="preserve"> </w:t>
      </w:r>
      <w:r w:rsidRPr="00697E15">
        <w:rPr>
          <w:rFonts w:cstheme="minorHAnsi"/>
          <w:noProof/>
          <w:lang w:eastAsia="en-GB"/>
        </w:rPr>
        <w:t>are currently unable to progress to higher technical qualifications</w:t>
      </w:r>
      <w:r w:rsidR="00A76FE7">
        <w:rPr>
          <w:rFonts w:cstheme="minorHAnsi"/>
          <w:noProof/>
          <w:lang w:eastAsia="en-GB"/>
        </w:rPr>
        <w:t>, at Levels 4 to 5</w:t>
      </w:r>
      <w:r w:rsidRPr="00697E15">
        <w:rPr>
          <w:rFonts w:cstheme="minorHAnsi"/>
          <w:noProof/>
          <w:lang w:eastAsia="en-GB"/>
        </w:rPr>
        <w:t xml:space="preserve">; (2) Low numbers of learners </w:t>
      </w:r>
      <w:r w:rsidR="00A76FE7">
        <w:rPr>
          <w:rFonts w:cstheme="minorHAnsi"/>
          <w:noProof/>
          <w:lang w:eastAsia="en-GB"/>
        </w:rPr>
        <w:t xml:space="preserve">at </w:t>
      </w:r>
      <w:r w:rsidRPr="00697E15">
        <w:rPr>
          <w:rFonts w:cstheme="minorHAnsi"/>
          <w:noProof/>
          <w:lang w:eastAsia="en-GB"/>
        </w:rPr>
        <w:t xml:space="preserve">Levels 4 and 5 </w:t>
      </w:r>
      <w:r w:rsidR="00A76FE7">
        <w:rPr>
          <w:rFonts w:cstheme="minorHAnsi"/>
          <w:noProof/>
          <w:lang w:eastAsia="en-GB"/>
        </w:rPr>
        <w:t xml:space="preserve">results in individual  </w:t>
      </w:r>
      <w:r w:rsidRPr="00697E15">
        <w:rPr>
          <w:rFonts w:cstheme="minorHAnsi"/>
          <w:noProof/>
          <w:lang w:eastAsia="en-GB"/>
        </w:rPr>
        <w:t xml:space="preserve">colleges </w:t>
      </w:r>
      <w:r w:rsidR="00DB79C0">
        <w:rPr>
          <w:rFonts w:cstheme="minorHAnsi"/>
          <w:noProof/>
          <w:lang w:eastAsia="en-GB"/>
        </w:rPr>
        <w:t xml:space="preserve">being </w:t>
      </w:r>
      <w:r w:rsidRPr="00697E15">
        <w:rPr>
          <w:rFonts w:cstheme="minorHAnsi"/>
          <w:noProof/>
          <w:lang w:eastAsia="en-GB"/>
        </w:rPr>
        <w:t>unable to economically deliver specialist technical units</w:t>
      </w:r>
      <w:r w:rsidR="00DB79C0">
        <w:rPr>
          <w:rFonts w:cstheme="minorHAnsi"/>
          <w:noProof/>
          <w:lang w:eastAsia="en-GB"/>
        </w:rPr>
        <w:t xml:space="preserve"> (partic</w:t>
      </w:r>
      <w:r w:rsidR="007D40CF">
        <w:rPr>
          <w:rFonts w:cstheme="minorHAnsi"/>
          <w:noProof/>
          <w:lang w:eastAsia="en-GB"/>
        </w:rPr>
        <w:t>u</w:t>
      </w:r>
      <w:r w:rsidR="00DB79C0">
        <w:rPr>
          <w:rFonts w:cstheme="minorHAnsi"/>
          <w:noProof/>
          <w:lang w:eastAsia="en-GB"/>
        </w:rPr>
        <w:t>lar</w:t>
      </w:r>
      <w:r w:rsidR="007D40CF">
        <w:rPr>
          <w:rFonts w:cstheme="minorHAnsi"/>
          <w:noProof/>
          <w:lang w:eastAsia="en-GB"/>
        </w:rPr>
        <w:t>l</w:t>
      </w:r>
      <w:r w:rsidR="00DB79C0">
        <w:rPr>
          <w:rFonts w:cstheme="minorHAnsi"/>
          <w:noProof/>
          <w:lang w:eastAsia="en-GB"/>
        </w:rPr>
        <w:t>y at Level 5)</w:t>
      </w:r>
      <w:r w:rsidRPr="00697E15">
        <w:rPr>
          <w:rFonts w:cstheme="minorHAnsi"/>
          <w:noProof/>
          <w:lang w:eastAsia="en-GB"/>
        </w:rPr>
        <w:t xml:space="preserve">; (3) Low numbers of people progressing to Level 5 qualifications leads to lower numbers </w:t>
      </w:r>
      <w:r w:rsidR="00DB79C0">
        <w:rPr>
          <w:rFonts w:cstheme="minorHAnsi"/>
          <w:noProof/>
          <w:lang w:eastAsia="en-GB"/>
        </w:rPr>
        <w:t xml:space="preserve">being able to process to </w:t>
      </w:r>
      <w:r w:rsidRPr="00697E15">
        <w:rPr>
          <w:rFonts w:cstheme="minorHAnsi"/>
          <w:noProof/>
          <w:lang w:eastAsia="en-GB"/>
        </w:rPr>
        <w:t xml:space="preserve">Level 6 </w:t>
      </w:r>
      <w:r w:rsidR="00DB79C0">
        <w:rPr>
          <w:rFonts w:cstheme="minorHAnsi"/>
          <w:noProof/>
          <w:lang w:eastAsia="en-GB"/>
        </w:rPr>
        <w:t xml:space="preserve">top-up </w:t>
      </w:r>
      <w:r w:rsidRPr="00697E15">
        <w:rPr>
          <w:rFonts w:cstheme="minorHAnsi"/>
          <w:noProof/>
          <w:lang w:eastAsia="en-GB"/>
        </w:rPr>
        <w:t xml:space="preserve">degree programmes, which in turn </w:t>
      </w:r>
      <w:r w:rsidR="00DB79C0">
        <w:rPr>
          <w:rFonts w:cstheme="minorHAnsi"/>
          <w:noProof/>
          <w:lang w:eastAsia="en-GB"/>
        </w:rPr>
        <w:t xml:space="preserve">affects the </w:t>
      </w:r>
      <w:r w:rsidRPr="00697E15">
        <w:rPr>
          <w:rFonts w:cstheme="minorHAnsi"/>
          <w:noProof/>
          <w:lang w:eastAsia="en-GB"/>
        </w:rPr>
        <w:t>viability of these cou</w:t>
      </w:r>
      <w:r w:rsidR="00AB6F52">
        <w:rPr>
          <w:rFonts w:cstheme="minorHAnsi"/>
          <w:noProof/>
          <w:lang w:eastAsia="en-GB"/>
        </w:rPr>
        <w:t>rses</w:t>
      </w:r>
      <w:r w:rsidRPr="00697E15">
        <w:rPr>
          <w:rFonts w:cstheme="minorHAnsi"/>
          <w:noProof/>
          <w:lang w:eastAsia="en-GB"/>
        </w:rPr>
        <w:t>.</w:t>
      </w:r>
    </w:p>
    <w:p w14:paraId="14C65659" w14:textId="7CD708E9" w:rsidR="00D044F4" w:rsidRPr="00697E15" w:rsidRDefault="00D044F4" w:rsidP="007D40CF">
      <w:pPr>
        <w:pStyle w:val="Heading1"/>
      </w:pPr>
      <w:r w:rsidRPr="00697E15">
        <w:t xml:space="preserve">Proposal to address the problem </w:t>
      </w:r>
    </w:p>
    <w:p w14:paraId="17EB4138" w14:textId="761632B8" w:rsidR="00D044F4" w:rsidRDefault="03512287" w:rsidP="00E5553C">
      <w:pPr>
        <w:jc w:val="both"/>
      </w:pPr>
      <w:r w:rsidRPr="001396AB">
        <w:t>LJMU, with partners,</w:t>
      </w:r>
      <w:r w:rsidR="00152742" w:rsidRPr="001396AB">
        <w:t xml:space="preserve"> is exploring the opportunity t</w:t>
      </w:r>
      <w:r w:rsidR="00D044F4" w:rsidRPr="001396AB">
        <w:t>o simplify the plethora of L4 and L5 delivery options</w:t>
      </w:r>
      <w:r w:rsidR="00D044F4" w:rsidRPr="001396AB">
        <w:rPr>
          <w:rStyle w:val="FootnoteReference"/>
        </w:rPr>
        <w:footnoteReference w:id="7"/>
      </w:r>
      <w:r w:rsidR="00D044F4" w:rsidRPr="001396AB">
        <w:t xml:space="preserve"> using the existing regional FE/GTA skills infrastructure – with H</w:t>
      </w:r>
      <w:r w:rsidR="00E5553C" w:rsidRPr="001396AB">
        <w:t xml:space="preserve">igher </w:t>
      </w:r>
      <w:r w:rsidR="00D044F4" w:rsidRPr="001396AB">
        <w:t>E</w:t>
      </w:r>
      <w:r w:rsidR="00E5553C" w:rsidRPr="001396AB">
        <w:t xml:space="preserve">ducation (HE) </w:t>
      </w:r>
      <w:r w:rsidR="00D044F4" w:rsidRPr="001396AB">
        <w:t xml:space="preserve">helping plug curriculum and staffing/delivery gaps (specialist engineering and construction subject knowledge; delivery staff; specialist equipment and infrastructure). </w:t>
      </w:r>
    </w:p>
    <w:p w14:paraId="3731AD41" w14:textId="716744E3" w:rsidR="00152742" w:rsidRPr="00152742" w:rsidRDefault="00152742" w:rsidP="00E5553C">
      <w:pPr>
        <w:jc w:val="both"/>
        <w:rPr>
          <w:rFonts w:cstheme="minorHAnsi"/>
        </w:rPr>
      </w:pPr>
      <w:r w:rsidRPr="00152742">
        <w:rPr>
          <w:rFonts w:cstheme="minorHAnsi"/>
          <w:szCs w:val="24"/>
        </w:rPr>
        <w:t>Skills delivery post-pandemic needs to be low-risk, capital-lite and agile.</w:t>
      </w:r>
      <w:r>
        <w:rPr>
          <w:rFonts w:cstheme="minorHAnsi"/>
          <w:szCs w:val="24"/>
        </w:rPr>
        <w:t xml:space="preserve"> If feasible, this model could </w:t>
      </w:r>
      <w:r w:rsidR="00CC6933">
        <w:rPr>
          <w:rFonts w:cstheme="minorHAnsi"/>
          <w:szCs w:val="24"/>
        </w:rPr>
        <w:t>provide a</w:t>
      </w:r>
      <w:r w:rsidRPr="00152742">
        <w:rPr>
          <w:rFonts w:cstheme="minorHAnsi"/>
        </w:rPr>
        <w:t xml:space="preserve"> flexible and responsive </w:t>
      </w:r>
      <w:r w:rsidR="00CC6933">
        <w:rPr>
          <w:rFonts w:cstheme="minorHAnsi"/>
        </w:rPr>
        <w:t>alternative</w:t>
      </w:r>
      <w:r w:rsidRPr="00152742">
        <w:rPr>
          <w:rFonts w:cstheme="minorHAnsi"/>
        </w:rPr>
        <w:t xml:space="preserve"> to the current portfolio of FE-HE collaboration models </w:t>
      </w:r>
      <w:r>
        <w:rPr>
          <w:rFonts w:cstheme="minorHAnsi"/>
        </w:rPr>
        <w:t>-</w:t>
      </w:r>
      <w:r w:rsidR="00232A75">
        <w:rPr>
          <w:rFonts w:cstheme="minorHAnsi"/>
        </w:rPr>
        <w:t xml:space="preserve">   </w:t>
      </w:r>
      <w:r w:rsidRPr="00152742">
        <w:rPr>
          <w:rFonts w:cstheme="minorHAnsi"/>
        </w:rPr>
        <w:t xml:space="preserve">merger (e.g., London South Bank University Group); strategic partnership (e.g., Middlesex University-Capital City Colleges Group); Institutes of Technology; </w:t>
      </w:r>
      <w:r>
        <w:rPr>
          <w:rFonts w:cstheme="minorHAnsi"/>
        </w:rPr>
        <w:t>and Foundation Degrees</w:t>
      </w:r>
      <w:r w:rsidRPr="00152742">
        <w:rPr>
          <w:rFonts w:cstheme="minorHAnsi"/>
        </w:rPr>
        <w:t>.</w:t>
      </w:r>
    </w:p>
    <w:p w14:paraId="07D05B07" w14:textId="15A75FF5" w:rsidR="008E4F2B" w:rsidRPr="00AB60FD" w:rsidRDefault="008E4F2B" w:rsidP="00E5553C">
      <w:pPr>
        <w:pStyle w:val="Heading1"/>
      </w:pPr>
      <w:r w:rsidRPr="00AB60FD">
        <w:lastRenderedPageBreak/>
        <w:t>Higher technical skills in the Liverpool City Region</w:t>
      </w:r>
    </w:p>
    <w:p w14:paraId="53642F39" w14:textId="4EF1B3EF" w:rsidR="008E4F2B" w:rsidRPr="00697E15" w:rsidRDefault="00CC6933" w:rsidP="00E5553C">
      <w:pPr>
        <w:jc w:val="both"/>
      </w:pPr>
      <w:r>
        <w:rPr>
          <w:rFonts w:cstheme="minorHAnsi"/>
          <w:noProof/>
          <w:lang w:eastAsia="en-GB"/>
        </w:rPr>
        <w:t>The City-Region</w:t>
      </w:r>
      <w:r w:rsidR="008343F8" w:rsidRPr="00697E15">
        <w:rPr>
          <w:rFonts w:cstheme="minorHAnsi"/>
          <w:noProof/>
          <w:lang w:eastAsia="en-GB"/>
        </w:rPr>
        <w:t xml:space="preserve"> aspires to replace fragmented provision and learner confusion with a ‘joined-up’ system of higher technical skills training that supports innovation, part-time learning and enables seamless skills progression</w:t>
      </w:r>
      <w:r>
        <w:rPr>
          <w:rFonts w:cstheme="minorHAnsi"/>
          <w:noProof/>
          <w:lang w:eastAsia="en-GB"/>
        </w:rPr>
        <w:t xml:space="preserve"> and upskilling opportunities</w:t>
      </w:r>
      <w:r w:rsidR="008343F8" w:rsidRPr="00697E15">
        <w:rPr>
          <w:rFonts w:cstheme="minorHAnsi"/>
          <w:noProof/>
          <w:lang w:eastAsia="en-GB"/>
        </w:rPr>
        <w:t xml:space="preserve"> for all age grou</w:t>
      </w:r>
      <w:r>
        <w:rPr>
          <w:rFonts w:cstheme="minorHAnsi"/>
          <w:noProof/>
          <w:lang w:eastAsia="en-GB"/>
        </w:rPr>
        <w:t>ps throughout their working lives</w:t>
      </w:r>
      <w:r w:rsidR="008343F8" w:rsidRPr="00697E15">
        <w:rPr>
          <w:rFonts w:cstheme="minorHAnsi"/>
          <w:noProof/>
          <w:lang w:eastAsia="en-GB"/>
        </w:rPr>
        <w:t>.</w:t>
      </w:r>
      <w:r w:rsidR="00DB79C0">
        <w:rPr>
          <w:rFonts w:cstheme="minorHAnsi"/>
          <w:noProof/>
          <w:lang w:eastAsia="en-GB"/>
        </w:rPr>
        <w:t xml:space="preserve"> </w:t>
      </w:r>
      <w:r w:rsidR="008343F8" w:rsidRPr="00697E15">
        <w:rPr>
          <w:rFonts w:cstheme="minorHAnsi"/>
          <w:noProof/>
          <w:lang w:eastAsia="en-GB"/>
        </w:rPr>
        <w:t>It aims to address this</w:t>
      </w:r>
      <w:r>
        <w:rPr>
          <w:rFonts w:cstheme="minorHAnsi"/>
          <w:noProof/>
          <w:lang w:eastAsia="en-GB"/>
        </w:rPr>
        <w:t xml:space="preserve"> through</w:t>
      </w:r>
      <w:r w:rsidR="00697E15" w:rsidRPr="00697E15">
        <w:rPr>
          <w:rFonts w:cstheme="minorHAnsi"/>
          <w:noProof/>
          <w:lang w:eastAsia="en-GB"/>
        </w:rPr>
        <w:t xml:space="preserve"> the </w:t>
      </w:r>
      <w:r w:rsidR="00A70E74" w:rsidRPr="00697E15">
        <w:rPr>
          <w:rFonts w:cs="Arial"/>
          <w:noProof/>
          <w:lang w:eastAsia="en-GB"/>
        </w:rPr>
        <w:t>develop</w:t>
      </w:r>
      <w:r w:rsidR="00697E15" w:rsidRPr="00697E15">
        <w:rPr>
          <w:rFonts w:cs="Arial"/>
          <w:noProof/>
          <w:lang w:eastAsia="en-GB"/>
        </w:rPr>
        <w:t xml:space="preserve">ment of a </w:t>
      </w:r>
      <w:r>
        <w:rPr>
          <w:rFonts w:cs="Arial"/>
          <w:noProof/>
          <w:lang w:eastAsia="en-GB"/>
        </w:rPr>
        <w:t>model for regional F</w:t>
      </w:r>
      <w:r w:rsidR="00DB79C0">
        <w:rPr>
          <w:rFonts w:cs="Arial"/>
          <w:noProof/>
          <w:lang w:eastAsia="en-GB"/>
        </w:rPr>
        <w:t xml:space="preserve">urther Education Colleges, Group Training Asiocations, </w:t>
      </w:r>
      <w:r w:rsidR="00A70E74" w:rsidRPr="00697E15">
        <w:rPr>
          <w:rFonts w:cs="Arial"/>
          <w:noProof/>
          <w:lang w:eastAsia="en-GB"/>
        </w:rPr>
        <w:t>and Universities to be able to collaborate to deliver technical vocational education from Levels 4 to 8 (H</w:t>
      </w:r>
      <w:r w:rsidR="00DB79C0">
        <w:rPr>
          <w:rFonts w:cs="Arial"/>
          <w:noProof/>
          <w:lang w:eastAsia="en-GB"/>
        </w:rPr>
        <w:t xml:space="preserve">NC </w:t>
      </w:r>
      <w:r w:rsidR="00A70E74" w:rsidRPr="00697E15">
        <w:rPr>
          <w:rFonts w:cs="Arial"/>
          <w:noProof/>
          <w:lang w:eastAsia="en-GB"/>
        </w:rPr>
        <w:t xml:space="preserve">to </w:t>
      </w:r>
      <w:r w:rsidR="00DB79C0">
        <w:rPr>
          <w:rFonts w:cs="Arial"/>
          <w:noProof/>
          <w:lang w:eastAsia="en-GB"/>
        </w:rPr>
        <w:t>Professional Doctrorate</w:t>
      </w:r>
      <w:bookmarkStart w:id="1" w:name="_Hlk68859307"/>
      <w:r w:rsidR="00A70E74" w:rsidRPr="00697E15">
        <w:rPr>
          <w:rFonts w:cs="Arial"/>
          <w:noProof/>
          <w:lang w:eastAsia="en-GB"/>
        </w:rPr>
        <w:t>)</w:t>
      </w:r>
      <w:r w:rsidR="00697E15" w:rsidRPr="00697E15">
        <w:rPr>
          <w:rFonts w:cs="Arial"/>
          <w:noProof/>
          <w:lang w:eastAsia="en-GB"/>
        </w:rPr>
        <w:t>.</w:t>
      </w:r>
    </w:p>
    <w:bookmarkEnd w:id="1"/>
    <w:p w14:paraId="1A42CE6F" w14:textId="551175D9" w:rsidR="00CA462C" w:rsidRPr="00697E15" w:rsidRDefault="00CA462C"/>
    <w:sectPr w:rsidR="00CA462C" w:rsidRPr="00697E15">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DF741C" w16cex:dateUtc="2021-04-28T09:43:26.694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7055F" w14:textId="77777777" w:rsidR="00955CE8" w:rsidRDefault="00955CE8" w:rsidP="00A70E74">
      <w:pPr>
        <w:spacing w:after="0" w:line="240" w:lineRule="auto"/>
      </w:pPr>
      <w:r>
        <w:separator/>
      </w:r>
    </w:p>
  </w:endnote>
  <w:endnote w:type="continuationSeparator" w:id="0">
    <w:p w14:paraId="1C86E66E" w14:textId="77777777" w:rsidR="00955CE8" w:rsidRDefault="00955CE8" w:rsidP="00A70E74">
      <w:pPr>
        <w:spacing w:after="0" w:line="240" w:lineRule="auto"/>
      </w:pPr>
      <w:r>
        <w:continuationSeparator/>
      </w:r>
    </w:p>
  </w:endnote>
  <w:endnote w:type="continuationNotice" w:id="1">
    <w:p w14:paraId="663B6BE0" w14:textId="77777777" w:rsidR="00955CE8" w:rsidRDefault="00955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 Lola">
    <w:altName w:val="FS Lol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068935"/>
      <w:docPartObj>
        <w:docPartGallery w:val="Page Numbers (Bottom of Page)"/>
        <w:docPartUnique/>
      </w:docPartObj>
    </w:sdtPr>
    <w:sdtEndPr>
      <w:rPr>
        <w:noProof/>
      </w:rPr>
    </w:sdtEndPr>
    <w:sdtContent>
      <w:p w14:paraId="6F8CDBFA" w14:textId="060BFC35" w:rsidR="00BB6E2E" w:rsidRDefault="00BB6E2E">
        <w:pPr>
          <w:pStyle w:val="Footer"/>
          <w:jc w:val="right"/>
        </w:pPr>
        <w:r>
          <w:fldChar w:fldCharType="begin"/>
        </w:r>
        <w:r>
          <w:instrText xml:space="preserve"> PAGE   \* MERGEFORMAT </w:instrText>
        </w:r>
        <w:r>
          <w:fldChar w:fldCharType="separate"/>
        </w:r>
        <w:r w:rsidR="007C2DCE">
          <w:rPr>
            <w:noProof/>
          </w:rPr>
          <w:t>1</w:t>
        </w:r>
        <w:r>
          <w:rPr>
            <w:noProof/>
          </w:rPr>
          <w:fldChar w:fldCharType="end"/>
        </w:r>
      </w:p>
    </w:sdtContent>
  </w:sdt>
  <w:p w14:paraId="09DFF10C" w14:textId="77777777" w:rsidR="00BB6E2E" w:rsidRDefault="00BB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25E8" w14:textId="77777777" w:rsidR="00955CE8" w:rsidRDefault="00955CE8" w:rsidP="00A70E74">
      <w:pPr>
        <w:spacing w:after="0" w:line="240" w:lineRule="auto"/>
      </w:pPr>
      <w:r>
        <w:separator/>
      </w:r>
    </w:p>
  </w:footnote>
  <w:footnote w:type="continuationSeparator" w:id="0">
    <w:p w14:paraId="4E6FEE3E" w14:textId="77777777" w:rsidR="00955CE8" w:rsidRDefault="00955CE8" w:rsidP="00A70E74">
      <w:pPr>
        <w:spacing w:after="0" w:line="240" w:lineRule="auto"/>
      </w:pPr>
      <w:r>
        <w:continuationSeparator/>
      </w:r>
    </w:p>
  </w:footnote>
  <w:footnote w:type="continuationNotice" w:id="1">
    <w:p w14:paraId="0515DEF9" w14:textId="77777777" w:rsidR="00955CE8" w:rsidRDefault="00955CE8">
      <w:pPr>
        <w:spacing w:after="0" w:line="240" w:lineRule="auto"/>
      </w:pPr>
    </w:p>
  </w:footnote>
  <w:footnote w:id="2">
    <w:p w14:paraId="2D84A2F9" w14:textId="66BF6B67" w:rsidR="00CC6344" w:rsidRDefault="00CC6344">
      <w:pPr>
        <w:pStyle w:val="FootnoteText"/>
      </w:pPr>
      <w:r>
        <w:rPr>
          <w:rStyle w:val="FootnoteReference"/>
        </w:rPr>
        <w:footnoteRef/>
      </w:r>
      <w:r>
        <w:t xml:space="preserve"> Short-listed options include: Business as usual, Regional College of Technology, and the proposed collaborative option</w:t>
      </w:r>
    </w:p>
  </w:footnote>
  <w:footnote w:id="3">
    <w:p w14:paraId="1E02BAFC" w14:textId="77777777" w:rsidR="00A70E74" w:rsidRDefault="00A70E74" w:rsidP="00A70E74">
      <w:pPr>
        <w:pStyle w:val="FootnoteText"/>
      </w:pPr>
      <w:r>
        <w:rPr>
          <w:rStyle w:val="FootnoteReference"/>
        </w:rPr>
        <w:footnoteRef/>
      </w:r>
      <w:r>
        <w:t xml:space="preserve"> </w:t>
      </w:r>
      <w:r w:rsidRPr="00B060D2">
        <w:t>Skills for jobs white paper</w:t>
      </w:r>
    </w:p>
  </w:footnote>
  <w:footnote w:id="4">
    <w:p w14:paraId="69CC244B" w14:textId="77777777" w:rsidR="00A70E74" w:rsidRDefault="00A70E74" w:rsidP="00A70E74">
      <w:pPr>
        <w:pStyle w:val="FootnoteText"/>
      </w:pPr>
      <w:r>
        <w:rPr>
          <w:rStyle w:val="FootnoteReference"/>
        </w:rPr>
        <w:footnoteRef/>
      </w:r>
      <w:r>
        <w:t xml:space="preserve">  </w:t>
      </w:r>
      <w:hyperlink r:id="rId1" w:history="1">
        <w:r w:rsidRPr="008134D7">
          <w:rPr>
            <w:rStyle w:val="Hyperlink"/>
          </w:rPr>
          <w:t>‘Technicians and Innovation: A Literature Review’</w:t>
        </w:r>
      </w:hyperlink>
      <w:r>
        <w:t xml:space="preserve"> Lewis (2019) for Gatsby Charitable Foundation</w:t>
      </w:r>
    </w:p>
  </w:footnote>
  <w:footnote w:id="5">
    <w:p w14:paraId="57994DC7" w14:textId="77777777" w:rsidR="00A70E74" w:rsidRDefault="00A70E74" w:rsidP="00A70E74">
      <w:pPr>
        <w:pStyle w:val="FootnoteText"/>
      </w:pPr>
      <w:r>
        <w:rPr>
          <w:rStyle w:val="FootnoteReference"/>
        </w:rPr>
        <w:footnoteRef/>
      </w:r>
      <w:r>
        <w:t xml:space="preserve"> </w:t>
      </w:r>
      <w:hyperlink r:id="rId2" w:history="1">
        <w:r w:rsidRPr="00F36F00">
          <w:rPr>
            <w:rStyle w:val="Hyperlink"/>
          </w:rPr>
          <w:t>‘Higher technical education consultation – analysis’</w:t>
        </w:r>
      </w:hyperlink>
      <w:r>
        <w:t xml:space="preserve"> Department for Education (2020) </w:t>
      </w:r>
    </w:p>
  </w:footnote>
  <w:footnote w:id="6">
    <w:p w14:paraId="2F49A0CA" w14:textId="77777777" w:rsidR="00A70E74" w:rsidRDefault="00A70E74" w:rsidP="00A70E74">
      <w:pPr>
        <w:pStyle w:val="FootnoteText"/>
      </w:pPr>
      <w:r>
        <w:rPr>
          <w:rStyle w:val="FootnoteReference"/>
        </w:rPr>
        <w:footnoteRef/>
      </w:r>
      <w:r>
        <w:t xml:space="preserve"> Post-16 education: highest level of achievement by age 25 (Department for Education, 2018).</w:t>
      </w:r>
    </w:p>
  </w:footnote>
  <w:footnote w:id="7">
    <w:p w14:paraId="36AA2286" w14:textId="77777777" w:rsidR="00D044F4" w:rsidRDefault="00D044F4" w:rsidP="00D044F4">
      <w:pPr>
        <w:pStyle w:val="FootnoteText"/>
      </w:pPr>
      <w:r>
        <w:rPr>
          <w:rStyle w:val="FootnoteReference"/>
        </w:rPr>
        <w:footnoteRef/>
      </w:r>
      <w:r>
        <w:t xml:space="preserve"> </w:t>
      </w:r>
      <w:r>
        <w:rPr>
          <w:rFonts w:cstheme="minorHAnsi"/>
          <w:szCs w:val="24"/>
        </w:rPr>
        <w:t>Almost 3,400 qualifications from 150 different awarding bodies are offered at Levels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3DD"/>
    <w:multiLevelType w:val="hybridMultilevel"/>
    <w:tmpl w:val="944EF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0480C"/>
    <w:multiLevelType w:val="hybridMultilevel"/>
    <w:tmpl w:val="DD861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507F8A"/>
    <w:multiLevelType w:val="hybridMultilevel"/>
    <w:tmpl w:val="9FE48434"/>
    <w:lvl w:ilvl="0" w:tplc="407AFF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B2A7F"/>
    <w:multiLevelType w:val="hybridMultilevel"/>
    <w:tmpl w:val="25CE9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90269"/>
    <w:multiLevelType w:val="hybridMultilevel"/>
    <w:tmpl w:val="3192F6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21E32"/>
    <w:multiLevelType w:val="hybridMultilevel"/>
    <w:tmpl w:val="32FC42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456634"/>
    <w:multiLevelType w:val="hybridMultilevel"/>
    <w:tmpl w:val="6F0C84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352DDC"/>
    <w:multiLevelType w:val="hybridMultilevel"/>
    <w:tmpl w:val="EF1CC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9C7ABB"/>
    <w:multiLevelType w:val="hybridMultilevel"/>
    <w:tmpl w:val="FFDA17B8"/>
    <w:lvl w:ilvl="0" w:tplc="3536CD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B502E"/>
    <w:multiLevelType w:val="multilevel"/>
    <w:tmpl w:val="F16E94E4"/>
    <w:lvl w:ilvl="0">
      <w:start w:val="1"/>
      <w:numFmt w:val="decimal"/>
      <w:pStyle w:val="Heading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A41E44"/>
    <w:multiLevelType w:val="hybridMultilevel"/>
    <w:tmpl w:val="85EA0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1278C9"/>
    <w:multiLevelType w:val="hybridMultilevel"/>
    <w:tmpl w:val="21B8D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D60003"/>
    <w:multiLevelType w:val="hybridMultilevel"/>
    <w:tmpl w:val="2988C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E016F2"/>
    <w:multiLevelType w:val="hybridMultilevel"/>
    <w:tmpl w:val="DD861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37643B"/>
    <w:multiLevelType w:val="hybridMultilevel"/>
    <w:tmpl w:val="5D807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3"/>
  </w:num>
  <w:num w:numId="5">
    <w:abstractNumId w:val="6"/>
  </w:num>
  <w:num w:numId="6">
    <w:abstractNumId w:val="10"/>
  </w:num>
  <w:num w:numId="7">
    <w:abstractNumId w:val="2"/>
  </w:num>
  <w:num w:numId="8">
    <w:abstractNumId w:val="8"/>
  </w:num>
  <w:num w:numId="9">
    <w:abstractNumId w:val="1"/>
  </w:num>
  <w:num w:numId="10">
    <w:abstractNumId w:val="0"/>
  </w:num>
  <w:num w:numId="11">
    <w:abstractNumId w:val="12"/>
  </w:num>
  <w:num w:numId="12">
    <w:abstractNumId w:val="5"/>
  </w:num>
  <w:num w:numId="13">
    <w:abstractNumId w:val="9"/>
  </w:num>
  <w:num w:numId="14">
    <w:abstractNumId w:val="7"/>
  </w:num>
  <w:num w:numId="15">
    <w:abstractNumId w:val="1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FF"/>
    <w:rsid w:val="000676BC"/>
    <w:rsid w:val="000A2F61"/>
    <w:rsid w:val="000B28A0"/>
    <w:rsid w:val="000B746A"/>
    <w:rsid w:val="000D14F3"/>
    <w:rsid w:val="00106D5D"/>
    <w:rsid w:val="001396AB"/>
    <w:rsid w:val="00152742"/>
    <w:rsid w:val="001976DC"/>
    <w:rsid w:val="00231158"/>
    <w:rsid w:val="00232A75"/>
    <w:rsid w:val="002365DB"/>
    <w:rsid w:val="00256E4D"/>
    <w:rsid w:val="002D09E3"/>
    <w:rsid w:val="002F01A2"/>
    <w:rsid w:val="0034345A"/>
    <w:rsid w:val="00346C43"/>
    <w:rsid w:val="00376078"/>
    <w:rsid w:val="003905AD"/>
    <w:rsid w:val="0039276E"/>
    <w:rsid w:val="003A3E42"/>
    <w:rsid w:val="003F63A7"/>
    <w:rsid w:val="00417CC3"/>
    <w:rsid w:val="00437C44"/>
    <w:rsid w:val="00442C4F"/>
    <w:rsid w:val="00496993"/>
    <w:rsid w:val="004D4DAF"/>
    <w:rsid w:val="004E4747"/>
    <w:rsid w:val="005178FF"/>
    <w:rsid w:val="00530B7C"/>
    <w:rsid w:val="00551B94"/>
    <w:rsid w:val="00585E3E"/>
    <w:rsid w:val="005969EF"/>
    <w:rsid w:val="005A0FF4"/>
    <w:rsid w:val="005A19D0"/>
    <w:rsid w:val="005B02B9"/>
    <w:rsid w:val="005B1FD1"/>
    <w:rsid w:val="005E0293"/>
    <w:rsid w:val="006639A6"/>
    <w:rsid w:val="00694E4D"/>
    <w:rsid w:val="00697E15"/>
    <w:rsid w:val="006B55BF"/>
    <w:rsid w:val="006D1F3A"/>
    <w:rsid w:val="006F6DF8"/>
    <w:rsid w:val="007C2DCE"/>
    <w:rsid w:val="007D40CF"/>
    <w:rsid w:val="008003FB"/>
    <w:rsid w:val="008343F8"/>
    <w:rsid w:val="008655DB"/>
    <w:rsid w:val="00871A0B"/>
    <w:rsid w:val="00893B41"/>
    <w:rsid w:val="008B07BA"/>
    <w:rsid w:val="008C1232"/>
    <w:rsid w:val="008C6673"/>
    <w:rsid w:val="008E4F2B"/>
    <w:rsid w:val="008F47BA"/>
    <w:rsid w:val="00911246"/>
    <w:rsid w:val="00955CE8"/>
    <w:rsid w:val="00977237"/>
    <w:rsid w:val="009961EC"/>
    <w:rsid w:val="00A70E74"/>
    <w:rsid w:val="00A76FE7"/>
    <w:rsid w:val="00AB60FD"/>
    <w:rsid w:val="00AB6F52"/>
    <w:rsid w:val="00B04D09"/>
    <w:rsid w:val="00B07CFB"/>
    <w:rsid w:val="00B5547C"/>
    <w:rsid w:val="00B708B3"/>
    <w:rsid w:val="00B920F7"/>
    <w:rsid w:val="00BA653E"/>
    <w:rsid w:val="00BB4091"/>
    <w:rsid w:val="00BB6E2E"/>
    <w:rsid w:val="00BD19C5"/>
    <w:rsid w:val="00BD3C03"/>
    <w:rsid w:val="00C56AFF"/>
    <w:rsid w:val="00C7462A"/>
    <w:rsid w:val="00CA462C"/>
    <w:rsid w:val="00CA7753"/>
    <w:rsid w:val="00CC35FA"/>
    <w:rsid w:val="00CC6344"/>
    <w:rsid w:val="00CC6933"/>
    <w:rsid w:val="00D03790"/>
    <w:rsid w:val="00D044F4"/>
    <w:rsid w:val="00D23E59"/>
    <w:rsid w:val="00D745AF"/>
    <w:rsid w:val="00DA1A9C"/>
    <w:rsid w:val="00DB5229"/>
    <w:rsid w:val="00DB79C0"/>
    <w:rsid w:val="00DC1421"/>
    <w:rsid w:val="00DE69D8"/>
    <w:rsid w:val="00E0278F"/>
    <w:rsid w:val="00E5553C"/>
    <w:rsid w:val="00E7468D"/>
    <w:rsid w:val="00EC4060"/>
    <w:rsid w:val="00F44F25"/>
    <w:rsid w:val="00FD5E7A"/>
    <w:rsid w:val="00FF5320"/>
    <w:rsid w:val="00FF6D36"/>
    <w:rsid w:val="03512287"/>
    <w:rsid w:val="041657B9"/>
    <w:rsid w:val="049A89DB"/>
    <w:rsid w:val="1909D845"/>
    <w:rsid w:val="19D7F283"/>
    <w:rsid w:val="21037C82"/>
    <w:rsid w:val="2F64A78E"/>
    <w:rsid w:val="3179B87A"/>
    <w:rsid w:val="39ABAAB7"/>
    <w:rsid w:val="5496ED6D"/>
    <w:rsid w:val="6D42DB43"/>
    <w:rsid w:val="79BB8545"/>
    <w:rsid w:val="7BFABF9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020E"/>
  <w15:chartTrackingRefBased/>
  <w15:docId w15:val="{E1925692-F75C-4A26-9148-0F4AA9FB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76BC"/>
    <w:pPr>
      <w:keepNext/>
      <w:keepLines/>
      <w:numPr>
        <w:numId w:val="13"/>
      </w:numPr>
      <w:spacing w:before="240" w:after="240" w:line="240" w:lineRule="auto"/>
      <w:ind w:left="357" w:hanging="357"/>
      <w:outlineLvl w:val="0"/>
    </w:pPr>
    <w:rPr>
      <w:rFonts w:eastAsiaTheme="majorEastAsia" w:cstheme="minorHAns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278F"/>
    <w:pPr>
      <w:ind w:left="720"/>
      <w:contextualSpacing/>
    </w:pPr>
  </w:style>
  <w:style w:type="character" w:styleId="Hyperlink">
    <w:name w:val="Hyperlink"/>
    <w:basedOn w:val="DefaultParagraphFont"/>
    <w:uiPriority w:val="99"/>
    <w:unhideWhenUsed/>
    <w:rsid w:val="00A70E74"/>
    <w:rPr>
      <w:color w:val="0563C1" w:themeColor="hyperlink"/>
      <w:u w:val="single"/>
    </w:rPr>
  </w:style>
  <w:style w:type="paragraph" w:styleId="FootnoteText">
    <w:name w:val="footnote text"/>
    <w:basedOn w:val="Normal"/>
    <w:link w:val="FootnoteTextChar"/>
    <w:uiPriority w:val="99"/>
    <w:semiHidden/>
    <w:unhideWhenUsed/>
    <w:rsid w:val="00A70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E74"/>
    <w:rPr>
      <w:sz w:val="20"/>
      <w:szCs w:val="20"/>
    </w:rPr>
  </w:style>
  <w:style w:type="character" w:styleId="FootnoteReference">
    <w:name w:val="footnote reference"/>
    <w:basedOn w:val="DefaultParagraphFont"/>
    <w:uiPriority w:val="99"/>
    <w:semiHidden/>
    <w:unhideWhenUsed/>
    <w:rsid w:val="00A70E74"/>
    <w:rPr>
      <w:vertAlign w:val="superscript"/>
    </w:rPr>
  </w:style>
  <w:style w:type="paragraph" w:styleId="Header">
    <w:name w:val="header"/>
    <w:basedOn w:val="Normal"/>
    <w:link w:val="HeaderChar"/>
    <w:uiPriority w:val="99"/>
    <w:unhideWhenUsed/>
    <w:rsid w:val="00D04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4F4"/>
  </w:style>
  <w:style w:type="paragraph" w:styleId="NoSpacing">
    <w:name w:val="No Spacing"/>
    <w:uiPriority w:val="1"/>
    <w:qFormat/>
    <w:rsid w:val="00585E3E"/>
    <w:pPr>
      <w:spacing w:after="0" w:line="240" w:lineRule="auto"/>
    </w:pPr>
  </w:style>
  <w:style w:type="paragraph" w:styleId="Footer">
    <w:name w:val="footer"/>
    <w:basedOn w:val="Normal"/>
    <w:link w:val="FooterChar"/>
    <w:uiPriority w:val="99"/>
    <w:unhideWhenUsed/>
    <w:rsid w:val="00BB6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2E"/>
  </w:style>
  <w:style w:type="character" w:customStyle="1" w:styleId="Heading1Char">
    <w:name w:val="Heading 1 Char"/>
    <w:basedOn w:val="DefaultParagraphFont"/>
    <w:link w:val="Heading1"/>
    <w:uiPriority w:val="9"/>
    <w:rsid w:val="000676BC"/>
    <w:rPr>
      <w:rFonts w:eastAsiaTheme="majorEastAsia" w:cstheme="minorHAnsi"/>
      <w:b/>
      <w:bCs/>
      <w:color w:val="000000" w:themeColor="text1"/>
      <w:sz w:val="24"/>
      <w:szCs w:val="24"/>
    </w:rPr>
  </w:style>
  <w:style w:type="paragraph" w:styleId="BalloonText">
    <w:name w:val="Balloon Text"/>
    <w:basedOn w:val="Normal"/>
    <w:link w:val="BalloonTextChar"/>
    <w:uiPriority w:val="99"/>
    <w:semiHidden/>
    <w:unhideWhenUsed/>
    <w:rsid w:val="00BD1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9C5"/>
    <w:rPr>
      <w:rFonts w:ascii="Segoe UI" w:hAnsi="Segoe UI" w:cs="Segoe UI"/>
      <w:sz w:val="18"/>
      <w:szCs w:val="18"/>
    </w:rPr>
  </w:style>
  <w:style w:type="character" w:styleId="CommentReference">
    <w:name w:val="annotation reference"/>
    <w:basedOn w:val="DefaultParagraphFont"/>
    <w:uiPriority w:val="99"/>
    <w:semiHidden/>
    <w:unhideWhenUsed/>
    <w:rsid w:val="008003FB"/>
    <w:rPr>
      <w:sz w:val="16"/>
      <w:szCs w:val="16"/>
    </w:rPr>
  </w:style>
  <w:style w:type="paragraph" w:styleId="CommentText">
    <w:name w:val="annotation text"/>
    <w:basedOn w:val="Normal"/>
    <w:link w:val="CommentTextChar"/>
    <w:uiPriority w:val="99"/>
    <w:semiHidden/>
    <w:unhideWhenUsed/>
    <w:rsid w:val="008003FB"/>
    <w:pPr>
      <w:spacing w:line="240" w:lineRule="auto"/>
    </w:pPr>
    <w:rPr>
      <w:sz w:val="20"/>
      <w:szCs w:val="20"/>
    </w:rPr>
  </w:style>
  <w:style w:type="character" w:customStyle="1" w:styleId="CommentTextChar">
    <w:name w:val="Comment Text Char"/>
    <w:basedOn w:val="DefaultParagraphFont"/>
    <w:link w:val="CommentText"/>
    <w:uiPriority w:val="99"/>
    <w:semiHidden/>
    <w:rsid w:val="008003FB"/>
    <w:rPr>
      <w:sz w:val="20"/>
      <w:szCs w:val="20"/>
    </w:rPr>
  </w:style>
  <w:style w:type="paragraph" w:styleId="CommentSubject">
    <w:name w:val="annotation subject"/>
    <w:basedOn w:val="CommentText"/>
    <w:next w:val="CommentText"/>
    <w:link w:val="CommentSubjectChar"/>
    <w:uiPriority w:val="99"/>
    <w:semiHidden/>
    <w:unhideWhenUsed/>
    <w:rsid w:val="008003FB"/>
    <w:rPr>
      <w:b/>
      <w:bCs/>
    </w:rPr>
  </w:style>
  <w:style w:type="character" w:customStyle="1" w:styleId="CommentSubjectChar">
    <w:name w:val="Comment Subject Char"/>
    <w:basedOn w:val="CommentTextChar"/>
    <w:link w:val="CommentSubject"/>
    <w:uiPriority w:val="99"/>
    <w:semiHidden/>
    <w:rsid w:val="008003FB"/>
    <w:rPr>
      <w:b/>
      <w:bCs/>
      <w:sz w:val="20"/>
      <w:szCs w:val="20"/>
    </w:rPr>
  </w:style>
  <w:style w:type="paragraph" w:styleId="NormalWeb">
    <w:name w:val="Normal (Web)"/>
    <w:basedOn w:val="Normal"/>
    <w:uiPriority w:val="99"/>
    <w:semiHidden/>
    <w:unhideWhenUsed/>
    <w:rsid w:val="008003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C63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6344"/>
    <w:rPr>
      <w:sz w:val="20"/>
      <w:szCs w:val="20"/>
    </w:rPr>
  </w:style>
  <w:style w:type="character" w:styleId="EndnoteReference">
    <w:name w:val="endnote reference"/>
    <w:basedOn w:val="DefaultParagraphFont"/>
    <w:uiPriority w:val="99"/>
    <w:semiHidden/>
    <w:unhideWhenUsed/>
    <w:rsid w:val="00CC63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6089">
      <w:bodyDiv w:val="1"/>
      <w:marLeft w:val="0"/>
      <w:marRight w:val="0"/>
      <w:marTop w:val="0"/>
      <w:marBottom w:val="0"/>
      <w:divBdr>
        <w:top w:val="none" w:sz="0" w:space="0" w:color="auto"/>
        <w:left w:val="none" w:sz="0" w:space="0" w:color="auto"/>
        <w:bottom w:val="none" w:sz="0" w:space="0" w:color="auto"/>
        <w:right w:val="none" w:sz="0" w:space="0" w:color="auto"/>
      </w:divBdr>
    </w:div>
    <w:div w:id="1739086198">
      <w:bodyDiv w:val="1"/>
      <w:marLeft w:val="0"/>
      <w:marRight w:val="0"/>
      <w:marTop w:val="0"/>
      <w:marBottom w:val="0"/>
      <w:divBdr>
        <w:top w:val="none" w:sz="0" w:space="0" w:color="auto"/>
        <w:left w:val="none" w:sz="0" w:space="0" w:color="auto"/>
        <w:bottom w:val="none" w:sz="0" w:space="0" w:color="auto"/>
        <w:right w:val="none" w:sz="0" w:space="0" w:color="auto"/>
      </w:divBdr>
    </w:div>
    <w:div w:id="20237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cCormack@ljmu.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4cd177ee646542f7"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903521/Higher_technical_education_consultation_analysis_York_Consulting.pdf" TargetMode="External"/><Relationship Id="rId1" Type="http://schemas.openxmlformats.org/officeDocument/2006/relationships/hyperlink" Target="https://www.gatsby.org.uk/uploads/education/technicians-and-innov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2efa2a-052e-4f79-80db-e2212b03609e">
      <UserInfo>
        <DisplayName>Leek, Joanne</DisplayName>
        <AccountId>43</AccountId>
        <AccountType/>
      </UserInfo>
      <UserInfo>
        <DisplayName>Benson, Rob</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A2AF83C7357469B7187FE8A3124F8" ma:contentTypeVersion="6" ma:contentTypeDescription="Create a new document." ma:contentTypeScope="" ma:versionID="e827d9a340ef53158de09c55ff05ec92">
  <xsd:schema xmlns:xsd="http://www.w3.org/2001/XMLSchema" xmlns:xs="http://www.w3.org/2001/XMLSchema" xmlns:p="http://schemas.microsoft.com/office/2006/metadata/properties" xmlns:ns2="dffb30cb-f0a8-48b7-9f2c-de635363c2bc" xmlns:ns3="602efa2a-052e-4f79-80db-e2212b03609e" targetNamespace="http://schemas.microsoft.com/office/2006/metadata/properties" ma:root="true" ma:fieldsID="71691107a9a2128f59a650d4a208477d" ns2:_="" ns3:_="">
    <xsd:import namespace="dffb30cb-f0a8-48b7-9f2c-de635363c2bc"/>
    <xsd:import namespace="602efa2a-052e-4f79-80db-e2212b036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30cb-f0a8-48b7-9f2c-de635363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efa2a-052e-4f79-80db-e2212b036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8628-A34E-4557-A64F-8D41142F6BFA}">
  <ds:schemaRefs>
    <ds:schemaRef ds:uri="http://schemas.microsoft.com/office/2006/documentManagement/types"/>
    <ds:schemaRef ds:uri="dffb30cb-f0a8-48b7-9f2c-de635363c2b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02efa2a-052e-4f79-80db-e2212b03609e"/>
    <ds:schemaRef ds:uri="http://www.w3.org/XML/1998/namespace"/>
    <ds:schemaRef ds:uri="http://purl.org/dc/dcmitype/"/>
  </ds:schemaRefs>
</ds:datastoreItem>
</file>

<file path=customXml/itemProps2.xml><?xml version="1.0" encoding="utf-8"?>
<ds:datastoreItem xmlns:ds="http://schemas.openxmlformats.org/officeDocument/2006/customXml" ds:itemID="{7B2E189E-5A20-4865-BCF3-0D60ECF7F2ED}">
  <ds:schemaRefs>
    <ds:schemaRef ds:uri="http://schemas.microsoft.com/sharepoint/v3/contenttype/forms"/>
  </ds:schemaRefs>
</ds:datastoreItem>
</file>

<file path=customXml/itemProps3.xml><?xml version="1.0" encoding="utf-8"?>
<ds:datastoreItem xmlns:ds="http://schemas.openxmlformats.org/officeDocument/2006/customXml" ds:itemID="{3B08DF33-15CE-40A6-A6C9-85C2B22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30cb-f0a8-48b7-9f2c-de635363c2bc"/>
    <ds:schemaRef ds:uri="602efa2a-052e-4f79-80db-e2212b036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02AB6-29E7-4D3D-801D-6E17F6E1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Helen</dc:creator>
  <cp:keywords/>
  <dc:description/>
  <cp:lastModifiedBy>Houghton, Kathy</cp:lastModifiedBy>
  <cp:revision>3</cp:revision>
  <dcterms:created xsi:type="dcterms:W3CDTF">2021-05-19T11:07:00Z</dcterms:created>
  <dcterms:modified xsi:type="dcterms:W3CDTF">2021-05-19T11:15:00Z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0x010100369A2AF83C7357469B7187FE8A3124F8</vt:lpwstr>
  </property>
</Properties>
</file>