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06CE2" w14:textId="77777777" w:rsidR="00882116" w:rsidRPr="00305C9C" w:rsidRDefault="00DE7840" w:rsidP="00882116">
      <w:pPr>
        <w:jc w:val="left"/>
        <w:rPr>
          <w:b/>
          <w:color w:val="000000"/>
          <w:sz w:val="24"/>
          <w:szCs w:val="24"/>
        </w:rPr>
      </w:pPr>
      <w:r w:rsidRPr="00F06D1B">
        <w:rPr>
          <w:b/>
          <w:color w:val="000000"/>
          <w:sz w:val="24"/>
          <w:szCs w:val="24"/>
        </w:rPr>
        <w:t>Document No.</w:t>
      </w:r>
      <w:r w:rsidR="00B761A1" w:rsidRPr="00F06D1B">
        <w:rPr>
          <w:b/>
          <w:color w:val="000000"/>
          <w:sz w:val="24"/>
          <w:szCs w:val="24"/>
        </w:rPr>
        <w:t xml:space="preserve"> </w:t>
      </w:r>
      <w:r w:rsidRPr="00F06D1B">
        <w:rPr>
          <w:b/>
          <w:color w:val="000000"/>
          <w:sz w:val="24"/>
          <w:szCs w:val="24"/>
        </w:rPr>
        <w:t xml:space="preserve">04a - </w:t>
      </w:r>
      <w:r w:rsidR="002A220B" w:rsidRPr="00F06D1B">
        <w:rPr>
          <w:b/>
          <w:color w:val="000000"/>
          <w:sz w:val="24"/>
          <w:szCs w:val="24"/>
        </w:rPr>
        <w:t xml:space="preserve">Contract </w:t>
      </w:r>
      <w:r w:rsidR="00355DE3">
        <w:rPr>
          <w:b/>
          <w:color w:val="000000"/>
          <w:sz w:val="24"/>
          <w:szCs w:val="24"/>
        </w:rPr>
        <w:t>Specifics</w:t>
      </w:r>
    </w:p>
    <w:p w14:paraId="036DCFC1" w14:textId="77777777" w:rsidR="00882116" w:rsidRPr="00305C9C" w:rsidRDefault="00882116" w:rsidP="00882116">
      <w:pPr>
        <w:jc w:val="left"/>
        <w:rPr>
          <w:b/>
          <w:color w:val="000000"/>
          <w:sz w:val="24"/>
          <w:szCs w:val="24"/>
        </w:rPr>
      </w:pPr>
    </w:p>
    <w:p w14:paraId="26C7D4B0" w14:textId="77777777" w:rsidR="00E036EF" w:rsidRDefault="00D509DB" w:rsidP="00E02EC9">
      <w:pPr>
        <w:pStyle w:val="NoSpacing"/>
        <w:rPr>
          <w:b/>
          <w:sz w:val="24"/>
          <w:szCs w:val="24"/>
        </w:rPr>
      </w:pPr>
      <w:r w:rsidRPr="00D509DB">
        <w:rPr>
          <w:b/>
          <w:sz w:val="24"/>
          <w:szCs w:val="24"/>
        </w:rPr>
        <w:t xml:space="preserve">NHS National Framework Agreement for the supply of products for the treatment of </w:t>
      </w:r>
      <w:r w:rsidR="00537AFA">
        <w:rPr>
          <w:b/>
          <w:sz w:val="24"/>
          <w:szCs w:val="24"/>
        </w:rPr>
        <w:t xml:space="preserve">Haemophilia </w:t>
      </w:r>
      <w:r w:rsidR="00410FB1">
        <w:rPr>
          <w:b/>
          <w:sz w:val="24"/>
          <w:szCs w:val="24"/>
        </w:rPr>
        <w:t>A</w:t>
      </w:r>
      <w:r w:rsidR="0042572A">
        <w:rPr>
          <w:b/>
          <w:sz w:val="24"/>
          <w:szCs w:val="24"/>
        </w:rPr>
        <w:t xml:space="preserve"> </w:t>
      </w:r>
    </w:p>
    <w:p w14:paraId="5B3738E8" w14:textId="77777777" w:rsidR="00537AFA" w:rsidRPr="00305C9C" w:rsidRDefault="00537AFA" w:rsidP="00E02EC9">
      <w:pPr>
        <w:pStyle w:val="NoSpacing"/>
        <w:rPr>
          <w:b/>
          <w:sz w:val="24"/>
          <w:szCs w:val="24"/>
        </w:rPr>
      </w:pPr>
    </w:p>
    <w:p w14:paraId="708EF55E" w14:textId="77777777" w:rsidR="00E02EC9" w:rsidRPr="00305C9C" w:rsidRDefault="00E02EC9" w:rsidP="00E02EC9">
      <w:pPr>
        <w:pStyle w:val="NoSpacing"/>
        <w:rPr>
          <w:b/>
          <w:sz w:val="24"/>
          <w:szCs w:val="24"/>
        </w:rPr>
      </w:pPr>
      <w:r w:rsidRPr="00305C9C">
        <w:rPr>
          <w:b/>
          <w:sz w:val="24"/>
          <w:szCs w:val="24"/>
        </w:rPr>
        <w:t xml:space="preserve">Offer reference number: </w:t>
      </w:r>
      <w:r w:rsidR="00537AFA" w:rsidRPr="00537AFA">
        <w:rPr>
          <w:b/>
          <w:sz w:val="24"/>
          <w:szCs w:val="24"/>
        </w:rPr>
        <w:t>CM/PHS/17/55</w:t>
      </w:r>
      <w:r w:rsidR="00410FB1">
        <w:rPr>
          <w:b/>
          <w:sz w:val="24"/>
          <w:szCs w:val="24"/>
        </w:rPr>
        <w:t>6</w:t>
      </w:r>
      <w:r w:rsidR="00537AFA" w:rsidRPr="00537AFA">
        <w:rPr>
          <w:b/>
          <w:sz w:val="24"/>
          <w:szCs w:val="24"/>
        </w:rPr>
        <w:t>4</w:t>
      </w:r>
    </w:p>
    <w:p w14:paraId="3768163A" w14:textId="77777777" w:rsidR="00E036EF" w:rsidRPr="00305C9C" w:rsidRDefault="00E036EF" w:rsidP="00E02EC9">
      <w:pPr>
        <w:pStyle w:val="NoSpacing"/>
        <w:rPr>
          <w:b/>
          <w:sz w:val="24"/>
          <w:szCs w:val="24"/>
        </w:rPr>
      </w:pPr>
    </w:p>
    <w:p w14:paraId="2F298B4F" w14:textId="77777777" w:rsidR="00E02EC9" w:rsidRPr="00305C9C" w:rsidRDefault="00E02EC9" w:rsidP="00E02EC9">
      <w:pPr>
        <w:pStyle w:val="NoSpacing"/>
        <w:rPr>
          <w:b/>
          <w:sz w:val="24"/>
          <w:szCs w:val="24"/>
        </w:rPr>
      </w:pPr>
      <w:r w:rsidRPr="00DC46F8">
        <w:rPr>
          <w:b/>
          <w:sz w:val="24"/>
          <w:szCs w:val="24"/>
        </w:rPr>
        <w:t xml:space="preserve">Period of contract: </w:t>
      </w:r>
      <w:r w:rsidR="00537AFA" w:rsidRPr="00537AFA">
        <w:rPr>
          <w:b/>
          <w:sz w:val="24"/>
          <w:szCs w:val="24"/>
        </w:rPr>
        <w:t>1</w:t>
      </w:r>
      <w:r w:rsidR="00410FB1">
        <w:rPr>
          <w:b/>
          <w:sz w:val="24"/>
          <w:szCs w:val="24"/>
        </w:rPr>
        <w:t xml:space="preserve"> July 2020 </w:t>
      </w:r>
      <w:r w:rsidR="00537AFA" w:rsidRPr="00537AFA">
        <w:rPr>
          <w:b/>
          <w:sz w:val="24"/>
          <w:szCs w:val="24"/>
        </w:rPr>
        <w:t xml:space="preserve">to </w:t>
      </w:r>
      <w:r w:rsidR="00410FB1">
        <w:rPr>
          <w:b/>
          <w:sz w:val="24"/>
          <w:szCs w:val="24"/>
        </w:rPr>
        <w:t>30 June 2022</w:t>
      </w:r>
      <w:r w:rsidR="00537AFA" w:rsidRPr="00537AFA">
        <w:rPr>
          <w:b/>
          <w:sz w:val="24"/>
          <w:szCs w:val="24"/>
        </w:rPr>
        <w:t xml:space="preserve"> with options to extend up to a further 24 months. The total maximum framework period including any extensions will be no more than 48 months</w:t>
      </w:r>
    </w:p>
    <w:p w14:paraId="67D2202D" w14:textId="77777777" w:rsidR="00882116" w:rsidRPr="007013A1" w:rsidRDefault="00C54B86" w:rsidP="00C3260C">
      <w:pPr>
        <w:pStyle w:val="Heading1"/>
      </w:pPr>
      <w:r w:rsidRPr="007013A1">
        <w:t xml:space="preserve">Terms of the Framework and </w:t>
      </w:r>
      <w:r w:rsidR="00882116" w:rsidRPr="007013A1">
        <w:t>Product Specification</w:t>
      </w:r>
    </w:p>
    <w:p w14:paraId="03294D52" w14:textId="77777777" w:rsidR="00401207" w:rsidRDefault="007C4CAE" w:rsidP="00C54B86">
      <w:pPr>
        <w:pStyle w:val="Heading2"/>
      </w:pPr>
      <w:r>
        <w:t>The</w:t>
      </w:r>
      <w:r w:rsidR="00C76D22" w:rsidRPr="007013A1">
        <w:t xml:space="preserve"> </w:t>
      </w:r>
      <w:r>
        <w:t>framework</w:t>
      </w:r>
      <w:r w:rsidR="00C76D22" w:rsidRPr="007013A1">
        <w:t xml:space="preserve"> will cover the supply of products</w:t>
      </w:r>
      <w:r w:rsidR="00F043A0">
        <w:t xml:space="preserve"> </w:t>
      </w:r>
      <w:r>
        <w:t xml:space="preserve">for the treatment of </w:t>
      </w:r>
      <w:r w:rsidR="00537AFA">
        <w:t xml:space="preserve">Haemophilia </w:t>
      </w:r>
      <w:r w:rsidR="00410FB1">
        <w:t>A</w:t>
      </w:r>
      <w:r w:rsidR="00537AFA">
        <w:t xml:space="preserve">. </w:t>
      </w:r>
    </w:p>
    <w:p w14:paraId="6287F6A3" w14:textId="77777777" w:rsidR="00774C6E" w:rsidRDefault="00537AFA" w:rsidP="00C54B86">
      <w:pPr>
        <w:pStyle w:val="Heading2"/>
      </w:pPr>
      <w:r>
        <w:t>The</w:t>
      </w:r>
      <w:r w:rsidR="00774C6E" w:rsidRPr="007013A1">
        <w:t xml:space="preserve"> framework</w:t>
      </w:r>
      <w:r w:rsidR="00774C6E">
        <w:t xml:space="preserve"> agreement </w:t>
      </w:r>
      <w:r w:rsidR="00ED6AD1">
        <w:t>will cover</w:t>
      </w:r>
      <w:r w:rsidR="00774C6E">
        <w:t xml:space="preserve"> England, Northern Ireland, Scotland and Wales.</w:t>
      </w:r>
    </w:p>
    <w:p w14:paraId="150DBFBC" w14:textId="77777777" w:rsidR="00C54B86" w:rsidRDefault="00C54B86" w:rsidP="00C54B86">
      <w:pPr>
        <w:pStyle w:val="Heading2"/>
      </w:pPr>
      <w:r w:rsidRPr="003B6EAA">
        <w:t xml:space="preserve">The length of this framework is </w:t>
      </w:r>
      <w:r w:rsidR="00A1198B">
        <w:t>2</w:t>
      </w:r>
      <w:r w:rsidR="00537AFA">
        <w:t>4</w:t>
      </w:r>
      <w:r w:rsidRPr="003B6EAA">
        <w:t xml:space="preserve"> months with options to extend up to a further </w:t>
      </w:r>
      <w:r w:rsidR="00537AFA">
        <w:t>24</w:t>
      </w:r>
      <w:r w:rsidRPr="003B6EAA">
        <w:t xml:space="preserve"> months. The total maximum framework agreement period including extensions will be no more than </w:t>
      </w:r>
      <w:r w:rsidR="00774C6E">
        <w:t>48</w:t>
      </w:r>
      <w:r w:rsidRPr="003B6EAA">
        <w:t xml:space="preserve"> months.</w:t>
      </w:r>
    </w:p>
    <w:p w14:paraId="4B8144B8" w14:textId="33A2D077" w:rsidR="00F826FF" w:rsidRPr="00AD0D72" w:rsidRDefault="00254766" w:rsidP="00971EF7">
      <w:pPr>
        <w:pStyle w:val="Heading2"/>
      </w:pPr>
      <w:bookmarkStart w:id="0" w:name="_Hlk31961322"/>
      <w:r w:rsidRPr="00AD0D72">
        <w:t xml:space="preserve">This framework is split into four lots. </w:t>
      </w:r>
      <w:r w:rsidR="0004125F" w:rsidRPr="00AD0D72">
        <w:t>Volumes and patient numbers</w:t>
      </w:r>
      <w:r w:rsidR="00537AFA" w:rsidRPr="00AD0D72">
        <w:t xml:space="preserve"> </w:t>
      </w:r>
      <w:r w:rsidR="000040D2" w:rsidRPr="00AD0D72">
        <w:t>for Lot</w:t>
      </w:r>
      <w:r w:rsidR="0004125F" w:rsidRPr="00AD0D72">
        <w:t xml:space="preserve"> 1, 2 and 3</w:t>
      </w:r>
      <w:r w:rsidR="000040D2" w:rsidRPr="00AD0D72">
        <w:t xml:space="preserve"> have been taken from the UKHCDO </w:t>
      </w:r>
      <w:r w:rsidR="00971EF7" w:rsidRPr="00AD0D72">
        <w:t>Annual Report 2019</w:t>
      </w:r>
      <w:r w:rsidR="0042572A" w:rsidRPr="00AD0D72">
        <w:rPr>
          <w:rStyle w:val="FootnoteReference"/>
        </w:rPr>
        <w:footnoteReference w:id="1"/>
      </w:r>
      <w:r w:rsidR="0004125F" w:rsidRPr="00AD0D72">
        <w:t xml:space="preserve">. For Lot 4 the annual forecasted figures </w:t>
      </w:r>
      <w:r w:rsidR="00AD0D72" w:rsidRPr="00AD0D72">
        <w:t>have</w:t>
      </w:r>
      <w:r w:rsidR="0004125F" w:rsidRPr="00AD0D72">
        <w:t xml:space="preserve"> be</w:t>
      </w:r>
      <w:r w:rsidR="00971EF7">
        <w:t>en</w:t>
      </w:r>
      <w:r w:rsidR="0004125F" w:rsidRPr="00AD0D72">
        <w:t xml:space="preserve"> predicted. See</w:t>
      </w:r>
      <w:r w:rsidR="000040D2" w:rsidRPr="00AD0D72">
        <w:t xml:space="preserve"> </w:t>
      </w:r>
      <w:r w:rsidR="00F826FF" w:rsidRPr="00AD0D72">
        <w:t>T</w:t>
      </w:r>
      <w:r w:rsidR="000040D2" w:rsidRPr="00AD0D72">
        <w:t>able</w:t>
      </w:r>
      <w:r w:rsidR="00F826FF" w:rsidRPr="00AD0D72">
        <w:t xml:space="preserve"> 1</w:t>
      </w:r>
      <w:r w:rsidR="000040D2" w:rsidRPr="00AD0D72">
        <w:t xml:space="preserve"> below</w:t>
      </w:r>
      <w:r w:rsidR="0004125F" w:rsidRPr="00AD0D72">
        <w:t xml:space="preserve"> for details</w:t>
      </w:r>
      <w:r w:rsidR="00537AFA" w:rsidRPr="00AD0D72">
        <w:t>.</w:t>
      </w:r>
      <w:r w:rsidR="000040D2" w:rsidRPr="00AD0D72">
        <w:t xml:space="preserve"> </w:t>
      </w:r>
    </w:p>
    <w:p w14:paraId="3936343D" w14:textId="77777777" w:rsidR="00254766" w:rsidRPr="00254766" w:rsidRDefault="00254766" w:rsidP="00254766">
      <w:pPr>
        <w:rPr>
          <w:highlight w:val="cyan"/>
        </w:rPr>
      </w:pPr>
    </w:p>
    <w:p w14:paraId="6F7EE97D" w14:textId="77777777" w:rsidR="009663CB" w:rsidRDefault="00F826FF" w:rsidP="00F826FF">
      <w:pPr>
        <w:ind w:firstLine="576"/>
      </w:pPr>
      <w:r>
        <w:t>Table 1:</w:t>
      </w:r>
    </w:p>
    <w:tbl>
      <w:tblPr>
        <w:tblStyle w:val="TableGrid"/>
        <w:tblW w:w="0" w:type="auto"/>
        <w:tblInd w:w="562" w:type="dxa"/>
        <w:tblLook w:val="04A0" w:firstRow="1" w:lastRow="0" w:firstColumn="1" w:lastColumn="0" w:noHBand="0" w:noVBand="1"/>
      </w:tblPr>
      <w:tblGrid>
        <w:gridCol w:w="559"/>
        <w:gridCol w:w="3629"/>
        <w:gridCol w:w="1109"/>
        <w:gridCol w:w="1513"/>
        <w:gridCol w:w="1644"/>
      </w:tblGrid>
      <w:tr w:rsidR="0042572A" w14:paraId="358028A2" w14:textId="77777777" w:rsidTr="0004125F">
        <w:tc>
          <w:tcPr>
            <w:tcW w:w="559" w:type="dxa"/>
            <w:tcBorders>
              <w:top w:val="single" w:sz="4" w:space="0" w:color="auto"/>
              <w:left w:val="single" w:sz="4" w:space="0" w:color="auto"/>
              <w:bottom w:val="single" w:sz="4" w:space="0" w:color="auto"/>
              <w:right w:val="single" w:sz="4" w:space="0" w:color="auto"/>
            </w:tcBorders>
            <w:hideMark/>
          </w:tcPr>
          <w:p w14:paraId="72D05EBD" w14:textId="77777777" w:rsidR="00C351B0" w:rsidRDefault="00C351B0">
            <w:pPr>
              <w:jc w:val="center"/>
              <w:rPr>
                <w:b/>
                <w:szCs w:val="22"/>
              </w:rPr>
            </w:pPr>
            <w:bookmarkStart w:id="1" w:name="_Hlk24543216"/>
            <w:r>
              <w:rPr>
                <w:b/>
              </w:rPr>
              <w:t xml:space="preserve">Lot </w:t>
            </w:r>
          </w:p>
        </w:tc>
        <w:tc>
          <w:tcPr>
            <w:tcW w:w="3629" w:type="dxa"/>
            <w:tcBorders>
              <w:top w:val="single" w:sz="4" w:space="0" w:color="auto"/>
              <w:left w:val="single" w:sz="4" w:space="0" w:color="auto"/>
              <w:bottom w:val="single" w:sz="4" w:space="0" w:color="auto"/>
              <w:right w:val="single" w:sz="4" w:space="0" w:color="auto"/>
            </w:tcBorders>
            <w:hideMark/>
          </w:tcPr>
          <w:p w14:paraId="3ECF5C17" w14:textId="77777777" w:rsidR="00C351B0" w:rsidRDefault="00C351B0">
            <w:pPr>
              <w:jc w:val="center"/>
              <w:rPr>
                <w:b/>
                <w:szCs w:val="22"/>
              </w:rPr>
            </w:pPr>
            <w:r>
              <w:rPr>
                <w:b/>
              </w:rPr>
              <w:t>Product Area</w:t>
            </w:r>
          </w:p>
        </w:tc>
        <w:tc>
          <w:tcPr>
            <w:tcW w:w="1109" w:type="dxa"/>
            <w:tcBorders>
              <w:top w:val="single" w:sz="4" w:space="0" w:color="auto"/>
              <w:left w:val="single" w:sz="4" w:space="0" w:color="auto"/>
              <w:bottom w:val="single" w:sz="4" w:space="0" w:color="auto"/>
              <w:right w:val="single" w:sz="4" w:space="0" w:color="auto"/>
            </w:tcBorders>
          </w:tcPr>
          <w:p w14:paraId="340CB9B2" w14:textId="77777777" w:rsidR="00C351B0" w:rsidRPr="00410FB1" w:rsidRDefault="00C351B0">
            <w:pPr>
              <w:jc w:val="center"/>
              <w:rPr>
                <w:b/>
                <w:highlight w:val="yellow"/>
              </w:rPr>
            </w:pPr>
            <w:r w:rsidRPr="00410FB1">
              <w:rPr>
                <w:b/>
              </w:rPr>
              <w:t>Unit of Measure</w:t>
            </w:r>
          </w:p>
        </w:tc>
        <w:tc>
          <w:tcPr>
            <w:tcW w:w="1513" w:type="dxa"/>
            <w:tcBorders>
              <w:top w:val="single" w:sz="4" w:space="0" w:color="auto"/>
              <w:left w:val="single" w:sz="4" w:space="0" w:color="auto"/>
              <w:bottom w:val="single" w:sz="4" w:space="0" w:color="auto"/>
              <w:right w:val="single" w:sz="4" w:space="0" w:color="auto"/>
            </w:tcBorders>
            <w:hideMark/>
          </w:tcPr>
          <w:p w14:paraId="673CA53F" w14:textId="08243CC0" w:rsidR="00C351B0" w:rsidRPr="0004125F" w:rsidRDefault="0042572A">
            <w:pPr>
              <w:jc w:val="center"/>
              <w:rPr>
                <w:b/>
                <w:szCs w:val="22"/>
              </w:rPr>
            </w:pPr>
            <w:r w:rsidRPr="0004125F">
              <w:rPr>
                <w:b/>
              </w:rPr>
              <w:t>Apr</w:t>
            </w:r>
            <w:r w:rsidR="00971EF7">
              <w:rPr>
                <w:b/>
              </w:rPr>
              <w:t xml:space="preserve"> </w:t>
            </w:r>
            <w:r w:rsidRPr="0004125F">
              <w:rPr>
                <w:b/>
              </w:rPr>
              <w:t xml:space="preserve">2018 </w:t>
            </w:r>
            <w:r w:rsidR="00971EF7">
              <w:rPr>
                <w:b/>
              </w:rPr>
              <w:t>–</w:t>
            </w:r>
            <w:r w:rsidRPr="0004125F">
              <w:rPr>
                <w:b/>
              </w:rPr>
              <w:t>Mar</w:t>
            </w:r>
            <w:r w:rsidR="00971EF7">
              <w:rPr>
                <w:b/>
              </w:rPr>
              <w:t xml:space="preserve"> </w:t>
            </w:r>
            <w:r w:rsidRPr="0004125F">
              <w:rPr>
                <w:b/>
              </w:rPr>
              <w:t xml:space="preserve">2019 </w:t>
            </w:r>
            <w:r w:rsidR="00C351B0" w:rsidRPr="0004125F">
              <w:rPr>
                <w:b/>
              </w:rPr>
              <w:t>Volume</w:t>
            </w:r>
          </w:p>
        </w:tc>
        <w:tc>
          <w:tcPr>
            <w:tcW w:w="1644" w:type="dxa"/>
            <w:tcBorders>
              <w:top w:val="single" w:sz="4" w:space="0" w:color="auto"/>
              <w:left w:val="single" w:sz="4" w:space="0" w:color="auto"/>
              <w:bottom w:val="single" w:sz="4" w:space="0" w:color="auto"/>
              <w:right w:val="single" w:sz="4" w:space="0" w:color="auto"/>
            </w:tcBorders>
          </w:tcPr>
          <w:p w14:paraId="1C9C5BF3" w14:textId="713B4B38" w:rsidR="00C351B0" w:rsidRPr="0004125F" w:rsidRDefault="0042572A">
            <w:pPr>
              <w:jc w:val="center"/>
              <w:rPr>
                <w:b/>
              </w:rPr>
            </w:pPr>
            <w:r w:rsidRPr="0004125F">
              <w:rPr>
                <w:b/>
              </w:rPr>
              <w:t>Apr</w:t>
            </w:r>
            <w:r w:rsidR="00971EF7">
              <w:rPr>
                <w:b/>
              </w:rPr>
              <w:t xml:space="preserve"> </w:t>
            </w:r>
            <w:r w:rsidRPr="0004125F">
              <w:rPr>
                <w:b/>
              </w:rPr>
              <w:t xml:space="preserve">2018 </w:t>
            </w:r>
            <w:r w:rsidR="00971EF7">
              <w:rPr>
                <w:b/>
              </w:rPr>
              <w:t>–</w:t>
            </w:r>
            <w:r w:rsidRPr="0004125F">
              <w:rPr>
                <w:b/>
              </w:rPr>
              <w:t xml:space="preserve"> Mar</w:t>
            </w:r>
            <w:r w:rsidR="00971EF7">
              <w:rPr>
                <w:b/>
              </w:rPr>
              <w:t xml:space="preserve"> </w:t>
            </w:r>
            <w:r w:rsidRPr="0004125F">
              <w:rPr>
                <w:b/>
              </w:rPr>
              <w:t>2019</w:t>
            </w:r>
            <w:r w:rsidR="00C351B0" w:rsidRPr="0004125F">
              <w:rPr>
                <w:b/>
              </w:rPr>
              <w:t xml:space="preserve"> Patient Numbers</w:t>
            </w:r>
          </w:p>
        </w:tc>
      </w:tr>
      <w:tr w:rsidR="0042572A" w14:paraId="12CA587E" w14:textId="77777777" w:rsidTr="0004125F">
        <w:tc>
          <w:tcPr>
            <w:tcW w:w="559" w:type="dxa"/>
            <w:tcBorders>
              <w:top w:val="single" w:sz="4" w:space="0" w:color="auto"/>
              <w:left w:val="single" w:sz="4" w:space="0" w:color="auto"/>
              <w:bottom w:val="single" w:sz="4" w:space="0" w:color="auto"/>
              <w:right w:val="single" w:sz="4" w:space="0" w:color="auto"/>
            </w:tcBorders>
          </w:tcPr>
          <w:p w14:paraId="10A3A0E7" w14:textId="77777777" w:rsidR="00C351B0" w:rsidRPr="00237A9D" w:rsidRDefault="00C351B0" w:rsidP="00237A9D">
            <w:pPr>
              <w:jc w:val="center"/>
              <w:rPr>
                <w:szCs w:val="22"/>
              </w:rPr>
            </w:pPr>
            <w:r>
              <w:rPr>
                <w:szCs w:val="22"/>
              </w:rPr>
              <w:t>1</w:t>
            </w:r>
          </w:p>
        </w:tc>
        <w:tc>
          <w:tcPr>
            <w:tcW w:w="3629" w:type="dxa"/>
            <w:tcBorders>
              <w:top w:val="single" w:sz="4" w:space="0" w:color="auto"/>
              <w:left w:val="single" w:sz="4" w:space="0" w:color="auto"/>
              <w:bottom w:val="single" w:sz="4" w:space="0" w:color="auto"/>
              <w:right w:val="single" w:sz="4" w:space="0" w:color="auto"/>
            </w:tcBorders>
          </w:tcPr>
          <w:p w14:paraId="70606D6B" w14:textId="77777777" w:rsidR="00C351B0" w:rsidRPr="00237A9D" w:rsidRDefault="00C351B0" w:rsidP="00237A9D">
            <w:pPr>
              <w:jc w:val="center"/>
              <w:rPr>
                <w:szCs w:val="22"/>
              </w:rPr>
            </w:pPr>
            <w:r>
              <w:rPr>
                <w:szCs w:val="22"/>
              </w:rPr>
              <w:t>Plasma Derived Factor VIII</w:t>
            </w:r>
          </w:p>
        </w:tc>
        <w:tc>
          <w:tcPr>
            <w:tcW w:w="1109" w:type="dxa"/>
            <w:tcBorders>
              <w:top w:val="single" w:sz="4" w:space="0" w:color="auto"/>
              <w:left w:val="single" w:sz="4" w:space="0" w:color="auto"/>
              <w:bottom w:val="single" w:sz="4" w:space="0" w:color="auto"/>
              <w:right w:val="single" w:sz="4" w:space="0" w:color="auto"/>
            </w:tcBorders>
          </w:tcPr>
          <w:p w14:paraId="3E52A838" w14:textId="77777777" w:rsidR="00C351B0" w:rsidRPr="00237A9D" w:rsidRDefault="00C351B0" w:rsidP="00237A9D">
            <w:pPr>
              <w:jc w:val="center"/>
              <w:rPr>
                <w:szCs w:val="22"/>
              </w:rPr>
            </w:pPr>
            <w:r>
              <w:rPr>
                <w:szCs w:val="22"/>
              </w:rPr>
              <w:t>IU</w:t>
            </w:r>
          </w:p>
        </w:tc>
        <w:tc>
          <w:tcPr>
            <w:tcW w:w="1513" w:type="dxa"/>
            <w:tcBorders>
              <w:top w:val="single" w:sz="4" w:space="0" w:color="auto"/>
              <w:left w:val="single" w:sz="4" w:space="0" w:color="auto"/>
              <w:bottom w:val="single" w:sz="4" w:space="0" w:color="auto"/>
              <w:right w:val="single" w:sz="4" w:space="0" w:color="auto"/>
            </w:tcBorders>
          </w:tcPr>
          <w:p w14:paraId="040C3A0C" w14:textId="77777777" w:rsidR="00C351B0" w:rsidRPr="00ED4DA1" w:rsidRDefault="00C351B0" w:rsidP="00163E30">
            <w:pPr>
              <w:jc w:val="right"/>
              <w:rPr>
                <w:szCs w:val="22"/>
              </w:rPr>
            </w:pPr>
            <w:r w:rsidRPr="00ED4DA1">
              <w:rPr>
                <w:szCs w:val="22"/>
              </w:rPr>
              <w:t>1</w:t>
            </w:r>
            <w:r w:rsidR="0042572A" w:rsidRPr="00ED4DA1">
              <w:rPr>
                <w:szCs w:val="22"/>
              </w:rPr>
              <w:t>2</w:t>
            </w:r>
            <w:r w:rsidRPr="00ED4DA1">
              <w:rPr>
                <w:szCs w:val="22"/>
              </w:rPr>
              <w:t>,</w:t>
            </w:r>
            <w:r w:rsidR="0042572A" w:rsidRPr="00ED4DA1">
              <w:rPr>
                <w:szCs w:val="22"/>
              </w:rPr>
              <w:t>887</w:t>
            </w:r>
            <w:r w:rsidRPr="00ED4DA1">
              <w:rPr>
                <w:szCs w:val="22"/>
              </w:rPr>
              <w:t>,</w:t>
            </w:r>
            <w:r w:rsidR="0042572A" w:rsidRPr="00ED4DA1">
              <w:rPr>
                <w:szCs w:val="22"/>
              </w:rPr>
              <w:t>38</w:t>
            </w:r>
            <w:r w:rsidRPr="00ED4DA1">
              <w:rPr>
                <w:szCs w:val="22"/>
              </w:rPr>
              <w:t>0</w:t>
            </w:r>
          </w:p>
        </w:tc>
        <w:tc>
          <w:tcPr>
            <w:tcW w:w="1644" w:type="dxa"/>
            <w:tcBorders>
              <w:top w:val="single" w:sz="4" w:space="0" w:color="auto"/>
              <w:left w:val="single" w:sz="4" w:space="0" w:color="auto"/>
              <w:bottom w:val="single" w:sz="4" w:space="0" w:color="auto"/>
              <w:right w:val="single" w:sz="4" w:space="0" w:color="auto"/>
            </w:tcBorders>
          </w:tcPr>
          <w:p w14:paraId="641B9FB2" w14:textId="77777777" w:rsidR="00C351B0" w:rsidRPr="00ED4DA1" w:rsidRDefault="0042572A" w:rsidP="00163E30">
            <w:pPr>
              <w:jc w:val="right"/>
              <w:rPr>
                <w:szCs w:val="22"/>
              </w:rPr>
            </w:pPr>
            <w:r w:rsidRPr="00ED4DA1">
              <w:rPr>
                <w:szCs w:val="22"/>
              </w:rPr>
              <w:t>31</w:t>
            </w:r>
          </w:p>
        </w:tc>
      </w:tr>
      <w:tr w:rsidR="0042572A" w14:paraId="731DBEB2" w14:textId="77777777" w:rsidTr="0004125F">
        <w:tc>
          <w:tcPr>
            <w:tcW w:w="559" w:type="dxa"/>
            <w:tcBorders>
              <w:top w:val="single" w:sz="4" w:space="0" w:color="auto"/>
              <w:left w:val="single" w:sz="4" w:space="0" w:color="auto"/>
              <w:bottom w:val="single" w:sz="4" w:space="0" w:color="auto"/>
              <w:right w:val="single" w:sz="4" w:space="0" w:color="auto"/>
            </w:tcBorders>
          </w:tcPr>
          <w:p w14:paraId="77B191AB" w14:textId="77777777" w:rsidR="00C351B0" w:rsidRDefault="00C351B0" w:rsidP="00237A9D">
            <w:pPr>
              <w:jc w:val="center"/>
              <w:rPr>
                <w:rFonts w:cs="Arial"/>
                <w:bCs/>
                <w:color w:val="000000"/>
              </w:rPr>
            </w:pPr>
            <w:r>
              <w:rPr>
                <w:rFonts w:cs="Arial"/>
                <w:bCs/>
                <w:color w:val="000000"/>
              </w:rPr>
              <w:t>2</w:t>
            </w:r>
          </w:p>
        </w:tc>
        <w:tc>
          <w:tcPr>
            <w:tcW w:w="3629" w:type="dxa"/>
            <w:tcBorders>
              <w:top w:val="single" w:sz="4" w:space="0" w:color="auto"/>
              <w:left w:val="single" w:sz="4" w:space="0" w:color="auto"/>
              <w:bottom w:val="single" w:sz="4" w:space="0" w:color="auto"/>
              <w:right w:val="single" w:sz="4" w:space="0" w:color="auto"/>
            </w:tcBorders>
          </w:tcPr>
          <w:p w14:paraId="722E3A4A" w14:textId="77777777" w:rsidR="00C351B0" w:rsidRDefault="00C351B0" w:rsidP="00237A9D">
            <w:pPr>
              <w:jc w:val="center"/>
              <w:rPr>
                <w:rFonts w:cs="Arial"/>
                <w:bCs/>
                <w:color w:val="000000"/>
              </w:rPr>
            </w:pPr>
            <w:r>
              <w:rPr>
                <w:rFonts w:cs="Arial"/>
                <w:bCs/>
                <w:color w:val="000000"/>
              </w:rPr>
              <w:t>Standard Half-life Recombinant Factor VIII</w:t>
            </w:r>
          </w:p>
        </w:tc>
        <w:tc>
          <w:tcPr>
            <w:tcW w:w="1109" w:type="dxa"/>
            <w:tcBorders>
              <w:top w:val="single" w:sz="4" w:space="0" w:color="auto"/>
              <w:left w:val="single" w:sz="4" w:space="0" w:color="auto"/>
              <w:bottom w:val="single" w:sz="4" w:space="0" w:color="auto"/>
              <w:right w:val="single" w:sz="4" w:space="0" w:color="auto"/>
            </w:tcBorders>
          </w:tcPr>
          <w:p w14:paraId="727F1BBF" w14:textId="77777777" w:rsidR="00C351B0" w:rsidRDefault="00C351B0" w:rsidP="00237A9D">
            <w:pPr>
              <w:jc w:val="center"/>
              <w:rPr>
                <w:rFonts w:cs="Arial"/>
                <w:bCs/>
                <w:color w:val="000000"/>
              </w:rPr>
            </w:pPr>
            <w:r>
              <w:rPr>
                <w:rFonts w:cs="Arial"/>
                <w:bCs/>
                <w:color w:val="000000"/>
              </w:rPr>
              <w:t>IU</w:t>
            </w:r>
          </w:p>
        </w:tc>
        <w:tc>
          <w:tcPr>
            <w:tcW w:w="1513" w:type="dxa"/>
            <w:tcBorders>
              <w:top w:val="single" w:sz="4" w:space="0" w:color="auto"/>
              <w:left w:val="single" w:sz="4" w:space="0" w:color="auto"/>
              <w:bottom w:val="single" w:sz="4" w:space="0" w:color="auto"/>
              <w:right w:val="single" w:sz="4" w:space="0" w:color="auto"/>
            </w:tcBorders>
          </w:tcPr>
          <w:p w14:paraId="115859C3" w14:textId="77777777" w:rsidR="00C351B0" w:rsidRPr="00ED4DA1" w:rsidRDefault="00C351B0" w:rsidP="00163E30">
            <w:pPr>
              <w:jc w:val="right"/>
              <w:rPr>
                <w:rFonts w:cs="Arial"/>
                <w:bCs/>
                <w:color w:val="000000"/>
              </w:rPr>
            </w:pPr>
            <w:r w:rsidRPr="00ED4DA1">
              <w:rPr>
                <w:rFonts w:cs="Arial"/>
                <w:bCs/>
                <w:color w:val="000000"/>
              </w:rPr>
              <w:t>4</w:t>
            </w:r>
            <w:r w:rsidR="0042572A" w:rsidRPr="00ED4DA1">
              <w:rPr>
                <w:rFonts w:cs="Arial"/>
                <w:bCs/>
                <w:color w:val="000000"/>
              </w:rPr>
              <w:t>87</w:t>
            </w:r>
            <w:r w:rsidRPr="00ED4DA1">
              <w:rPr>
                <w:rFonts w:cs="Arial"/>
                <w:bCs/>
                <w:color w:val="000000"/>
              </w:rPr>
              <w:t>,</w:t>
            </w:r>
            <w:r w:rsidR="0042572A" w:rsidRPr="00ED4DA1">
              <w:rPr>
                <w:rFonts w:cs="Arial"/>
                <w:bCs/>
                <w:color w:val="000000"/>
              </w:rPr>
              <w:t>248</w:t>
            </w:r>
            <w:r w:rsidRPr="00ED4DA1">
              <w:rPr>
                <w:rFonts w:cs="Arial"/>
                <w:bCs/>
                <w:color w:val="000000"/>
              </w:rPr>
              <w:t>,</w:t>
            </w:r>
            <w:r w:rsidR="0042572A" w:rsidRPr="00ED4DA1">
              <w:rPr>
                <w:rFonts w:cs="Arial"/>
                <w:bCs/>
                <w:color w:val="000000"/>
              </w:rPr>
              <w:t>114</w:t>
            </w:r>
          </w:p>
        </w:tc>
        <w:tc>
          <w:tcPr>
            <w:tcW w:w="1644" w:type="dxa"/>
            <w:tcBorders>
              <w:top w:val="single" w:sz="4" w:space="0" w:color="auto"/>
              <w:left w:val="single" w:sz="4" w:space="0" w:color="auto"/>
              <w:bottom w:val="single" w:sz="4" w:space="0" w:color="auto"/>
              <w:right w:val="single" w:sz="4" w:space="0" w:color="auto"/>
            </w:tcBorders>
          </w:tcPr>
          <w:p w14:paraId="05784C8F" w14:textId="77777777" w:rsidR="00C351B0" w:rsidRPr="00ED4DA1" w:rsidRDefault="0042572A" w:rsidP="00163E30">
            <w:pPr>
              <w:jc w:val="right"/>
              <w:rPr>
                <w:rFonts w:cs="Arial"/>
                <w:bCs/>
                <w:color w:val="000000"/>
              </w:rPr>
            </w:pPr>
            <w:r w:rsidRPr="00ED4DA1">
              <w:rPr>
                <w:rFonts w:cs="Arial"/>
                <w:bCs/>
                <w:color w:val="000000"/>
              </w:rPr>
              <w:t>2376</w:t>
            </w:r>
          </w:p>
        </w:tc>
      </w:tr>
      <w:tr w:rsidR="0042572A" w14:paraId="68D285AA" w14:textId="77777777" w:rsidTr="0004125F">
        <w:tc>
          <w:tcPr>
            <w:tcW w:w="559" w:type="dxa"/>
            <w:tcBorders>
              <w:top w:val="single" w:sz="4" w:space="0" w:color="auto"/>
              <w:left w:val="single" w:sz="4" w:space="0" w:color="auto"/>
              <w:bottom w:val="single" w:sz="4" w:space="0" w:color="auto"/>
              <w:right w:val="single" w:sz="4" w:space="0" w:color="auto"/>
            </w:tcBorders>
          </w:tcPr>
          <w:p w14:paraId="5729AE12" w14:textId="77777777" w:rsidR="00C351B0" w:rsidRDefault="00C351B0" w:rsidP="00237A9D">
            <w:pPr>
              <w:jc w:val="center"/>
              <w:rPr>
                <w:rFonts w:cs="Arial"/>
                <w:bCs/>
                <w:color w:val="000000"/>
              </w:rPr>
            </w:pPr>
            <w:r>
              <w:rPr>
                <w:rFonts w:cs="Arial"/>
                <w:bCs/>
                <w:color w:val="000000"/>
              </w:rPr>
              <w:t>3</w:t>
            </w:r>
          </w:p>
        </w:tc>
        <w:tc>
          <w:tcPr>
            <w:tcW w:w="3629" w:type="dxa"/>
            <w:tcBorders>
              <w:top w:val="single" w:sz="4" w:space="0" w:color="auto"/>
              <w:left w:val="single" w:sz="4" w:space="0" w:color="auto"/>
              <w:bottom w:val="single" w:sz="4" w:space="0" w:color="auto"/>
              <w:right w:val="single" w:sz="4" w:space="0" w:color="auto"/>
            </w:tcBorders>
          </w:tcPr>
          <w:p w14:paraId="7507C8AB" w14:textId="77777777" w:rsidR="00C351B0" w:rsidRDefault="00C351B0" w:rsidP="00237A9D">
            <w:pPr>
              <w:jc w:val="center"/>
              <w:rPr>
                <w:rFonts w:cs="Arial"/>
                <w:bCs/>
                <w:color w:val="000000"/>
              </w:rPr>
            </w:pPr>
            <w:r>
              <w:rPr>
                <w:rFonts w:cs="Arial"/>
                <w:bCs/>
                <w:color w:val="000000"/>
              </w:rPr>
              <w:t>Enhanced Half-life Recombinant Factor VIII</w:t>
            </w:r>
          </w:p>
        </w:tc>
        <w:tc>
          <w:tcPr>
            <w:tcW w:w="1109" w:type="dxa"/>
            <w:tcBorders>
              <w:top w:val="single" w:sz="4" w:space="0" w:color="auto"/>
              <w:left w:val="single" w:sz="4" w:space="0" w:color="auto"/>
              <w:bottom w:val="single" w:sz="4" w:space="0" w:color="auto"/>
              <w:right w:val="single" w:sz="4" w:space="0" w:color="auto"/>
            </w:tcBorders>
          </w:tcPr>
          <w:p w14:paraId="46AA4A0C" w14:textId="77777777" w:rsidR="00C351B0" w:rsidRDefault="00C351B0" w:rsidP="00237A9D">
            <w:pPr>
              <w:jc w:val="center"/>
              <w:rPr>
                <w:rFonts w:cs="Arial"/>
                <w:bCs/>
                <w:color w:val="000000"/>
              </w:rPr>
            </w:pPr>
            <w:r>
              <w:rPr>
                <w:rFonts w:cs="Arial"/>
                <w:bCs/>
                <w:color w:val="000000"/>
              </w:rPr>
              <w:t>IU</w:t>
            </w:r>
          </w:p>
        </w:tc>
        <w:tc>
          <w:tcPr>
            <w:tcW w:w="1513" w:type="dxa"/>
            <w:tcBorders>
              <w:top w:val="single" w:sz="4" w:space="0" w:color="auto"/>
              <w:left w:val="single" w:sz="4" w:space="0" w:color="auto"/>
              <w:bottom w:val="single" w:sz="4" w:space="0" w:color="auto"/>
              <w:right w:val="single" w:sz="4" w:space="0" w:color="auto"/>
            </w:tcBorders>
          </w:tcPr>
          <w:p w14:paraId="0DE78701" w14:textId="77777777" w:rsidR="00C351B0" w:rsidRPr="00ED4DA1" w:rsidRDefault="00C351B0" w:rsidP="00163E30">
            <w:pPr>
              <w:jc w:val="right"/>
              <w:rPr>
                <w:rFonts w:cs="Arial"/>
                <w:bCs/>
                <w:color w:val="000000"/>
              </w:rPr>
            </w:pPr>
            <w:r w:rsidRPr="00ED4DA1">
              <w:rPr>
                <w:rFonts w:cs="Arial"/>
                <w:bCs/>
                <w:color w:val="000000"/>
              </w:rPr>
              <w:t>9</w:t>
            </w:r>
            <w:r w:rsidR="0042572A" w:rsidRPr="00ED4DA1">
              <w:rPr>
                <w:rFonts w:cs="Arial"/>
                <w:bCs/>
                <w:color w:val="000000"/>
              </w:rPr>
              <w:t>3</w:t>
            </w:r>
            <w:r w:rsidRPr="00ED4DA1">
              <w:rPr>
                <w:rFonts w:cs="Arial"/>
                <w:bCs/>
                <w:color w:val="000000"/>
              </w:rPr>
              <w:t>,</w:t>
            </w:r>
            <w:r w:rsidR="0042572A" w:rsidRPr="00ED4DA1">
              <w:rPr>
                <w:rFonts w:cs="Arial"/>
                <w:bCs/>
                <w:color w:val="000000"/>
              </w:rPr>
              <w:t>965,778</w:t>
            </w:r>
          </w:p>
        </w:tc>
        <w:tc>
          <w:tcPr>
            <w:tcW w:w="1644" w:type="dxa"/>
            <w:tcBorders>
              <w:top w:val="single" w:sz="4" w:space="0" w:color="auto"/>
              <w:left w:val="single" w:sz="4" w:space="0" w:color="auto"/>
              <w:bottom w:val="single" w:sz="4" w:space="0" w:color="auto"/>
              <w:right w:val="single" w:sz="4" w:space="0" w:color="auto"/>
            </w:tcBorders>
          </w:tcPr>
          <w:p w14:paraId="0632E046" w14:textId="77777777" w:rsidR="00C351B0" w:rsidRPr="00ED4DA1" w:rsidRDefault="0042572A" w:rsidP="00163E30">
            <w:pPr>
              <w:jc w:val="right"/>
              <w:rPr>
                <w:rFonts w:cs="Arial"/>
                <w:bCs/>
                <w:color w:val="000000"/>
              </w:rPr>
            </w:pPr>
            <w:r w:rsidRPr="00ED4DA1">
              <w:rPr>
                <w:rFonts w:cs="Arial"/>
                <w:bCs/>
                <w:color w:val="000000"/>
              </w:rPr>
              <w:t>408</w:t>
            </w:r>
          </w:p>
        </w:tc>
      </w:tr>
      <w:tr w:rsidR="0004125F" w14:paraId="440051CB" w14:textId="77777777" w:rsidTr="0004125F">
        <w:tc>
          <w:tcPr>
            <w:tcW w:w="559" w:type="dxa"/>
            <w:tcBorders>
              <w:top w:val="single" w:sz="4" w:space="0" w:color="auto"/>
              <w:left w:val="single" w:sz="4" w:space="0" w:color="auto"/>
              <w:bottom w:val="single" w:sz="4" w:space="0" w:color="auto"/>
              <w:right w:val="single" w:sz="4" w:space="0" w:color="auto"/>
            </w:tcBorders>
          </w:tcPr>
          <w:p w14:paraId="6F5EB959" w14:textId="77777777" w:rsidR="0004125F" w:rsidRPr="0042572A" w:rsidRDefault="0004125F" w:rsidP="00237A9D">
            <w:pPr>
              <w:jc w:val="center"/>
              <w:rPr>
                <w:rFonts w:cs="Arial"/>
                <w:bCs/>
                <w:color w:val="000000"/>
                <w:highlight w:val="cyan"/>
              </w:rPr>
            </w:pPr>
          </w:p>
        </w:tc>
        <w:tc>
          <w:tcPr>
            <w:tcW w:w="7895" w:type="dxa"/>
            <w:gridSpan w:val="4"/>
            <w:tcBorders>
              <w:top w:val="single" w:sz="4" w:space="0" w:color="auto"/>
              <w:left w:val="single" w:sz="4" w:space="0" w:color="auto"/>
              <w:bottom w:val="single" w:sz="4" w:space="0" w:color="auto"/>
              <w:right w:val="single" w:sz="4" w:space="0" w:color="auto"/>
            </w:tcBorders>
          </w:tcPr>
          <w:p w14:paraId="1FF98F6F" w14:textId="77777777" w:rsidR="0004125F" w:rsidRPr="0004125F" w:rsidRDefault="0004125F" w:rsidP="0004125F">
            <w:pPr>
              <w:jc w:val="center"/>
              <w:rPr>
                <w:rFonts w:cs="Arial"/>
                <w:b/>
                <w:bCs/>
                <w:color w:val="000000"/>
              </w:rPr>
            </w:pPr>
            <w:r w:rsidRPr="0004125F">
              <w:rPr>
                <w:rFonts w:cs="Arial"/>
                <w:b/>
                <w:bCs/>
                <w:color w:val="000000"/>
              </w:rPr>
              <w:t>Forecasted Annual Figure (Haemophilia A Non-Inhibitor Patients)</w:t>
            </w:r>
          </w:p>
        </w:tc>
      </w:tr>
      <w:tr w:rsidR="0042572A" w14:paraId="6B3BC6CC" w14:textId="77777777" w:rsidTr="0004125F">
        <w:tc>
          <w:tcPr>
            <w:tcW w:w="559" w:type="dxa"/>
            <w:tcBorders>
              <w:top w:val="single" w:sz="4" w:space="0" w:color="auto"/>
              <w:left w:val="single" w:sz="4" w:space="0" w:color="auto"/>
              <w:bottom w:val="single" w:sz="4" w:space="0" w:color="auto"/>
              <w:right w:val="single" w:sz="4" w:space="0" w:color="auto"/>
            </w:tcBorders>
          </w:tcPr>
          <w:p w14:paraId="5B4EA2A0" w14:textId="77777777" w:rsidR="00C351B0" w:rsidRPr="0042572A" w:rsidRDefault="00C351B0" w:rsidP="00237A9D">
            <w:pPr>
              <w:jc w:val="center"/>
              <w:rPr>
                <w:rFonts w:cs="Arial"/>
                <w:bCs/>
                <w:color w:val="000000"/>
                <w:highlight w:val="cyan"/>
              </w:rPr>
            </w:pPr>
          </w:p>
        </w:tc>
        <w:tc>
          <w:tcPr>
            <w:tcW w:w="3629" w:type="dxa"/>
            <w:tcBorders>
              <w:top w:val="single" w:sz="4" w:space="0" w:color="auto"/>
              <w:left w:val="single" w:sz="4" w:space="0" w:color="auto"/>
              <w:bottom w:val="single" w:sz="4" w:space="0" w:color="auto"/>
              <w:right w:val="single" w:sz="4" w:space="0" w:color="auto"/>
            </w:tcBorders>
          </w:tcPr>
          <w:p w14:paraId="72C1B1B5" w14:textId="77777777" w:rsidR="00C351B0" w:rsidRPr="0042572A" w:rsidRDefault="00C351B0" w:rsidP="00237A9D">
            <w:pPr>
              <w:jc w:val="center"/>
              <w:rPr>
                <w:rFonts w:cs="Arial"/>
                <w:bCs/>
                <w:color w:val="000000"/>
                <w:highlight w:val="cyan"/>
              </w:rPr>
            </w:pPr>
          </w:p>
        </w:tc>
        <w:tc>
          <w:tcPr>
            <w:tcW w:w="1109" w:type="dxa"/>
            <w:tcBorders>
              <w:top w:val="single" w:sz="4" w:space="0" w:color="auto"/>
              <w:left w:val="single" w:sz="4" w:space="0" w:color="auto"/>
              <w:bottom w:val="single" w:sz="4" w:space="0" w:color="auto"/>
              <w:right w:val="single" w:sz="4" w:space="0" w:color="auto"/>
            </w:tcBorders>
          </w:tcPr>
          <w:p w14:paraId="0BCB67F1" w14:textId="77777777" w:rsidR="00C351B0" w:rsidRPr="0042572A" w:rsidRDefault="00C351B0" w:rsidP="00237A9D">
            <w:pPr>
              <w:jc w:val="center"/>
              <w:rPr>
                <w:rFonts w:cs="Arial"/>
                <w:bCs/>
                <w:color w:val="000000"/>
                <w:highlight w:val="cyan"/>
              </w:rPr>
            </w:pPr>
          </w:p>
        </w:tc>
        <w:tc>
          <w:tcPr>
            <w:tcW w:w="1513" w:type="dxa"/>
            <w:tcBorders>
              <w:top w:val="single" w:sz="4" w:space="0" w:color="auto"/>
              <w:left w:val="single" w:sz="4" w:space="0" w:color="auto"/>
              <w:bottom w:val="single" w:sz="4" w:space="0" w:color="auto"/>
              <w:right w:val="single" w:sz="4" w:space="0" w:color="auto"/>
            </w:tcBorders>
          </w:tcPr>
          <w:p w14:paraId="155F2D58" w14:textId="77777777" w:rsidR="00C351B0" w:rsidRPr="0004125F" w:rsidRDefault="0004125F" w:rsidP="00163E30">
            <w:pPr>
              <w:jc w:val="right"/>
              <w:rPr>
                <w:rFonts w:cs="Arial"/>
                <w:b/>
                <w:bCs/>
                <w:color w:val="000000"/>
              </w:rPr>
            </w:pPr>
            <w:r w:rsidRPr="0004125F">
              <w:rPr>
                <w:rFonts w:cs="Arial"/>
                <w:b/>
                <w:bCs/>
                <w:color w:val="000000"/>
              </w:rPr>
              <w:t>Volume</w:t>
            </w:r>
          </w:p>
        </w:tc>
        <w:tc>
          <w:tcPr>
            <w:tcW w:w="1644" w:type="dxa"/>
            <w:tcBorders>
              <w:top w:val="single" w:sz="4" w:space="0" w:color="auto"/>
              <w:left w:val="single" w:sz="4" w:space="0" w:color="auto"/>
              <w:bottom w:val="single" w:sz="4" w:space="0" w:color="auto"/>
              <w:right w:val="single" w:sz="4" w:space="0" w:color="auto"/>
            </w:tcBorders>
          </w:tcPr>
          <w:p w14:paraId="7F5B438F" w14:textId="77777777" w:rsidR="00C351B0" w:rsidRPr="0004125F" w:rsidRDefault="0004125F" w:rsidP="00163E30">
            <w:pPr>
              <w:jc w:val="right"/>
              <w:rPr>
                <w:rFonts w:cs="Arial"/>
                <w:b/>
                <w:bCs/>
                <w:color w:val="000000"/>
              </w:rPr>
            </w:pPr>
            <w:r w:rsidRPr="0004125F">
              <w:rPr>
                <w:rFonts w:cs="Arial"/>
                <w:b/>
                <w:bCs/>
                <w:color w:val="000000"/>
              </w:rPr>
              <w:t>Patient Numbers</w:t>
            </w:r>
          </w:p>
        </w:tc>
      </w:tr>
      <w:bookmarkEnd w:id="1"/>
      <w:tr w:rsidR="0004125F" w14:paraId="0A7E50D3" w14:textId="77777777" w:rsidTr="0004125F">
        <w:tc>
          <w:tcPr>
            <w:tcW w:w="559" w:type="dxa"/>
            <w:tcBorders>
              <w:top w:val="single" w:sz="4" w:space="0" w:color="auto"/>
              <w:left w:val="single" w:sz="4" w:space="0" w:color="auto"/>
              <w:bottom w:val="single" w:sz="4" w:space="0" w:color="auto"/>
              <w:right w:val="single" w:sz="4" w:space="0" w:color="auto"/>
            </w:tcBorders>
          </w:tcPr>
          <w:p w14:paraId="6F467811" w14:textId="77777777" w:rsidR="0004125F" w:rsidRPr="0004125F" w:rsidRDefault="0004125F" w:rsidP="0004125F">
            <w:pPr>
              <w:jc w:val="center"/>
              <w:rPr>
                <w:rFonts w:cs="Arial"/>
                <w:bCs/>
                <w:color w:val="000000"/>
              </w:rPr>
            </w:pPr>
            <w:r w:rsidRPr="0004125F">
              <w:rPr>
                <w:rFonts w:cs="Arial"/>
                <w:bCs/>
                <w:color w:val="000000"/>
              </w:rPr>
              <w:t>4</w:t>
            </w:r>
          </w:p>
        </w:tc>
        <w:tc>
          <w:tcPr>
            <w:tcW w:w="3629" w:type="dxa"/>
            <w:tcBorders>
              <w:top w:val="single" w:sz="4" w:space="0" w:color="auto"/>
              <w:left w:val="single" w:sz="4" w:space="0" w:color="auto"/>
              <w:bottom w:val="single" w:sz="4" w:space="0" w:color="auto"/>
              <w:right w:val="single" w:sz="4" w:space="0" w:color="auto"/>
            </w:tcBorders>
          </w:tcPr>
          <w:p w14:paraId="7D791D08" w14:textId="77777777" w:rsidR="0004125F" w:rsidRPr="0004125F" w:rsidRDefault="0004125F" w:rsidP="0004125F">
            <w:pPr>
              <w:jc w:val="center"/>
              <w:rPr>
                <w:rFonts w:cs="Arial"/>
                <w:bCs/>
                <w:color w:val="000000"/>
              </w:rPr>
            </w:pPr>
            <w:r w:rsidRPr="0004125F">
              <w:rPr>
                <w:rFonts w:cs="Arial"/>
                <w:bCs/>
                <w:color w:val="000000"/>
              </w:rPr>
              <w:t>Emicizumab</w:t>
            </w:r>
          </w:p>
        </w:tc>
        <w:tc>
          <w:tcPr>
            <w:tcW w:w="1109" w:type="dxa"/>
            <w:tcBorders>
              <w:top w:val="single" w:sz="4" w:space="0" w:color="auto"/>
              <w:left w:val="single" w:sz="4" w:space="0" w:color="auto"/>
              <w:bottom w:val="single" w:sz="4" w:space="0" w:color="auto"/>
              <w:right w:val="single" w:sz="4" w:space="0" w:color="auto"/>
            </w:tcBorders>
          </w:tcPr>
          <w:p w14:paraId="2A5BBBA9" w14:textId="77777777" w:rsidR="0004125F" w:rsidRPr="0004125F" w:rsidRDefault="0004125F" w:rsidP="0004125F">
            <w:pPr>
              <w:jc w:val="center"/>
              <w:rPr>
                <w:rFonts w:cs="Arial"/>
                <w:bCs/>
                <w:color w:val="000000"/>
              </w:rPr>
            </w:pPr>
            <w:r w:rsidRPr="0004125F">
              <w:rPr>
                <w:rFonts w:cs="Arial"/>
                <w:bCs/>
                <w:color w:val="000000"/>
              </w:rPr>
              <w:t>Mg</w:t>
            </w:r>
          </w:p>
        </w:tc>
        <w:tc>
          <w:tcPr>
            <w:tcW w:w="1513" w:type="dxa"/>
            <w:tcBorders>
              <w:top w:val="single" w:sz="4" w:space="0" w:color="auto"/>
              <w:left w:val="single" w:sz="4" w:space="0" w:color="auto"/>
              <w:bottom w:val="single" w:sz="4" w:space="0" w:color="auto"/>
              <w:right w:val="single" w:sz="4" w:space="0" w:color="auto"/>
            </w:tcBorders>
          </w:tcPr>
          <w:p w14:paraId="1C3B10B2" w14:textId="77777777" w:rsidR="0004125F" w:rsidRPr="00ED4DA1" w:rsidRDefault="00AD0D72" w:rsidP="0004125F">
            <w:pPr>
              <w:jc w:val="right"/>
              <w:rPr>
                <w:rFonts w:cs="Arial"/>
                <w:bCs/>
                <w:color w:val="000000"/>
              </w:rPr>
            </w:pPr>
            <w:r w:rsidRPr="00AD0D72">
              <w:rPr>
                <w:rFonts w:cs="Arial"/>
                <w:bCs/>
                <w:color w:val="000000"/>
              </w:rPr>
              <w:t>2,500,000</w:t>
            </w:r>
          </w:p>
        </w:tc>
        <w:tc>
          <w:tcPr>
            <w:tcW w:w="1644" w:type="dxa"/>
            <w:tcBorders>
              <w:top w:val="single" w:sz="4" w:space="0" w:color="auto"/>
              <w:left w:val="single" w:sz="4" w:space="0" w:color="auto"/>
              <w:bottom w:val="single" w:sz="4" w:space="0" w:color="auto"/>
              <w:right w:val="single" w:sz="4" w:space="0" w:color="auto"/>
            </w:tcBorders>
          </w:tcPr>
          <w:p w14:paraId="20FC4F63" w14:textId="77777777" w:rsidR="0004125F" w:rsidRPr="00ED4DA1" w:rsidRDefault="0004125F" w:rsidP="0004125F">
            <w:pPr>
              <w:jc w:val="right"/>
              <w:rPr>
                <w:rFonts w:cs="Arial"/>
                <w:bCs/>
                <w:color w:val="000000"/>
              </w:rPr>
            </w:pPr>
            <w:r>
              <w:rPr>
                <w:rFonts w:cs="Arial"/>
                <w:bCs/>
                <w:color w:val="000000"/>
              </w:rPr>
              <w:t>550</w:t>
            </w:r>
          </w:p>
        </w:tc>
      </w:tr>
    </w:tbl>
    <w:bookmarkEnd w:id="0"/>
    <w:p w14:paraId="2AEF698C" w14:textId="77777777" w:rsidR="00254766" w:rsidRDefault="00254766" w:rsidP="00254766">
      <w:pPr>
        <w:pStyle w:val="Heading2"/>
      </w:pPr>
      <w:r w:rsidRPr="007A35BD">
        <w:t>Any volume estimates provided to Offerors by Authority staff are statements of opinion, provided in good faith and based on past experience and market knowledge, but they should not be relied upon by Offerors in formulating their offers.</w:t>
      </w:r>
      <w:r>
        <w:t xml:space="preserve"> No commitment is made by the Commercial Medicines Unit (CMU)</w:t>
      </w:r>
      <w:r w:rsidRPr="00173B63">
        <w:t xml:space="preserve"> on its own behalf or on behalf of </w:t>
      </w:r>
      <w:r w:rsidRPr="00005466">
        <w:t>Participating Authorities as to the volume of goods which may be purchased by Participating Authorities pursuant to the Framework Agreement.</w:t>
      </w:r>
    </w:p>
    <w:p w14:paraId="3DB0F0DB" w14:textId="77777777" w:rsidR="0060583F" w:rsidRDefault="0060583F" w:rsidP="0060583F"/>
    <w:p w14:paraId="4814E8F6" w14:textId="77777777" w:rsidR="0060583F" w:rsidRDefault="0060583F" w:rsidP="0060583F"/>
    <w:p w14:paraId="6539F251" w14:textId="77777777" w:rsidR="0060583F" w:rsidRPr="0060583F" w:rsidRDefault="0060583F" w:rsidP="0060583F"/>
    <w:p w14:paraId="7B11FC2B" w14:textId="77777777" w:rsidR="00254766" w:rsidRPr="00C10D07" w:rsidRDefault="00254766" w:rsidP="006B4808">
      <w:pPr>
        <w:pStyle w:val="Heading2"/>
      </w:pPr>
      <w:r w:rsidRPr="00C10D07">
        <w:lastRenderedPageBreak/>
        <w:t>Each lot is defined as follows:</w:t>
      </w:r>
    </w:p>
    <w:p w14:paraId="7C03E94A" w14:textId="77777777" w:rsidR="00971EF7" w:rsidRDefault="00971EF7" w:rsidP="00254766">
      <w:pPr>
        <w:ind w:left="576"/>
      </w:pPr>
    </w:p>
    <w:p w14:paraId="3D19BCD6" w14:textId="77777777" w:rsidR="00254766" w:rsidRPr="00254766" w:rsidRDefault="00254766" w:rsidP="00254766">
      <w:pPr>
        <w:ind w:left="576"/>
      </w:pPr>
      <w:r>
        <w:t>Table 2:</w:t>
      </w:r>
    </w:p>
    <w:tbl>
      <w:tblPr>
        <w:tblStyle w:val="TableGrid"/>
        <w:tblW w:w="8222" w:type="dxa"/>
        <w:tblInd w:w="562" w:type="dxa"/>
        <w:tblLook w:val="04A0" w:firstRow="1" w:lastRow="0" w:firstColumn="1" w:lastColumn="0" w:noHBand="0" w:noVBand="1"/>
      </w:tblPr>
      <w:tblGrid>
        <w:gridCol w:w="559"/>
        <w:gridCol w:w="2985"/>
        <w:gridCol w:w="4678"/>
      </w:tblGrid>
      <w:tr w:rsidR="00254766" w:rsidRPr="00ED4DA1" w14:paraId="4058708D" w14:textId="77777777" w:rsidTr="00254766">
        <w:tc>
          <w:tcPr>
            <w:tcW w:w="559" w:type="dxa"/>
            <w:tcBorders>
              <w:top w:val="single" w:sz="4" w:space="0" w:color="auto"/>
              <w:left w:val="single" w:sz="4" w:space="0" w:color="auto"/>
              <w:bottom w:val="single" w:sz="4" w:space="0" w:color="auto"/>
              <w:right w:val="single" w:sz="4" w:space="0" w:color="auto"/>
            </w:tcBorders>
            <w:hideMark/>
          </w:tcPr>
          <w:p w14:paraId="1F6E2873" w14:textId="77777777" w:rsidR="00254766" w:rsidRPr="00C10D07" w:rsidRDefault="00254766" w:rsidP="00971EF7">
            <w:pPr>
              <w:jc w:val="center"/>
              <w:rPr>
                <w:b/>
                <w:szCs w:val="22"/>
              </w:rPr>
            </w:pPr>
            <w:r w:rsidRPr="00C10D07">
              <w:rPr>
                <w:b/>
              </w:rPr>
              <w:t xml:space="preserve">Lot </w:t>
            </w:r>
          </w:p>
        </w:tc>
        <w:tc>
          <w:tcPr>
            <w:tcW w:w="2985" w:type="dxa"/>
            <w:tcBorders>
              <w:top w:val="single" w:sz="4" w:space="0" w:color="auto"/>
              <w:left w:val="single" w:sz="4" w:space="0" w:color="auto"/>
              <w:bottom w:val="single" w:sz="4" w:space="0" w:color="auto"/>
              <w:right w:val="single" w:sz="4" w:space="0" w:color="auto"/>
            </w:tcBorders>
            <w:hideMark/>
          </w:tcPr>
          <w:p w14:paraId="60127AEC" w14:textId="77777777" w:rsidR="00254766" w:rsidRPr="00C10D07" w:rsidRDefault="00254766" w:rsidP="00971EF7">
            <w:pPr>
              <w:jc w:val="center"/>
              <w:rPr>
                <w:b/>
                <w:szCs w:val="22"/>
              </w:rPr>
            </w:pPr>
            <w:r w:rsidRPr="00C10D07">
              <w:rPr>
                <w:b/>
              </w:rPr>
              <w:t>Product Area</w:t>
            </w:r>
          </w:p>
        </w:tc>
        <w:tc>
          <w:tcPr>
            <w:tcW w:w="4678" w:type="dxa"/>
            <w:tcBorders>
              <w:top w:val="single" w:sz="4" w:space="0" w:color="auto"/>
              <w:left w:val="single" w:sz="4" w:space="0" w:color="auto"/>
              <w:bottom w:val="single" w:sz="4" w:space="0" w:color="auto"/>
              <w:right w:val="single" w:sz="4" w:space="0" w:color="auto"/>
            </w:tcBorders>
            <w:hideMark/>
          </w:tcPr>
          <w:p w14:paraId="4002A3F3" w14:textId="77777777" w:rsidR="00254766" w:rsidRPr="00C10D07" w:rsidRDefault="00254766" w:rsidP="00971EF7">
            <w:pPr>
              <w:jc w:val="center"/>
              <w:rPr>
                <w:b/>
                <w:szCs w:val="22"/>
                <w:highlight w:val="cyan"/>
              </w:rPr>
            </w:pPr>
            <w:r w:rsidRPr="00C10D07">
              <w:rPr>
                <w:b/>
              </w:rPr>
              <w:t>Definition:</w:t>
            </w:r>
          </w:p>
        </w:tc>
      </w:tr>
      <w:tr w:rsidR="00254766" w:rsidRPr="00ED4DA1" w14:paraId="5E434529" w14:textId="77777777" w:rsidTr="00254766">
        <w:tc>
          <w:tcPr>
            <w:tcW w:w="559" w:type="dxa"/>
            <w:tcBorders>
              <w:top w:val="single" w:sz="4" w:space="0" w:color="auto"/>
              <w:left w:val="single" w:sz="4" w:space="0" w:color="auto"/>
              <w:bottom w:val="single" w:sz="4" w:space="0" w:color="auto"/>
              <w:right w:val="single" w:sz="4" w:space="0" w:color="auto"/>
            </w:tcBorders>
          </w:tcPr>
          <w:p w14:paraId="1BE2B1CF" w14:textId="77777777" w:rsidR="00254766" w:rsidRPr="00C10D07" w:rsidRDefault="00254766" w:rsidP="00971EF7">
            <w:pPr>
              <w:jc w:val="center"/>
              <w:rPr>
                <w:szCs w:val="22"/>
              </w:rPr>
            </w:pPr>
            <w:r w:rsidRPr="00C10D07">
              <w:rPr>
                <w:szCs w:val="22"/>
              </w:rPr>
              <w:t>1</w:t>
            </w:r>
          </w:p>
        </w:tc>
        <w:tc>
          <w:tcPr>
            <w:tcW w:w="2985" w:type="dxa"/>
            <w:tcBorders>
              <w:top w:val="single" w:sz="4" w:space="0" w:color="auto"/>
              <w:left w:val="single" w:sz="4" w:space="0" w:color="auto"/>
              <w:bottom w:val="single" w:sz="4" w:space="0" w:color="auto"/>
              <w:right w:val="single" w:sz="4" w:space="0" w:color="auto"/>
            </w:tcBorders>
          </w:tcPr>
          <w:p w14:paraId="62CC0AD8" w14:textId="77777777" w:rsidR="00254766" w:rsidRPr="00C10D07" w:rsidRDefault="00254766" w:rsidP="00971EF7">
            <w:pPr>
              <w:jc w:val="center"/>
              <w:rPr>
                <w:szCs w:val="22"/>
              </w:rPr>
            </w:pPr>
            <w:r w:rsidRPr="00C10D07">
              <w:rPr>
                <w:szCs w:val="22"/>
              </w:rPr>
              <w:t>Plasma Derived Factor VIII</w:t>
            </w:r>
          </w:p>
        </w:tc>
        <w:tc>
          <w:tcPr>
            <w:tcW w:w="4678" w:type="dxa"/>
            <w:tcBorders>
              <w:top w:val="single" w:sz="4" w:space="0" w:color="auto"/>
              <w:left w:val="single" w:sz="4" w:space="0" w:color="auto"/>
              <w:bottom w:val="single" w:sz="4" w:space="0" w:color="auto"/>
              <w:right w:val="single" w:sz="4" w:space="0" w:color="auto"/>
            </w:tcBorders>
          </w:tcPr>
          <w:p w14:paraId="48C8E699" w14:textId="77777777" w:rsidR="00254766" w:rsidRPr="00C10D07" w:rsidRDefault="00254766" w:rsidP="00254766">
            <w:pPr>
              <w:rPr>
                <w:szCs w:val="22"/>
              </w:rPr>
            </w:pPr>
            <w:r w:rsidRPr="00C10D07">
              <w:rPr>
                <w:szCs w:val="22"/>
              </w:rPr>
              <w:t>Any plasma derived FVIII product</w:t>
            </w:r>
          </w:p>
        </w:tc>
      </w:tr>
      <w:tr w:rsidR="00254766" w:rsidRPr="00ED4DA1" w14:paraId="11D4F0E0" w14:textId="77777777" w:rsidTr="00254766">
        <w:tc>
          <w:tcPr>
            <w:tcW w:w="559" w:type="dxa"/>
            <w:tcBorders>
              <w:top w:val="single" w:sz="4" w:space="0" w:color="auto"/>
              <w:left w:val="single" w:sz="4" w:space="0" w:color="auto"/>
              <w:bottom w:val="single" w:sz="4" w:space="0" w:color="auto"/>
              <w:right w:val="single" w:sz="4" w:space="0" w:color="auto"/>
            </w:tcBorders>
          </w:tcPr>
          <w:p w14:paraId="55C11DF8" w14:textId="77777777" w:rsidR="00254766" w:rsidRPr="00D945A3" w:rsidRDefault="00254766" w:rsidP="00971EF7">
            <w:pPr>
              <w:jc w:val="center"/>
              <w:rPr>
                <w:rFonts w:cs="Arial"/>
                <w:bCs/>
              </w:rPr>
            </w:pPr>
            <w:r w:rsidRPr="00D945A3">
              <w:rPr>
                <w:rFonts w:cs="Arial"/>
                <w:bCs/>
              </w:rPr>
              <w:t>2</w:t>
            </w:r>
          </w:p>
        </w:tc>
        <w:tc>
          <w:tcPr>
            <w:tcW w:w="2985" w:type="dxa"/>
            <w:tcBorders>
              <w:top w:val="single" w:sz="4" w:space="0" w:color="auto"/>
              <w:left w:val="single" w:sz="4" w:space="0" w:color="auto"/>
              <w:bottom w:val="single" w:sz="4" w:space="0" w:color="auto"/>
              <w:right w:val="single" w:sz="4" w:space="0" w:color="auto"/>
            </w:tcBorders>
          </w:tcPr>
          <w:p w14:paraId="6CA79865" w14:textId="77777777" w:rsidR="00254766" w:rsidRPr="00D945A3" w:rsidRDefault="00254766" w:rsidP="00971EF7">
            <w:pPr>
              <w:jc w:val="center"/>
              <w:rPr>
                <w:rFonts w:cs="Arial"/>
                <w:bCs/>
              </w:rPr>
            </w:pPr>
            <w:r w:rsidRPr="00D945A3">
              <w:rPr>
                <w:rFonts w:cs="Arial"/>
                <w:bCs/>
              </w:rPr>
              <w:t>Standard Half-life Recombinant Factor VIII</w:t>
            </w:r>
          </w:p>
        </w:tc>
        <w:tc>
          <w:tcPr>
            <w:tcW w:w="4678" w:type="dxa"/>
            <w:tcBorders>
              <w:top w:val="single" w:sz="4" w:space="0" w:color="auto"/>
              <w:left w:val="single" w:sz="4" w:space="0" w:color="auto"/>
              <w:bottom w:val="single" w:sz="4" w:space="0" w:color="auto"/>
              <w:right w:val="single" w:sz="4" w:space="0" w:color="auto"/>
            </w:tcBorders>
          </w:tcPr>
          <w:p w14:paraId="748E4AB5" w14:textId="77777777" w:rsidR="00254766" w:rsidRPr="00D945A3" w:rsidRDefault="00D945A3" w:rsidP="00254766">
            <w:pPr>
              <w:rPr>
                <w:rFonts w:cs="Arial"/>
                <w:bCs/>
              </w:rPr>
            </w:pPr>
            <w:r w:rsidRPr="00D945A3">
              <w:rPr>
                <w:rFonts w:cs="Arial"/>
                <w:bCs/>
              </w:rPr>
              <w:t>Recombinant human FVIII which is expected to have the same pharmacokinetics as native human FVIII</w:t>
            </w:r>
          </w:p>
        </w:tc>
      </w:tr>
      <w:tr w:rsidR="00254766" w:rsidRPr="00ED4DA1" w14:paraId="3030FACA" w14:textId="77777777" w:rsidTr="00254766">
        <w:tc>
          <w:tcPr>
            <w:tcW w:w="559" w:type="dxa"/>
            <w:tcBorders>
              <w:top w:val="single" w:sz="4" w:space="0" w:color="auto"/>
              <w:left w:val="single" w:sz="4" w:space="0" w:color="auto"/>
              <w:bottom w:val="single" w:sz="4" w:space="0" w:color="auto"/>
              <w:right w:val="single" w:sz="4" w:space="0" w:color="auto"/>
            </w:tcBorders>
          </w:tcPr>
          <w:p w14:paraId="3129833D" w14:textId="77777777" w:rsidR="00254766" w:rsidRPr="00D945A3" w:rsidRDefault="00254766" w:rsidP="00971EF7">
            <w:pPr>
              <w:jc w:val="center"/>
              <w:rPr>
                <w:rFonts w:cs="Arial"/>
                <w:bCs/>
              </w:rPr>
            </w:pPr>
            <w:r w:rsidRPr="00D945A3">
              <w:rPr>
                <w:rFonts w:cs="Arial"/>
                <w:bCs/>
              </w:rPr>
              <w:t>3</w:t>
            </w:r>
          </w:p>
        </w:tc>
        <w:tc>
          <w:tcPr>
            <w:tcW w:w="2985" w:type="dxa"/>
            <w:tcBorders>
              <w:top w:val="single" w:sz="4" w:space="0" w:color="auto"/>
              <w:left w:val="single" w:sz="4" w:space="0" w:color="auto"/>
              <w:bottom w:val="single" w:sz="4" w:space="0" w:color="auto"/>
              <w:right w:val="single" w:sz="4" w:space="0" w:color="auto"/>
            </w:tcBorders>
          </w:tcPr>
          <w:p w14:paraId="209C880A" w14:textId="77777777" w:rsidR="00254766" w:rsidRPr="00D945A3" w:rsidRDefault="00254766" w:rsidP="00971EF7">
            <w:pPr>
              <w:jc w:val="center"/>
              <w:rPr>
                <w:rFonts w:cs="Arial"/>
                <w:bCs/>
              </w:rPr>
            </w:pPr>
            <w:r w:rsidRPr="00D945A3">
              <w:rPr>
                <w:rFonts w:cs="Arial"/>
                <w:bCs/>
              </w:rPr>
              <w:t>Enhanced Half-life Recombinant Factor VIII</w:t>
            </w:r>
          </w:p>
        </w:tc>
        <w:tc>
          <w:tcPr>
            <w:tcW w:w="4678" w:type="dxa"/>
            <w:tcBorders>
              <w:top w:val="single" w:sz="4" w:space="0" w:color="auto"/>
              <w:left w:val="single" w:sz="4" w:space="0" w:color="auto"/>
              <w:bottom w:val="single" w:sz="4" w:space="0" w:color="auto"/>
              <w:right w:val="single" w:sz="4" w:space="0" w:color="auto"/>
            </w:tcBorders>
          </w:tcPr>
          <w:p w14:paraId="301BA90C" w14:textId="77777777" w:rsidR="00254766" w:rsidRPr="00D945A3" w:rsidRDefault="00D945A3" w:rsidP="00254766">
            <w:pPr>
              <w:rPr>
                <w:rFonts w:cs="Arial"/>
                <w:bCs/>
              </w:rPr>
            </w:pPr>
            <w:r w:rsidRPr="00D945A3">
              <w:rPr>
                <w:rFonts w:cs="Arial"/>
                <w:bCs/>
              </w:rPr>
              <w:t>Recombinant human FVIII which has been modified in a manner specifically and proven to extend or enhance the elimination half-life compared with native human FVIII</w:t>
            </w:r>
          </w:p>
        </w:tc>
      </w:tr>
      <w:tr w:rsidR="00254766" w:rsidRPr="00ED4DA1" w14:paraId="5027BA86" w14:textId="77777777" w:rsidTr="00C10D07">
        <w:tc>
          <w:tcPr>
            <w:tcW w:w="559" w:type="dxa"/>
            <w:tcBorders>
              <w:top w:val="single" w:sz="4" w:space="0" w:color="auto"/>
              <w:left w:val="single" w:sz="4" w:space="0" w:color="auto"/>
              <w:bottom w:val="single" w:sz="4" w:space="0" w:color="auto"/>
              <w:right w:val="single" w:sz="4" w:space="0" w:color="auto"/>
            </w:tcBorders>
            <w:shd w:val="clear" w:color="auto" w:fill="auto"/>
          </w:tcPr>
          <w:p w14:paraId="6211F185" w14:textId="77777777" w:rsidR="00254766" w:rsidRPr="00C10D07" w:rsidRDefault="00254766" w:rsidP="00971EF7">
            <w:pPr>
              <w:jc w:val="center"/>
              <w:rPr>
                <w:rFonts w:cs="Arial"/>
                <w:bCs/>
                <w:highlight w:val="cyan"/>
              </w:rPr>
            </w:pPr>
            <w:r w:rsidRPr="00C10D07">
              <w:rPr>
                <w:rFonts w:cs="Arial"/>
                <w:bCs/>
              </w:rPr>
              <w:t>4</w:t>
            </w:r>
          </w:p>
        </w:tc>
        <w:tc>
          <w:tcPr>
            <w:tcW w:w="2985" w:type="dxa"/>
            <w:tcBorders>
              <w:top w:val="single" w:sz="4" w:space="0" w:color="auto"/>
              <w:left w:val="single" w:sz="4" w:space="0" w:color="auto"/>
              <w:bottom w:val="single" w:sz="4" w:space="0" w:color="auto"/>
              <w:right w:val="single" w:sz="4" w:space="0" w:color="auto"/>
            </w:tcBorders>
            <w:shd w:val="clear" w:color="auto" w:fill="auto"/>
          </w:tcPr>
          <w:p w14:paraId="656B68DC" w14:textId="77777777" w:rsidR="00254766" w:rsidRPr="00C10D07" w:rsidRDefault="00254766" w:rsidP="00971EF7">
            <w:pPr>
              <w:jc w:val="center"/>
              <w:rPr>
                <w:rFonts w:cs="Arial"/>
                <w:bCs/>
                <w:highlight w:val="cyan"/>
              </w:rPr>
            </w:pPr>
            <w:r w:rsidRPr="00C10D07">
              <w:rPr>
                <w:rFonts w:cs="Arial"/>
                <w:bCs/>
              </w:rPr>
              <w:t>Emicizumab</w:t>
            </w:r>
          </w:p>
        </w:tc>
        <w:tc>
          <w:tcPr>
            <w:tcW w:w="4678" w:type="dxa"/>
            <w:tcBorders>
              <w:top w:val="single" w:sz="4" w:space="0" w:color="auto"/>
              <w:left w:val="single" w:sz="4" w:space="0" w:color="auto"/>
              <w:bottom w:val="single" w:sz="4" w:space="0" w:color="auto"/>
              <w:right w:val="single" w:sz="4" w:space="0" w:color="auto"/>
            </w:tcBorders>
          </w:tcPr>
          <w:p w14:paraId="64A2AF30" w14:textId="77777777" w:rsidR="00254766" w:rsidRPr="00C10D07" w:rsidRDefault="00D945A3" w:rsidP="00254766">
            <w:pPr>
              <w:rPr>
                <w:rFonts w:cs="Arial"/>
                <w:bCs/>
              </w:rPr>
            </w:pPr>
            <w:r>
              <w:rPr>
                <w:rFonts w:cs="Arial"/>
                <w:bCs/>
              </w:rPr>
              <w:t>H</w:t>
            </w:r>
            <w:r w:rsidR="00C10D07" w:rsidRPr="00C10D07">
              <w:rPr>
                <w:rFonts w:cs="Arial"/>
                <w:bCs/>
              </w:rPr>
              <w:t>umanised bispecific antibody</w:t>
            </w:r>
          </w:p>
        </w:tc>
      </w:tr>
    </w:tbl>
    <w:p w14:paraId="1F2B8AB6" w14:textId="77777777" w:rsidR="00254766" w:rsidRPr="00254766" w:rsidRDefault="00254766" w:rsidP="00254766">
      <w:pPr>
        <w:ind w:left="576"/>
      </w:pPr>
    </w:p>
    <w:p w14:paraId="64752E66" w14:textId="0AC18966" w:rsidR="00254766" w:rsidRPr="006F566A" w:rsidRDefault="00254766" w:rsidP="00674743">
      <w:pPr>
        <w:pStyle w:val="Heading2"/>
      </w:pPr>
      <w:r w:rsidRPr="006F566A">
        <w:t>Products may be submitted in</w:t>
      </w:r>
      <w:r w:rsidR="00971EF7">
        <w:t xml:space="preserve"> respect of </w:t>
      </w:r>
      <w:r w:rsidRPr="006F566A">
        <w:t>one lot only.</w:t>
      </w:r>
    </w:p>
    <w:p w14:paraId="7E81E76D" w14:textId="3DC0D0D1" w:rsidR="00674743" w:rsidRPr="00365678" w:rsidRDefault="00674743" w:rsidP="00674743">
      <w:pPr>
        <w:pStyle w:val="Heading2"/>
      </w:pPr>
      <w:r w:rsidRPr="00365678">
        <w:t xml:space="preserve">All products </w:t>
      </w:r>
      <w:r w:rsidR="00971EF7">
        <w:t>must</w:t>
      </w:r>
      <w:r w:rsidRPr="00365678">
        <w:t xml:space="preserve"> be supplied complete with appropriate diluents and devices for administration. </w:t>
      </w:r>
    </w:p>
    <w:p w14:paraId="589841C6" w14:textId="0DA24A5B" w:rsidR="00CE3214" w:rsidRPr="00BE1ABF" w:rsidRDefault="00183D87" w:rsidP="00CE3214">
      <w:pPr>
        <w:pStyle w:val="Heading2"/>
      </w:pPr>
      <w:r w:rsidRPr="00365678">
        <w:t>Additional products to th</w:t>
      </w:r>
      <w:r w:rsidR="00971EF7">
        <w:t>ose specified above</w:t>
      </w:r>
      <w:r w:rsidRPr="00365678">
        <w:t xml:space="preserve"> will only be considered by CMU where additional products are new SKUs</w:t>
      </w:r>
      <w:r w:rsidR="00971EF7">
        <w:t>;</w:t>
      </w:r>
      <w:r w:rsidRPr="00365678">
        <w:t xml:space="preserve"> i.e. different presentation size</w:t>
      </w:r>
      <w:r w:rsidR="00971EF7">
        <w:t>,</w:t>
      </w:r>
      <w:r w:rsidRPr="00365678">
        <w:t xml:space="preserve"> or where one product replaces another</w:t>
      </w:r>
      <w:r w:rsidR="00971EF7">
        <w:t>,</w:t>
      </w:r>
      <w:r w:rsidR="00037A97" w:rsidRPr="00365678">
        <w:t xml:space="preserve"> i.e. </w:t>
      </w:r>
      <w:r w:rsidR="00971EF7">
        <w:t xml:space="preserve">the </w:t>
      </w:r>
      <w:r w:rsidR="00323A2E" w:rsidRPr="00365678">
        <w:t xml:space="preserve">new product holds the same Marketing Authorisation as the product it is </w:t>
      </w:r>
      <w:r w:rsidR="00ED4DA1" w:rsidRPr="00365678">
        <w:t>replacing,</w:t>
      </w:r>
      <w:r w:rsidR="005C0B48" w:rsidRPr="00365678">
        <w:t xml:space="preserve"> or it is a direct replacement</w:t>
      </w:r>
      <w:r w:rsidRPr="00365678">
        <w:t xml:space="preserve">. Any </w:t>
      </w:r>
      <w:r w:rsidR="00971EF7">
        <w:t xml:space="preserve">such </w:t>
      </w:r>
      <w:r w:rsidRPr="00365678">
        <w:t>additional product must be pr</w:t>
      </w:r>
      <w:r w:rsidR="00037A97" w:rsidRPr="00365678">
        <w:t>i</w:t>
      </w:r>
      <w:r w:rsidRPr="00365678">
        <w:t>ce linked</w:t>
      </w:r>
      <w:r w:rsidR="00037A97" w:rsidRPr="00365678">
        <w:t xml:space="preserve"> to the product</w:t>
      </w:r>
      <w:r w:rsidR="00971EF7">
        <w:t xml:space="preserve"> submitted as a tender;</w:t>
      </w:r>
      <w:r w:rsidR="00037A97" w:rsidRPr="00365678">
        <w:t xml:space="preserve"> i.e. the same pro-rata price for a different vial</w:t>
      </w:r>
      <w:r w:rsidR="00410FB1">
        <w:t>/syringe</w:t>
      </w:r>
      <w:r w:rsidR="00037A97" w:rsidRPr="00365678">
        <w:t xml:space="preserve"> size or an identical price where one product replaces another. </w:t>
      </w:r>
      <w:r w:rsidR="000C5E0A" w:rsidRPr="00365678">
        <w:t xml:space="preserve">CMU will not consider any </w:t>
      </w:r>
      <w:r w:rsidR="000C5E0A" w:rsidRPr="00BE1ABF">
        <w:t xml:space="preserve">additional products offered </w:t>
      </w:r>
      <w:r w:rsidR="00037A97" w:rsidRPr="00BE1ABF">
        <w:t>at an unrelated price</w:t>
      </w:r>
      <w:r w:rsidR="000C5E0A" w:rsidRPr="00BE1ABF">
        <w:t xml:space="preserve"> to the offer price</w:t>
      </w:r>
      <w:r w:rsidR="00323A2E" w:rsidRPr="00BE1ABF">
        <w:t xml:space="preserve"> nor any </w:t>
      </w:r>
      <w:r w:rsidR="005C0B48" w:rsidRPr="00BE1ABF">
        <w:t>“</w:t>
      </w:r>
      <w:r w:rsidR="00323A2E" w:rsidRPr="00BE1ABF">
        <w:t>enhanc</w:t>
      </w:r>
      <w:r w:rsidR="005C0B48" w:rsidRPr="00BE1ABF">
        <w:t>ed” products</w:t>
      </w:r>
      <w:r w:rsidR="00037A97" w:rsidRPr="00BE1ABF">
        <w:t>.</w:t>
      </w:r>
      <w:r w:rsidR="000C5E0A" w:rsidRPr="00BE1ABF">
        <w:t xml:space="preserve"> For more detail on ADDITIONAL GOOD</w:t>
      </w:r>
      <w:r w:rsidR="00FB29D2" w:rsidRPr="00BE1ABF">
        <w:t>S</w:t>
      </w:r>
      <w:r w:rsidR="000C5E0A" w:rsidRPr="00BE1ABF">
        <w:t xml:space="preserve"> refer to Document</w:t>
      </w:r>
      <w:r w:rsidR="002A220B" w:rsidRPr="00BE1ABF">
        <w:t xml:space="preserve"> No.0</w:t>
      </w:r>
      <w:r w:rsidR="00365678" w:rsidRPr="00BE1ABF">
        <w:t>3</w:t>
      </w:r>
      <w:r w:rsidR="000C5E0A" w:rsidRPr="00BE1ABF">
        <w:t xml:space="preserve"> </w:t>
      </w:r>
      <w:r w:rsidR="00365678" w:rsidRPr="00BE1ABF">
        <w:t>–</w:t>
      </w:r>
      <w:r w:rsidR="000C5E0A" w:rsidRPr="00BE1ABF">
        <w:t xml:space="preserve"> </w:t>
      </w:r>
      <w:r w:rsidR="00365678" w:rsidRPr="00BE1ABF">
        <w:t xml:space="preserve">Framework Agreement </w:t>
      </w:r>
      <w:r w:rsidR="00C758FA" w:rsidRPr="00BE1ABF">
        <w:t>and Terms and Conditions</w:t>
      </w:r>
      <w:r w:rsidR="000C5E0A" w:rsidRPr="00BE1ABF">
        <w:t xml:space="preserve">, </w:t>
      </w:r>
      <w:r w:rsidR="00365678" w:rsidRPr="00BE1ABF">
        <w:t>Schedule 1 (</w:t>
      </w:r>
      <w:r w:rsidR="000C5E0A" w:rsidRPr="00BE1ABF">
        <w:t xml:space="preserve">section </w:t>
      </w:r>
      <w:r w:rsidR="00365678" w:rsidRPr="00BE1ABF">
        <w:t>1</w:t>
      </w:r>
      <w:r w:rsidR="000C5E0A" w:rsidRPr="00BE1ABF">
        <w:t>2</w:t>
      </w:r>
      <w:r w:rsidR="00365678" w:rsidRPr="00BE1ABF">
        <w:t>)</w:t>
      </w:r>
      <w:r w:rsidR="000C5E0A" w:rsidRPr="00BE1ABF">
        <w:t>.</w:t>
      </w:r>
    </w:p>
    <w:p w14:paraId="64202876" w14:textId="24692F25" w:rsidR="008C19D3" w:rsidRPr="004029CD" w:rsidRDefault="00EB699C" w:rsidP="008C19D3">
      <w:pPr>
        <w:pStyle w:val="Heading2"/>
      </w:pPr>
      <w:r>
        <w:t>If</w:t>
      </w:r>
      <w:r w:rsidR="008C19D3">
        <w:t xml:space="preserve"> more than one product is awarded </w:t>
      </w:r>
      <w:r w:rsidR="00971EF7">
        <w:t>a place on a lot</w:t>
      </w:r>
      <w:r w:rsidR="008C19D3">
        <w:t xml:space="preserve">, </w:t>
      </w:r>
      <w:r w:rsidR="00971EF7">
        <w:t xml:space="preserve">Participating Authorities will initially be recommended to purchase the </w:t>
      </w:r>
      <w:r w:rsidR="008C19D3">
        <w:t xml:space="preserve">product ranked </w:t>
      </w:r>
      <w:r w:rsidR="00971EF7">
        <w:t>first in that lot</w:t>
      </w:r>
      <w:r w:rsidR="00C758FA">
        <w:t>. If t</w:t>
      </w:r>
      <w:r w:rsidR="008C19D3" w:rsidRPr="003255F0">
        <w:t>h</w:t>
      </w:r>
      <w:r w:rsidR="008C19D3">
        <w:t>e</w:t>
      </w:r>
      <w:r w:rsidR="008C19D3" w:rsidRPr="003255F0">
        <w:t xml:space="preserve"> product </w:t>
      </w:r>
      <w:r w:rsidR="008C19D3">
        <w:t xml:space="preserve">ranked </w:t>
      </w:r>
      <w:r w:rsidR="00971EF7">
        <w:t>first</w:t>
      </w:r>
      <w:r w:rsidR="008C19D3">
        <w:t xml:space="preserve"> </w:t>
      </w:r>
      <w:r w:rsidR="008C19D3" w:rsidRPr="003255F0">
        <w:t xml:space="preserve">is unsuitable to meet </w:t>
      </w:r>
      <w:r w:rsidR="008C19D3">
        <w:t xml:space="preserve">the </w:t>
      </w:r>
      <w:r w:rsidR="008C19D3" w:rsidRPr="003255F0">
        <w:t xml:space="preserve">requirements of the </w:t>
      </w:r>
      <w:r w:rsidR="00ED4DA1" w:rsidRPr="003255F0">
        <w:t>patient,</w:t>
      </w:r>
      <w:r w:rsidR="008C19D3" w:rsidRPr="003255F0">
        <w:t xml:space="preserve"> then </w:t>
      </w:r>
      <w:r w:rsidR="001275EE">
        <w:t>Participating Authorities may purchase the product ranked second in that lot</w:t>
      </w:r>
      <w:r w:rsidR="00C758FA">
        <w:t xml:space="preserve">. If </w:t>
      </w:r>
      <w:r w:rsidR="008C19D3">
        <w:t xml:space="preserve">this product is also unsuitable to meet the requirements of the </w:t>
      </w:r>
      <w:r w:rsidR="00ED4DA1">
        <w:t>patient,</w:t>
      </w:r>
      <w:r w:rsidR="008C19D3">
        <w:t xml:space="preserve"> then </w:t>
      </w:r>
      <w:r w:rsidR="001275EE">
        <w:t xml:space="preserve">Participating Authorities may purchase the product ranked </w:t>
      </w:r>
      <w:r w:rsidR="007E41A9">
        <w:t>third</w:t>
      </w:r>
      <w:r w:rsidR="001275EE">
        <w:t xml:space="preserve"> in that lot</w:t>
      </w:r>
      <w:r w:rsidR="008C19D3">
        <w:t xml:space="preserve"> and so on. </w:t>
      </w:r>
    </w:p>
    <w:p w14:paraId="40BD2769" w14:textId="77777777" w:rsidR="008D1067" w:rsidRPr="00046FB8" w:rsidRDefault="008D1067" w:rsidP="008D1067">
      <w:pPr>
        <w:pStyle w:val="Heading1"/>
      </w:pPr>
      <w:r w:rsidRPr="00046FB8">
        <w:t>Outline</w:t>
      </w:r>
    </w:p>
    <w:p w14:paraId="339DBA3E" w14:textId="77777777" w:rsidR="008D1067" w:rsidRPr="00AF3AA5" w:rsidRDefault="008D1067" w:rsidP="008D1067">
      <w:pPr>
        <w:pStyle w:val="Heading2"/>
      </w:pPr>
      <w:r>
        <w:t xml:space="preserve">As </w:t>
      </w:r>
      <w:r w:rsidRPr="00005466">
        <w:t>part of this IT</w:t>
      </w:r>
      <w:r w:rsidR="00260ED3" w:rsidRPr="00005466">
        <w:t>T</w:t>
      </w:r>
      <w:r w:rsidRPr="00005466">
        <w:t xml:space="preserve"> Offerors are required to complete </w:t>
      </w:r>
      <w:r w:rsidRPr="00AF3AA5">
        <w:t xml:space="preserve">Document No. </w:t>
      </w:r>
      <w:r w:rsidR="00005466" w:rsidRPr="00AF3AA5">
        <w:t>05a</w:t>
      </w:r>
      <w:r w:rsidR="007013A1" w:rsidRPr="00AF3AA5">
        <w:t xml:space="preserve"> </w:t>
      </w:r>
      <w:r w:rsidR="00410FB1" w:rsidRPr="00AF3AA5">
        <w:t>–</w:t>
      </w:r>
      <w:r w:rsidR="00260ED3" w:rsidRPr="00AF3AA5">
        <w:t xml:space="preserve"> </w:t>
      </w:r>
      <w:r w:rsidR="00410FB1" w:rsidRPr="00AF3AA5">
        <w:t>Haemophilia A</w:t>
      </w:r>
      <w:r w:rsidR="00260ED3" w:rsidRPr="00AF3AA5">
        <w:t xml:space="preserve"> - </w:t>
      </w:r>
      <w:r w:rsidRPr="00AF3AA5">
        <w:t>Offer Schedule.</w:t>
      </w:r>
    </w:p>
    <w:p w14:paraId="3D533343" w14:textId="77777777" w:rsidR="00EA63F6" w:rsidRDefault="00674743" w:rsidP="00674743">
      <w:pPr>
        <w:pStyle w:val="Heading2"/>
      </w:pPr>
      <w:r w:rsidRPr="00ED4DA1">
        <w:t xml:space="preserve">Offerors must provide </w:t>
      </w:r>
      <w:r w:rsidR="00ED4DA1" w:rsidRPr="00ED4DA1">
        <w:t>20</w:t>
      </w:r>
      <w:r w:rsidRPr="00ED4DA1">
        <w:t xml:space="preserve"> product demonstration kits for reconstitution AND any other equipment needed to reconstitute or mix vials to give a 750IU dose. All samples must be delivered by </w:t>
      </w:r>
      <w:r w:rsidR="00133A97">
        <w:rPr>
          <w:b/>
        </w:rPr>
        <w:t>Tuesday 24</w:t>
      </w:r>
      <w:r w:rsidR="0029241F" w:rsidRPr="0029241F">
        <w:rPr>
          <w:b/>
        </w:rPr>
        <w:t xml:space="preserve"> March 2020</w:t>
      </w:r>
      <w:r w:rsidR="0029241F">
        <w:t xml:space="preserve"> </w:t>
      </w:r>
      <w:r w:rsidRPr="00ED4DA1">
        <w:t>using the address label provided at the end of this document.</w:t>
      </w:r>
      <w:r w:rsidR="00986682" w:rsidRPr="00ED4DA1">
        <w:t xml:space="preserve"> </w:t>
      </w:r>
    </w:p>
    <w:p w14:paraId="44FEA0DC" w14:textId="041539B3" w:rsidR="00674743" w:rsidRPr="00EA63F6" w:rsidRDefault="00986682" w:rsidP="00674743">
      <w:pPr>
        <w:pStyle w:val="Heading2"/>
      </w:pPr>
      <w:r w:rsidRPr="00EA63F6">
        <w:t>Failure to provide samples will result in</w:t>
      </w:r>
      <w:r w:rsidR="005A6D1F" w:rsidRPr="00EA63F6">
        <w:t xml:space="preserve"> a score of zero (0) out of a possible </w:t>
      </w:r>
      <w:r w:rsidR="00EB698E" w:rsidRPr="00EA63F6">
        <w:t>combined</w:t>
      </w:r>
      <w:r w:rsidR="005A6D1F" w:rsidRPr="00EA63F6">
        <w:t xml:space="preserve"> maximum score of 7.44 for sub-criteria</w:t>
      </w:r>
      <w:r w:rsidR="00EB698E" w:rsidRPr="00EA63F6">
        <w:t xml:space="preserve"> points</w:t>
      </w:r>
      <w:r w:rsidR="005A6D1F" w:rsidRPr="00EA63F6">
        <w:t xml:space="preserve">; 10, 11, 12, 13, 14, 15, 16, 17, 18 and 19, within the Ease of Use evaluation criteria. </w:t>
      </w:r>
      <w:r w:rsidRPr="00EA63F6">
        <w:t xml:space="preserve"> </w:t>
      </w:r>
    </w:p>
    <w:p w14:paraId="776DE492" w14:textId="77777777" w:rsidR="00FD76B6" w:rsidRPr="00AF3AA5" w:rsidRDefault="008D1067" w:rsidP="008D1067">
      <w:pPr>
        <w:pStyle w:val="Heading2"/>
      </w:pPr>
      <w:r w:rsidRPr="00005466">
        <w:t xml:space="preserve">Prices </w:t>
      </w:r>
      <w:r w:rsidR="00FD76B6" w:rsidRPr="00005466">
        <w:t xml:space="preserve">are to be </w:t>
      </w:r>
      <w:r w:rsidRPr="00005466">
        <w:t xml:space="preserve">submitted </w:t>
      </w:r>
      <w:r w:rsidR="00FD76B6" w:rsidRPr="00005466">
        <w:t>us</w:t>
      </w:r>
      <w:r w:rsidRPr="00005466">
        <w:t>in</w:t>
      </w:r>
      <w:r w:rsidR="00FD76B6" w:rsidRPr="00005466">
        <w:t>g</w:t>
      </w:r>
      <w:r w:rsidRPr="00005466">
        <w:t xml:space="preserve"> </w:t>
      </w:r>
      <w:r w:rsidR="00410FB1" w:rsidRPr="00AF3AA5">
        <w:t>Document No. 05a – Haemophilia A - Offer Schedule</w:t>
      </w:r>
      <w:r w:rsidR="00637F67" w:rsidRPr="00AF3AA5">
        <w:t>.</w:t>
      </w:r>
      <w:r w:rsidR="00FD76B6" w:rsidRPr="00AF3AA5">
        <w:t xml:space="preserve"> </w:t>
      </w:r>
    </w:p>
    <w:p w14:paraId="4DE6AE46" w14:textId="515BD2C9" w:rsidR="000F1C4D" w:rsidRPr="000F1C4D" w:rsidRDefault="00FD76B6" w:rsidP="00DE4F38">
      <w:pPr>
        <w:pStyle w:val="Heading2"/>
      </w:pPr>
      <w:r w:rsidRPr="00767CEA">
        <w:lastRenderedPageBreak/>
        <w:t xml:space="preserve">Prices </w:t>
      </w:r>
      <w:r w:rsidR="008D1067" w:rsidRPr="00767CEA">
        <w:t xml:space="preserve">will be fixed for </w:t>
      </w:r>
      <w:r w:rsidR="00A1198B">
        <w:t>2</w:t>
      </w:r>
      <w:r w:rsidR="00651903">
        <w:t>4</w:t>
      </w:r>
      <w:r w:rsidR="008D1067" w:rsidRPr="00767CEA">
        <w:t xml:space="preserve"> </w:t>
      </w:r>
      <w:r w:rsidR="00260ED3" w:rsidRPr="00767CEA">
        <w:t>months</w:t>
      </w:r>
      <w:r w:rsidR="001275EE">
        <w:t>.</w:t>
      </w:r>
      <w:r w:rsidR="008D1067" w:rsidRPr="00767CEA">
        <w:t xml:space="preserve"> </w:t>
      </w:r>
      <w:r w:rsidR="001275EE">
        <w:t>I</w:t>
      </w:r>
      <w:r w:rsidR="008D1067" w:rsidRPr="00767CEA">
        <w:t xml:space="preserve">f the framework is </w:t>
      </w:r>
      <w:r w:rsidR="00E0703C" w:rsidRPr="00767CEA">
        <w:t>extended,</w:t>
      </w:r>
      <w:r w:rsidR="008D1067">
        <w:t xml:space="preserve"> then prices </w:t>
      </w:r>
      <w:r w:rsidR="00260ED3">
        <w:t>may be</w:t>
      </w:r>
      <w:r w:rsidR="008D1067">
        <w:t xml:space="preserve"> reviewed at this point.</w:t>
      </w:r>
      <w:r w:rsidR="00D8728E">
        <w:t xml:space="preserve"> </w:t>
      </w:r>
    </w:p>
    <w:p w14:paraId="25B88960" w14:textId="77777777" w:rsidR="008D1067" w:rsidRPr="00005466" w:rsidRDefault="008D1067" w:rsidP="008D1067">
      <w:pPr>
        <w:pStyle w:val="Heading2"/>
      </w:pPr>
      <w:r>
        <w:t>Offerors are required to pro</w:t>
      </w:r>
      <w:r w:rsidR="00260ED3">
        <w:t xml:space="preserve">vide their offer price(s) per </w:t>
      </w:r>
      <w:r w:rsidR="000F1C4D">
        <w:t>unit of issue</w:t>
      </w:r>
      <w:r>
        <w:t xml:space="preserve"> (excluding VAT)</w:t>
      </w:r>
      <w:r w:rsidR="00410FB1">
        <w:t xml:space="preserve"> </w:t>
      </w:r>
      <w:r w:rsidR="00410FB1" w:rsidRPr="00ED4DA1">
        <w:t xml:space="preserve">to </w:t>
      </w:r>
      <w:r w:rsidR="0040375F" w:rsidRPr="00ED4DA1">
        <w:t>four</w:t>
      </w:r>
      <w:r w:rsidR="00410FB1" w:rsidRPr="00ED4DA1">
        <w:t xml:space="preserve"> decimal places</w:t>
      </w:r>
      <w:r w:rsidR="0040375F" w:rsidRPr="00ED4DA1">
        <w:t xml:space="preserve"> i.e. 0.1111</w:t>
      </w:r>
      <w:r w:rsidRPr="00005466">
        <w:t>.</w:t>
      </w:r>
    </w:p>
    <w:p w14:paraId="337AE877" w14:textId="2943CF32" w:rsidR="004F5C5C" w:rsidRPr="006C50FB" w:rsidRDefault="006F566A" w:rsidP="0027095A">
      <w:pPr>
        <w:pStyle w:val="Heading2"/>
      </w:pPr>
      <w:r w:rsidRPr="006C50FB">
        <w:t>Lot</w:t>
      </w:r>
      <w:r w:rsidR="004F5C5C" w:rsidRPr="006C50FB">
        <w:t>s</w:t>
      </w:r>
      <w:r w:rsidRPr="006C50FB">
        <w:t xml:space="preserve"> 1,2 </w:t>
      </w:r>
      <w:r w:rsidR="001275EE">
        <w:t xml:space="preserve">and </w:t>
      </w:r>
      <w:r w:rsidRPr="006C50FB">
        <w:t>4</w:t>
      </w:r>
      <w:r w:rsidR="00592A19" w:rsidRPr="006C50FB">
        <w:t xml:space="preserve"> </w:t>
      </w:r>
      <w:r w:rsidR="004F5C5C" w:rsidRPr="006C50FB">
        <w:t>will be</w:t>
      </w:r>
      <w:r w:rsidR="005B56D3">
        <w:t xml:space="preserve"> evaluated</w:t>
      </w:r>
      <w:r w:rsidR="004F5C5C" w:rsidRPr="006C50FB">
        <w:t xml:space="preserve"> within their respective groups on a 1:1 unit basis. i.e. one unit of </w:t>
      </w:r>
      <w:r w:rsidR="001275EE">
        <w:t>a</w:t>
      </w:r>
      <w:r w:rsidR="004F5C5C" w:rsidRPr="006C50FB">
        <w:t xml:space="preserve"> product is therapeutically equivalent to one unit of </w:t>
      </w:r>
      <w:r w:rsidR="001275EE">
        <w:t>a</w:t>
      </w:r>
      <w:r w:rsidR="004F5C5C" w:rsidRPr="006C50FB">
        <w:t>nother product</w:t>
      </w:r>
      <w:r w:rsidR="001275EE">
        <w:t xml:space="preserve"> [</w:t>
      </w:r>
      <w:r w:rsidR="001275EE" w:rsidRPr="005B56D3">
        <w:t>within that group</w:t>
      </w:r>
      <w:r w:rsidR="001275EE">
        <w:t>].</w:t>
      </w:r>
    </w:p>
    <w:p w14:paraId="0D34E6BD" w14:textId="77777777" w:rsidR="00EA7554" w:rsidRPr="006C50FB" w:rsidRDefault="00EA7554" w:rsidP="00EA7554"/>
    <w:p w14:paraId="41849B67" w14:textId="616C3F2D" w:rsidR="00EA7554" w:rsidRPr="006C50FB" w:rsidRDefault="006F566A" w:rsidP="00971EF7">
      <w:pPr>
        <w:pStyle w:val="Heading2"/>
      </w:pPr>
      <w:r w:rsidRPr="006C50FB">
        <w:t>Lot 3</w:t>
      </w:r>
      <w:r w:rsidR="00EA7554" w:rsidRPr="006C50FB">
        <w:t xml:space="preserve"> will be </w:t>
      </w:r>
      <w:r w:rsidR="001275EE">
        <w:t xml:space="preserve">evaluated </w:t>
      </w:r>
      <w:r w:rsidR="00EA7554" w:rsidRPr="006C50FB">
        <w:t>based on an annual cost for prophylaxis per patient (aged 12 y</w:t>
      </w:r>
      <w:r w:rsidR="001275EE">
        <w:t>ear</w:t>
      </w:r>
      <w:r w:rsidR="00EA7554" w:rsidRPr="006C50FB">
        <w:t>+) and will be calculated on the following basis:</w:t>
      </w:r>
    </w:p>
    <w:p w14:paraId="174AA7D8" w14:textId="77777777" w:rsidR="00EA7554" w:rsidRPr="006C50FB" w:rsidRDefault="00EA7554" w:rsidP="00EA7554">
      <w:pPr>
        <w:pStyle w:val="NoSpacing"/>
        <w:ind w:left="720"/>
      </w:pPr>
    </w:p>
    <w:p w14:paraId="2615D2C0" w14:textId="77777777" w:rsidR="00EA7554" w:rsidRPr="006C50FB" w:rsidRDefault="00EA7554" w:rsidP="006C50FB">
      <w:pPr>
        <w:pStyle w:val="NoSpacing"/>
        <w:ind w:left="576"/>
      </w:pPr>
      <w:r w:rsidRPr="006C50FB">
        <w:t xml:space="preserve">Mean patient weight has been confirmed as 80Kg based on patients in the </w:t>
      </w:r>
      <w:r w:rsidR="001275EE">
        <w:t>National Haemophilia Database (</w:t>
      </w:r>
      <w:r w:rsidRPr="006C50FB">
        <w:t>NHD</w:t>
      </w:r>
      <w:r w:rsidR="001275EE">
        <w:t>)</w:t>
      </w:r>
      <w:r w:rsidRPr="006C50FB">
        <w:t xml:space="preserve"> with a weight recorded and meeting the following criteria:</w:t>
      </w:r>
    </w:p>
    <w:p w14:paraId="2E42DBF4" w14:textId="77777777" w:rsidR="00EA7554" w:rsidRPr="006C50FB" w:rsidRDefault="00EA7554" w:rsidP="0027095A">
      <w:pPr>
        <w:pStyle w:val="NoSpacing"/>
        <w:numPr>
          <w:ilvl w:val="1"/>
          <w:numId w:val="9"/>
        </w:numPr>
      </w:pPr>
      <w:r w:rsidRPr="006C50FB">
        <w:t>Diagnosis of severe congenital haemophilia A</w:t>
      </w:r>
    </w:p>
    <w:p w14:paraId="55FCEF10" w14:textId="77777777" w:rsidR="00EA7554" w:rsidRPr="006C50FB" w:rsidRDefault="00EA7554" w:rsidP="0027095A">
      <w:pPr>
        <w:pStyle w:val="NoSpacing"/>
        <w:numPr>
          <w:ilvl w:val="1"/>
          <w:numId w:val="9"/>
        </w:numPr>
      </w:pPr>
      <w:r w:rsidRPr="006C50FB">
        <w:t>No current or active inhibitor</w:t>
      </w:r>
    </w:p>
    <w:p w14:paraId="636C2754" w14:textId="77777777" w:rsidR="00EA7554" w:rsidRPr="006C50FB" w:rsidRDefault="00EA7554" w:rsidP="0027095A">
      <w:pPr>
        <w:pStyle w:val="NoSpacing"/>
        <w:numPr>
          <w:ilvl w:val="1"/>
          <w:numId w:val="9"/>
        </w:numPr>
      </w:pPr>
      <w:r w:rsidRPr="006C50FB">
        <w:t>Aged 12 years and older</w:t>
      </w:r>
      <w:r w:rsidR="001275EE">
        <w:t>.</w:t>
      </w:r>
    </w:p>
    <w:p w14:paraId="472DBEA5" w14:textId="77777777" w:rsidR="00EA7554" w:rsidRPr="006C50FB" w:rsidRDefault="00EA7554" w:rsidP="00EA7554">
      <w:pPr>
        <w:pStyle w:val="NoSpacing"/>
        <w:ind w:left="720"/>
        <w:rPr>
          <w:rFonts w:eastAsiaTheme="minorHAnsi"/>
        </w:rPr>
      </w:pPr>
    </w:p>
    <w:p w14:paraId="40F7A6D1" w14:textId="77777777" w:rsidR="00E30471" w:rsidRDefault="00E30471" w:rsidP="001275EE">
      <w:pPr>
        <w:pStyle w:val="NoSpacing"/>
        <w:ind w:left="567"/>
      </w:pPr>
      <w:r w:rsidRPr="00E30471">
        <w:t>The prophylaxis dose and administration regimen of product will be obtained from the UK Summary of Product Characteristics (SPC). Where the SPC stipulates a range (either in terms of units per kg, or dose interval in days) the mid-point of the normal or standard range will be used.</w:t>
      </w:r>
    </w:p>
    <w:p w14:paraId="77C788D3" w14:textId="77777777" w:rsidR="00E30471" w:rsidRDefault="00E30471" w:rsidP="00E30471">
      <w:pPr>
        <w:pStyle w:val="NoSpacing"/>
        <w:ind w:left="720"/>
      </w:pPr>
    </w:p>
    <w:tbl>
      <w:tblPr>
        <w:tblW w:w="10065" w:type="dxa"/>
        <w:tblInd w:w="-436" w:type="dxa"/>
        <w:tblLayout w:type="fixed"/>
        <w:tblCellMar>
          <w:left w:w="0" w:type="dxa"/>
          <w:right w:w="0" w:type="dxa"/>
        </w:tblCellMar>
        <w:tblLook w:val="04A0" w:firstRow="1" w:lastRow="0" w:firstColumn="1" w:lastColumn="0" w:noHBand="0" w:noVBand="1"/>
      </w:tblPr>
      <w:tblGrid>
        <w:gridCol w:w="993"/>
        <w:gridCol w:w="1134"/>
        <w:gridCol w:w="993"/>
        <w:gridCol w:w="850"/>
        <w:gridCol w:w="567"/>
        <w:gridCol w:w="851"/>
        <w:gridCol w:w="992"/>
        <w:gridCol w:w="992"/>
        <w:gridCol w:w="709"/>
        <w:gridCol w:w="992"/>
        <w:gridCol w:w="992"/>
      </w:tblGrid>
      <w:tr w:rsidR="009F111A" w:rsidRPr="004E7C03" w14:paraId="6BD260CA" w14:textId="77777777" w:rsidTr="009F111A">
        <w:trPr>
          <w:trHeight w:val="645"/>
        </w:trPr>
        <w:tc>
          <w:tcPr>
            <w:tcW w:w="993" w:type="dxa"/>
            <w:tcBorders>
              <w:top w:val="single" w:sz="8" w:space="0" w:color="auto"/>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CD8EBE2" w14:textId="77777777" w:rsidR="00E30471" w:rsidRPr="00592A19" w:rsidRDefault="00E30471" w:rsidP="00971EF7">
            <w:pPr>
              <w:rPr>
                <w:rFonts w:ascii="Arial Narrow" w:hAnsi="Arial Narrow" w:cstheme="minorHAnsi"/>
                <w:sz w:val="16"/>
                <w:szCs w:val="16"/>
                <w:lang w:eastAsia="en-GB"/>
              </w:rPr>
            </w:pPr>
            <w:r w:rsidRPr="00592A19">
              <w:rPr>
                <w:rFonts w:ascii="Arial Narrow" w:hAnsi="Arial Narrow" w:cstheme="minorHAnsi"/>
                <w:sz w:val="16"/>
                <w:szCs w:val="16"/>
                <w:lang w:eastAsia="en-GB"/>
              </w:rPr>
              <w:t>Brand</w:t>
            </w:r>
          </w:p>
        </w:tc>
        <w:tc>
          <w:tcPr>
            <w:tcW w:w="1134" w:type="dxa"/>
            <w:tcBorders>
              <w:top w:val="single" w:sz="8" w:space="0" w:color="auto"/>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8DDFFDC" w14:textId="77777777" w:rsidR="00E30471" w:rsidRPr="00592A19" w:rsidRDefault="00E30471" w:rsidP="00971EF7">
            <w:pPr>
              <w:rPr>
                <w:rFonts w:ascii="Arial Narrow" w:hAnsi="Arial Narrow" w:cstheme="minorHAnsi"/>
                <w:sz w:val="16"/>
                <w:szCs w:val="16"/>
                <w:lang w:eastAsia="en-GB"/>
              </w:rPr>
            </w:pPr>
            <w:r w:rsidRPr="00592A19">
              <w:rPr>
                <w:rFonts w:ascii="Arial Narrow" w:hAnsi="Arial Narrow" w:cstheme="minorHAnsi"/>
                <w:sz w:val="16"/>
                <w:szCs w:val="16"/>
                <w:lang w:eastAsia="en-GB"/>
              </w:rPr>
              <w:t>Drug</w:t>
            </w:r>
          </w:p>
        </w:tc>
        <w:tc>
          <w:tcPr>
            <w:tcW w:w="993" w:type="dxa"/>
            <w:tcBorders>
              <w:top w:val="single" w:sz="8" w:space="0" w:color="auto"/>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7AD950F" w14:textId="77777777" w:rsidR="00E30471" w:rsidRPr="00592A19" w:rsidRDefault="00E30471" w:rsidP="00971EF7">
            <w:pPr>
              <w:rPr>
                <w:rFonts w:ascii="Arial Narrow" w:hAnsi="Arial Narrow" w:cstheme="minorHAnsi"/>
                <w:sz w:val="16"/>
                <w:szCs w:val="16"/>
                <w:lang w:eastAsia="en-GB"/>
              </w:rPr>
            </w:pPr>
            <w:r w:rsidRPr="00592A19">
              <w:rPr>
                <w:rFonts w:ascii="Arial Narrow" w:hAnsi="Arial Narrow" w:cstheme="minorHAnsi"/>
                <w:sz w:val="16"/>
                <w:szCs w:val="16"/>
                <w:lang w:eastAsia="en-GB"/>
              </w:rPr>
              <w:t>Manufacturer</w:t>
            </w:r>
          </w:p>
        </w:tc>
        <w:tc>
          <w:tcPr>
            <w:tcW w:w="85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493C16C6" w14:textId="77777777" w:rsidR="00E30471" w:rsidRPr="00592A19" w:rsidRDefault="00E30471" w:rsidP="00971EF7">
            <w:pPr>
              <w:jc w:val="center"/>
              <w:rPr>
                <w:rFonts w:ascii="Arial Narrow" w:hAnsi="Arial Narrow" w:cstheme="minorHAnsi"/>
                <w:sz w:val="16"/>
                <w:szCs w:val="16"/>
                <w:lang w:eastAsia="en-GB"/>
              </w:rPr>
            </w:pPr>
            <w:r w:rsidRPr="00592A19">
              <w:rPr>
                <w:rFonts w:ascii="Arial Narrow" w:hAnsi="Arial Narrow" w:cstheme="minorHAnsi"/>
                <w:sz w:val="16"/>
                <w:szCs w:val="16"/>
                <w:lang w:eastAsia="en-GB"/>
              </w:rPr>
              <w:t>Smallest Vial</w:t>
            </w:r>
          </w:p>
        </w:tc>
        <w:tc>
          <w:tcPr>
            <w:tcW w:w="567" w:type="dxa"/>
            <w:tcBorders>
              <w:top w:val="single" w:sz="8" w:space="0" w:color="auto"/>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14277DB" w14:textId="77777777" w:rsidR="00E30471" w:rsidRPr="00592A19" w:rsidRDefault="00E30471" w:rsidP="00971EF7">
            <w:pPr>
              <w:rPr>
                <w:rFonts w:ascii="Arial Narrow" w:hAnsi="Arial Narrow" w:cstheme="minorHAnsi"/>
                <w:sz w:val="16"/>
                <w:szCs w:val="16"/>
                <w:lang w:eastAsia="en-GB"/>
              </w:rPr>
            </w:pPr>
            <w:r w:rsidRPr="00592A19">
              <w:rPr>
                <w:rFonts w:ascii="Arial Narrow" w:hAnsi="Arial Narrow" w:cstheme="minorHAnsi"/>
                <w:sz w:val="16"/>
                <w:szCs w:val="16"/>
                <w:lang w:eastAsia="en-GB"/>
              </w:rPr>
              <w:t>IU/Kg</w:t>
            </w:r>
          </w:p>
        </w:tc>
        <w:tc>
          <w:tcPr>
            <w:tcW w:w="851"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0DFCE2CE" w14:textId="77777777" w:rsidR="00E30471" w:rsidRPr="00592A19" w:rsidRDefault="00E30471" w:rsidP="00971EF7">
            <w:pPr>
              <w:jc w:val="center"/>
              <w:rPr>
                <w:rFonts w:ascii="Arial Narrow" w:hAnsi="Arial Narrow" w:cstheme="minorHAnsi"/>
                <w:sz w:val="16"/>
                <w:szCs w:val="16"/>
                <w:lang w:eastAsia="en-GB"/>
              </w:rPr>
            </w:pPr>
            <w:r w:rsidRPr="00592A19">
              <w:rPr>
                <w:rFonts w:ascii="Arial Narrow" w:hAnsi="Arial Narrow" w:cstheme="minorHAnsi"/>
                <w:sz w:val="16"/>
                <w:szCs w:val="16"/>
                <w:lang w:eastAsia="en-GB"/>
              </w:rPr>
              <w:t>Frequency (days)</w:t>
            </w:r>
          </w:p>
        </w:tc>
        <w:tc>
          <w:tcPr>
            <w:tcW w:w="992"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3995AEEF" w14:textId="77777777" w:rsidR="00E30471" w:rsidRPr="00592A19" w:rsidRDefault="00E30471" w:rsidP="00971EF7">
            <w:pPr>
              <w:jc w:val="center"/>
              <w:rPr>
                <w:rFonts w:ascii="Arial Narrow" w:hAnsi="Arial Narrow" w:cstheme="minorHAnsi"/>
                <w:sz w:val="16"/>
                <w:szCs w:val="16"/>
                <w:lang w:eastAsia="en-GB"/>
              </w:rPr>
            </w:pPr>
            <w:r w:rsidRPr="00592A19">
              <w:rPr>
                <w:rFonts w:ascii="Arial Narrow" w:hAnsi="Arial Narrow" w:cstheme="minorHAnsi"/>
                <w:sz w:val="16"/>
                <w:szCs w:val="16"/>
                <w:lang w:eastAsia="en-GB"/>
              </w:rPr>
              <w:t>Units per Dose (abs) 80kg</w:t>
            </w:r>
          </w:p>
        </w:tc>
        <w:tc>
          <w:tcPr>
            <w:tcW w:w="992"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3E64E635" w14:textId="77777777" w:rsidR="00E30471" w:rsidRPr="00592A19" w:rsidRDefault="00E30471" w:rsidP="00971EF7">
            <w:pPr>
              <w:jc w:val="center"/>
              <w:rPr>
                <w:rFonts w:ascii="Arial Narrow" w:hAnsi="Arial Narrow" w:cstheme="minorHAnsi"/>
                <w:sz w:val="16"/>
                <w:szCs w:val="16"/>
                <w:lang w:eastAsia="en-GB"/>
              </w:rPr>
            </w:pPr>
            <w:r w:rsidRPr="00592A19">
              <w:rPr>
                <w:rFonts w:ascii="Arial Narrow" w:hAnsi="Arial Narrow" w:cstheme="minorHAnsi"/>
                <w:sz w:val="16"/>
                <w:szCs w:val="16"/>
                <w:lang w:eastAsia="en-GB"/>
              </w:rPr>
              <w:t>Units per Dose (Rounded)</w:t>
            </w:r>
          </w:p>
        </w:tc>
        <w:tc>
          <w:tcPr>
            <w:tcW w:w="709"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3FE061DC" w14:textId="77777777" w:rsidR="00E30471" w:rsidRPr="00592A19" w:rsidRDefault="00E30471" w:rsidP="00971EF7">
            <w:pPr>
              <w:jc w:val="center"/>
              <w:rPr>
                <w:rFonts w:ascii="Arial Narrow" w:hAnsi="Arial Narrow" w:cstheme="minorHAnsi"/>
                <w:sz w:val="16"/>
                <w:szCs w:val="16"/>
                <w:lang w:eastAsia="en-GB"/>
              </w:rPr>
            </w:pPr>
            <w:r w:rsidRPr="00592A19">
              <w:rPr>
                <w:rFonts w:ascii="Arial Narrow" w:hAnsi="Arial Narrow" w:cstheme="minorHAnsi"/>
                <w:sz w:val="16"/>
                <w:szCs w:val="16"/>
                <w:lang w:eastAsia="en-GB"/>
              </w:rPr>
              <w:t>Doses per annum (abs)</w:t>
            </w:r>
          </w:p>
        </w:tc>
        <w:tc>
          <w:tcPr>
            <w:tcW w:w="992"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1E171043" w14:textId="77777777" w:rsidR="00E30471" w:rsidRPr="00592A19" w:rsidRDefault="00E30471" w:rsidP="00971EF7">
            <w:pPr>
              <w:jc w:val="center"/>
              <w:rPr>
                <w:rFonts w:ascii="Arial Narrow" w:hAnsi="Arial Narrow" w:cstheme="minorHAnsi"/>
                <w:sz w:val="16"/>
                <w:szCs w:val="16"/>
                <w:lang w:eastAsia="en-GB"/>
              </w:rPr>
            </w:pPr>
            <w:r w:rsidRPr="00592A19">
              <w:rPr>
                <w:rFonts w:ascii="Arial Narrow" w:hAnsi="Arial Narrow" w:cstheme="minorHAnsi"/>
                <w:sz w:val="16"/>
                <w:szCs w:val="16"/>
                <w:lang w:eastAsia="en-GB"/>
              </w:rPr>
              <w:t>Doses per annum (Rounded)</w:t>
            </w:r>
          </w:p>
        </w:tc>
        <w:tc>
          <w:tcPr>
            <w:tcW w:w="992"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75D79DEC" w14:textId="77777777" w:rsidR="00E30471" w:rsidRPr="00592A19" w:rsidRDefault="00E30471" w:rsidP="00971EF7">
            <w:pPr>
              <w:jc w:val="center"/>
              <w:rPr>
                <w:rFonts w:ascii="Arial Narrow" w:hAnsi="Arial Narrow" w:cstheme="minorHAnsi"/>
                <w:sz w:val="16"/>
                <w:szCs w:val="16"/>
                <w:lang w:eastAsia="en-GB"/>
              </w:rPr>
            </w:pPr>
            <w:r w:rsidRPr="00592A19">
              <w:rPr>
                <w:rFonts w:ascii="Arial Narrow" w:hAnsi="Arial Narrow" w:cstheme="minorHAnsi"/>
                <w:sz w:val="16"/>
                <w:szCs w:val="16"/>
                <w:lang w:eastAsia="en-GB"/>
              </w:rPr>
              <w:t>Units Per Annum (Rounded)</w:t>
            </w:r>
          </w:p>
        </w:tc>
      </w:tr>
      <w:tr w:rsidR="00E30471" w:rsidRPr="004E7C03" w14:paraId="0E3435AE" w14:textId="77777777" w:rsidTr="009F111A">
        <w:trPr>
          <w:trHeight w:val="300"/>
        </w:trPr>
        <w:tc>
          <w:tcPr>
            <w:tcW w:w="993"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0D8218B" w14:textId="77777777" w:rsidR="00E30471" w:rsidRPr="00592A19" w:rsidRDefault="00E30471" w:rsidP="00971EF7">
            <w:pPr>
              <w:rPr>
                <w:rFonts w:ascii="Arial Narrow" w:hAnsi="Arial Narrow" w:cstheme="minorHAnsi"/>
                <w:sz w:val="16"/>
                <w:szCs w:val="16"/>
                <w:lang w:eastAsia="en-GB"/>
              </w:rPr>
            </w:pPr>
            <w:proofErr w:type="spellStart"/>
            <w:r w:rsidRPr="00592A19">
              <w:rPr>
                <w:rFonts w:ascii="Arial Narrow" w:hAnsi="Arial Narrow" w:cstheme="minorHAnsi"/>
                <w:sz w:val="16"/>
                <w:szCs w:val="16"/>
                <w:lang w:eastAsia="en-GB"/>
              </w:rPr>
              <w:t>Jivi</w:t>
            </w:r>
            <w:proofErr w:type="spellEnd"/>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E8B8438" w14:textId="77777777" w:rsidR="00E30471" w:rsidRPr="00592A19" w:rsidRDefault="00E30471" w:rsidP="00971EF7">
            <w:pPr>
              <w:rPr>
                <w:rFonts w:ascii="Arial Narrow" w:hAnsi="Arial Narrow" w:cstheme="minorHAnsi"/>
                <w:sz w:val="16"/>
                <w:szCs w:val="16"/>
                <w:lang w:eastAsia="en-GB"/>
              </w:rPr>
            </w:pPr>
            <w:proofErr w:type="spellStart"/>
            <w:r w:rsidRPr="00592A19">
              <w:rPr>
                <w:rFonts w:ascii="Arial Narrow" w:hAnsi="Arial Narrow" w:cstheme="minorHAnsi"/>
                <w:sz w:val="16"/>
                <w:szCs w:val="16"/>
                <w:lang w:eastAsia="en-GB"/>
              </w:rPr>
              <w:t>Damoctocog</w:t>
            </w:r>
            <w:proofErr w:type="spellEnd"/>
          </w:p>
        </w:tc>
        <w:tc>
          <w:tcPr>
            <w:tcW w:w="99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95C576C" w14:textId="77777777" w:rsidR="00E30471" w:rsidRPr="00592A19" w:rsidRDefault="00E30471" w:rsidP="00971EF7">
            <w:pPr>
              <w:rPr>
                <w:rFonts w:ascii="Arial Narrow" w:hAnsi="Arial Narrow" w:cstheme="minorHAnsi"/>
                <w:sz w:val="16"/>
                <w:szCs w:val="16"/>
                <w:lang w:eastAsia="en-GB"/>
              </w:rPr>
            </w:pPr>
            <w:r w:rsidRPr="00592A19">
              <w:rPr>
                <w:rFonts w:ascii="Arial Narrow" w:hAnsi="Arial Narrow" w:cstheme="minorHAnsi"/>
                <w:sz w:val="16"/>
                <w:szCs w:val="16"/>
                <w:lang w:eastAsia="en-GB"/>
              </w:rPr>
              <w:t>Bayer</w:t>
            </w:r>
          </w:p>
        </w:tc>
        <w:tc>
          <w:tcPr>
            <w:tcW w:w="8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692B202"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250</w:t>
            </w:r>
          </w:p>
        </w:tc>
        <w:tc>
          <w:tcPr>
            <w:tcW w:w="5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4C3E684"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35</w:t>
            </w:r>
          </w:p>
        </w:tc>
        <w:tc>
          <w:tcPr>
            <w:tcW w:w="85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A6F5675"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3.5</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C548DC3"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2800.0</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2CF41B7"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3000.0</w:t>
            </w:r>
          </w:p>
        </w:tc>
        <w:tc>
          <w:tcPr>
            <w:tcW w:w="7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418D516"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104.3</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7B36B09"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104.0</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91DFB07"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312000</w:t>
            </w:r>
          </w:p>
        </w:tc>
      </w:tr>
      <w:tr w:rsidR="00E30471" w:rsidRPr="004E7C03" w14:paraId="656A4746" w14:textId="77777777" w:rsidTr="009F111A">
        <w:trPr>
          <w:trHeight w:val="300"/>
        </w:trPr>
        <w:tc>
          <w:tcPr>
            <w:tcW w:w="993"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3FC0AB0" w14:textId="77777777" w:rsidR="00E30471" w:rsidRPr="00592A19" w:rsidRDefault="00E30471" w:rsidP="00971EF7">
            <w:pPr>
              <w:rPr>
                <w:rFonts w:ascii="Arial Narrow" w:hAnsi="Arial Narrow" w:cstheme="minorHAnsi"/>
                <w:sz w:val="16"/>
                <w:szCs w:val="16"/>
                <w:lang w:eastAsia="en-GB"/>
              </w:rPr>
            </w:pPr>
            <w:proofErr w:type="spellStart"/>
            <w:r w:rsidRPr="00592A19">
              <w:rPr>
                <w:rFonts w:ascii="Arial Narrow" w:hAnsi="Arial Narrow" w:cstheme="minorHAnsi"/>
                <w:sz w:val="16"/>
                <w:szCs w:val="16"/>
                <w:lang w:eastAsia="en-GB"/>
              </w:rPr>
              <w:t>Esperoct</w:t>
            </w:r>
            <w:proofErr w:type="spellEnd"/>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732B76F" w14:textId="77777777" w:rsidR="00E30471" w:rsidRPr="00592A19" w:rsidRDefault="00E30471" w:rsidP="00971EF7">
            <w:pPr>
              <w:rPr>
                <w:rFonts w:ascii="Arial Narrow" w:hAnsi="Arial Narrow" w:cstheme="minorHAnsi"/>
                <w:sz w:val="16"/>
                <w:szCs w:val="16"/>
                <w:lang w:eastAsia="en-GB"/>
              </w:rPr>
            </w:pPr>
            <w:proofErr w:type="spellStart"/>
            <w:r w:rsidRPr="00592A19">
              <w:rPr>
                <w:rFonts w:ascii="Arial Narrow" w:hAnsi="Arial Narrow" w:cstheme="minorHAnsi"/>
                <w:sz w:val="16"/>
                <w:szCs w:val="16"/>
                <w:lang w:eastAsia="en-GB"/>
              </w:rPr>
              <w:t>Turoctocog</w:t>
            </w:r>
            <w:proofErr w:type="spellEnd"/>
          </w:p>
        </w:tc>
        <w:tc>
          <w:tcPr>
            <w:tcW w:w="99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FB411AF" w14:textId="77777777" w:rsidR="00E30471" w:rsidRPr="00592A19" w:rsidRDefault="00E30471" w:rsidP="00971EF7">
            <w:pPr>
              <w:rPr>
                <w:rFonts w:ascii="Arial Narrow" w:hAnsi="Arial Narrow" w:cstheme="minorHAnsi"/>
                <w:sz w:val="16"/>
                <w:szCs w:val="16"/>
                <w:lang w:eastAsia="en-GB"/>
              </w:rPr>
            </w:pPr>
            <w:r w:rsidRPr="00592A19">
              <w:rPr>
                <w:rFonts w:ascii="Arial Narrow" w:hAnsi="Arial Narrow" w:cstheme="minorHAnsi"/>
                <w:sz w:val="16"/>
                <w:szCs w:val="16"/>
                <w:lang w:eastAsia="en-GB"/>
              </w:rPr>
              <w:t>Novo Nordisk</w:t>
            </w:r>
          </w:p>
        </w:tc>
        <w:tc>
          <w:tcPr>
            <w:tcW w:w="8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A176A39"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500</w:t>
            </w:r>
          </w:p>
        </w:tc>
        <w:tc>
          <w:tcPr>
            <w:tcW w:w="5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F52EC18"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50</w:t>
            </w:r>
          </w:p>
        </w:tc>
        <w:tc>
          <w:tcPr>
            <w:tcW w:w="85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B3810F6"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4.0</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0EF88B4"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4000.0</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05C4B57"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4000.0</w:t>
            </w:r>
          </w:p>
        </w:tc>
        <w:tc>
          <w:tcPr>
            <w:tcW w:w="7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FC31C4D"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91.3</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B218BB0"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91.0</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0F8D75A"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364000</w:t>
            </w:r>
          </w:p>
        </w:tc>
      </w:tr>
      <w:tr w:rsidR="00E30471" w:rsidRPr="004E7C03" w14:paraId="3A03871A" w14:textId="77777777" w:rsidTr="009F111A">
        <w:trPr>
          <w:trHeight w:val="300"/>
        </w:trPr>
        <w:tc>
          <w:tcPr>
            <w:tcW w:w="993"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93D2F62" w14:textId="77777777" w:rsidR="00E30471" w:rsidRPr="00592A19" w:rsidRDefault="00E30471" w:rsidP="00971EF7">
            <w:pPr>
              <w:rPr>
                <w:rFonts w:ascii="Arial Narrow" w:hAnsi="Arial Narrow" w:cstheme="minorHAnsi"/>
                <w:sz w:val="16"/>
                <w:szCs w:val="16"/>
                <w:lang w:eastAsia="en-GB"/>
              </w:rPr>
            </w:pPr>
            <w:proofErr w:type="spellStart"/>
            <w:r w:rsidRPr="00592A19">
              <w:rPr>
                <w:rFonts w:ascii="Arial Narrow" w:hAnsi="Arial Narrow" w:cstheme="minorHAnsi"/>
                <w:sz w:val="16"/>
                <w:szCs w:val="16"/>
                <w:lang w:eastAsia="en-GB"/>
              </w:rPr>
              <w:t>Adynovi</w:t>
            </w:r>
            <w:proofErr w:type="spellEnd"/>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B4F9791" w14:textId="77777777" w:rsidR="00E30471" w:rsidRPr="00592A19" w:rsidRDefault="00E30471" w:rsidP="00971EF7">
            <w:pPr>
              <w:rPr>
                <w:rFonts w:ascii="Arial Narrow" w:hAnsi="Arial Narrow" w:cstheme="minorHAnsi"/>
                <w:sz w:val="16"/>
                <w:szCs w:val="16"/>
                <w:lang w:eastAsia="en-GB"/>
              </w:rPr>
            </w:pPr>
            <w:proofErr w:type="spellStart"/>
            <w:r w:rsidRPr="00592A19">
              <w:rPr>
                <w:rFonts w:ascii="Arial Narrow" w:hAnsi="Arial Narrow" w:cstheme="minorHAnsi"/>
                <w:sz w:val="16"/>
                <w:szCs w:val="16"/>
                <w:lang w:eastAsia="en-GB"/>
              </w:rPr>
              <w:t>Rurioctocog</w:t>
            </w:r>
            <w:proofErr w:type="spellEnd"/>
          </w:p>
        </w:tc>
        <w:tc>
          <w:tcPr>
            <w:tcW w:w="99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7769521" w14:textId="77777777" w:rsidR="00E30471" w:rsidRPr="00592A19" w:rsidRDefault="00E30471" w:rsidP="00971EF7">
            <w:pPr>
              <w:rPr>
                <w:rFonts w:ascii="Arial Narrow" w:hAnsi="Arial Narrow" w:cstheme="minorHAnsi"/>
                <w:sz w:val="16"/>
                <w:szCs w:val="16"/>
                <w:lang w:eastAsia="en-GB"/>
              </w:rPr>
            </w:pPr>
            <w:r w:rsidRPr="00592A19">
              <w:rPr>
                <w:rFonts w:ascii="Arial Narrow" w:hAnsi="Arial Narrow" w:cstheme="minorHAnsi"/>
                <w:sz w:val="16"/>
                <w:szCs w:val="16"/>
                <w:lang w:eastAsia="en-GB"/>
              </w:rPr>
              <w:t>Takeda</w:t>
            </w:r>
          </w:p>
        </w:tc>
        <w:tc>
          <w:tcPr>
            <w:tcW w:w="8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B43EBC7"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250</w:t>
            </w:r>
          </w:p>
        </w:tc>
        <w:tc>
          <w:tcPr>
            <w:tcW w:w="5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7B9147F"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45</w:t>
            </w:r>
          </w:p>
        </w:tc>
        <w:tc>
          <w:tcPr>
            <w:tcW w:w="85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25438DB"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3.5</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41618E7"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3600.0</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EC62CC2"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3750.0</w:t>
            </w:r>
          </w:p>
        </w:tc>
        <w:tc>
          <w:tcPr>
            <w:tcW w:w="7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3AFFC53"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104.3</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16FBAB7"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104.0</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65AF206" w14:textId="77777777" w:rsidR="00E30471" w:rsidRPr="00592A19" w:rsidRDefault="00E30471" w:rsidP="00971EF7">
            <w:pPr>
              <w:jc w:val="right"/>
              <w:rPr>
                <w:rFonts w:ascii="Arial Narrow" w:hAnsi="Arial Narrow" w:cstheme="minorHAnsi"/>
                <w:sz w:val="16"/>
                <w:szCs w:val="16"/>
                <w:lang w:eastAsia="en-GB"/>
              </w:rPr>
            </w:pPr>
            <w:r w:rsidRPr="00592A19">
              <w:rPr>
                <w:rFonts w:ascii="Arial Narrow" w:hAnsi="Arial Narrow" w:cstheme="minorHAnsi"/>
                <w:sz w:val="16"/>
                <w:szCs w:val="16"/>
                <w:lang w:eastAsia="en-GB"/>
              </w:rPr>
              <w:t>390000</w:t>
            </w:r>
          </w:p>
        </w:tc>
      </w:tr>
      <w:tr w:rsidR="00E30471" w:rsidRPr="004E7C03" w14:paraId="72115B0F" w14:textId="77777777" w:rsidTr="009F111A">
        <w:trPr>
          <w:trHeight w:val="300"/>
        </w:trPr>
        <w:tc>
          <w:tcPr>
            <w:tcW w:w="993"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462CFC1" w14:textId="77777777" w:rsidR="00E30471" w:rsidRPr="00E30471" w:rsidRDefault="00E30471" w:rsidP="00971EF7">
            <w:pPr>
              <w:rPr>
                <w:rFonts w:ascii="Arial Narrow" w:hAnsi="Arial Narrow" w:cstheme="minorHAnsi"/>
                <w:sz w:val="16"/>
                <w:szCs w:val="16"/>
                <w:lang w:eastAsia="en-GB"/>
              </w:rPr>
            </w:pPr>
            <w:r w:rsidRPr="00E30471">
              <w:rPr>
                <w:rFonts w:ascii="Arial Narrow" w:hAnsi="Arial Narrow" w:cstheme="minorHAnsi"/>
                <w:sz w:val="16"/>
                <w:szCs w:val="16"/>
                <w:lang w:eastAsia="en-GB"/>
              </w:rPr>
              <w:t>Elocta</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DC8FAC0" w14:textId="77777777" w:rsidR="00E30471" w:rsidRPr="00E30471" w:rsidRDefault="00E30471" w:rsidP="00971EF7">
            <w:pPr>
              <w:rPr>
                <w:rFonts w:ascii="Arial Narrow" w:hAnsi="Arial Narrow" w:cstheme="minorHAnsi"/>
                <w:sz w:val="16"/>
                <w:szCs w:val="16"/>
                <w:lang w:eastAsia="en-GB"/>
              </w:rPr>
            </w:pPr>
            <w:proofErr w:type="spellStart"/>
            <w:r w:rsidRPr="00E30471">
              <w:rPr>
                <w:rFonts w:ascii="Arial Narrow" w:hAnsi="Arial Narrow" w:cstheme="minorHAnsi"/>
                <w:sz w:val="16"/>
                <w:szCs w:val="16"/>
                <w:lang w:eastAsia="en-GB"/>
              </w:rPr>
              <w:t>Efmoroctocog</w:t>
            </w:r>
            <w:proofErr w:type="spellEnd"/>
          </w:p>
        </w:tc>
        <w:tc>
          <w:tcPr>
            <w:tcW w:w="99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2487736" w14:textId="77777777" w:rsidR="00E30471" w:rsidRPr="00E30471" w:rsidRDefault="00E30471" w:rsidP="00971EF7">
            <w:pPr>
              <w:rPr>
                <w:rFonts w:ascii="Arial Narrow" w:hAnsi="Arial Narrow" w:cstheme="minorHAnsi"/>
                <w:sz w:val="16"/>
                <w:szCs w:val="16"/>
                <w:lang w:eastAsia="en-GB"/>
              </w:rPr>
            </w:pPr>
            <w:r w:rsidRPr="00E30471">
              <w:rPr>
                <w:rFonts w:ascii="Arial Narrow" w:hAnsi="Arial Narrow" w:cstheme="minorHAnsi"/>
                <w:sz w:val="16"/>
                <w:szCs w:val="16"/>
                <w:lang w:eastAsia="en-GB"/>
              </w:rPr>
              <w:t>SOBI</w:t>
            </w:r>
          </w:p>
        </w:tc>
        <w:tc>
          <w:tcPr>
            <w:tcW w:w="8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11215D5" w14:textId="77777777" w:rsidR="00E30471" w:rsidRPr="00E30471" w:rsidRDefault="00E30471" w:rsidP="00971EF7">
            <w:pPr>
              <w:jc w:val="right"/>
              <w:rPr>
                <w:rFonts w:ascii="Arial Narrow" w:hAnsi="Arial Narrow" w:cstheme="minorHAnsi"/>
                <w:sz w:val="16"/>
                <w:szCs w:val="16"/>
                <w:lang w:eastAsia="en-GB"/>
              </w:rPr>
            </w:pPr>
            <w:r w:rsidRPr="00E30471">
              <w:rPr>
                <w:rFonts w:ascii="Arial Narrow" w:hAnsi="Arial Narrow" w:cstheme="minorHAnsi"/>
                <w:sz w:val="16"/>
                <w:szCs w:val="16"/>
                <w:lang w:eastAsia="en-GB"/>
              </w:rPr>
              <w:t>250</w:t>
            </w:r>
          </w:p>
        </w:tc>
        <w:tc>
          <w:tcPr>
            <w:tcW w:w="5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DDC3D3B" w14:textId="77777777" w:rsidR="00E30471" w:rsidRPr="00E30471" w:rsidRDefault="00E30471" w:rsidP="00971EF7">
            <w:pPr>
              <w:jc w:val="right"/>
              <w:rPr>
                <w:rFonts w:ascii="Arial Narrow" w:hAnsi="Arial Narrow" w:cstheme="minorHAnsi"/>
                <w:sz w:val="16"/>
                <w:szCs w:val="16"/>
                <w:lang w:eastAsia="en-GB"/>
              </w:rPr>
            </w:pPr>
            <w:r w:rsidRPr="00E30471">
              <w:rPr>
                <w:rFonts w:ascii="Arial Narrow" w:hAnsi="Arial Narrow" w:cstheme="minorHAnsi"/>
                <w:sz w:val="16"/>
                <w:szCs w:val="16"/>
                <w:lang w:eastAsia="en-GB"/>
              </w:rPr>
              <w:t>50</w:t>
            </w:r>
          </w:p>
        </w:tc>
        <w:tc>
          <w:tcPr>
            <w:tcW w:w="85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525EAC3" w14:textId="77777777" w:rsidR="00E30471" w:rsidRPr="00E30471" w:rsidRDefault="00E30471" w:rsidP="00971EF7">
            <w:pPr>
              <w:jc w:val="right"/>
              <w:rPr>
                <w:rFonts w:ascii="Arial Narrow" w:hAnsi="Arial Narrow" w:cstheme="minorHAnsi"/>
                <w:sz w:val="16"/>
                <w:szCs w:val="16"/>
                <w:lang w:eastAsia="en-GB"/>
              </w:rPr>
            </w:pPr>
            <w:r w:rsidRPr="00E30471">
              <w:rPr>
                <w:rFonts w:ascii="Arial Narrow" w:hAnsi="Arial Narrow" w:cstheme="minorHAnsi"/>
                <w:sz w:val="16"/>
                <w:szCs w:val="16"/>
                <w:lang w:eastAsia="en-GB"/>
              </w:rPr>
              <w:t>4.0</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AABE4A6" w14:textId="77777777" w:rsidR="00E30471" w:rsidRPr="00E30471" w:rsidRDefault="00E30471" w:rsidP="00971EF7">
            <w:pPr>
              <w:jc w:val="right"/>
              <w:rPr>
                <w:rFonts w:ascii="Arial Narrow" w:hAnsi="Arial Narrow" w:cstheme="minorHAnsi"/>
                <w:sz w:val="16"/>
                <w:szCs w:val="16"/>
                <w:lang w:eastAsia="en-GB"/>
              </w:rPr>
            </w:pPr>
            <w:r w:rsidRPr="00E30471">
              <w:rPr>
                <w:rFonts w:ascii="Arial Narrow" w:hAnsi="Arial Narrow" w:cstheme="minorHAnsi"/>
                <w:sz w:val="16"/>
                <w:szCs w:val="16"/>
                <w:lang w:eastAsia="en-GB"/>
              </w:rPr>
              <w:t>4000.0</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F6F9BC7" w14:textId="77777777" w:rsidR="00E30471" w:rsidRPr="00E30471" w:rsidRDefault="00E30471" w:rsidP="00971EF7">
            <w:pPr>
              <w:jc w:val="right"/>
              <w:rPr>
                <w:rFonts w:ascii="Arial Narrow" w:hAnsi="Arial Narrow" w:cstheme="minorHAnsi"/>
                <w:sz w:val="16"/>
                <w:szCs w:val="16"/>
                <w:lang w:eastAsia="en-GB"/>
              </w:rPr>
            </w:pPr>
            <w:r w:rsidRPr="00E30471">
              <w:rPr>
                <w:rFonts w:ascii="Arial Narrow" w:hAnsi="Arial Narrow" w:cstheme="minorHAnsi"/>
                <w:sz w:val="16"/>
                <w:szCs w:val="16"/>
                <w:lang w:eastAsia="en-GB"/>
              </w:rPr>
              <w:t>4000.0</w:t>
            </w:r>
          </w:p>
        </w:tc>
        <w:tc>
          <w:tcPr>
            <w:tcW w:w="7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7B81B93" w14:textId="77777777" w:rsidR="00E30471" w:rsidRPr="00E30471" w:rsidRDefault="00E30471" w:rsidP="00971EF7">
            <w:pPr>
              <w:jc w:val="right"/>
              <w:rPr>
                <w:rFonts w:ascii="Arial Narrow" w:hAnsi="Arial Narrow" w:cstheme="minorHAnsi"/>
                <w:sz w:val="16"/>
                <w:szCs w:val="16"/>
                <w:lang w:eastAsia="en-GB"/>
              </w:rPr>
            </w:pPr>
            <w:r w:rsidRPr="00E30471">
              <w:rPr>
                <w:rFonts w:ascii="Arial Narrow" w:hAnsi="Arial Narrow" w:cstheme="minorHAnsi"/>
                <w:sz w:val="16"/>
                <w:szCs w:val="16"/>
                <w:lang w:eastAsia="en-GB"/>
              </w:rPr>
              <w:t>91.3</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D06C106" w14:textId="77777777" w:rsidR="00E30471" w:rsidRPr="00E30471" w:rsidRDefault="00E30471" w:rsidP="00971EF7">
            <w:pPr>
              <w:jc w:val="right"/>
              <w:rPr>
                <w:rFonts w:ascii="Arial Narrow" w:hAnsi="Arial Narrow" w:cstheme="minorHAnsi"/>
                <w:sz w:val="16"/>
                <w:szCs w:val="16"/>
                <w:lang w:eastAsia="en-GB"/>
              </w:rPr>
            </w:pPr>
            <w:r w:rsidRPr="00E30471">
              <w:rPr>
                <w:rFonts w:ascii="Arial Narrow" w:hAnsi="Arial Narrow" w:cstheme="minorHAnsi"/>
                <w:sz w:val="16"/>
                <w:szCs w:val="16"/>
                <w:lang w:eastAsia="en-GB"/>
              </w:rPr>
              <w:t>91.0</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727EF3B" w14:textId="77777777" w:rsidR="00E30471" w:rsidRPr="00E30471" w:rsidRDefault="00E30471" w:rsidP="00971EF7">
            <w:pPr>
              <w:jc w:val="right"/>
              <w:rPr>
                <w:rFonts w:ascii="Arial Narrow" w:hAnsi="Arial Narrow" w:cstheme="minorHAnsi"/>
                <w:sz w:val="16"/>
                <w:szCs w:val="16"/>
                <w:lang w:eastAsia="en-GB"/>
              </w:rPr>
            </w:pPr>
            <w:r w:rsidRPr="00E30471">
              <w:rPr>
                <w:rFonts w:ascii="Arial Narrow" w:hAnsi="Arial Narrow" w:cstheme="minorHAnsi"/>
                <w:sz w:val="16"/>
                <w:szCs w:val="16"/>
                <w:lang w:eastAsia="en-GB"/>
              </w:rPr>
              <w:t>364000</w:t>
            </w:r>
          </w:p>
        </w:tc>
      </w:tr>
    </w:tbl>
    <w:p w14:paraId="1EDF4A3C" w14:textId="77777777" w:rsidR="00EA7554" w:rsidRPr="004F5C5C" w:rsidRDefault="00EA7554" w:rsidP="00EA7554">
      <w:pPr>
        <w:pStyle w:val="NoSpacing"/>
        <w:rPr>
          <w:b/>
          <w:bCs/>
          <w:color w:val="FF0000"/>
          <w:sz w:val="24"/>
          <w:szCs w:val="24"/>
          <w:highlight w:val="yellow"/>
        </w:rPr>
      </w:pPr>
    </w:p>
    <w:p w14:paraId="772F95F8" w14:textId="77777777" w:rsidR="00EA7554" w:rsidRPr="006C50FB" w:rsidRDefault="00EA7554" w:rsidP="001275EE">
      <w:pPr>
        <w:pStyle w:val="NoSpacing"/>
        <w:ind w:left="567"/>
        <w:rPr>
          <w:sz w:val="20"/>
          <w:lang w:eastAsia="en-GB"/>
        </w:rPr>
      </w:pPr>
      <w:r w:rsidRPr="006C50FB">
        <w:t>Using the mean patient weight obtained as stated, an absolute total dose (units) will be calculated using the selected dose regimen. This will then be rounded UP to the nearest whole vial to give a rounded dose in units.</w:t>
      </w:r>
    </w:p>
    <w:p w14:paraId="77993171" w14:textId="77777777" w:rsidR="00EA7554" w:rsidRPr="006C50FB" w:rsidRDefault="00EA7554" w:rsidP="00EA7554">
      <w:pPr>
        <w:pStyle w:val="NoSpacing"/>
        <w:ind w:left="720"/>
      </w:pPr>
    </w:p>
    <w:p w14:paraId="4B0AC10C" w14:textId="77777777" w:rsidR="00EA7554" w:rsidRPr="006C50FB" w:rsidRDefault="00EA7554" w:rsidP="001275EE">
      <w:pPr>
        <w:pStyle w:val="NoSpacing"/>
        <w:ind w:left="567"/>
      </w:pPr>
      <w:r w:rsidRPr="006C50FB">
        <w:t>The rounded dose will then be scaled up (multiplied) for administration over 365 days, or 52 weeks. The dose interval as per the regimen defined for comparison will result in the following number of doses per 365 days or 52 weeks</w:t>
      </w:r>
    </w:p>
    <w:p w14:paraId="769CD315" w14:textId="77777777" w:rsidR="00EA7554" w:rsidRPr="006C50FB" w:rsidRDefault="00EA7554" w:rsidP="0027095A">
      <w:pPr>
        <w:pStyle w:val="NoSpacing"/>
        <w:numPr>
          <w:ilvl w:val="0"/>
          <w:numId w:val="10"/>
        </w:numPr>
      </w:pPr>
      <w:r w:rsidRPr="006C50FB">
        <w:t>Twice per week = 104 doses</w:t>
      </w:r>
    </w:p>
    <w:p w14:paraId="795AB1C7" w14:textId="77777777" w:rsidR="00EA7554" w:rsidRPr="006C50FB" w:rsidRDefault="00EA7554" w:rsidP="0027095A">
      <w:pPr>
        <w:pStyle w:val="NoSpacing"/>
        <w:numPr>
          <w:ilvl w:val="0"/>
          <w:numId w:val="10"/>
        </w:numPr>
      </w:pPr>
      <w:r w:rsidRPr="006C50FB">
        <w:t>Once every four days = 91 doses</w:t>
      </w:r>
    </w:p>
    <w:p w14:paraId="276327E4" w14:textId="77777777" w:rsidR="00EA7554" w:rsidRPr="004F5C5C" w:rsidRDefault="00EA7554" w:rsidP="00EA7554">
      <w:pPr>
        <w:pStyle w:val="NoSpacing"/>
        <w:rPr>
          <w:rFonts w:eastAsiaTheme="minorHAnsi"/>
          <w:highlight w:val="yellow"/>
        </w:rPr>
      </w:pPr>
    </w:p>
    <w:p w14:paraId="21FE0E67" w14:textId="77777777" w:rsidR="00EA7554" w:rsidRPr="006C50FB" w:rsidRDefault="00EA7554" w:rsidP="001275EE">
      <w:pPr>
        <w:pStyle w:val="NoSpacing"/>
        <w:ind w:left="567"/>
      </w:pPr>
      <w:r w:rsidRPr="006C50FB">
        <w:t>The resulting rounded dose per units per kg multiplied by the respective dose interval will result in a total number of units per annum.</w:t>
      </w:r>
    </w:p>
    <w:p w14:paraId="2A7B3E37" w14:textId="77777777" w:rsidR="00EA7554" w:rsidRPr="006C50FB" w:rsidRDefault="00EA7554" w:rsidP="00EA7554">
      <w:pPr>
        <w:pStyle w:val="NoSpacing"/>
        <w:ind w:left="720"/>
      </w:pPr>
    </w:p>
    <w:p w14:paraId="550E91AE" w14:textId="3E5E15FA" w:rsidR="00EA7554" w:rsidRDefault="001275EE" w:rsidP="001275EE">
      <w:pPr>
        <w:pStyle w:val="NoSpacing"/>
        <w:ind w:left="567"/>
        <w:rPr>
          <w:rFonts w:cstheme="minorHAnsi"/>
          <w:color w:val="FF0000"/>
          <w:sz w:val="20"/>
          <w:lang w:eastAsia="en-GB"/>
        </w:rPr>
      </w:pPr>
      <w:r>
        <w:t>Offeror</w:t>
      </w:r>
      <w:r w:rsidR="00EA7554" w:rsidRPr="006C50FB">
        <w:t xml:space="preserve">s </w:t>
      </w:r>
      <w:r w:rsidR="006C50FB" w:rsidRPr="006C50FB">
        <w:t xml:space="preserve">must </w:t>
      </w:r>
      <w:r w:rsidR="00EA7554" w:rsidRPr="006C50FB">
        <w:t>provide a cost per international unit (IU)</w:t>
      </w:r>
      <w:r>
        <w:t>.</w:t>
      </w:r>
      <w:r w:rsidR="006C50FB" w:rsidRPr="006C50FB">
        <w:t xml:space="preserve"> </w:t>
      </w:r>
      <w:r>
        <w:t>T</w:t>
      </w:r>
      <w:r w:rsidR="006C50FB" w:rsidRPr="006C50FB">
        <w:t>his</w:t>
      </w:r>
      <w:r w:rsidR="00EA7554" w:rsidRPr="006C50FB">
        <w:t xml:space="preserve"> will be used with the calculated total number of units per annum (rounded) for the respective product</w:t>
      </w:r>
      <w:r>
        <w:t>.</w:t>
      </w:r>
      <w:r w:rsidR="00EA7554" w:rsidRPr="006C50FB">
        <w:t xml:space="preserve"> </w:t>
      </w:r>
      <w:r>
        <w:t>T</w:t>
      </w:r>
      <w:r w:rsidR="00EA7554" w:rsidRPr="006C50FB">
        <w:t xml:space="preserve">he sum of this calculation will be the total cost to treat the patient for the year and will be used for the cost evaluation in </w:t>
      </w:r>
      <w:r>
        <w:t>L</w:t>
      </w:r>
      <w:r w:rsidR="00EA7554" w:rsidRPr="006C50FB">
        <w:t>ot 3.</w:t>
      </w:r>
    </w:p>
    <w:p w14:paraId="2AF7A7EA" w14:textId="77777777" w:rsidR="008D1067" w:rsidRPr="004A50CF" w:rsidRDefault="008D1067" w:rsidP="008D1067">
      <w:pPr>
        <w:pStyle w:val="Heading2"/>
      </w:pPr>
      <w:r w:rsidRPr="00005466">
        <w:lastRenderedPageBreak/>
        <w:t>Offero</w:t>
      </w:r>
      <w:r w:rsidRPr="00C43D95">
        <w:t>rs are required to provide the m</w:t>
      </w:r>
      <w:r w:rsidR="00D36B82" w:rsidRPr="00C43D95">
        <w:t>in</w:t>
      </w:r>
      <w:r w:rsidRPr="00C43D95">
        <w:t xml:space="preserve">imum </w:t>
      </w:r>
      <w:r w:rsidR="00D36B82" w:rsidRPr="00C43D95">
        <w:t xml:space="preserve">annual </w:t>
      </w:r>
      <w:r w:rsidRPr="00C43D95">
        <w:t xml:space="preserve">volume that </w:t>
      </w:r>
      <w:r w:rsidR="00A12866" w:rsidRPr="00C43D95">
        <w:t>will be made available for</w:t>
      </w:r>
      <w:r w:rsidRPr="00C43D95">
        <w:t xml:space="preserve"> this </w:t>
      </w:r>
      <w:r w:rsidRPr="00AF3AA5">
        <w:t>framework</w:t>
      </w:r>
      <w:r w:rsidR="004A50CF" w:rsidRPr="00AF3AA5">
        <w:t xml:space="preserve"> in</w:t>
      </w:r>
      <w:r w:rsidRPr="00AF3AA5">
        <w:t xml:space="preserve"> </w:t>
      </w:r>
      <w:r w:rsidR="00410FB1" w:rsidRPr="00AF3AA5">
        <w:t>Document No. 05a – Haemophilia A - Offer Schedule</w:t>
      </w:r>
      <w:r w:rsidR="00637F67" w:rsidRPr="00AF3AA5">
        <w:t>.</w:t>
      </w:r>
    </w:p>
    <w:p w14:paraId="79F17E77" w14:textId="77777777" w:rsidR="00087586" w:rsidRDefault="00087586" w:rsidP="00087586">
      <w:pPr>
        <w:pStyle w:val="Heading1"/>
      </w:pPr>
      <w:r w:rsidRPr="00D750FB">
        <w:t xml:space="preserve">Award Criteria </w:t>
      </w:r>
    </w:p>
    <w:p w14:paraId="408D9FDB" w14:textId="77777777" w:rsidR="00406368" w:rsidRDefault="00087586" w:rsidP="00C958BA">
      <w:pPr>
        <w:pStyle w:val="Heading2"/>
      </w:pPr>
      <w:r>
        <w:t>The award of this framework will be based on the most economically advantageous tender (MEAT)</w:t>
      </w:r>
      <w:r w:rsidR="00C958BA">
        <w:t>.</w:t>
      </w:r>
      <w:r w:rsidR="009E67AC">
        <w:t xml:space="preserve"> </w:t>
      </w:r>
    </w:p>
    <w:p w14:paraId="143A5B85" w14:textId="77777777" w:rsidR="00C958BA" w:rsidRDefault="00A91D16" w:rsidP="00C958BA">
      <w:pPr>
        <w:pStyle w:val="Heading2"/>
      </w:pPr>
      <w:r>
        <w:t>Award criteria for this framework are</w:t>
      </w:r>
      <w:r w:rsidR="00EA15BA">
        <w:t>:</w:t>
      </w:r>
    </w:p>
    <w:p w14:paraId="1DD5B152" w14:textId="77777777" w:rsidR="000F1C4D" w:rsidRDefault="000F1C4D" w:rsidP="000F1C4D"/>
    <w:tbl>
      <w:tblPr>
        <w:tblStyle w:val="TableGrid"/>
        <w:tblW w:w="0" w:type="auto"/>
        <w:tblLook w:val="04A0" w:firstRow="1" w:lastRow="0" w:firstColumn="1" w:lastColumn="0" w:noHBand="0" w:noVBand="1"/>
      </w:tblPr>
      <w:tblGrid>
        <w:gridCol w:w="3936"/>
        <w:gridCol w:w="1701"/>
      </w:tblGrid>
      <w:tr w:rsidR="000F1C4D" w:rsidRPr="000F1C4D" w14:paraId="2FDF78FC" w14:textId="77777777" w:rsidTr="000F1C4D">
        <w:tc>
          <w:tcPr>
            <w:tcW w:w="3936" w:type="dxa"/>
            <w:shd w:val="clear" w:color="auto" w:fill="000000" w:themeFill="text1"/>
          </w:tcPr>
          <w:p w14:paraId="2A004C84" w14:textId="77777777" w:rsidR="000F1C4D" w:rsidRPr="000F1C4D" w:rsidRDefault="000F1C4D" w:rsidP="000F1C4D">
            <w:pPr>
              <w:rPr>
                <w:b/>
              </w:rPr>
            </w:pPr>
            <w:r w:rsidRPr="000F1C4D">
              <w:rPr>
                <w:b/>
              </w:rPr>
              <w:t>Criteria</w:t>
            </w:r>
          </w:p>
        </w:tc>
        <w:tc>
          <w:tcPr>
            <w:tcW w:w="1701" w:type="dxa"/>
            <w:shd w:val="clear" w:color="auto" w:fill="000000" w:themeFill="text1"/>
          </w:tcPr>
          <w:p w14:paraId="6884207E" w14:textId="77777777" w:rsidR="000F1C4D" w:rsidRPr="000F1C4D" w:rsidRDefault="000F1C4D" w:rsidP="000F1C4D">
            <w:pPr>
              <w:rPr>
                <w:b/>
              </w:rPr>
            </w:pPr>
            <w:r w:rsidRPr="000F1C4D">
              <w:rPr>
                <w:b/>
              </w:rPr>
              <w:t>Weighting</w:t>
            </w:r>
          </w:p>
        </w:tc>
      </w:tr>
      <w:tr w:rsidR="000F1C4D" w14:paraId="305E7D27" w14:textId="77777777" w:rsidTr="000F1C4D">
        <w:tc>
          <w:tcPr>
            <w:tcW w:w="3936" w:type="dxa"/>
          </w:tcPr>
          <w:p w14:paraId="2B313503" w14:textId="77777777" w:rsidR="000F1C4D" w:rsidRDefault="000F1C4D" w:rsidP="000F1C4D">
            <w:r>
              <w:t>Eligibility</w:t>
            </w:r>
          </w:p>
        </w:tc>
        <w:tc>
          <w:tcPr>
            <w:tcW w:w="1701" w:type="dxa"/>
          </w:tcPr>
          <w:p w14:paraId="19CB8949" w14:textId="77777777" w:rsidR="000F1C4D" w:rsidRDefault="000F1C4D" w:rsidP="000F1C4D">
            <w:r>
              <w:t>Pass / Fail</w:t>
            </w:r>
          </w:p>
        </w:tc>
      </w:tr>
      <w:tr w:rsidR="000F1C4D" w14:paraId="7F69C71F" w14:textId="77777777" w:rsidTr="000F1C4D">
        <w:tc>
          <w:tcPr>
            <w:tcW w:w="3936" w:type="dxa"/>
          </w:tcPr>
          <w:p w14:paraId="33F40D85" w14:textId="77777777" w:rsidR="000F1C4D" w:rsidRDefault="000F1C4D" w:rsidP="000F1C4D">
            <w:r>
              <w:t>Price</w:t>
            </w:r>
            <w:r w:rsidR="00410FB1">
              <w:t xml:space="preserve"> / Cost to Treat</w:t>
            </w:r>
          </w:p>
        </w:tc>
        <w:tc>
          <w:tcPr>
            <w:tcW w:w="1701" w:type="dxa"/>
          </w:tcPr>
          <w:p w14:paraId="34B784AE" w14:textId="77777777" w:rsidR="000F1C4D" w:rsidRDefault="00410FB1" w:rsidP="000F1C4D">
            <w:r>
              <w:t>75</w:t>
            </w:r>
            <w:r w:rsidR="000F1C4D">
              <w:t>%</w:t>
            </w:r>
          </w:p>
        </w:tc>
      </w:tr>
      <w:tr w:rsidR="000F1C4D" w14:paraId="2FA362B3" w14:textId="77777777" w:rsidTr="000F1C4D">
        <w:tc>
          <w:tcPr>
            <w:tcW w:w="3936" w:type="dxa"/>
          </w:tcPr>
          <w:p w14:paraId="1808EE25" w14:textId="77777777" w:rsidR="000F1C4D" w:rsidRDefault="00410FB1" w:rsidP="000F1C4D">
            <w:r>
              <w:t>Security of Supply</w:t>
            </w:r>
          </w:p>
        </w:tc>
        <w:tc>
          <w:tcPr>
            <w:tcW w:w="1701" w:type="dxa"/>
          </w:tcPr>
          <w:p w14:paraId="29A4BAEA" w14:textId="77777777" w:rsidR="000F1C4D" w:rsidRDefault="00410FB1" w:rsidP="000F1C4D">
            <w:r>
              <w:t>10</w:t>
            </w:r>
            <w:r w:rsidR="000F1C4D">
              <w:t>%</w:t>
            </w:r>
          </w:p>
        </w:tc>
      </w:tr>
      <w:tr w:rsidR="00410FB1" w14:paraId="11B9DD13" w14:textId="77777777" w:rsidTr="000F1C4D">
        <w:tc>
          <w:tcPr>
            <w:tcW w:w="3936" w:type="dxa"/>
          </w:tcPr>
          <w:p w14:paraId="2A0E2FA4" w14:textId="77777777" w:rsidR="00410FB1" w:rsidRDefault="00410FB1" w:rsidP="00410FB1">
            <w:r>
              <w:t>Ease of Use</w:t>
            </w:r>
          </w:p>
        </w:tc>
        <w:tc>
          <w:tcPr>
            <w:tcW w:w="1701" w:type="dxa"/>
          </w:tcPr>
          <w:p w14:paraId="7D466C68" w14:textId="77777777" w:rsidR="00410FB1" w:rsidRDefault="00410FB1" w:rsidP="00410FB1">
            <w:r>
              <w:t>15%</w:t>
            </w:r>
          </w:p>
        </w:tc>
      </w:tr>
    </w:tbl>
    <w:p w14:paraId="2262EF28" w14:textId="77777777" w:rsidR="000F1C4D" w:rsidRPr="000F1C4D" w:rsidRDefault="000F1C4D" w:rsidP="000F1C4D"/>
    <w:p w14:paraId="487D8F6C" w14:textId="3A7DF661" w:rsidR="00A91D16" w:rsidRPr="00AF3AA5" w:rsidRDefault="00A91D16" w:rsidP="00A91D16">
      <w:pPr>
        <w:pStyle w:val="Heading2"/>
      </w:pPr>
      <w:r w:rsidRPr="00AF3AA5">
        <w:t xml:space="preserve">For information </w:t>
      </w:r>
      <w:r w:rsidR="007054A1" w:rsidRPr="00AF3AA5">
        <w:t>about</w:t>
      </w:r>
      <w:r w:rsidRPr="00AF3AA5">
        <w:t xml:space="preserve"> how each of the award criteria will be evaluated</w:t>
      </w:r>
      <w:r w:rsidR="00FB3022" w:rsidRPr="00AF3AA5">
        <w:t xml:space="preserve"> and scored</w:t>
      </w:r>
      <w:r w:rsidRPr="00AF3AA5">
        <w:t xml:space="preserve"> please see the table below</w:t>
      </w:r>
      <w:r w:rsidR="00FB3022" w:rsidRPr="00AF3AA5">
        <w:t xml:space="preserve"> </w:t>
      </w:r>
      <w:r w:rsidR="00ED4DA1" w:rsidRPr="00AF3AA5">
        <w:t>and</w:t>
      </w:r>
      <w:r w:rsidR="00FB3022" w:rsidRPr="00AF3AA5">
        <w:t xml:space="preserve"> see </w:t>
      </w:r>
      <w:r w:rsidR="007073AE" w:rsidRPr="00AF3AA5">
        <w:t>Document No. 0</w:t>
      </w:r>
      <w:r w:rsidR="00005466" w:rsidRPr="00AF3AA5">
        <w:t>5b</w:t>
      </w:r>
      <w:r w:rsidR="00FB3022" w:rsidRPr="00AF3AA5">
        <w:t xml:space="preserve"> </w:t>
      </w:r>
      <w:r w:rsidR="00410FB1" w:rsidRPr="00AF3AA5">
        <w:t>–</w:t>
      </w:r>
      <w:r w:rsidR="00FB3022" w:rsidRPr="00AF3AA5">
        <w:t xml:space="preserve"> </w:t>
      </w:r>
      <w:r w:rsidR="00410FB1" w:rsidRPr="00AF3AA5">
        <w:t xml:space="preserve">Haemophilia A </w:t>
      </w:r>
      <w:r w:rsidR="00FB3022" w:rsidRPr="00AF3AA5">
        <w:t>- Scoring Methodology</w:t>
      </w:r>
      <w:r w:rsidR="004D52DA" w:rsidRPr="00AF3AA5">
        <w:t>.</w:t>
      </w:r>
    </w:p>
    <w:p w14:paraId="13F3FD6D" w14:textId="77777777" w:rsidR="003411FB" w:rsidRDefault="003411FB" w:rsidP="00C958BA"/>
    <w:p w14:paraId="124DF440" w14:textId="77777777" w:rsidR="00ED4DA1" w:rsidRDefault="00ED4DA1" w:rsidP="00C958BA"/>
    <w:tbl>
      <w:tblPr>
        <w:tblStyle w:val="TableGrid"/>
        <w:tblW w:w="0" w:type="auto"/>
        <w:tblInd w:w="108" w:type="dxa"/>
        <w:tblLayout w:type="fixed"/>
        <w:tblLook w:val="04A0" w:firstRow="1" w:lastRow="0" w:firstColumn="1" w:lastColumn="0" w:noHBand="0" w:noVBand="1"/>
      </w:tblPr>
      <w:tblGrid>
        <w:gridCol w:w="2410"/>
        <w:gridCol w:w="5387"/>
        <w:gridCol w:w="1337"/>
      </w:tblGrid>
      <w:tr w:rsidR="006D6760" w:rsidRPr="006D6760" w14:paraId="2357E095" w14:textId="77777777" w:rsidTr="00A47124">
        <w:tc>
          <w:tcPr>
            <w:tcW w:w="2410" w:type="dxa"/>
            <w:shd w:val="clear" w:color="auto" w:fill="000000" w:themeFill="text1"/>
            <w:vAlign w:val="center"/>
          </w:tcPr>
          <w:p w14:paraId="539FF0D3" w14:textId="77777777" w:rsidR="003243CB" w:rsidRPr="006D6760" w:rsidRDefault="003243CB" w:rsidP="003243CB">
            <w:pPr>
              <w:jc w:val="center"/>
              <w:rPr>
                <w:b/>
                <w:color w:val="FFFFFF" w:themeColor="background1"/>
              </w:rPr>
            </w:pPr>
          </w:p>
          <w:p w14:paraId="39E6A39F" w14:textId="77777777" w:rsidR="003243CB" w:rsidRPr="006D6760" w:rsidRDefault="003243CB" w:rsidP="003243CB">
            <w:pPr>
              <w:jc w:val="center"/>
              <w:rPr>
                <w:b/>
                <w:color w:val="FFFFFF" w:themeColor="background1"/>
              </w:rPr>
            </w:pPr>
            <w:r w:rsidRPr="006D6760">
              <w:rPr>
                <w:b/>
                <w:color w:val="FFFFFF" w:themeColor="background1"/>
              </w:rPr>
              <w:t>Award Criteria</w:t>
            </w:r>
          </w:p>
          <w:p w14:paraId="601FE3DA" w14:textId="77777777" w:rsidR="003243CB" w:rsidRPr="006D6760" w:rsidRDefault="003243CB" w:rsidP="003243CB">
            <w:pPr>
              <w:jc w:val="center"/>
              <w:rPr>
                <w:b/>
                <w:color w:val="FFFFFF" w:themeColor="background1"/>
              </w:rPr>
            </w:pPr>
          </w:p>
        </w:tc>
        <w:tc>
          <w:tcPr>
            <w:tcW w:w="5387" w:type="dxa"/>
            <w:shd w:val="clear" w:color="auto" w:fill="000000" w:themeFill="text1"/>
            <w:vAlign w:val="center"/>
          </w:tcPr>
          <w:p w14:paraId="4274FAE9" w14:textId="77777777" w:rsidR="003243CB" w:rsidRPr="006D6760" w:rsidRDefault="003243CB" w:rsidP="003243CB">
            <w:pPr>
              <w:jc w:val="center"/>
              <w:rPr>
                <w:b/>
                <w:color w:val="FFFFFF" w:themeColor="background1"/>
              </w:rPr>
            </w:pPr>
            <w:r w:rsidRPr="006D6760">
              <w:rPr>
                <w:b/>
                <w:color w:val="FFFFFF" w:themeColor="background1"/>
              </w:rPr>
              <w:t>Description</w:t>
            </w:r>
          </w:p>
        </w:tc>
        <w:tc>
          <w:tcPr>
            <w:tcW w:w="1337" w:type="dxa"/>
            <w:shd w:val="clear" w:color="auto" w:fill="000000" w:themeFill="text1"/>
            <w:vAlign w:val="center"/>
          </w:tcPr>
          <w:p w14:paraId="1CCA98E2" w14:textId="77777777" w:rsidR="003243CB" w:rsidRPr="006D6760" w:rsidRDefault="003243CB" w:rsidP="003243CB">
            <w:pPr>
              <w:jc w:val="center"/>
              <w:rPr>
                <w:b/>
                <w:color w:val="FFFFFF" w:themeColor="background1"/>
              </w:rPr>
            </w:pPr>
            <w:r w:rsidRPr="006D6760">
              <w:rPr>
                <w:b/>
                <w:color w:val="FFFFFF" w:themeColor="background1"/>
              </w:rPr>
              <w:t>Weighting</w:t>
            </w:r>
          </w:p>
        </w:tc>
      </w:tr>
      <w:tr w:rsidR="003243CB" w14:paraId="710D43D1" w14:textId="77777777" w:rsidTr="00A47124">
        <w:trPr>
          <w:trHeight w:val="981"/>
        </w:trPr>
        <w:tc>
          <w:tcPr>
            <w:tcW w:w="2410" w:type="dxa"/>
            <w:vAlign w:val="center"/>
          </w:tcPr>
          <w:p w14:paraId="7D4F7CBB" w14:textId="77777777" w:rsidR="003243CB" w:rsidRPr="00F3055D" w:rsidRDefault="004E7876" w:rsidP="0027095A">
            <w:pPr>
              <w:pStyle w:val="ListParagraph"/>
              <w:numPr>
                <w:ilvl w:val="0"/>
                <w:numId w:val="8"/>
              </w:numPr>
              <w:jc w:val="left"/>
              <w:rPr>
                <w:b/>
              </w:rPr>
            </w:pPr>
            <w:r w:rsidRPr="00F3055D">
              <w:rPr>
                <w:b/>
              </w:rPr>
              <w:t>Eligibility</w:t>
            </w:r>
          </w:p>
        </w:tc>
        <w:tc>
          <w:tcPr>
            <w:tcW w:w="5387" w:type="dxa"/>
            <w:vAlign w:val="center"/>
          </w:tcPr>
          <w:p w14:paraId="6D711282" w14:textId="77777777" w:rsidR="004E7876" w:rsidRDefault="004E7876" w:rsidP="003243CB">
            <w:pPr>
              <w:jc w:val="left"/>
            </w:pPr>
          </w:p>
          <w:p w14:paraId="25DFF9BE" w14:textId="77777777" w:rsidR="004E7876" w:rsidRDefault="004E7876" w:rsidP="00EF4A4E">
            <w:pPr>
              <w:jc w:val="left"/>
            </w:pPr>
            <w:r w:rsidRPr="004E7876">
              <w:t>Mandatory Requirements of Framework</w:t>
            </w:r>
            <w:r>
              <w:t>:</w:t>
            </w:r>
          </w:p>
          <w:p w14:paraId="76E75F2A" w14:textId="1F975036" w:rsidR="004E7876" w:rsidRDefault="00EF4A4E" w:rsidP="00EF4A4E">
            <w:pPr>
              <w:pStyle w:val="ListParagraph"/>
              <w:jc w:val="left"/>
            </w:pPr>
            <w:r>
              <w:t xml:space="preserve"> </w:t>
            </w:r>
          </w:p>
          <w:p w14:paraId="0EE05C52" w14:textId="421D2299" w:rsidR="00EF4A4E" w:rsidRPr="00EF4A4E" w:rsidRDefault="00EF4A4E" w:rsidP="00EF4A4E">
            <w:pPr>
              <w:jc w:val="left"/>
              <w:rPr>
                <w:rStyle w:val="IntenseEmphasis"/>
                <w:b w:val="0"/>
              </w:rPr>
            </w:pPr>
            <w:r w:rsidRPr="00EF4A4E">
              <w:rPr>
                <w:rStyle w:val="IntenseEmphasis"/>
              </w:rPr>
              <w:t>1</w:t>
            </w:r>
            <w:r>
              <w:rPr>
                <w:rStyle w:val="IntenseEmphasis"/>
                <w:b w:val="0"/>
              </w:rPr>
              <w:t xml:space="preserve"> </w:t>
            </w:r>
            <w:r w:rsidRPr="00EF4A4E">
              <w:rPr>
                <w:rStyle w:val="IntenseEmphasis"/>
                <w:b w:val="0"/>
              </w:rPr>
              <w:t>Technical merit/safety as set out in 4.1 below</w:t>
            </w:r>
          </w:p>
          <w:p w14:paraId="253AD102" w14:textId="03324F2D" w:rsidR="004E7876" w:rsidRPr="00EF4A4E" w:rsidRDefault="00CB324B" w:rsidP="00EF4A4E">
            <w:pPr>
              <w:jc w:val="left"/>
              <w:rPr>
                <w:rStyle w:val="IntenseEmphasis"/>
                <w:b w:val="0"/>
              </w:rPr>
            </w:pPr>
            <w:r>
              <w:rPr>
                <w:rStyle w:val="IntenseEmphasis"/>
              </w:rPr>
              <w:t>2</w:t>
            </w:r>
            <w:r w:rsidR="00EF4A4E">
              <w:rPr>
                <w:rStyle w:val="IntenseEmphasis"/>
                <w:b w:val="0"/>
              </w:rPr>
              <w:t xml:space="preserve"> </w:t>
            </w:r>
            <w:r w:rsidR="004E7876" w:rsidRPr="00EF4A4E">
              <w:rPr>
                <w:rStyle w:val="IntenseEmphasis"/>
                <w:b w:val="0"/>
              </w:rPr>
              <w:t>Terms and conditions</w:t>
            </w:r>
            <w:r w:rsidR="007054A1" w:rsidRPr="00EF4A4E">
              <w:rPr>
                <w:rStyle w:val="IntenseEmphasis"/>
                <w:b w:val="0"/>
              </w:rPr>
              <w:t xml:space="preserve"> accepted in full without amendment</w:t>
            </w:r>
            <w:r w:rsidR="00CE71C4" w:rsidRPr="00EF4A4E">
              <w:rPr>
                <w:rStyle w:val="IntenseEmphasis"/>
                <w:b w:val="0"/>
              </w:rPr>
              <w:t xml:space="preserve"> as set out in Section 4.2 below</w:t>
            </w:r>
          </w:p>
          <w:p w14:paraId="5C711237" w14:textId="696E6000" w:rsidR="003243CB" w:rsidRPr="00EF4A4E" w:rsidRDefault="00EF4A4E" w:rsidP="00EF4A4E">
            <w:pPr>
              <w:jc w:val="left"/>
              <w:rPr>
                <w:rStyle w:val="IntenseEmphasis"/>
                <w:b w:val="0"/>
              </w:rPr>
            </w:pPr>
            <w:r w:rsidRPr="00EF4A4E">
              <w:rPr>
                <w:rStyle w:val="IntenseEmphasis"/>
              </w:rPr>
              <w:t>3</w:t>
            </w:r>
            <w:r>
              <w:rPr>
                <w:rStyle w:val="IntenseEmphasis"/>
                <w:b w:val="0"/>
              </w:rPr>
              <w:t xml:space="preserve"> </w:t>
            </w:r>
            <w:r w:rsidR="003243CB" w:rsidRPr="00EF4A4E">
              <w:rPr>
                <w:rStyle w:val="IntenseEmphasis"/>
                <w:b w:val="0"/>
              </w:rPr>
              <w:t>Service levels</w:t>
            </w:r>
            <w:r w:rsidR="00CE71C4" w:rsidRPr="00EF4A4E">
              <w:rPr>
                <w:rStyle w:val="IntenseEmphasis"/>
                <w:b w:val="0"/>
              </w:rPr>
              <w:t xml:space="preserve"> as set out in Section 4.3 below</w:t>
            </w:r>
          </w:p>
          <w:p w14:paraId="78D4B5AC" w14:textId="77777777" w:rsidR="003243CB" w:rsidRPr="00273A25" w:rsidRDefault="003243CB" w:rsidP="00273A25">
            <w:pPr>
              <w:jc w:val="left"/>
            </w:pPr>
          </w:p>
        </w:tc>
        <w:tc>
          <w:tcPr>
            <w:tcW w:w="1337" w:type="dxa"/>
            <w:vAlign w:val="center"/>
          </w:tcPr>
          <w:p w14:paraId="134A84B1" w14:textId="77777777" w:rsidR="00452A14" w:rsidRDefault="003243CB" w:rsidP="00BE416A">
            <w:pPr>
              <w:jc w:val="center"/>
              <w:rPr>
                <w:b/>
              </w:rPr>
            </w:pPr>
            <w:r w:rsidRPr="00BE416A">
              <w:rPr>
                <w:b/>
              </w:rPr>
              <w:t xml:space="preserve">Pass </w:t>
            </w:r>
          </w:p>
          <w:p w14:paraId="2CD141DC" w14:textId="77777777" w:rsidR="00452A14" w:rsidRDefault="003243CB" w:rsidP="00BE416A">
            <w:pPr>
              <w:jc w:val="center"/>
              <w:rPr>
                <w:b/>
              </w:rPr>
            </w:pPr>
            <w:r w:rsidRPr="00BE416A">
              <w:rPr>
                <w:b/>
              </w:rPr>
              <w:t xml:space="preserve">or </w:t>
            </w:r>
          </w:p>
          <w:p w14:paraId="72D85A4D" w14:textId="77777777" w:rsidR="003243CB" w:rsidRPr="00BE416A" w:rsidRDefault="003243CB" w:rsidP="00BE416A">
            <w:pPr>
              <w:jc w:val="center"/>
              <w:rPr>
                <w:b/>
              </w:rPr>
            </w:pPr>
            <w:r w:rsidRPr="00BE416A">
              <w:rPr>
                <w:b/>
              </w:rPr>
              <w:t>Fail</w:t>
            </w:r>
          </w:p>
        </w:tc>
      </w:tr>
      <w:tr w:rsidR="00D257F8" w14:paraId="124D0C80" w14:textId="77777777" w:rsidTr="00A47124">
        <w:tc>
          <w:tcPr>
            <w:tcW w:w="2410" w:type="dxa"/>
            <w:vAlign w:val="center"/>
          </w:tcPr>
          <w:p w14:paraId="24EF8EE8" w14:textId="77777777" w:rsidR="00D257F8" w:rsidRPr="00F3055D" w:rsidRDefault="00D257F8" w:rsidP="00EF4A4E">
            <w:pPr>
              <w:pStyle w:val="ListParagraph"/>
              <w:numPr>
                <w:ilvl w:val="0"/>
                <w:numId w:val="11"/>
              </w:numPr>
              <w:jc w:val="left"/>
              <w:rPr>
                <w:b/>
              </w:rPr>
            </w:pPr>
            <w:r w:rsidRPr="00F3055D">
              <w:rPr>
                <w:b/>
              </w:rPr>
              <w:t>Price</w:t>
            </w:r>
            <w:r w:rsidR="00F826FF">
              <w:rPr>
                <w:b/>
              </w:rPr>
              <w:t xml:space="preserve"> / Cost to Treat</w:t>
            </w:r>
          </w:p>
        </w:tc>
        <w:tc>
          <w:tcPr>
            <w:tcW w:w="5387" w:type="dxa"/>
            <w:vAlign w:val="center"/>
          </w:tcPr>
          <w:p w14:paraId="154A1601" w14:textId="77777777" w:rsidR="005A751B" w:rsidRDefault="005A751B" w:rsidP="002C0578">
            <w:pPr>
              <w:jc w:val="left"/>
            </w:pPr>
          </w:p>
          <w:p w14:paraId="563ACEEC" w14:textId="507F409D" w:rsidR="00D257F8" w:rsidRPr="008614B5" w:rsidRDefault="00CB324B" w:rsidP="002C0578">
            <w:pPr>
              <w:jc w:val="left"/>
            </w:pPr>
            <w:r w:rsidRPr="00CB324B">
              <w:rPr>
                <w:b/>
              </w:rPr>
              <w:t>4</w:t>
            </w:r>
            <w:r w:rsidR="00EF4A4E">
              <w:t xml:space="preserve"> </w:t>
            </w:r>
            <w:r w:rsidR="007465D7" w:rsidRPr="008614B5">
              <w:t>The lowest p</w:t>
            </w:r>
            <w:r w:rsidR="007C2C16" w:rsidRPr="008614B5">
              <w:t>ric</w:t>
            </w:r>
            <w:r w:rsidR="006F51F3" w:rsidRPr="008614B5">
              <w:t xml:space="preserve">e will score a maximum of 10 </w:t>
            </w:r>
            <w:r w:rsidR="007465D7" w:rsidRPr="008614B5">
              <w:t xml:space="preserve">with the following price brackets being </w:t>
            </w:r>
            <w:r w:rsidR="00FB3022">
              <w:t>scored</w:t>
            </w:r>
            <w:r w:rsidR="007465D7" w:rsidRPr="008614B5">
              <w:t xml:space="preserve"> as follow</w:t>
            </w:r>
            <w:r w:rsidR="007C2C16" w:rsidRPr="008614B5">
              <w:t>s</w:t>
            </w:r>
            <w:r w:rsidR="007465D7" w:rsidRPr="008614B5">
              <w:t>:</w:t>
            </w:r>
          </w:p>
          <w:p w14:paraId="2921142B" w14:textId="77777777" w:rsidR="007465D7" w:rsidRPr="008614B5" w:rsidRDefault="007465D7" w:rsidP="002C0578">
            <w:pPr>
              <w:jc w:val="left"/>
            </w:pPr>
          </w:p>
          <w:tbl>
            <w:tblPr>
              <w:tblStyle w:val="TableGrid"/>
              <w:tblW w:w="0" w:type="auto"/>
              <w:tblLayout w:type="fixed"/>
              <w:tblLook w:val="04A0" w:firstRow="1" w:lastRow="0" w:firstColumn="1" w:lastColumn="0" w:noHBand="0" w:noVBand="1"/>
            </w:tblPr>
            <w:tblGrid>
              <w:gridCol w:w="4139"/>
              <w:gridCol w:w="828"/>
            </w:tblGrid>
            <w:tr w:rsidR="000205D4" w:rsidRPr="008614B5" w14:paraId="2CD1E964" w14:textId="77777777" w:rsidTr="00452A14">
              <w:tc>
                <w:tcPr>
                  <w:tcW w:w="4139" w:type="dxa"/>
                  <w:shd w:val="clear" w:color="auto" w:fill="000000" w:themeFill="text1"/>
                </w:tcPr>
                <w:p w14:paraId="750F86B1" w14:textId="77777777" w:rsidR="000205D4" w:rsidRPr="000F0F3A" w:rsidRDefault="000205D4" w:rsidP="00273A25">
                  <w:pPr>
                    <w:jc w:val="left"/>
                    <w:rPr>
                      <w:color w:val="FFFFFF" w:themeColor="background1"/>
                    </w:rPr>
                  </w:pPr>
                </w:p>
              </w:tc>
              <w:tc>
                <w:tcPr>
                  <w:tcW w:w="828" w:type="dxa"/>
                  <w:shd w:val="clear" w:color="auto" w:fill="000000" w:themeFill="text1"/>
                </w:tcPr>
                <w:p w14:paraId="6FAF22AB" w14:textId="77777777" w:rsidR="000205D4" w:rsidRPr="000F0F3A" w:rsidRDefault="000205D4" w:rsidP="002C0578">
                  <w:pPr>
                    <w:jc w:val="left"/>
                    <w:rPr>
                      <w:b/>
                      <w:color w:val="FFFFFF" w:themeColor="background1"/>
                    </w:rPr>
                  </w:pPr>
                  <w:r w:rsidRPr="000F0F3A">
                    <w:rPr>
                      <w:b/>
                      <w:color w:val="FFFFFF" w:themeColor="background1"/>
                    </w:rPr>
                    <w:t>Score</w:t>
                  </w:r>
                </w:p>
              </w:tc>
            </w:tr>
            <w:tr w:rsidR="007465D7" w:rsidRPr="008614B5" w14:paraId="7D289349" w14:textId="77777777" w:rsidTr="00452A14">
              <w:tc>
                <w:tcPr>
                  <w:tcW w:w="4139" w:type="dxa"/>
                </w:tcPr>
                <w:p w14:paraId="0BF37121" w14:textId="77777777" w:rsidR="007465D7" w:rsidRPr="008614B5" w:rsidRDefault="007C2C16" w:rsidP="00273A25">
                  <w:pPr>
                    <w:jc w:val="left"/>
                  </w:pPr>
                  <w:r w:rsidRPr="008614B5">
                    <w:t>Offer price m</w:t>
                  </w:r>
                  <w:r w:rsidR="005A751B" w:rsidRPr="008614B5">
                    <w:t xml:space="preserve">ore than </w:t>
                  </w:r>
                  <w:r w:rsidR="00EB1A2C">
                    <w:t>0.</w:t>
                  </w:r>
                  <w:r w:rsidR="00452A14">
                    <w:t>000</w:t>
                  </w:r>
                  <w:r w:rsidR="005A751B" w:rsidRPr="008614B5">
                    <w:t>1%</w:t>
                  </w:r>
                  <w:r w:rsidRPr="008614B5">
                    <w:t xml:space="preserve"> higher</w:t>
                  </w:r>
                  <w:r w:rsidR="005A751B" w:rsidRPr="008614B5">
                    <w:t xml:space="preserve"> and equal to</w:t>
                  </w:r>
                  <w:r w:rsidR="00273A25" w:rsidRPr="008614B5">
                    <w:t xml:space="preserve">/less than </w:t>
                  </w:r>
                  <w:r w:rsidR="00DE4F38">
                    <w:t>5</w:t>
                  </w:r>
                  <w:r w:rsidR="005A751B" w:rsidRPr="008614B5">
                    <w:t>%</w:t>
                  </w:r>
                  <w:r w:rsidRPr="008614B5">
                    <w:t xml:space="preserve"> higher</w:t>
                  </w:r>
                </w:p>
              </w:tc>
              <w:tc>
                <w:tcPr>
                  <w:tcW w:w="828" w:type="dxa"/>
                </w:tcPr>
                <w:p w14:paraId="1547C3A0" w14:textId="77777777" w:rsidR="007465D7" w:rsidRPr="008614B5" w:rsidRDefault="008614B5" w:rsidP="002C0578">
                  <w:pPr>
                    <w:jc w:val="left"/>
                    <w:rPr>
                      <w:b/>
                    </w:rPr>
                  </w:pPr>
                  <w:r w:rsidRPr="008614B5">
                    <w:rPr>
                      <w:b/>
                    </w:rPr>
                    <w:t>9</w:t>
                  </w:r>
                </w:p>
              </w:tc>
            </w:tr>
            <w:tr w:rsidR="007465D7" w:rsidRPr="008614B5" w14:paraId="78F14A17" w14:textId="77777777" w:rsidTr="00452A14">
              <w:tc>
                <w:tcPr>
                  <w:tcW w:w="4139" w:type="dxa"/>
                </w:tcPr>
                <w:p w14:paraId="18A74046" w14:textId="77777777" w:rsidR="007465D7" w:rsidRPr="008614B5" w:rsidRDefault="007C2C16" w:rsidP="008614B5">
                  <w:pPr>
                    <w:jc w:val="left"/>
                  </w:pPr>
                  <w:r w:rsidRPr="008614B5">
                    <w:t>Offer price m</w:t>
                  </w:r>
                  <w:r w:rsidR="00DE4F38">
                    <w:t>ore than 5</w:t>
                  </w:r>
                  <w:r w:rsidR="00452A14">
                    <w:t>.0001</w:t>
                  </w:r>
                  <w:r w:rsidR="007465D7" w:rsidRPr="008614B5">
                    <w:t>%</w:t>
                  </w:r>
                  <w:r w:rsidRPr="008614B5">
                    <w:t xml:space="preserve"> higher</w:t>
                  </w:r>
                  <w:r w:rsidR="007465D7" w:rsidRPr="008614B5">
                    <w:t xml:space="preserve"> </w:t>
                  </w:r>
                  <w:r w:rsidR="005A751B" w:rsidRPr="008614B5">
                    <w:t xml:space="preserve">and </w:t>
                  </w:r>
                  <w:r w:rsidR="00273A25" w:rsidRPr="008614B5">
                    <w:t xml:space="preserve">equal to/less than </w:t>
                  </w:r>
                  <w:r w:rsidR="00DE4F38">
                    <w:t>1</w:t>
                  </w:r>
                  <w:r w:rsidR="002522E6">
                    <w:t>0</w:t>
                  </w:r>
                  <w:r w:rsidR="007465D7" w:rsidRPr="008614B5">
                    <w:t>%</w:t>
                  </w:r>
                  <w:r w:rsidRPr="008614B5">
                    <w:t xml:space="preserve"> higher</w:t>
                  </w:r>
                </w:p>
              </w:tc>
              <w:tc>
                <w:tcPr>
                  <w:tcW w:w="828" w:type="dxa"/>
                </w:tcPr>
                <w:p w14:paraId="63596E82" w14:textId="77777777" w:rsidR="007465D7" w:rsidRPr="008614B5" w:rsidRDefault="008614B5" w:rsidP="002C0578">
                  <w:pPr>
                    <w:jc w:val="left"/>
                    <w:rPr>
                      <w:b/>
                    </w:rPr>
                  </w:pPr>
                  <w:r w:rsidRPr="008614B5">
                    <w:rPr>
                      <w:b/>
                    </w:rPr>
                    <w:t>8</w:t>
                  </w:r>
                </w:p>
              </w:tc>
            </w:tr>
            <w:tr w:rsidR="007465D7" w:rsidRPr="008614B5" w14:paraId="35AEC82B" w14:textId="77777777" w:rsidTr="00452A14">
              <w:tc>
                <w:tcPr>
                  <w:tcW w:w="4139" w:type="dxa"/>
                </w:tcPr>
                <w:p w14:paraId="5BB43E87" w14:textId="77777777" w:rsidR="007465D7" w:rsidRPr="008614B5" w:rsidRDefault="007C2C16" w:rsidP="00DE4F38">
                  <w:pPr>
                    <w:jc w:val="left"/>
                  </w:pPr>
                  <w:r w:rsidRPr="008614B5">
                    <w:t>Offer price m</w:t>
                  </w:r>
                  <w:r w:rsidR="00DE4F38">
                    <w:t>ore than 1</w:t>
                  </w:r>
                  <w:r w:rsidR="002522E6">
                    <w:t>0</w:t>
                  </w:r>
                  <w:r w:rsidR="00452A14">
                    <w:t>.0001</w:t>
                  </w:r>
                  <w:r w:rsidR="005A751B" w:rsidRPr="008614B5">
                    <w:t>%</w:t>
                  </w:r>
                  <w:r w:rsidRPr="008614B5">
                    <w:t xml:space="preserve"> higher</w:t>
                  </w:r>
                  <w:r w:rsidR="005A751B" w:rsidRPr="008614B5">
                    <w:t xml:space="preserve"> and </w:t>
                  </w:r>
                  <w:r w:rsidR="00273A25" w:rsidRPr="008614B5">
                    <w:t xml:space="preserve">equal to/less than </w:t>
                  </w:r>
                  <w:r w:rsidR="00DE4F38">
                    <w:t>15</w:t>
                  </w:r>
                  <w:r w:rsidR="007465D7" w:rsidRPr="008614B5">
                    <w:t>%</w:t>
                  </w:r>
                  <w:r w:rsidRPr="008614B5">
                    <w:t xml:space="preserve"> higher</w:t>
                  </w:r>
                </w:p>
              </w:tc>
              <w:tc>
                <w:tcPr>
                  <w:tcW w:w="828" w:type="dxa"/>
                </w:tcPr>
                <w:p w14:paraId="2CCFA9B8" w14:textId="77777777" w:rsidR="007465D7" w:rsidRPr="008614B5" w:rsidRDefault="008614B5" w:rsidP="002C0578">
                  <w:pPr>
                    <w:jc w:val="left"/>
                    <w:rPr>
                      <w:b/>
                    </w:rPr>
                  </w:pPr>
                  <w:r w:rsidRPr="008614B5">
                    <w:rPr>
                      <w:b/>
                    </w:rPr>
                    <w:t>7</w:t>
                  </w:r>
                </w:p>
              </w:tc>
            </w:tr>
            <w:tr w:rsidR="008614B5" w:rsidRPr="008614B5" w14:paraId="5AC94244" w14:textId="77777777" w:rsidTr="00452A14">
              <w:tc>
                <w:tcPr>
                  <w:tcW w:w="4139" w:type="dxa"/>
                </w:tcPr>
                <w:p w14:paraId="0D41E8AD" w14:textId="77777777" w:rsidR="008614B5" w:rsidRPr="008614B5" w:rsidRDefault="002522E6" w:rsidP="001D3DC4">
                  <w:r>
                    <w:t>Offer price m</w:t>
                  </w:r>
                  <w:r w:rsidR="00DE4F38">
                    <w:t>ore than 15</w:t>
                  </w:r>
                  <w:r w:rsidR="00452A14">
                    <w:t>.0001</w:t>
                  </w:r>
                  <w:r w:rsidR="008614B5" w:rsidRPr="008614B5">
                    <w:t xml:space="preserve">% higher and equal to/less than </w:t>
                  </w:r>
                  <w:r w:rsidR="00DE4F38">
                    <w:t>2</w:t>
                  </w:r>
                  <w:r w:rsidR="008614B5" w:rsidRPr="008614B5">
                    <w:t>0% higher</w:t>
                  </w:r>
                </w:p>
              </w:tc>
              <w:tc>
                <w:tcPr>
                  <w:tcW w:w="828" w:type="dxa"/>
                </w:tcPr>
                <w:p w14:paraId="3487DA2A" w14:textId="77777777" w:rsidR="008614B5" w:rsidRPr="008614B5" w:rsidRDefault="008614B5" w:rsidP="002C0578">
                  <w:pPr>
                    <w:jc w:val="left"/>
                    <w:rPr>
                      <w:b/>
                    </w:rPr>
                  </w:pPr>
                  <w:r w:rsidRPr="008614B5">
                    <w:rPr>
                      <w:b/>
                    </w:rPr>
                    <w:t>6</w:t>
                  </w:r>
                </w:p>
              </w:tc>
            </w:tr>
            <w:tr w:rsidR="008614B5" w:rsidRPr="008614B5" w14:paraId="48E35ECB" w14:textId="77777777" w:rsidTr="00452A14">
              <w:tc>
                <w:tcPr>
                  <w:tcW w:w="4139" w:type="dxa"/>
                </w:tcPr>
                <w:p w14:paraId="76000FB4" w14:textId="77777777" w:rsidR="008614B5" w:rsidRPr="008614B5" w:rsidRDefault="00CC3471" w:rsidP="00CC3471">
                  <w:r>
                    <w:t>Offer price more than 2</w:t>
                  </w:r>
                  <w:r w:rsidR="008614B5" w:rsidRPr="008614B5">
                    <w:t>0</w:t>
                  </w:r>
                  <w:r w:rsidR="00452A14">
                    <w:t>.0001</w:t>
                  </w:r>
                  <w:r w:rsidR="008614B5" w:rsidRPr="008614B5">
                    <w:t>%</w:t>
                  </w:r>
                  <w:r w:rsidR="002522E6">
                    <w:t xml:space="preserve"> higher and equal to/less than </w:t>
                  </w:r>
                  <w:r>
                    <w:t>2</w:t>
                  </w:r>
                  <w:r w:rsidR="008614B5" w:rsidRPr="008614B5">
                    <w:t>5% higher</w:t>
                  </w:r>
                </w:p>
              </w:tc>
              <w:tc>
                <w:tcPr>
                  <w:tcW w:w="828" w:type="dxa"/>
                </w:tcPr>
                <w:p w14:paraId="7B6766E5" w14:textId="77777777" w:rsidR="008614B5" w:rsidRPr="008614B5" w:rsidRDefault="008614B5" w:rsidP="002C0578">
                  <w:pPr>
                    <w:jc w:val="left"/>
                    <w:rPr>
                      <w:b/>
                    </w:rPr>
                  </w:pPr>
                  <w:r w:rsidRPr="008614B5">
                    <w:rPr>
                      <w:b/>
                    </w:rPr>
                    <w:t>5</w:t>
                  </w:r>
                </w:p>
              </w:tc>
            </w:tr>
            <w:tr w:rsidR="008614B5" w:rsidRPr="008614B5" w14:paraId="1547E8D8" w14:textId="77777777" w:rsidTr="00452A14">
              <w:tc>
                <w:tcPr>
                  <w:tcW w:w="4139" w:type="dxa"/>
                </w:tcPr>
                <w:p w14:paraId="55B87879" w14:textId="77777777" w:rsidR="008614B5" w:rsidRPr="008614B5" w:rsidRDefault="002522E6" w:rsidP="00CC3471">
                  <w:r>
                    <w:t xml:space="preserve">Offer price more than </w:t>
                  </w:r>
                  <w:r w:rsidR="00CC3471">
                    <w:t>2</w:t>
                  </w:r>
                  <w:r w:rsidR="008614B5" w:rsidRPr="008614B5">
                    <w:t>5</w:t>
                  </w:r>
                  <w:r w:rsidR="00452A14">
                    <w:t>.0001</w:t>
                  </w:r>
                  <w:r w:rsidR="008614B5" w:rsidRPr="008614B5">
                    <w:t>%</w:t>
                  </w:r>
                  <w:r w:rsidR="00CC3471">
                    <w:t xml:space="preserve"> higher and equal to/less than 3</w:t>
                  </w:r>
                  <w:r>
                    <w:t>0</w:t>
                  </w:r>
                  <w:r w:rsidR="008614B5" w:rsidRPr="008614B5">
                    <w:t>% higher</w:t>
                  </w:r>
                </w:p>
              </w:tc>
              <w:tc>
                <w:tcPr>
                  <w:tcW w:w="828" w:type="dxa"/>
                </w:tcPr>
                <w:p w14:paraId="20F294EC" w14:textId="77777777" w:rsidR="008614B5" w:rsidRPr="008614B5" w:rsidRDefault="008614B5" w:rsidP="002C0578">
                  <w:pPr>
                    <w:jc w:val="left"/>
                    <w:rPr>
                      <w:b/>
                    </w:rPr>
                  </w:pPr>
                  <w:r w:rsidRPr="008614B5">
                    <w:rPr>
                      <w:b/>
                    </w:rPr>
                    <w:t>4</w:t>
                  </w:r>
                </w:p>
              </w:tc>
            </w:tr>
            <w:tr w:rsidR="008614B5" w:rsidRPr="008614B5" w14:paraId="02C2AAC9" w14:textId="77777777" w:rsidTr="00452A14">
              <w:tc>
                <w:tcPr>
                  <w:tcW w:w="4139" w:type="dxa"/>
                </w:tcPr>
                <w:p w14:paraId="02BC6869" w14:textId="77777777" w:rsidR="008614B5" w:rsidRPr="008614B5" w:rsidRDefault="008614B5" w:rsidP="00CC3471">
                  <w:r w:rsidRPr="008614B5">
                    <w:t xml:space="preserve">Offer </w:t>
                  </w:r>
                  <w:r w:rsidR="00CC3471">
                    <w:t>price more than 3</w:t>
                  </w:r>
                  <w:r w:rsidR="002522E6">
                    <w:t>0</w:t>
                  </w:r>
                  <w:r w:rsidR="00452A14">
                    <w:t>.0001</w:t>
                  </w:r>
                  <w:r w:rsidRPr="008614B5">
                    <w:t>% h</w:t>
                  </w:r>
                  <w:r w:rsidR="002522E6">
                    <w:t>igher and eq</w:t>
                  </w:r>
                  <w:r w:rsidR="00CC3471">
                    <w:t>ual to/less than 35</w:t>
                  </w:r>
                  <w:r w:rsidRPr="008614B5">
                    <w:t>% higher</w:t>
                  </w:r>
                </w:p>
              </w:tc>
              <w:tc>
                <w:tcPr>
                  <w:tcW w:w="828" w:type="dxa"/>
                </w:tcPr>
                <w:p w14:paraId="10FE31A1" w14:textId="77777777" w:rsidR="008614B5" w:rsidRPr="008614B5" w:rsidRDefault="008614B5" w:rsidP="002C0578">
                  <w:pPr>
                    <w:jc w:val="left"/>
                    <w:rPr>
                      <w:b/>
                    </w:rPr>
                  </w:pPr>
                  <w:r w:rsidRPr="008614B5">
                    <w:rPr>
                      <w:b/>
                    </w:rPr>
                    <w:t>3</w:t>
                  </w:r>
                </w:p>
              </w:tc>
            </w:tr>
            <w:tr w:rsidR="008614B5" w:rsidRPr="008614B5" w14:paraId="1FCE766B" w14:textId="77777777" w:rsidTr="00452A14">
              <w:tc>
                <w:tcPr>
                  <w:tcW w:w="4139" w:type="dxa"/>
                </w:tcPr>
                <w:p w14:paraId="011E9B78" w14:textId="77777777" w:rsidR="008614B5" w:rsidRPr="008614B5" w:rsidRDefault="008614B5" w:rsidP="00CC3471">
                  <w:r w:rsidRPr="008614B5">
                    <w:lastRenderedPageBreak/>
                    <w:t xml:space="preserve">Offer price more than </w:t>
                  </w:r>
                  <w:r w:rsidR="00CC3471">
                    <w:t>35</w:t>
                  </w:r>
                  <w:r w:rsidR="00452A14">
                    <w:t>.0001</w:t>
                  </w:r>
                  <w:r w:rsidRPr="008614B5">
                    <w:t>%</w:t>
                  </w:r>
                  <w:r w:rsidR="00CC3471">
                    <w:t xml:space="preserve"> higher and equal to/less than 4</w:t>
                  </w:r>
                  <w:r w:rsidRPr="008614B5">
                    <w:t>0% higher</w:t>
                  </w:r>
                </w:p>
              </w:tc>
              <w:tc>
                <w:tcPr>
                  <w:tcW w:w="828" w:type="dxa"/>
                </w:tcPr>
                <w:p w14:paraId="0E3EF1C9" w14:textId="77777777" w:rsidR="008614B5" w:rsidRPr="008614B5" w:rsidRDefault="008614B5" w:rsidP="002C0578">
                  <w:pPr>
                    <w:jc w:val="left"/>
                    <w:rPr>
                      <w:b/>
                    </w:rPr>
                  </w:pPr>
                  <w:r w:rsidRPr="008614B5">
                    <w:rPr>
                      <w:b/>
                    </w:rPr>
                    <w:t>2</w:t>
                  </w:r>
                </w:p>
              </w:tc>
            </w:tr>
            <w:tr w:rsidR="008614B5" w:rsidRPr="008614B5" w14:paraId="4A2D0A7C" w14:textId="77777777" w:rsidTr="00452A14">
              <w:tc>
                <w:tcPr>
                  <w:tcW w:w="4139" w:type="dxa"/>
                </w:tcPr>
                <w:p w14:paraId="4EA1BBBF" w14:textId="77777777" w:rsidR="008614B5" w:rsidRPr="008614B5" w:rsidRDefault="00CC3471" w:rsidP="001D3DC4">
                  <w:r>
                    <w:t>Offer price more than 4</w:t>
                  </w:r>
                  <w:r w:rsidR="008614B5" w:rsidRPr="008614B5">
                    <w:t>0</w:t>
                  </w:r>
                  <w:r w:rsidR="00452A14">
                    <w:t>.0001</w:t>
                  </w:r>
                  <w:r w:rsidR="008614B5" w:rsidRPr="008614B5">
                    <w:t xml:space="preserve">% </w:t>
                  </w:r>
                  <w:r w:rsidR="002522E6">
                    <w:t xml:space="preserve">higher </w:t>
                  </w:r>
                  <w:r>
                    <w:t>than lowest offer price</w:t>
                  </w:r>
                </w:p>
              </w:tc>
              <w:tc>
                <w:tcPr>
                  <w:tcW w:w="828" w:type="dxa"/>
                </w:tcPr>
                <w:p w14:paraId="2DAC6861" w14:textId="77777777" w:rsidR="008614B5" w:rsidRPr="008614B5" w:rsidRDefault="008614B5" w:rsidP="002C0578">
                  <w:pPr>
                    <w:jc w:val="left"/>
                    <w:rPr>
                      <w:b/>
                    </w:rPr>
                  </w:pPr>
                  <w:r w:rsidRPr="008614B5">
                    <w:rPr>
                      <w:b/>
                    </w:rPr>
                    <w:t>1</w:t>
                  </w:r>
                </w:p>
              </w:tc>
            </w:tr>
            <w:tr w:rsidR="001D3DC4" w:rsidRPr="008614B5" w14:paraId="69866AC9" w14:textId="77777777" w:rsidTr="00452A14">
              <w:tc>
                <w:tcPr>
                  <w:tcW w:w="4139" w:type="dxa"/>
                </w:tcPr>
                <w:p w14:paraId="3CF80832" w14:textId="77777777" w:rsidR="001D3DC4" w:rsidRDefault="00CC3471" w:rsidP="00CC3471">
                  <w:r>
                    <w:t>No bid</w:t>
                  </w:r>
                  <w:r w:rsidR="001D3DC4">
                    <w:t xml:space="preserve"> </w:t>
                  </w:r>
                </w:p>
              </w:tc>
              <w:tc>
                <w:tcPr>
                  <w:tcW w:w="828" w:type="dxa"/>
                </w:tcPr>
                <w:p w14:paraId="125F3524" w14:textId="77777777" w:rsidR="001D3DC4" w:rsidRPr="008614B5" w:rsidRDefault="001D3DC4" w:rsidP="002C0578">
                  <w:pPr>
                    <w:jc w:val="left"/>
                    <w:rPr>
                      <w:b/>
                    </w:rPr>
                  </w:pPr>
                  <w:r>
                    <w:rPr>
                      <w:b/>
                    </w:rPr>
                    <w:t>0</w:t>
                  </w:r>
                </w:p>
              </w:tc>
            </w:tr>
          </w:tbl>
          <w:p w14:paraId="64BB9083" w14:textId="77777777" w:rsidR="00003858" w:rsidRDefault="00003858" w:rsidP="00273A25">
            <w:pPr>
              <w:jc w:val="left"/>
              <w:rPr>
                <w:b/>
              </w:rPr>
            </w:pPr>
          </w:p>
          <w:p w14:paraId="0AA3D639" w14:textId="77777777" w:rsidR="000A115E" w:rsidRPr="002130CE" w:rsidRDefault="000A115E" w:rsidP="00273A25">
            <w:pPr>
              <w:jc w:val="left"/>
              <w:rPr>
                <w:b/>
              </w:rPr>
            </w:pPr>
          </w:p>
        </w:tc>
        <w:tc>
          <w:tcPr>
            <w:tcW w:w="1337" w:type="dxa"/>
            <w:vAlign w:val="center"/>
          </w:tcPr>
          <w:p w14:paraId="4A5DFA02" w14:textId="77777777" w:rsidR="00D257F8" w:rsidRPr="00BE416A" w:rsidRDefault="00410FB1" w:rsidP="00BE416A">
            <w:pPr>
              <w:jc w:val="center"/>
              <w:rPr>
                <w:b/>
              </w:rPr>
            </w:pPr>
            <w:r>
              <w:rPr>
                <w:b/>
              </w:rPr>
              <w:lastRenderedPageBreak/>
              <w:t>75</w:t>
            </w:r>
            <w:r w:rsidR="00D257F8" w:rsidRPr="00BE416A">
              <w:rPr>
                <w:b/>
              </w:rPr>
              <w:t>%</w:t>
            </w:r>
          </w:p>
        </w:tc>
      </w:tr>
      <w:tr w:rsidR="006D6760" w14:paraId="27364115" w14:textId="77777777" w:rsidTr="00A47124">
        <w:tc>
          <w:tcPr>
            <w:tcW w:w="2410" w:type="dxa"/>
            <w:vAlign w:val="center"/>
          </w:tcPr>
          <w:p w14:paraId="30E541F3" w14:textId="77777777" w:rsidR="006D6760" w:rsidRPr="00F3055D" w:rsidRDefault="006D6760" w:rsidP="00EF4A4E">
            <w:pPr>
              <w:pStyle w:val="ListParagraph"/>
              <w:numPr>
                <w:ilvl w:val="0"/>
                <w:numId w:val="11"/>
              </w:numPr>
              <w:jc w:val="left"/>
              <w:rPr>
                <w:b/>
              </w:rPr>
            </w:pPr>
            <w:r w:rsidRPr="00F826FF">
              <w:rPr>
                <w:b/>
              </w:rPr>
              <w:t>Security of Supply</w:t>
            </w:r>
          </w:p>
        </w:tc>
        <w:tc>
          <w:tcPr>
            <w:tcW w:w="5387" w:type="dxa"/>
            <w:vAlign w:val="center"/>
          </w:tcPr>
          <w:p w14:paraId="661FCAA3" w14:textId="77777777" w:rsidR="006D6760" w:rsidRDefault="006D6760" w:rsidP="002C0578">
            <w:pPr>
              <w:jc w:val="left"/>
              <w:rPr>
                <w:highlight w:val="yellow"/>
              </w:rPr>
            </w:pPr>
          </w:p>
          <w:p w14:paraId="6CADB45E" w14:textId="77777777" w:rsidR="000A115E" w:rsidRPr="00590FB7" w:rsidRDefault="000A115E" w:rsidP="000A115E">
            <w:pPr>
              <w:jc w:val="left"/>
            </w:pPr>
            <w:r w:rsidRPr="00590FB7">
              <w:t xml:space="preserve">Offerors will be evaluated on the </w:t>
            </w:r>
            <w:r w:rsidR="000C09BE" w:rsidRPr="0050755B">
              <w:t>capacity</w:t>
            </w:r>
            <w:r w:rsidRPr="0050755B">
              <w:t xml:space="preserve"> of supply</w:t>
            </w:r>
            <w:r w:rsidRPr="00590FB7">
              <w:t xml:space="preserve"> for the product being offered:</w:t>
            </w:r>
          </w:p>
          <w:p w14:paraId="5EED5C3A" w14:textId="77777777" w:rsidR="000A115E" w:rsidRDefault="000A115E" w:rsidP="000A115E">
            <w:pPr>
              <w:jc w:val="left"/>
              <w:rPr>
                <w:i/>
                <w:sz w:val="20"/>
              </w:rPr>
            </w:pPr>
            <w:r>
              <w:rPr>
                <w:i/>
                <w:sz w:val="20"/>
              </w:rPr>
              <w:t xml:space="preserve">If </w:t>
            </w:r>
            <w:r w:rsidRPr="003A5859">
              <w:rPr>
                <w:i/>
                <w:sz w:val="20"/>
              </w:rPr>
              <w:t>request</w:t>
            </w:r>
            <w:r>
              <w:rPr>
                <w:i/>
                <w:sz w:val="20"/>
              </w:rPr>
              <w:t>ed</w:t>
            </w:r>
            <w:r w:rsidRPr="003A5859">
              <w:rPr>
                <w:i/>
                <w:sz w:val="20"/>
              </w:rPr>
              <w:t xml:space="preserve"> suppliers must provide evidence supporting their answer for this section</w:t>
            </w:r>
          </w:p>
          <w:p w14:paraId="52F8146E" w14:textId="77777777" w:rsidR="000A115E" w:rsidRDefault="000A115E" w:rsidP="000A115E">
            <w:pPr>
              <w:jc w:val="left"/>
              <w:rPr>
                <w:i/>
              </w:rPr>
            </w:pPr>
          </w:p>
          <w:p w14:paraId="090567BD" w14:textId="3232095C" w:rsidR="007054A1" w:rsidRDefault="00CB324B" w:rsidP="00F826FF">
            <w:pPr>
              <w:jc w:val="left"/>
              <w:rPr>
                <w:lang w:val="en-US"/>
              </w:rPr>
            </w:pPr>
            <w:r>
              <w:rPr>
                <w:b/>
              </w:rPr>
              <w:t xml:space="preserve">5 </w:t>
            </w:r>
            <w:r w:rsidR="00C85A4D">
              <w:rPr>
                <w:b/>
              </w:rPr>
              <w:t>Minimum a</w:t>
            </w:r>
            <w:r w:rsidR="00F826FF">
              <w:rPr>
                <w:b/>
              </w:rPr>
              <w:t xml:space="preserve">nnual volume of product available </w:t>
            </w:r>
            <w:r w:rsidR="00C85A4D">
              <w:rPr>
                <w:b/>
              </w:rPr>
              <w:t xml:space="preserve">to the UK market </w:t>
            </w:r>
            <w:r w:rsidR="00F826FF" w:rsidRPr="00C677CD">
              <w:t>(</w:t>
            </w:r>
            <w:r w:rsidR="00C85A4D">
              <w:t xml:space="preserve">as </w:t>
            </w:r>
            <w:r w:rsidR="00F826FF">
              <w:rPr>
                <w:i/>
                <w:lang w:val="en-US"/>
              </w:rPr>
              <w:t>a percentage of the volume stated</w:t>
            </w:r>
            <w:r w:rsidR="00C85A4D">
              <w:rPr>
                <w:i/>
                <w:lang w:val="en-US"/>
              </w:rPr>
              <w:t xml:space="preserve"> for the relevant Lot</w:t>
            </w:r>
            <w:r w:rsidR="00F826FF">
              <w:rPr>
                <w:i/>
                <w:lang w:val="en-US"/>
              </w:rPr>
              <w:t xml:space="preserve"> in Table 1 </w:t>
            </w:r>
            <w:r w:rsidR="00C85A4D">
              <w:rPr>
                <w:i/>
                <w:lang w:val="en-US"/>
              </w:rPr>
              <w:t>of this document</w:t>
            </w:r>
            <w:r w:rsidR="00F826FF">
              <w:rPr>
                <w:i/>
                <w:lang w:val="en-US"/>
              </w:rPr>
              <w:t>)</w:t>
            </w:r>
            <w:r w:rsidR="007054A1">
              <w:rPr>
                <w:i/>
                <w:lang w:val="en-US"/>
              </w:rPr>
              <w:t xml:space="preserve"> </w:t>
            </w:r>
          </w:p>
          <w:p w14:paraId="7E48194D" w14:textId="77777777" w:rsidR="00C85A4D" w:rsidRPr="00C677CD" w:rsidRDefault="00C85A4D" w:rsidP="00F826FF">
            <w:pPr>
              <w:jc w:val="left"/>
              <w:rPr>
                <w:i/>
                <w:sz w:val="20"/>
              </w:rPr>
            </w:pPr>
          </w:p>
          <w:tbl>
            <w:tblPr>
              <w:tblStyle w:val="TableGrid"/>
              <w:tblW w:w="0" w:type="auto"/>
              <w:tblLayout w:type="fixed"/>
              <w:tblLook w:val="04A0" w:firstRow="1" w:lastRow="0" w:firstColumn="1" w:lastColumn="0" w:noHBand="0" w:noVBand="1"/>
            </w:tblPr>
            <w:tblGrid>
              <w:gridCol w:w="4276"/>
              <w:gridCol w:w="850"/>
            </w:tblGrid>
            <w:tr w:rsidR="00F826FF" w:rsidRPr="00A97D12" w14:paraId="79197938" w14:textId="77777777" w:rsidTr="00971EF7">
              <w:tc>
                <w:tcPr>
                  <w:tcW w:w="4276" w:type="dxa"/>
                  <w:shd w:val="clear" w:color="auto" w:fill="000000" w:themeFill="text1"/>
                </w:tcPr>
                <w:p w14:paraId="2EFF9FDA" w14:textId="77777777" w:rsidR="00F826FF" w:rsidRPr="00E166C1" w:rsidRDefault="00F826FF" w:rsidP="00F826FF">
                  <w:pPr>
                    <w:jc w:val="left"/>
                    <w:rPr>
                      <w:b/>
                      <w:color w:val="FFFFFF" w:themeColor="background1"/>
                      <w:highlight w:val="yellow"/>
                    </w:rPr>
                  </w:pPr>
                </w:p>
              </w:tc>
              <w:tc>
                <w:tcPr>
                  <w:tcW w:w="850" w:type="dxa"/>
                  <w:shd w:val="clear" w:color="auto" w:fill="000000" w:themeFill="text1"/>
                </w:tcPr>
                <w:p w14:paraId="1FA431DC" w14:textId="77777777" w:rsidR="00F826FF" w:rsidRPr="00A97D12" w:rsidRDefault="00F826FF" w:rsidP="00F826FF">
                  <w:pPr>
                    <w:jc w:val="left"/>
                    <w:rPr>
                      <w:b/>
                      <w:color w:val="FFFFFF" w:themeColor="background1"/>
                      <w:highlight w:val="yellow"/>
                    </w:rPr>
                  </w:pPr>
                  <w:r w:rsidRPr="00413C55">
                    <w:rPr>
                      <w:b/>
                      <w:color w:val="FFFFFF" w:themeColor="background1"/>
                    </w:rPr>
                    <w:t>Score</w:t>
                  </w:r>
                </w:p>
              </w:tc>
            </w:tr>
            <w:tr w:rsidR="00F826FF" w:rsidRPr="00A97D12" w14:paraId="421897B2" w14:textId="77777777" w:rsidTr="00971EF7">
              <w:tc>
                <w:tcPr>
                  <w:tcW w:w="4276" w:type="dxa"/>
                </w:tcPr>
                <w:p w14:paraId="614C514D" w14:textId="77777777" w:rsidR="00F826FF" w:rsidRPr="00F826FF" w:rsidRDefault="00F826FF" w:rsidP="00F826FF">
                  <w:pPr>
                    <w:jc w:val="left"/>
                    <w:rPr>
                      <w:rFonts w:eastAsiaTheme="minorHAnsi" w:cs="Arial"/>
                      <w:szCs w:val="22"/>
                      <w:highlight w:val="yellow"/>
                    </w:rPr>
                  </w:pPr>
                  <w:r w:rsidRPr="00F826FF">
                    <w:rPr>
                      <w:rFonts w:eastAsiaTheme="minorHAnsi" w:cs="Arial"/>
                      <w:szCs w:val="22"/>
                    </w:rPr>
                    <w:t>&gt;100%</w:t>
                  </w:r>
                </w:p>
              </w:tc>
              <w:tc>
                <w:tcPr>
                  <w:tcW w:w="850" w:type="dxa"/>
                </w:tcPr>
                <w:p w14:paraId="47D7EFD5" w14:textId="77777777" w:rsidR="00F826FF" w:rsidRDefault="00F826FF" w:rsidP="00F826FF">
                  <w:pPr>
                    <w:jc w:val="left"/>
                    <w:rPr>
                      <w:rFonts w:eastAsiaTheme="minorHAnsi" w:cs="Arial"/>
                      <w:b/>
                      <w:bCs/>
                      <w:szCs w:val="22"/>
                    </w:rPr>
                  </w:pPr>
                  <w:r>
                    <w:rPr>
                      <w:b/>
                      <w:bCs/>
                    </w:rPr>
                    <w:t>10</w:t>
                  </w:r>
                </w:p>
              </w:tc>
            </w:tr>
            <w:tr w:rsidR="00F826FF" w:rsidRPr="00A97D12" w14:paraId="56A5C346" w14:textId="77777777" w:rsidTr="00971EF7">
              <w:tc>
                <w:tcPr>
                  <w:tcW w:w="4276" w:type="dxa"/>
                </w:tcPr>
                <w:p w14:paraId="44804EEC" w14:textId="77777777" w:rsidR="00F826FF" w:rsidRDefault="00F826FF" w:rsidP="00F826FF">
                  <w:pPr>
                    <w:jc w:val="left"/>
                    <w:rPr>
                      <w:rFonts w:eastAsiaTheme="minorHAnsi" w:cs="Arial"/>
                      <w:szCs w:val="22"/>
                      <w:highlight w:val="yellow"/>
                    </w:rPr>
                  </w:pPr>
                  <w:r>
                    <w:t>&gt;75%-100%</w:t>
                  </w:r>
                </w:p>
              </w:tc>
              <w:tc>
                <w:tcPr>
                  <w:tcW w:w="850" w:type="dxa"/>
                </w:tcPr>
                <w:p w14:paraId="0960839D" w14:textId="77777777" w:rsidR="00F826FF" w:rsidRDefault="00F826FF" w:rsidP="00F826FF">
                  <w:pPr>
                    <w:jc w:val="left"/>
                    <w:rPr>
                      <w:rFonts w:eastAsiaTheme="minorHAnsi" w:cs="Arial"/>
                      <w:b/>
                      <w:bCs/>
                      <w:szCs w:val="22"/>
                    </w:rPr>
                  </w:pPr>
                  <w:r>
                    <w:rPr>
                      <w:b/>
                      <w:bCs/>
                    </w:rPr>
                    <w:t>7</w:t>
                  </w:r>
                </w:p>
              </w:tc>
            </w:tr>
            <w:tr w:rsidR="00F826FF" w:rsidRPr="00A97D12" w14:paraId="736E24A1" w14:textId="77777777" w:rsidTr="00971EF7">
              <w:tc>
                <w:tcPr>
                  <w:tcW w:w="4276" w:type="dxa"/>
                </w:tcPr>
                <w:p w14:paraId="304138D6" w14:textId="77777777" w:rsidR="00F826FF" w:rsidRDefault="00F826FF" w:rsidP="00F826FF">
                  <w:pPr>
                    <w:jc w:val="left"/>
                    <w:rPr>
                      <w:rFonts w:eastAsiaTheme="minorHAnsi" w:cs="Arial"/>
                      <w:szCs w:val="22"/>
                      <w:highlight w:val="yellow"/>
                    </w:rPr>
                  </w:pPr>
                  <w:r>
                    <w:t>&gt;50-75%</w:t>
                  </w:r>
                </w:p>
              </w:tc>
              <w:tc>
                <w:tcPr>
                  <w:tcW w:w="850" w:type="dxa"/>
                </w:tcPr>
                <w:p w14:paraId="512E2C81" w14:textId="77777777" w:rsidR="00F826FF" w:rsidRDefault="00F826FF" w:rsidP="00F826FF">
                  <w:pPr>
                    <w:jc w:val="left"/>
                    <w:rPr>
                      <w:rFonts w:eastAsiaTheme="minorHAnsi" w:cs="Arial"/>
                      <w:b/>
                      <w:bCs/>
                      <w:szCs w:val="22"/>
                    </w:rPr>
                  </w:pPr>
                  <w:r>
                    <w:rPr>
                      <w:b/>
                      <w:bCs/>
                    </w:rPr>
                    <w:t>5</w:t>
                  </w:r>
                </w:p>
              </w:tc>
            </w:tr>
            <w:tr w:rsidR="00F826FF" w14:paraId="3FEA3090" w14:textId="77777777" w:rsidTr="00971EF7">
              <w:tc>
                <w:tcPr>
                  <w:tcW w:w="4276" w:type="dxa"/>
                </w:tcPr>
                <w:p w14:paraId="63803789" w14:textId="77777777" w:rsidR="00F826FF" w:rsidRDefault="00F826FF" w:rsidP="00F826FF">
                  <w:pPr>
                    <w:jc w:val="left"/>
                    <w:rPr>
                      <w:rFonts w:eastAsiaTheme="minorHAnsi" w:cs="Arial"/>
                      <w:szCs w:val="22"/>
                      <w:highlight w:val="yellow"/>
                    </w:rPr>
                  </w:pPr>
                  <w:r>
                    <w:t>&gt;25%-50%</w:t>
                  </w:r>
                </w:p>
              </w:tc>
              <w:tc>
                <w:tcPr>
                  <w:tcW w:w="850" w:type="dxa"/>
                </w:tcPr>
                <w:p w14:paraId="48DF7722" w14:textId="77777777" w:rsidR="00F826FF" w:rsidRDefault="00F826FF" w:rsidP="00F826FF">
                  <w:pPr>
                    <w:jc w:val="left"/>
                    <w:rPr>
                      <w:rFonts w:eastAsiaTheme="minorHAnsi" w:cs="Arial"/>
                      <w:b/>
                      <w:bCs/>
                      <w:szCs w:val="22"/>
                    </w:rPr>
                  </w:pPr>
                  <w:r>
                    <w:rPr>
                      <w:b/>
                      <w:bCs/>
                    </w:rPr>
                    <w:t>3</w:t>
                  </w:r>
                </w:p>
              </w:tc>
            </w:tr>
            <w:tr w:rsidR="00F826FF" w14:paraId="28DB7EAF" w14:textId="77777777" w:rsidTr="00971EF7">
              <w:tc>
                <w:tcPr>
                  <w:tcW w:w="4276" w:type="dxa"/>
                </w:tcPr>
                <w:p w14:paraId="1655DCA8" w14:textId="77777777" w:rsidR="00F826FF" w:rsidRDefault="00F826FF" w:rsidP="00F826FF">
                  <w:pPr>
                    <w:jc w:val="left"/>
                  </w:pPr>
                  <w:r>
                    <w:t>= or &lt;25%</w:t>
                  </w:r>
                </w:p>
              </w:tc>
              <w:tc>
                <w:tcPr>
                  <w:tcW w:w="850" w:type="dxa"/>
                </w:tcPr>
                <w:p w14:paraId="76FED26C" w14:textId="77777777" w:rsidR="00F826FF" w:rsidRDefault="00F826FF" w:rsidP="00F826FF">
                  <w:pPr>
                    <w:jc w:val="left"/>
                    <w:rPr>
                      <w:b/>
                      <w:bCs/>
                    </w:rPr>
                  </w:pPr>
                  <w:r>
                    <w:rPr>
                      <w:b/>
                      <w:bCs/>
                    </w:rPr>
                    <w:t>1</w:t>
                  </w:r>
                </w:p>
              </w:tc>
            </w:tr>
          </w:tbl>
          <w:p w14:paraId="0797C663" w14:textId="77777777" w:rsidR="00F826FF" w:rsidRPr="00C677CD" w:rsidRDefault="00F826FF" w:rsidP="000A115E">
            <w:pPr>
              <w:jc w:val="left"/>
              <w:rPr>
                <w:i/>
              </w:rPr>
            </w:pPr>
          </w:p>
          <w:p w14:paraId="45CA72DF" w14:textId="562CA905" w:rsidR="007054A1" w:rsidRDefault="00CB324B" w:rsidP="000A115E">
            <w:pPr>
              <w:jc w:val="left"/>
              <w:rPr>
                <w:i/>
                <w:lang w:val="en-US"/>
              </w:rPr>
            </w:pPr>
            <w:r>
              <w:rPr>
                <w:b/>
              </w:rPr>
              <w:t xml:space="preserve">6 </w:t>
            </w:r>
            <w:r w:rsidR="000A115E" w:rsidRPr="00C677CD">
              <w:rPr>
                <w:b/>
              </w:rPr>
              <w:t>Drug substance manufacture</w:t>
            </w:r>
            <w:r w:rsidR="000A115E">
              <w:rPr>
                <w:b/>
              </w:rPr>
              <w:t xml:space="preserve"> </w:t>
            </w:r>
            <w:r w:rsidR="000A115E" w:rsidRPr="00C677CD">
              <w:t>(</w:t>
            </w:r>
            <w:r w:rsidR="000A115E" w:rsidRPr="00C677CD">
              <w:rPr>
                <w:i/>
                <w:lang w:val="en-US"/>
              </w:rPr>
              <w:t>preparation of substances to be used in the manufacture of the final drug</w:t>
            </w:r>
            <w:r w:rsidR="000A115E">
              <w:rPr>
                <w:i/>
                <w:lang w:val="en-US"/>
              </w:rPr>
              <w:t>)</w:t>
            </w:r>
          </w:p>
          <w:p w14:paraId="2A70C483" w14:textId="77777777" w:rsidR="000A115E" w:rsidRPr="00C677CD" w:rsidRDefault="000A115E" w:rsidP="000A115E">
            <w:pPr>
              <w:jc w:val="left"/>
              <w:rPr>
                <w:i/>
                <w:sz w:val="20"/>
              </w:rPr>
            </w:pPr>
          </w:p>
          <w:tbl>
            <w:tblPr>
              <w:tblStyle w:val="TableGrid"/>
              <w:tblW w:w="0" w:type="auto"/>
              <w:tblLayout w:type="fixed"/>
              <w:tblLook w:val="04A0" w:firstRow="1" w:lastRow="0" w:firstColumn="1" w:lastColumn="0" w:noHBand="0" w:noVBand="1"/>
            </w:tblPr>
            <w:tblGrid>
              <w:gridCol w:w="4276"/>
              <w:gridCol w:w="850"/>
            </w:tblGrid>
            <w:tr w:rsidR="000A115E" w:rsidRPr="00A97D12" w14:paraId="0E619EEF" w14:textId="77777777" w:rsidTr="001928EC">
              <w:tc>
                <w:tcPr>
                  <w:tcW w:w="4276" w:type="dxa"/>
                  <w:shd w:val="clear" w:color="auto" w:fill="000000" w:themeFill="text1"/>
                </w:tcPr>
                <w:p w14:paraId="432FB1E7" w14:textId="77777777" w:rsidR="000A115E" w:rsidRPr="00E166C1" w:rsidRDefault="000A115E" w:rsidP="001928EC">
                  <w:pPr>
                    <w:jc w:val="left"/>
                    <w:rPr>
                      <w:b/>
                      <w:color w:val="FFFFFF" w:themeColor="background1"/>
                      <w:highlight w:val="yellow"/>
                    </w:rPr>
                  </w:pPr>
                </w:p>
              </w:tc>
              <w:tc>
                <w:tcPr>
                  <w:tcW w:w="850" w:type="dxa"/>
                  <w:shd w:val="clear" w:color="auto" w:fill="000000" w:themeFill="text1"/>
                </w:tcPr>
                <w:p w14:paraId="17C8D35F" w14:textId="77777777" w:rsidR="000A115E" w:rsidRPr="00A97D12" w:rsidRDefault="000A115E" w:rsidP="001928EC">
                  <w:pPr>
                    <w:jc w:val="left"/>
                    <w:rPr>
                      <w:b/>
                      <w:color w:val="FFFFFF" w:themeColor="background1"/>
                      <w:highlight w:val="yellow"/>
                    </w:rPr>
                  </w:pPr>
                  <w:r w:rsidRPr="00413C55">
                    <w:rPr>
                      <w:b/>
                      <w:color w:val="FFFFFF" w:themeColor="background1"/>
                    </w:rPr>
                    <w:t>Score</w:t>
                  </w:r>
                </w:p>
              </w:tc>
            </w:tr>
            <w:tr w:rsidR="000A115E" w:rsidRPr="00A97D12" w14:paraId="082B0C0A" w14:textId="77777777" w:rsidTr="001928EC">
              <w:tc>
                <w:tcPr>
                  <w:tcW w:w="4276" w:type="dxa"/>
                </w:tcPr>
                <w:p w14:paraId="521AEBDF" w14:textId="77777777" w:rsidR="000A115E" w:rsidRDefault="000A115E" w:rsidP="001928EC">
                  <w:pPr>
                    <w:jc w:val="left"/>
                    <w:rPr>
                      <w:rFonts w:eastAsiaTheme="minorHAnsi" w:cs="Arial"/>
                      <w:szCs w:val="22"/>
                      <w:highlight w:val="yellow"/>
                    </w:rPr>
                  </w:pPr>
                  <w:r>
                    <w:t xml:space="preserve">Multiple </w:t>
                  </w:r>
                  <w:r w:rsidR="007054A1">
                    <w:t xml:space="preserve">(&gt;2) </w:t>
                  </w:r>
                  <w:r>
                    <w:t>geographic locations with facilities</w:t>
                  </w:r>
                </w:p>
              </w:tc>
              <w:tc>
                <w:tcPr>
                  <w:tcW w:w="850" w:type="dxa"/>
                </w:tcPr>
                <w:p w14:paraId="6DD7BAED" w14:textId="77777777" w:rsidR="000A115E" w:rsidRDefault="000A115E" w:rsidP="001928EC">
                  <w:pPr>
                    <w:jc w:val="left"/>
                    <w:rPr>
                      <w:rFonts w:eastAsiaTheme="minorHAnsi" w:cs="Arial"/>
                      <w:b/>
                      <w:bCs/>
                      <w:szCs w:val="22"/>
                    </w:rPr>
                  </w:pPr>
                  <w:r>
                    <w:rPr>
                      <w:b/>
                      <w:bCs/>
                    </w:rPr>
                    <w:t>5</w:t>
                  </w:r>
                </w:p>
              </w:tc>
            </w:tr>
            <w:tr w:rsidR="000A115E" w:rsidRPr="00A97D12" w14:paraId="3E9DBB42" w14:textId="77777777" w:rsidTr="001928EC">
              <w:tc>
                <w:tcPr>
                  <w:tcW w:w="4276" w:type="dxa"/>
                </w:tcPr>
                <w:p w14:paraId="76798B82" w14:textId="77777777" w:rsidR="000A115E" w:rsidRDefault="000A115E" w:rsidP="001928EC">
                  <w:pPr>
                    <w:jc w:val="left"/>
                    <w:rPr>
                      <w:rFonts w:eastAsiaTheme="minorHAnsi" w:cs="Arial"/>
                      <w:szCs w:val="22"/>
                      <w:highlight w:val="yellow"/>
                    </w:rPr>
                  </w:pPr>
                  <w:r>
                    <w:t>Two geographic locations with facilities</w:t>
                  </w:r>
                </w:p>
              </w:tc>
              <w:tc>
                <w:tcPr>
                  <w:tcW w:w="850" w:type="dxa"/>
                </w:tcPr>
                <w:p w14:paraId="2FE9FD0D" w14:textId="77777777" w:rsidR="000A115E" w:rsidRDefault="000A115E" w:rsidP="001928EC">
                  <w:pPr>
                    <w:jc w:val="left"/>
                    <w:rPr>
                      <w:rFonts w:eastAsiaTheme="minorHAnsi" w:cs="Arial"/>
                      <w:b/>
                      <w:bCs/>
                      <w:szCs w:val="22"/>
                    </w:rPr>
                  </w:pPr>
                  <w:r>
                    <w:rPr>
                      <w:b/>
                      <w:bCs/>
                    </w:rPr>
                    <w:t>4</w:t>
                  </w:r>
                </w:p>
              </w:tc>
            </w:tr>
            <w:tr w:rsidR="000A115E" w:rsidRPr="00A97D12" w14:paraId="257216D3" w14:textId="77777777" w:rsidTr="001928EC">
              <w:tc>
                <w:tcPr>
                  <w:tcW w:w="4276" w:type="dxa"/>
                </w:tcPr>
                <w:p w14:paraId="44259D28" w14:textId="77777777" w:rsidR="000A115E" w:rsidRDefault="000A115E" w:rsidP="001928EC">
                  <w:pPr>
                    <w:jc w:val="left"/>
                    <w:rPr>
                      <w:rFonts w:eastAsiaTheme="minorHAnsi" w:cs="Arial"/>
                      <w:szCs w:val="22"/>
                      <w:highlight w:val="yellow"/>
                    </w:rPr>
                  </w:pPr>
                  <w:r>
                    <w:t>One geographic location with two or more facilities</w:t>
                  </w:r>
                </w:p>
              </w:tc>
              <w:tc>
                <w:tcPr>
                  <w:tcW w:w="850" w:type="dxa"/>
                </w:tcPr>
                <w:p w14:paraId="720ADAA0" w14:textId="77777777" w:rsidR="000A115E" w:rsidRDefault="000A115E" w:rsidP="001928EC">
                  <w:pPr>
                    <w:jc w:val="left"/>
                    <w:rPr>
                      <w:rFonts w:eastAsiaTheme="minorHAnsi" w:cs="Arial"/>
                      <w:b/>
                      <w:bCs/>
                      <w:szCs w:val="22"/>
                    </w:rPr>
                  </w:pPr>
                  <w:r>
                    <w:rPr>
                      <w:b/>
                      <w:bCs/>
                    </w:rPr>
                    <w:t>2</w:t>
                  </w:r>
                </w:p>
              </w:tc>
            </w:tr>
            <w:tr w:rsidR="000A115E" w14:paraId="0AB7CF0D" w14:textId="77777777" w:rsidTr="001928EC">
              <w:tc>
                <w:tcPr>
                  <w:tcW w:w="4276" w:type="dxa"/>
                </w:tcPr>
                <w:p w14:paraId="24E2694E" w14:textId="77777777" w:rsidR="000A115E" w:rsidRDefault="000A115E" w:rsidP="001928EC">
                  <w:pPr>
                    <w:jc w:val="left"/>
                    <w:rPr>
                      <w:rFonts w:eastAsiaTheme="minorHAnsi" w:cs="Arial"/>
                      <w:szCs w:val="22"/>
                      <w:highlight w:val="yellow"/>
                    </w:rPr>
                  </w:pPr>
                  <w:r>
                    <w:t>One facility at one geographic location</w:t>
                  </w:r>
                </w:p>
              </w:tc>
              <w:tc>
                <w:tcPr>
                  <w:tcW w:w="850" w:type="dxa"/>
                </w:tcPr>
                <w:p w14:paraId="1CEEA836" w14:textId="77777777" w:rsidR="000A115E" w:rsidRDefault="000A115E" w:rsidP="001928EC">
                  <w:pPr>
                    <w:jc w:val="left"/>
                    <w:rPr>
                      <w:rFonts w:eastAsiaTheme="minorHAnsi" w:cs="Arial"/>
                      <w:b/>
                      <w:bCs/>
                      <w:szCs w:val="22"/>
                    </w:rPr>
                  </w:pPr>
                  <w:r>
                    <w:rPr>
                      <w:b/>
                      <w:bCs/>
                    </w:rPr>
                    <w:t>1</w:t>
                  </w:r>
                </w:p>
              </w:tc>
            </w:tr>
          </w:tbl>
          <w:p w14:paraId="488ED860" w14:textId="77777777" w:rsidR="000A115E" w:rsidRDefault="000A115E" w:rsidP="000A115E">
            <w:pPr>
              <w:jc w:val="left"/>
              <w:rPr>
                <w:b/>
              </w:rPr>
            </w:pPr>
            <w:r>
              <w:rPr>
                <w:b/>
                <w:highlight w:val="yellow"/>
              </w:rPr>
              <w:t xml:space="preserve"> </w:t>
            </w:r>
          </w:p>
          <w:p w14:paraId="2B0FACA0" w14:textId="3E49253E" w:rsidR="000A115E" w:rsidRDefault="00CB324B" w:rsidP="000A115E">
            <w:pPr>
              <w:jc w:val="left"/>
              <w:rPr>
                <w:i/>
                <w:lang w:val="en-US"/>
              </w:rPr>
            </w:pPr>
            <w:r>
              <w:rPr>
                <w:b/>
              </w:rPr>
              <w:t xml:space="preserve">7 </w:t>
            </w:r>
            <w:r w:rsidR="000A115E" w:rsidRPr="00C677CD">
              <w:rPr>
                <w:b/>
              </w:rPr>
              <w:t>Production of drug</w:t>
            </w:r>
            <w:r w:rsidR="000A115E">
              <w:rPr>
                <w:b/>
              </w:rPr>
              <w:t xml:space="preserve"> </w:t>
            </w:r>
            <w:r w:rsidR="000A115E" w:rsidRPr="00C677CD">
              <w:t>(</w:t>
            </w:r>
            <w:r w:rsidR="000A115E" w:rsidRPr="00C677CD">
              <w:rPr>
                <w:i/>
                <w:lang w:val="en-US"/>
              </w:rPr>
              <w:t>the manufacture of the final drug</w:t>
            </w:r>
            <w:r w:rsidR="000A115E">
              <w:rPr>
                <w:i/>
                <w:lang w:val="en-US"/>
              </w:rPr>
              <w:t>)</w:t>
            </w:r>
          </w:p>
          <w:p w14:paraId="154DE547" w14:textId="77777777" w:rsidR="000A115E" w:rsidRDefault="000A115E" w:rsidP="000A115E">
            <w:pPr>
              <w:jc w:val="left"/>
            </w:pPr>
          </w:p>
          <w:tbl>
            <w:tblPr>
              <w:tblStyle w:val="TableGrid"/>
              <w:tblW w:w="0" w:type="auto"/>
              <w:tblLayout w:type="fixed"/>
              <w:tblLook w:val="04A0" w:firstRow="1" w:lastRow="0" w:firstColumn="1" w:lastColumn="0" w:noHBand="0" w:noVBand="1"/>
            </w:tblPr>
            <w:tblGrid>
              <w:gridCol w:w="4276"/>
              <w:gridCol w:w="850"/>
            </w:tblGrid>
            <w:tr w:rsidR="000A115E" w:rsidRPr="00A97D12" w14:paraId="6D824D6F" w14:textId="77777777" w:rsidTr="001928EC">
              <w:tc>
                <w:tcPr>
                  <w:tcW w:w="4276" w:type="dxa"/>
                  <w:shd w:val="clear" w:color="auto" w:fill="000000" w:themeFill="text1"/>
                </w:tcPr>
                <w:p w14:paraId="68619D3F" w14:textId="77777777" w:rsidR="000A115E" w:rsidRPr="00E166C1" w:rsidRDefault="000A115E" w:rsidP="001928EC">
                  <w:pPr>
                    <w:jc w:val="left"/>
                    <w:rPr>
                      <w:b/>
                      <w:color w:val="FFFFFF" w:themeColor="background1"/>
                      <w:highlight w:val="yellow"/>
                    </w:rPr>
                  </w:pPr>
                </w:p>
              </w:tc>
              <w:tc>
                <w:tcPr>
                  <w:tcW w:w="850" w:type="dxa"/>
                  <w:shd w:val="clear" w:color="auto" w:fill="000000" w:themeFill="text1"/>
                </w:tcPr>
                <w:p w14:paraId="03DA6C88" w14:textId="77777777" w:rsidR="000A115E" w:rsidRPr="00A97D12" w:rsidRDefault="000A115E" w:rsidP="001928EC">
                  <w:pPr>
                    <w:jc w:val="left"/>
                    <w:rPr>
                      <w:b/>
                      <w:color w:val="FFFFFF" w:themeColor="background1"/>
                      <w:highlight w:val="yellow"/>
                    </w:rPr>
                  </w:pPr>
                  <w:r w:rsidRPr="00413C55">
                    <w:rPr>
                      <w:b/>
                      <w:color w:val="FFFFFF" w:themeColor="background1"/>
                    </w:rPr>
                    <w:t>Score</w:t>
                  </w:r>
                </w:p>
              </w:tc>
            </w:tr>
            <w:tr w:rsidR="000A115E" w:rsidRPr="00590FB7" w14:paraId="7378F6AF" w14:textId="77777777" w:rsidTr="001928EC">
              <w:tc>
                <w:tcPr>
                  <w:tcW w:w="4276" w:type="dxa"/>
                </w:tcPr>
                <w:p w14:paraId="3AE185B9" w14:textId="77777777" w:rsidR="000A115E" w:rsidRDefault="000A115E" w:rsidP="001928EC">
                  <w:pPr>
                    <w:jc w:val="left"/>
                    <w:rPr>
                      <w:rFonts w:eastAsiaTheme="minorHAnsi" w:cs="Arial"/>
                      <w:szCs w:val="22"/>
                      <w:highlight w:val="yellow"/>
                    </w:rPr>
                  </w:pPr>
                  <w:r>
                    <w:t xml:space="preserve">Multiple </w:t>
                  </w:r>
                  <w:r w:rsidR="007054A1" w:rsidRPr="007054A1">
                    <w:t>(&gt;2)</w:t>
                  </w:r>
                  <w:r w:rsidR="007054A1">
                    <w:t xml:space="preserve"> </w:t>
                  </w:r>
                  <w:r>
                    <w:t>geographic locations with facilities</w:t>
                  </w:r>
                </w:p>
              </w:tc>
              <w:tc>
                <w:tcPr>
                  <w:tcW w:w="850" w:type="dxa"/>
                </w:tcPr>
                <w:p w14:paraId="78D3E158" w14:textId="77777777" w:rsidR="000A115E" w:rsidRDefault="000A115E" w:rsidP="001928EC">
                  <w:pPr>
                    <w:jc w:val="left"/>
                    <w:rPr>
                      <w:rFonts w:eastAsiaTheme="minorHAnsi" w:cs="Arial"/>
                      <w:b/>
                      <w:bCs/>
                      <w:szCs w:val="22"/>
                    </w:rPr>
                  </w:pPr>
                  <w:r>
                    <w:rPr>
                      <w:b/>
                      <w:bCs/>
                    </w:rPr>
                    <w:t>5</w:t>
                  </w:r>
                </w:p>
              </w:tc>
            </w:tr>
            <w:tr w:rsidR="000A115E" w:rsidRPr="00590FB7" w14:paraId="1B83BADE" w14:textId="77777777" w:rsidTr="001928EC">
              <w:tc>
                <w:tcPr>
                  <w:tcW w:w="4276" w:type="dxa"/>
                </w:tcPr>
                <w:p w14:paraId="029C9263" w14:textId="77777777" w:rsidR="000A115E" w:rsidRDefault="000A115E" w:rsidP="001928EC">
                  <w:pPr>
                    <w:jc w:val="left"/>
                    <w:rPr>
                      <w:rFonts w:eastAsiaTheme="minorHAnsi" w:cs="Arial"/>
                      <w:szCs w:val="22"/>
                      <w:highlight w:val="yellow"/>
                    </w:rPr>
                  </w:pPr>
                  <w:r>
                    <w:t>Two geographic locations with facilities</w:t>
                  </w:r>
                </w:p>
              </w:tc>
              <w:tc>
                <w:tcPr>
                  <w:tcW w:w="850" w:type="dxa"/>
                </w:tcPr>
                <w:p w14:paraId="4BA8885A" w14:textId="77777777" w:rsidR="000A115E" w:rsidRDefault="000A115E" w:rsidP="001928EC">
                  <w:pPr>
                    <w:jc w:val="left"/>
                    <w:rPr>
                      <w:rFonts w:eastAsiaTheme="minorHAnsi" w:cs="Arial"/>
                      <w:b/>
                      <w:bCs/>
                      <w:szCs w:val="22"/>
                    </w:rPr>
                  </w:pPr>
                  <w:r>
                    <w:rPr>
                      <w:b/>
                      <w:bCs/>
                    </w:rPr>
                    <w:t>4</w:t>
                  </w:r>
                </w:p>
              </w:tc>
            </w:tr>
            <w:tr w:rsidR="000A115E" w:rsidRPr="00590FB7" w14:paraId="605B9EC6" w14:textId="77777777" w:rsidTr="001928EC">
              <w:tc>
                <w:tcPr>
                  <w:tcW w:w="4276" w:type="dxa"/>
                </w:tcPr>
                <w:p w14:paraId="27A49CC8" w14:textId="77777777" w:rsidR="000A115E" w:rsidRDefault="000A115E" w:rsidP="001928EC">
                  <w:pPr>
                    <w:jc w:val="left"/>
                    <w:rPr>
                      <w:rFonts w:eastAsiaTheme="minorHAnsi" w:cs="Arial"/>
                      <w:szCs w:val="22"/>
                      <w:highlight w:val="yellow"/>
                    </w:rPr>
                  </w:pPr>
                  <w:r>
                    <w:t>One geographic location with two or more facilities</w:t>
                  </w:r>
                </w:p>
              </w:tc>
              <w:tc>
                <w:tcPr>
                  <w:tcW w:w="850" w:type="dxa"/>
                </w:tcPr>
                <w:p w14:paraId="711F7F18" w14:textId="77777777" w:rsidR="000A115E" w:rsidRDefault="000A115E" w:rsidP="001928EC">
                  <w:pPr>
                    <w:jc w:val="left"/>
                    <w:rPr>
                      <w:rFonts w:eastAsiaTheme="minorHAnsi" w:cs="Arial"/>
                      <w:b/>
                      <w:bCs/>
                      <w:szCs w:val="22"/>
                    </w:rPr>
                  </w:pPr>
                  <w:r>
                    <w:rPr>
                      <w:b/>
                      <w:bCs/>
                    </w:rPr>
                    <w:t>2</w:t>
                  </w:r>
                </w:p>
              </w:tc>
            </w:tr>
            <w:tr w:rsidR="000A115E" w:rsidRPr="00590FB7" w14:paraId="2FE33C1E" w14:textId="77777777" w:rsidTr="001928EC">
              <w:tc>
                <w:tcPr>
                  <w:tcW w:w="4276" w:type="dxa"/>
                </w:tcPr>
                <w:p w14:paraId="35E6F0DD" w14:textId="77777777" w:rsidR="000A115E" w:rsidRDefault="000A115E" w:rsidP="001928EC">
                  <w:pPr>
                    <w:jc w:val="left"/>
                    <w:rPr>
                      <w:rFonts w:eastAsiaTheme="minorHAnsi" w:cs="Arial"/>
                      <w:szCs w:val="22"/>
                      <w:highlight w:val="yellow"/>
                    </w:rPr>
                  </w:pPr>
                  <w:r>
                    <w:t>One facility at one geographic location</w:t>
                  </w:r>
                </w:p>
              </w:tc>
              <w:tc>
                <w:tcPr>
                  <w:tcW w:w="850" w:type="dxa"/>
                </w:tcPr>
                <w:p w14:paraId="77B32D71" w14:textId="77777777" w:rsidR="000A115E" w:rsidRDefault="000A115E" w:rsidP="001928EC">
                  <w:pPr>
                    <w:jc w:val="left"/>
                    <w:rPr>
                      <w:rFonts w:eastAsiaTheme="minorHAnsi" w:cs="Arial"/>
                      <w:b/>
                      <w:bCs/>
                      <w:szCs w:val="22"/>
                    </w:rPr>
                  </w:pPr>
                  <w:r>
                    <w:rPr>
                      <w:b/>
                      <w:bCs/>
                    </w:rPr>
                    <w:t>1</w:t>
                  </w:r>
                </w:p>
              </w:tc>
            </w:tr>
          </w:tbl>
          <w:p w14:paraId="3B860C50" w14:textId="77777777" w:rsidR="000A115E" w:rsidRPr="00C677CD" w:rsidRDefault="000A115E" w:rsidP="000A115E">
            <w:pPr>
              <w:jc w:val="left"/>
            </w:pPr>
          </w:p>
          <w:p w14:paraId="2093227F" w14:textId="4092B3B5" w:rsidR="000A115E" w:rsidRDefault="00CB324B" w:rsidP="000A115E">
            <w:pPr>
              <w:jc w:val="left"/>
              <w:rPr>
                <w:i/>
                <w:lang w:val="en-US"/>
              </w:rPr>
            </w:pPr>
            <w:r>
              <w:rPr>
                <w:b/>
              </w:rPr>
              <w:t xml:space="preserve">8 </w:t>
            </w:r>
            <w:r w:rsidR="000A115E" w:rsidRPr="00C677CD">
              <w:rPr>
                <w:b/>
              </w:rPr>
              <w:t>Packaging and labelling</w:t>
            </w:r>
            <w:r w:rsidR="000A115E">
              <w:rPr>
                <w:b/>
              </w:rPr>
              <w:t xml:space="preserve"> </w:t>
            </w:r>
            <w:r w:rsidR="000A115E">
              <w:rPr>
                <w:i/>
                <w:lang w:val="en-US"/>
              </w:rPr>
              <w:t>(</w:t>
            </w:r>
            <w:r w:rsidR="000A115E" w:rsidRPr="00C677CD">
              <w:rPr>
                <w:i/>
                <w:lang w:val="en-US"/>
              </w:rPr>
              <w:t>enclosing and labelling products for distribution, storage, sale and safe use</w:t>
            </w:r>
            <w:r w:rsidR="000A115E">
              <w:rPr>
                <w:i/>
                <w:lang w:val="en-US"/>
              </w:rPr>
              <w:t>)</w:t>
            </w:r>
          </w:p>
          <w:p w14:paraId="6EEE15B4" w14:textId="77777777" w:rsidR="000A115E" w:rsidRPr="00C677CD" w:rsidRDefault="000A115E" w:rsidP="000A115E">
            <w:pPr>
              <w:jc w:val="left"/>
            </w:pPr>
          </w:p>
          <w:tbl>
            <w:tblPr>
              <w:tblStyle w:val="TableGrid"/>
              <w:tblW w:w="0" w:type="auto"/>
              <w:tblLayout w:type="fixed"/>
              <w:tblLook w:val="04A0" w:firstRow="1" w:lastRow="0" w:firstColumn="1" w:lastColumn="0" w:noHBand="0" w:noVBand="1"/>
            </w:tblPr>
            <w:tblGrid>
              <w:gridCol w:w="4276"/>
              <w:gridCol w:w="850"/>
            </w:tblGrid>
            <w:tr w:rsidR="000A115E" w:rsidRPr="00A97D12" w14:paraId="2ED14EFB" w14:textId="77777777" w:rsidTr="001928EC">
              <w:tc>
                <w:tcPr>
                  <w:tcW w:w="4276" w:type="dxa"/>
                  <w:shd w:val="clear" w:color="auto" w:fill="000000" w:themeFill="text1"/>
                </w:tcPr>
                <w:p w14:paraId="3EC3907A" w14:textId="77777777" w:rsidR="000A115E" w:rsidRPr="00E166C1" w:rsidRDefault="000A115E" w:rsidP="001928EC">
                  <w:pPr>
                    <w:jc w:val="left"/>
                    <w:rPr>
                      <w:b/>
                      <w:color w:val="FFFFFF" w:themeColor="background1"/>
                      <w:highlight w:val="yellow"/>
                    </w:rPr>
                  </w:pPr>
                </w:p>
              </w:tc>
              <w:tc>
                <w:tcPr>
                  <w:tcW w:w="850" w:type="dxa"/>
                  <w:shd w:val="clear" w:color="auto" w:fill="000000" w:themeFill="text1"/>
                </w:tcPr>
                <w:p w14:paraId="6F8A7C59" w14:textId="77777777" w:rsidR="000A115E" w:rsidRPr="00A97D12" w:rsidRDefault="000A115E" w:rsidP="001928EC">
                  <w:pPr>
                    <w:jc w:val="left"/>
                    <w:rPr>
                      <w:b/>
                      <w:color w:val="FFFFFF" w:themeColor="background1"/>
                      <w:highlight w:val="yellow"/>
                    </w:rPr>
                  </w:pPr>
                  <w:r w:rsidRPr="00413C55">
                    <w:rPr>
                      <w:b/>
                      <w:color w:val="FFFFFF" w:themeColor="background1"/>
                    </w:rPr>
                    <w:t>Score</w:t>
                  </w:r>
                </w:p>
              </w:tc>
            </w:tr>
            <w:tr w:rsidR="000A115E" w:rsidRPr="00590FB7" w14:paraId="77E93F22" w14:textId="77777777" w:rsidTr="001928EC">
              <w:tc>
                <w:tcPr>
                  <w:tcW w:w="4276" w:type="dxa"/>
                </w:tcPr>
                <w:p w14:paraId="2ECFB559" w14:textId="095E9D16" w:rsidR="000A115E" w:rsidRDefault="005B56D3" w:rsidP="001928EC">
                  <w:pPr>
                    <w:jc w:val="left"/>
                    <w:rPr>
                      <w:rFonts w:eastAsiaTheme="minorHAnsi" w:cs="Arial"/>
                      <w:szCs w:val="22"/>
                      <w:highlight w:val="yellow"/>
                    </w:rPr>
                  </w:pPr>
                  <w:r>
                    <w:lastRenderedPageBreak/>
                    <w:t xml:space="preserve">Multiple </w:t>
                  </w:r>
                  <w:r w:rsidRPr="007054A1">
                    <w:t>(&gt;2)</w:t>
                  </w:r>
                  <w:r>
                    <w:t xml:space="preserve"> geographic locations with facilities</w:t>
                  </w:r>
                </w:p>
              </w:tc>
              <w:tc>
                <w:tcPr>
                  <w:tcW w:w="850" w:type="dxa"/>
                </w:tcPr>
                <w:p w14:paraId="716CD9B7" w14:textId="77777777" w:rsidR="000A115E" w:rsidRDefault="000A115E" w:rsidP="001928EC">
                  <w:pPr>
                    <w:jc w:val="left"/>
                    <w:rPr>
                      <w:rFonts w:eastAsiaTheme="minorHAnsi" w:cs="Arial"/>
                      <w:b/>
                      <w:bCs/>
                      <w:szCs w:val="22"/>
                    </w:rPr>
                  </w:pPr>
                  <w:r>
                    <w:rPr>
                      <w:b/>
                      <w:bCs/>
                    </w:rPr>
                    <w:t>5</w:t>
                  </w:r>
                </w:p>
              </w:tc>
            </w:tr>
            <w:tr w:rsidR="000A115E" w:rsidRPr="00590FB7" w14:paraId="3E6FDEE3" w14:textId="77777777" w:rsidTr="001928EC">
              <w:tc>
                <w:tcPr>
                  <w:tcW w:w="4276" w:type="dxa"/>
                </w:tcPr>
                <w:p w14:paraId="4A27ECB8" w14:textId="77777777" w:rsidR="000A115E" w:rsidRDefault="000A115E" w:rsidP="001928EC">
                  <w:pPr>
                    <w:jc w:val="left"/>
                    <w:rPr>
                      <w:rFonts w:eastAsiaTheme="minorHAnsi" w:cs="Arial"/>
                      <w:szCs w:val="22"/>
                      <w:highlight w:val="yellow"/>
                    </w:rPr>
                  </w:pPr>
                  <w:r>
                    <w:t>Two geographic locations with facilities</w:t>
                  </w:r>
                </w:p>
              </w:tc>
              <w:tc>
                <w:tcPr>
                  <w:tcW w:w="850" w:type="dxa"/>
                </w:tcPr>
                <w:p w14:paraId="78B121F0" w14:textId="77777777" w:rsidR="000A115E" w:rsidRDefault="000A115E" w:rsidP="001928EC">
                  <w:pPr>
                    <w:jc w:val="left"/>
                    <w:rPr>
                      <w:rFonts w:eastAsiaTheme="minorHAnsi" w:cs="Arial"/>
                      <w:b/>
                      <w:bCs/>
                      <w:szCs w:val="22"/>
                    </w:rPr>
                  </w:pPr>
                  <w:r>
                    <w:rPr>
                      <w:b/>
                      <w:bCs/>
                    </w:rPr>
                    <w:t>4</w:t>
                  </w:r>
                </w:p>
              </w:tc>
            </w:tr>
            <w:tr w:rsidR="000A115E" w:rsidRPr="00590FB7" w14:paraId="7129375B" w14:textId="77777777" w:rsidTr="001928EC">
              <w:tc>
                <w:tcPr>
                  <w:tcW w:w="4276" w:type="dxa"/>
                </w:tcPr>
                <w:p w14:paraId="64C6771D" w14:textId="77777777" w:rsidR="000A115E" w:rsidRDefault="000A115E" w:rsidP="001928EC">
                  <w:pPr>
                    <w:jc w:val="left"/>
                    <w:rPr>
                      <w:rFonts w:eastAsiaTheme="minorHAnsi" w:cs="Arial"/>
                      <w:szCs w:val="22"/>
                      <w:highlight w:val="yellow"/>
                    </w:rPr>
                  </w:pPr>
                  <w:r>
                    <w:t>One geographic location with two or more facilities</w:t>
                  </w:r>
                </w:p>
              </w:tc>
              <w:tc>
                <w:tcPr>
                  <w:tcW w:w="850" w:type="dxa"/>
                </w:tcPr>
                <w:p w14:paraId="2CD48CC5" w14:textId="77777777" w:rsidR="000A115E" w:rsidRDefault="000A115E" w:rsidP="001928EC">
                  <w:pPr>
                    <w:jc w:val="left"/>
                    <w:rPr>
                      <w:rFonts w:eastAsiaTheme="minorHAnsi" w:cs="Arial"/>
                      <w:b/>
                      <w:bCs/>
                      <w:szCs w:val="22"/>
                    </w:rPr>
                  </w:pPr>
                  <w:r>
                    <w:rPr>
                      <w:b/>
                      <w:bCs/>
                    </w:rPr>
                    <w:t>2</w:t>
                  </w:r>
                </w:p>
              </w:tc>
            </w:tr>
            <w:tr w:rsidR="000A115E" w:rsidRPr="00590FB7" w14:paraId="6703B9AE" w14:textId="77777777" w:rsidTr="001928EC">
              <w:tc>
                <w:tcPr>
                  <w:tcW w:w="4276" w:type="dxa"/>
                </w:tcPr>
                <w:p w14:paraId="553D9D70" w14:textId="77777777" w:rsidR="000A115E" w:rsidRDefault="000A115E" w:rsidP="001928EC">
                  <w:pPr>
                    <w:jc w:val="left"/>
                    <w:rPr>
                      <w:rFonts w:eastAsiaTheme="minorHAnsi" w:cs="Arial"/>
                      <w:szCs w:val="22"/>
                      <w:highlight w:val="yellow"/>
                    </w:rPr>
                  </w:pPr>
                  <w:r>
                    <w:t>One facility at one geographic location</w:t>
                  </w:r>
                </w:p>
              </w:tc>
              <w:tc>
                <w:tcPr>
                  <w:tcW w:w="850" w:type="dxa"/>
                </w:tcPr>
                <w:p w14:paraId="37CDA36F" w14:textId="77777777" w:rsidR="000A115E" w:rsidRDefault="000A115E" w:rsidP="001928EC">
                  <w:pPr>
                    <w:jc w:val="left"/>
                    <w:rPr>
                      <w:rFonts w:eastAsiaTheme="minorHAnsi" w:cs="Arial"/>
                      <w:b/>
                      <w:bCs/>
                      <w:szCs w:val="22"/>
                    </w:rPr>
                  </w:pPr>
                  <w:r>
                    <w:rPr>
                      <w:b/>
                      <w:bCs/>
                    </w:rPr>
                    <w:t>1</w:t>
                  </w:r>
                </w:p>
              </w:tc>
            </w:tr>
          </w:tbl>
          <w:p w14:paraId="14F738AE" w14:textId="77777777" w:rsidR="000A115E" w:rsidRPr="00C677CD" w:rsidRDefault="000A115E" w:rsidP="000A115E">
            <w:pPr>
              <w:jc w:val="left"/>
            </w:pPr>
          </w:p>
          <w:p w14:paraId="6B463756" w14:textId="086C5E3E" w:rsidR="000A115E" w:rsidRDefault="00CB324B" w:rsidP="000A115E">
            <w:pPr>
              <w:jc w:val="left"/>
              <w:rPr>
                <w:i/>
                <w:lang w:val="en-US"/>
              </w:rPr>
            </w:pPr>
            <w:r>
              <w:rPr>
                <w:b/>
              </w:rPr>
              <w:t xml:space="preserve">9 </w:t>
            </w:r>
            <w:r w:rsidR="000A115E" w:rsidRPr="00C677CD">
              <w:rPr>
                <w:b/>
              </w:rPr>
              <w:t>Stock holding facility/warehouse</w:t>
            </w:r>
            <w:r w:rsidR="000A115E">
              <w:rPr>
                <w:b/>
              </w:rPr>
              <w:t xml:space="preserve"> </w:t>
            </w:r>
            <w:r w:rsidR="000A115E">
              <w:rPr>
                <w:i/>
                <w:lang w:val="en-US"/>
              </w:rPr>
              <w:t>(</w:t>
            </w:r>
            <w:r w:rsidR="000A115E" w:rsidRPr="00C677CD">
              <w:rPr>
                <w:i/>
                <w:lang w:val="en-US"/>
              </w:rPr>
              <w:t>facility for storing finished product which is ready for distribution to end user</w:t>
            </w:r>
            <w:r w:rsidR="000A115E">
              <w:rPr>
                <w:i/>
                <w:lang w:val="en-US"/>
              </w:rPr>
              <w:t>)</w:t>
            </w:r>
          </w:p>
          <w:p w14:paraId="7EAB47B1" w14:textId="77777777" w:rsidR="000A115E" w:rsidRDefault="000A115E" w:rsidP="000A115E">
            <w:pPr>
              <w:jc w:val="left"/>
            </w:pPr>
          </w:p>
          <w:tbl>
            <w:tblPr>
              <w:tblStyle w:val="TableGrid"/>
              <w:tblW w:w="0" w:type="auto"/>
              <w:tblLayout w:type="fixed"/>
              <w:tblLook w:val="04A0" w:firstRow="1" w:lastRow="0" w:firstColumn="1" w:lastColumn="0" w:noHBand="0" w:noVBand="1"/>
            </w:tblPr>
            <w:tblGrid>
              <w:gridCol w:w="4276"/>
              <w:gridCol w:w="850"/>
            </w:tblGrid>
            <w:tr w:rsidR="000A115E" w:rsidRPr="00A97D12" w14:paraId="07A8E191" w14:textId="77777777" w:rsidTr="001928EC">
              <w:tc>
                <w:tcPr>
                  <w:tcW w:w="4276" w:type="dxa"/>
                  <w:shd w:val="clear" w:color="auto" w:fill="000000" w:themeFill="text1"/>
                </w:tcPr>
                <w:p w14:paraId="0BEA3E8D" w14:textId="77777777" w:rsidR="000A115E" w:rsidRPr="00E166C1" w:rsidRDefault="000A115E" w:rsidP="001928EC">
                  <w:pPr>
                    <w:jc w:val="left"/>
                    <w:rPr>
                      <w:b/>
                      <w:color w:val="FFFFFF" w:themeColor="background1"/>
                      <w:highlight w:val="yellow"/>
                    </w:rPr>
                  </w:pPr>
                </w:p>
              </w:tc>
              <w:tc>
                <w:tcPr>
                  <w:tcW w:w="850" w:type="dxa"/>
                  <w:shd w:val="clear" w:color="auto" w:fill="000000" w:themeFill="text1"/>
                </w:tcPr>
                <w:p w14:paraId="346E5468" w14:textId="77777777" w:rsidR="000A115E" w:rsidRPr="00A97D12" w:rsidRDefault="000A115E" w:rsidP="001928EC">
                  <w:pPr>
                    <w:jc w:val="left"/>
                    <w:rPr>
                      <w:b/>
                      <w:color w:val="FFFFFF" w:themeColor="background1"/>
                      <w:highlight w:val="yellow"/>
                    </w:rPr>
                  </w:pPr>
                  <w:r w:rsidRPr="00413C55">
                    <w:rPr>
                      <w:b/>
                      <w:color w:val="FFFFFF" w:themeColor="background1"/>
                    </w:rPr>
                    <w:t>Score</w:t>
                  </w:r>
                </w:p>
              </w:tc>
            </w:tr>
            <w:tr w:rsidR="000A115E" w:rsidRPr="00590FB7" w14:paraId="2003B4D7" w14:textId="77777777" w:rsidTr="001928EC">
              <w:tc>
                <w:tcPr>
                  <w:tcW w:w="4276" w:type="dxa"/>
                </w:tcPr>
                <w:p w14:paraId="74E22B99" w14:textId="2931274D" w:rsidR="000A115E" w:rsidRDefault="005B56D3" w:rsidP="001928EC">
                  <w:pPr>
                    <w:jc w:val="left"/>
                    <w:rPr>
                      <w:rFonts w:eastAsiaTheme="minorHAnsi" w:cs="Arial"/>
                      <w:szCs w:val="22"/>
                      <w:highlight w:val="yellow"/>
                    </w:rPr>
                  </w:pPr>
                  <w:r>
                    <w:t xml:space="preserve">Multiple </w:t>
                  </w:r>
                  <w:r w:rsidRPr="007054A1">
                    <w:t>(&gt;2)</w:t>
                  </w:r>
                  <w:r>
                    <w:t xml:space="preserve"> geographic locations with facilities</w:t>
                  </w:r>
                </w:p>
              </w:tc>
              <w:tc>
                <w:tcPr>
                  <w:tcW w:w="850" w:type="dxa"/>
                </w:tcPr>
                <w:p w14:paraId="23AF8811" w14:textId="77777777" w:rsidR="000A115E" w:rsidRDefault="000A115E" w:rsidP="001928EC">
                  <w:pPr>
                    <w:jc w:val="left"/>
                    <w:rPr>
                      <w:rFonts w:eastAsiaTheme="minorHAnsi" w:cs="Arial"/>
                      <w:b/>
                      <w:bCs/>
                      <w:szCs w:val="22"/>
                    </w:rPr>
                  </w:pPr>
                  <w:r>
                    <w:rPr>
                      <w:b/>
                      <w:bCs/>
                    </w:rPr>
                    <w:t>5</w:t>
                  </w:r>
                </w:p>
              </w:tc>
            </w:tr>
            <w:tr w:rsidR="000A115E" w:rsidRPr="00590FB7" w14:paraId="18561D8D" w14:textId="77777777" w:rsidTr="001928EC">
              <w:tc>
                <w:tcPr>
                  <w:tcW w:w="4276" w:type="dxa"/>
                </w:tcPr>
                <w:p w14:paraId="493D6C94" w14:textId="77777777" w:rsidR="000A115E" w:rsidRDefault="000A115E" w:rsidP="001928EC">
                  <w:pPr>
                    <w:jc w:val="left"/>
                    <w:rPr>
                      <w:rFonts w:eastAsiaTheme="minorHAnsi" w:cs="Arial"/>
                      <w:szCs w:val="22"/>
                      <w:highlight w:val="yellow"/>
                    </w:rPr>
                  </w:pPr>
                  <w:r>
                    <w:t>Two geographic locations with facilities</w:t>
                  </w:r>
                </w:p>
              </w:tc>
              <w:tc>
                <w:tcPr>
                  <w:tcW w:w="850" w:type="dxa"/>
                </w:tcPr>
                <w:p w14:paraId="547B46C0" w14:textId="77777777" w:rsidR="000A115E" w:rsidRDefault="000A115E" w:rsidP="001928EC">
                  <w:pPr>
                    <w:jc w:val="left"/>
                    <w:rPr>
                      <w:rFonts w:eastAsiaTheme="minorHAnsi" w:cs="Arial"/>
                      <w:b/>
                      <w:bCs/>
                      <w:szCs w:val="22"/>
                    </w:rPr>
                  </w:pPr>
                  <w:r>
                    <w:rPr>
                      <w:b/>
                      <w:bCs/>
                    </w:rPr>
                    <w:t>4</w:t>
                  </w:r>
                </w:p>
              </w:tc>
            </w:tr>
            <w:tr w:rsidR="000A115E" w:rsidRPr="00590FB7" w14:paraId="106D32BE" w14:textId="77777777" w:rsidTr="001928EC">
              <w:tc>
                <w:tcPr>
                  <w:tcW w:w="4276" w:type="dxa"/>
                </w:tcPr>
                <w:p w14:paraId="3AB86FFB" w14:textId="77777777" w:rsidR="000A115E" w:rsidRDefault="000A115E" w:rsidP="001928EC">
                  <w:pPr>
                    <w:jc w:val="left"/>
                    <w:rPr>
                      <w:rFonts w:eastAsiaTheme="minorHAnsi" w:cs="Arial"/>
                      <w:szCs w:val="22"/>
                      <w:highlight w:val="yellow"/>
                    </w:rPr>
                  </w:pPr>
                  <w:r>
                    <w:t>One geographic location with two or more facilities</w:t>
                  </w:r>
                </w:p>
              </w:tc>
              <w:tc>
                <w:tcPr>
                  <w:tcW w:w="850" w:type="dxa"/>
                </w:tcPr>
                <w:p w14:paraId="50ACCE25" w14:textId="77777777" w:rsidR="000A115E" w:rsidRDefault="000A115E" w:rsidP="001928EC">
                  <w:pPr>
                    <w:jc w:val="left"/>
                    <w:rPr>
                      <w:rFonts w:eastAsiaTheme="minorHAnsi" w:cs="Arial"/>
                      <w:b/>
                      <w:bCs/>
                      <w:szCs w:val="22"/>
                    </w:rPr>
                  </w:pPr>
                  <w:r>
                    <w:rPr>
                      <w:b/>
                      <w:bCs/>
                    </w:rPr>
                    <w:t>2</w:t>
                  </w:r>
                </w:p>
              </w:tc>
            </w:tr>
            <w:tr w:rsidR="000A115E" w:rsidRPr="00590FB7" w14:paraId="42FBECE4" w14:textId="77777777" w:rsidTr="001928EC">
              <w:tc>
                <w:tcPr>
                  <w:tcW w:w="4276" w:type="dxa"/>
                </w:tcPr>
                <w:p w14:paraId="48405992" w14:textId="77777777" w:rsidR="000A115E" w:rsidRDefault="000A115E" w:rsidP="001928EC">
                  <w:pPr>
                    <w:jc w:val="left"/>
                    <w:rPr>
                      <w:rFonts w:eastAsiaTheme="minorHAnsi" w:cs="Arial"/>
                      <w:szCs w:val="22"/>
                      <w:highlight w:val="yellow"/>
                    </w:rPr>
                  </w:pPr>
                  <w:r>
                    <w:t>One facility at one geographic location</w:t>
                  </w:r>
                </w:p>
              </w:tc>
              <w:tc>
                <w:tcPr>
                  <w:tcW w:w="850" w:type="dxa"/>
                </w:tcPr>
                <w:p w14:paraId="67B918DE" w14:textId="77777777" w:rsidR="000A115E" w:rsidRDefault="000A115E" w:rsidP="001928EC">
                  <w:pPr>
                    <w:jc w:val="left"/>
                    <w:rPr>
                      <w:rFonts w:eastAsiaTheme="minorHAnsi" w:cs="Arial"/>
                      <w:b/>
                      <w:bCs/>
                      <w:szCs w:val="22"/>
                    </w:rPr>
                  </w:pPr>
                  <w:r>
                    <w:rPr>
                      <w:b/>
                      <w:bCs/>
                    </w:rPr>
                    <w:t>1</w:t>
                  </w:r>
                </w:p>
              </w:tc>
            </w:tr>
          </w:tbl>
          <w:p w14:paraId="55BBC46A" w14:textId="77777777" w:rsidR="000A115E" w:rsidRDefault="000A115E" w:rsidP="000A115E">
            <w:pPr>
              <w:jc w:val="left"/>
            </w:pPr>
          </w:p>
          <w:p w14:paraId="1F6AEB54" w14:textId="77777777" w:rsidR="00590FB7" w:rsidRDefault="00590FB7" w:rsidP="002C0578">
            <w:pPr>
              <w:jc w:val="left"/>
            </w:pPr>
          </w:p>
        </w:tc>
        <w:tc>
          <w:tcPr>
            <w:tcW w:w="1337" w:type="dxa"/>
            <w:vAlign w:val="center"/>
          </w:tcPr>
          <w:p w14:paraId="63D2C0AB" w14:textId="77777777" w:rsidR="006D6760" w:rsidRPr="00BE416A" w:rsidRDefault="00410FB1" w:rsidP="002C0578">
            <w:pPr>
              <w:jc w:val="center"/>
              <w:rPr>
                <w:b/>
              </w:rPr>
            </w:pPr>
            <w:r>
              <w:rPr>
                <w:b/>
              </w:rPr>
              <w:lastRenderedPageBreak/>
              <w:t>10</w:t>
            </w:r>
            <w:r w:rsidR="006D6760" w:rsidRPr="00BE416A">
              <w:rPr>
                <w:b/>
              </w:rPr>
              <w:t>%</w:t>
            </w:r>
          </w:p>
        </w:tc>
      </w:tr>
      <w:tr w:rsidR="006D6760" w14:paraId="2889681A" w14:textId="77777777" w:rsidTr="00A47124">
        <w:tc>
          <w:tcPr>
            <w:tcW w:w="2410" w:type="dxa"/>
            <w:vAlign w:val="center"/>
          </w:tcPr>
          <w:p w14:paraId="676B77C0" w14:textId="77777777" w:rsidR="006D6760" w:rsidRPr="00F3055D" w:rsidRDefault="00A754FF" w:rsidP="00EF4A4E">
            <w:pPr>
              <w:pStyle w:val="ListParagraph"/>
              <w:numPr>
                <w:ilvl w:val="0"/>
                <w:numId w:val="11"/>
              </w:numPr>
              <w:jc w:val="left"/>
              <w:rPr>
                <w:b/>
              </w:rPr>
            </w:pPr>
            <w:r w:rsidRPr="002B7C30">
              <w:rPr>
                <w:b/>
              </w:rPr>
              <w:t>Ease of Use</w:t>
            </w:r>
          </w:p>
        </w:tc>
        <w:tc>
          <w:tcPr>
            <w:tcW w:w="5387" w:type="dxa"/>
            <w:vAlign w:val="center"/>
          </w:tcPr>
          <w:p w14:paraId="20DDF8A3" w14:textId="77777777" w:rsidR="006D6760" w:rsidRDefault="006D6760" w:rsidP="002C0578">
            <w:pPr>
              <w:jc w:val="left"/>
            </w:pPr>
          </w:p>
          <w:p w14:paraId="7E9850AA" w14:textId="6EABDAF1" w:rsidR="002147E2" w:rsidRDefault="007054A1" w:rsidP="002C0578">
            <w:pPr>
              <w:jc w:val="left"/>
            </w:pPr>
            <w:r>
              <w:t>O</w:t>
            </w:r>
            <w:r w:rsidR="002147E2">
              <w:t>fferors will be evaluated on the following:</w:t>
            </w:r>
          </w:p>
          <w:p w14:paraId="345B8697" w14:textId="77777777" w:rsidR="002147E2" w:rsidRDefault="002147E2" w:rsidP="002C0578">
            <w:pPr>
              <w:jc w:val="left"/>
            </w:pPr>
          </w:p>
          <w:p w14:paraId="36471A02" w14:textId="1534DB55" w:rsidR="002147E2" w:rsidRDefault="00CB324B" w:rsidP="002C0578">
            <w:pPr>
              <w:jc w:val="left"/>
            </w:pPr>
            <w:r>
              <w:rPr>
                <w:b/>
              </w:rPr>
              <w:t xml:space="preserve">10 </w:t>
            </w:r>
            <w:r w:rsidR="002147E2" w:rsidRPr="002147E2">
              <w:t xml:space="preserve">Does ancillary pack allow for sterile administrations via </w:t>
            </w:r>
            <w:proofErr w:type="spellStart"/>
            <w:r w:rsidR="002147E2" w:rsidRPr="002147E2">
              <w:t>portacath</w:t>
            </w:r>
            <w:proofErr w:type="spellEnd"/>
            <w:r w:rsidR="002147E2" w:rsidRPr="002147E2">
              <w:t xml:space="preserve"> with a syringe which is 10ml or greater?</w:t>
            </w:r>
          </w:p>
          <w:p w14:paraId="60BD9FAF" w14:textId="77777777" w:rsidR="00CE71C4" w:rsidRDefault="00CE71C4" w:rsidP="002C0578">
            <w:pPr>
              <w:jc w:val="left"/>
            </w:pPr>
          </w:p>
          <w:tbl>
            <w:tblPr>
              <w:tblStyle w:val="TableGrid"/>
              <w:tblW w:w="0" w:type="auto"/>
              <w:tblLayout w:type="fixed"/>
              <w:tblLook w:val="04A0" w:firstRow="1" w:lastRow="0" w:firstColumn="1" w:lastColumn="0" w:noHBand="0" w:noVBand="1"/>
            </w:tblPr>
            <w:tblGrid>
              <w:gridCol w:w="2575"/>
              <w:gridCol w:w="1701"/>
            </w:tblGrid>
            <w:tr w:rsidR="002147E2" w:rsidRPr="002130CE" w14:paraId="0A6D835C" w14:textId="77777777" w:rsidTr="002147E2">
              <w:tc>
                <w:tcPr>
                  <w:tcW w:w="2575" w:type="dxa"/>
                  <w:shd w:val="clear" w:color="auto" w:fill="000000" w:themeFill="text1"/>
                </w:tcPr>
                <w:p w14:paraId="1DE741B3" w14:textId="77777777" w:rsidR="002147E2" w:rsidRDefault="002147E2" w:rsidP="00185F39">
                  <w:pPr>
                    <w:jc w:val="center"/>
                  </w:pPr>
                </w:p>
              </w:tc>
              <w:tc>
                <w:tcPr>
                  <w:tcW w:w="1701" w:type="dxa"/>
                  <w:shd w:val="clear" w:color="auto" w:fill="000000" w:themeFill="text1"/>
                </w:tcPr>
                <w:p w14:paraId="4BD02022" w14:textId="77777777" w:rsidR="002147E2" w:rsidRDefault="002147E2" w:rsidP="00185F39">
                  <w:pPr>
                    <w:jc w:val="center"/>
                    <w:rPr>
                      <w:b/>
                    </w:rPr>
                  </w:pPr>
                  <w:r>
                    <w:rPr>
                      <w:b/>
                    </w:rPr>
                    <w:t>Score</w:t>
                  </w:r>
                </w:p>
              </w:tc>
            </w:tr>
            <w:tr w:rsidR="002147E2" w:rsidRPr="002130CE" w14:paraId="61E45668" w14:textId="77777777" w:rsidTr="00185F39">
              <w:tc>
                <w:tcPr>
                  <w:tcW w:w="2575" w:type="dxa"/>
                </w:tcPr>
                <w:p w14:paraId="26550D15" w14:textId="77777777" w:rsidR="002147E2" w:rsidRDefault="002147E2" w:rsidP="00185F39">
                  <w:pPr>
                    <w:jc w:val="center"/>
                  </w:pPr>
                  <w:r>
                    <w:t>Yes</w:t>
                  </w:r>
                </w:p>
              </w:tc>
              <w:tc>
                <w:tcPr>
                  <w:tcW w:w="1701" w:type="dxa"/>
                </w:tcPr>
                <w:p w14:paraId="27E39BFF" w14:textId="77777777" w:rsidR="002147E2" w:rsidRPr="002130CE" w:rsidRDefault="002147E2" w:rsidP="00185F39">
                  <w:pPr>
                    <w:jc w:val="center"/>
                    <w:rPr>
                      <w:b/>
                    </w:rPr>
                  </w:pPr>
                  <w:r>
                    <w:rPr>
                      <w:b/>
                    </w:rPr>
                    <w:t>4</w:t>
                  </w:r>
                </w:p>
              </w:tc>
            </w:tr>
            <w:tr w:rsidR="002147E2" w:rsidRPr="002130CE" w14:paraId="04B68074" w14:textId="77777777" w:rsidTr="00185F39">
              <w:tc>
                <w:tcPr>
                  <w:tcW w:w="2575" w:type="dxa"/>
                </w:tcPr>
                <w:p w14:paraId="0FD3CCA5" w14:textId="77777777" w:rsidR="002147E2" w:rsidRDefault="002147E2" w:rsidP="00185F39">
                  <w:pPr>
                    <w:jc w:val="center"/>
                  </w:pPr>
                  <w:r>
                    <w:t>No</w:t>
                  </w:r>
                </w:p>
              </w:tc>
              <w:tc>
                <w:tcPr>
                  <w:tcW w:w="1701" w:type="dxa"/>
                </w:tcPr>
                <w:p w14:paraId="4B5E88E4" w14:textId="77777777" w:rsidR="002147E2" w:rsidRPr="002130CE" w:rsidRDefault="002147E2" w:rsidP="00185F39">
                  <w:pPr>
                    <w:jc w:val="center"/>
                    <w:rPr>
                      <w:b/>
                    </w:rPr>
                  </w:pPr>
                  <w:r>
                    <w:rPr>
                      <w:b/>
                    </w:rPr>
                    <w:t>0</w:t>
                  </w:r>
                </w:p>
              </w:tc>
            </w:tr>
          </w:tbl>
          <w:p w14:paraId="686A8BA6" w14:textId="77777777" w:rsidR="002147E2" w:rsidRDefault="002147E2" w:rsidP="002C0578">
            <w:pPr>
              <w:jc w:val="left"/>
            </w:pPr>
          </w:p>
          <w:p w14:paraId="5A7C5145" w14:textId="5E7C1C59" w:rsidR="002147E2" w:rsidRDefault="00CB324B" w:rsidP="002C0578">
            <w:pPr>
              <w:jc w:val="left"/>
            </w:pPr>
            <w:r>
              <w:rPr>
                <w:b/>
              </w:rPr>
              <w:t xml:space="preserve">11 </w:t>
            </w:r>
            <w:r w:rsidR="002147E2" w:rsidRPr="002147E2">
              <w:t>Does ancillary pack allow for administration of multiple vials with one syringe?</w:t>
            </w:r>
          </w:p>
          <w:p w14:paraId="6E46A878" w14:textId="77777777" w:rsidR="00CE71C4" w:rsidRDefault="00CE71C4" w:rsidP="002C0578">
            <w:pPr>
              <w:jc w:val="left"/>
            </w:pPr>
          </w:p>
          <w:tbl>
            <w:tblPr>
              <w:tblStyle w:val="TableGrid"/>
              <w:tblW w:w="0" w:type="auto"/>
              <w:tblLayout w:type="fixed"/>
              <w:tblLook w:val="04A0" w:firstRow="1" w:lastRow="0" w:firstColumn="1" w:lastColumn="0" w:noHBand="0" w:noVBand="1"/>
            </w:tblPr>
            <w:tblGrid>
              <w:gridCol w:w="2575"/>
              <w:gridCol w:w="1701"/>
            </w:tblGrid>
            <w:tr w:rsidR="002147E2" w:rsidRPr="002130CE" w14:paraId="7001AECC" w14:textId="77777777" w:rsidTr="002147E2">
              <w:tc>
                <w:tcPr>
                  <w:tcW w:w="2575" w:type="dxa"/>
                  <w:shd w:val="clear" w:color="auto" w:fill="000000" w:themeFill="text1"/>
                </w:tcPr>
                <w:p w14:paraId="002E9D99" w14:textId="77777777" w:rsidR="002147E2" w:rsidRPr="000F0F3A" w:rsidRDefault="002147E2" w:rsidP="00185F39">
                  <w:pPr>
                    <w:jc w:val="center"/>
                    <w:rPr>
                      <w:b/>
                      <w:color w:val="FFFFFF" w:themeColor="background1"/>
                    </w:rPr>
                  </w:pPr>
                </w:p>
              </w:tc>
              <w:tc>
                <w:tcPr>
                  <w:tcW w:w="1701" w:type="dxa"/>
                  <w:shd w:val="clear" w:color="auto" w:fill="000000" w:themeFill="text1"/>
                </w:tcPr>
                <w:p w14:paraId="17609A07" w14:textId="77777777" w:rsidR="002147E2" w:rsidRPr="000F0F3A" w:rsidRDefault="002147E2" w:rsidP="00185F39">
                  <w:pPr>
                    <w:jc w:val="center"/>
                    <w:rPr>
                      <w:b/>
                      <w:color w:val="FFFFFF" w:themeColor="background1"/>
                    </w:rPr>
                  </w:pPr>
                  <w:r w:rsidRPr="000F0F3A">
                    <w:rPr>
                      <w:b/>
                      <w:color w:val="FFFFFF" w:themeColor="background1"/>
                    </w:rPr>
                    <w:t>Score</w:t>
                  </w:r>
                </w:p>
              </w:tc>
            </w:tr>
            <w:tr w:rsidR="002147E2" w:rsidRPr="002130CE" w14:paraId="5AD5AD7B" w14:textId="77777777" w:rsidTr="00185F39">
              <w:tc>
                <w:tcPr>
                  <w:tcW w:w="2575" w:type="dxa"/>
                </w:tcPr>
                <w:p w14:paraId="0B9BAF6C" w14:textId="77777777" w:rsidR="002147E2" w:rsidRDefault="002147E2" w:rsidP="00185F39">
                  <w:pPr>
                    <w:jc w:val="center"/>
                  </w:pPr>
                  <w:r>
                    <w:t>Yes</w:t>
                  </w:r>
                </w:p>
              </w:tc>
              <w:tc>
                <w:tcPr>
                  <w:tcW w:w="1701" w:type="dxa"/>
                </w:tcPr>
                <w:p w14:paraId="6EA569B8" w14:textId="77777777" w:rsidR="002147E2" w:rsidRPr="002130CE" w:rsidRDefault="002147E2" w:rsidP="00185F39">
                  <w:pPr>
                    <w:jc w:val="center"/>
                    <w:rPr>
                      <w:b/>
                    </w:rPr>
                  </w:pPr>
                  <w:r>
                    <w:rPr>
                      <w:b/>
                    </w:rPr>
                    <w:t>2</w:t>
                  </w:r>
                </w:p>
              </w:tc>
            </w:tr>
            <w:tr w:rsidR="002147E2" w:rsidRPr="002130CE" w14:paraId="618BDB06" w14:textId="77777777" w:rsidTr="002147E2">
              <w:tc>
                <w:tcPr>
                  <w:tcW w:w="2575" w:type="dxa"/>
                </w:tcPr>
                <w:p w14:paraId="526D286A" w14:textId="77777777" w:rsidR="002147E2" w:rsidRDefault="002147E2" w:rsidP="00185F39">
                  <w:pPr>
                    <w:jc w:val="center"/>
                  </w:pPr>
                  <w:r>
                    <w:t>No but extra syringe can be provided</w:t>
                  </w:r>
                </w:p>
              </w:tc>
              <w:tc>
                <w:tcPr>
                  <w:tcW w:w="1701" w:type="dxa"/>
                  <w:vAlign w:val="center"/>
                </w:tcPr>
                <w:p w14:paraId="40B45774" w14:textId="77777777" w:rsidR="002147E2" w:rsidRDefault="002147E2" w:rsidP="002147E2">
                  <w:pPr>
                    <w:jc w:val="center"/>
                    <w:rPr>
                      <w:b/>
                    </w:rPr>
                  </w:pPr>
                  <w:r>
                    <w:rPr>
                      <w:b/>
                    </w:rPr>
                    <w:t>1</w:t>
                  </w:r>
                </w:p>
              </w:tc>
            </w:tr>
            <w:tr w:rsidR="002147E2" w:rsidRPr="002130CE" w14:paraId="24D67174" w14:textId="77777777" w:rsidTr="00185F39">
              <w:tc>
                <w:tcPr>
                  <w:tcW w:w="2575" w:type="dxa"/>
                </w:tcPr>
                <w:p w14:paraId="4D5E65DF" w14:textId="77777777" w:rsidR="002147E2" w:rsidRDefault="002147E2" w:rsidP="00185F39">
                  <w:pPr>
                    <w:jc w:val="center"/>
                  </w:pPr>
                  <w:r>
                    <w:t>No</w:t>
                  </w:r>
                </w:p>
              </w:tc>
              <w:tc>
                <w:tcPr>
                  <w:tcW w:w="1701" w:type="dxa"/>
                </w:tcPr>
                <w:p w14:paraId="3976FD0B" w14:textId="77777777" w:rsidR="002147E2" w:rsidRPr="002130CE" w:rsidRDefault="002147E2" w:rsidP="00185F39">
                  <w:pPr>
                    <w:jc w:val="center"/>
                    <w:rPr>
                      <w:b/>
                    </w:rPr>
                  </w:pPr>
                  <w:r>
                    <w:rPr>
                      <w:b/>
                    </w:rPr>
                    <w:t>0</w:t>
                  </w:r>
                </w:p>
              </w:tc>
            </w:tr>
          </w:tbl>
          <w:p w14:paraId="51CB3C8A" w14:textId="77777777" w:rsidR="002147E2" w:rsidRDefault="002147E2" w:rsidP="002C0578">
            <w:pPr>
              <w:jc w:val="left"/>
            </w:pPr>
          </w:p>
          <w:p w14:paraId="7CDE6C52" w14:textId="720A74B5" w:rsidR="002147E2" w:rsidRDefault="00CB324B" w:rsidP="002C0578">
            <w:pPr>
              <w:jc w:val="left"/>
            </w:pPr>
            <w:r>
              <w:rPr>
                <w:b/>
              </w:rPr>
              <w:t xml:space="preserve">12 </w:t>
            </w:r>
            <w:r w:rsidR="002147E2" w:rsidRPr="002147E2">
              <w:t>Is there an option to add an ancillary pack to the purchase order without packs automatically being supplied?</w:t>
            </w:r>
          </w:p>
          <w:p w14:paraId="7BEE7F18" w14:textId="77777777" w:rsidR="00CE71C4" w:rsidRDefault="00CE71C4" w:rsidP="002C0578">
            <w:pPr>
              <w:jc w:val="left"/>
            </w:pPr>
          </w:p>
          <w:tbl>
            <w:tblPr>
              <w:tblStyle w:val="TableGrid"/>
              <w:tblW w:w="0" w:type="auto"/>
              <w:tblLayout w:type="fixed"/>
              <w:tblLook w:val="04A0" w:firstRow="1" w:lastRow="0" w:firstColumn="1" w:lastColumn="0" w:noHBand="0" w:noVBand="1"/>
            </w:tblPr>
            <w:tblGrid>
              <w:gridCol w:w="2575"/>
              <w:gridCol w:w="1701"/>
            </w:tblGrid>
            <w:tr w:rsidR="002147E2" w:rsidRPr="000F0F3A" w14:paraId="5965A555" w14:textId="77777777" w:rsidTr="00185F39">
              <w:tc>
                <w:tcPr>
                  <w:tcW w:w="2575" w:type="dxa"/>
                  <w:shd w:val="clear" w:color="auto" w:fill="000000" w:themeFill="text1"/>
                </w:tcPr>
                <w:p w14:paraId="31BAC0AB" w14:textId="77777777" w:rsidR="002147E2" w:rsidRPr="000F0F3A" w:rsidRDefault="002147E2" w:rsidP="00185F39">
                  <w:pPr>
                    <w:jc w:val="center"/>
                    <w:rPr>
                      <w:b/>
                      <w:color w:val="FFFFFF" w:themeColor="background1"/>
                    </w:rPr>
                  </w:pPr>
                </w:p>
              </w:tc>
              <w:tc>
                <w:tcPr>
                  <w:tcW w:w="1701" w:type="dxa"/>
                  <w:shd w:val="clear" w:color="auto" w:fill="000000" w:themeFill="text1"/>
                </w:tcPr>
                <w:p w14:paraId="647E3935" w14:textId="77777777" w:rsidR="002147E2" w:rsidRPr="000F0F3A" w:rsidRDefault="002147E2" w:rsidP="00185F39">
                  <w:pPr>
                    <w:jc w:val="center"/>
                    <w:rPr>
                      <w:b/>
                      <w:color w:val="FFFFFF" w:themeColor="background1"/>
                    </w:rPr>
                  </w:pPr>
                  <w:r w:rsidRPr="000F0F3A">
                    <w:rPr>
                      <w:b/>
                      <w:color w:val="FFFFFF" w:themeColor="background1"/>
                    </w:rPr>
                    <w:t>Score</w:t>
                  </w:r>
                </w:p>
              </w:tc>
            </w:tr>
            <w:tr w:rsidR="002147E2" w:rsidRPr="002130CE" w14:paraId="7C2B30D7" w14:textId="77777777" w:rsidTr="00185F39">
              <w:tc>
                <w:tcPr>
                  <w:tcW w:w="2575" w:type="dxa"/>
                </w:tcPr>
                <w:p w14:paraId="2B848A1E" w14:textId="77777777" w:rsidR="002147E2" w:rsidRDefault="002147E2" w:rsidP="00185F39">
                  <w:pPr>
                    <w:jc w:val="center"/>
                  </w:pPr>
                  <w:r>
                    <w:t>Yes</w:t>
                  </w:r>
                </w:p>
              </w:tc>
              <w:tc>
                <w:tcPr>
                  <w:tcW w:w="1701" w:type="dxa"/>
                </w:tcPr>
                <w:p w14:paraId="16B36B61" w14:textId="77777777" w:rsidR="002147E2" w:rsidRPr="002130CE" w:rsidRDefault="009F111A" w:rsidP="00185F39">
                  <w:pPr>
                    <w:jc w:val="center"/>
                    <w:rPr>
                      <w:b/>
                    </w:rPr>
                  </w:pPr>
                  <w:r>
                    <w:rPr>
                      <w:b/>
                    </w:rPr>
                    <w:t>1</w:t>
                  </w:r>
                </w:p>
              </w:tc>
            </w:tr>
            <w:tr w:rsidR="002147E2" w:rsidRPr="002130CE" w14:paraId="7E91175A" w14:textId="77777777" w:rsidTr="00185F39">
              <w:tc>
                <w:tcPr>
                  <w:tcW w:w="2575" w:type="dxa"/>
                </w:tcPr>
                <w:p w14:paraId="1FFDA8AF" w14:textId="77777777" w:rsidR="002147E2" w:rsidRDefault="002147E2" w:rsidP="00185F39">
                  <w:pPr>
                    <w:jc w:val="center"/>
                  </w:pPr>
                  <w:r>
                    <w:t>No</w:t>
                  </w:r>
                </w:p>
              </w:tc>
              <w:tc>
                <w:tcPr>
                  <w:tcW w:w="1701" w:type="dxa"/>
                </w:tcPr>
                <w:p w14:paraId="613D0FB9" w14:textId="77777777" w:rsidR="002147E2" w:rsidRPr="002130CE" w:rsidRDefault="002147E2" w:rsidP="00185F39">
                  <w:pPr>
                    <w:jc w:val="center"/>
                    <w:rPr>
                      <w:b/>
                    </w:rPr>
                  </w:pPr>
                  <w:r>
                    <w:rPr>
                      <w:b/>
                    </w:rPr>
                    <w:t>0</w:t>
                  </w:r>
                </w:p>
              </w:tc>
            </w:tr>
          </w:tbl>
          <w:p w14:paraId="1F39CE29" w14:textId="77777777" w:rsidR="002147E2" w:rsidRDefault="002147E2" w:rsidP="002C0578">
            <w:pPr>
              <w:jc w:val="left"/>
            </w:pPr>
          </w:p>
          <w:p w14:paraId="07A6B51E" w14:textId="243D8B87" w:rsidR="002147E2" w:rsidRDefault="00CB324B" w:rsidP="002C0578">
            <w:pPr>
              <w:jc w:val="left"/>
            </w:pPr>
            <w:r>
              <w:rPr>
                <w:b/>
              </w:rPr>
              <w:t>13</w:t>
            </w:r>
            <w:r>
              <w:t xml:space="preserve"> </w:t>
            </w:r>
            <w:r w:rsidR="002147E2" w:rsidRPr="002147E2">
              <w:t>Does packaging contain bar-code?</w:t>
            </w:r>
          </w:p>
          <w:p w14:paraId="217EF88C" w14:textId="77777777" w:rsidR="00CE71C4" w:rsidRDefault="00CE71C4" w:rsidP="002C0578">
            <w:pPr>
              <w:jc w:val="left"/>
            </w:pPr>
          </w:p>
          <w:tbl>
            <w:tblPr>
              <w:tblStyle w:val="TableGrid"/>
              <w:tblW w:w="0" w:type="auto"/>
              <w:tblLayout w:type="fixed"/>
              <w:tblLook w:val="04A0" w:firstRow="1" w:lastRow="0" w:firstColumn="1" w:lastColumn="0" w:noHBand="0" w:noVBand="1"/>
            </w:tblPr>
            <w:tblGrid>
              <w:gridCol w:w="2575"/>
              <w:gridCol w:w="1701"/>
            </w:tblGrid>
            <w:tr w:rsidR="002147E2" w:rsidRPr="000F0F3A" w14:paraId="696DCD6C" w14:textId="77777777" w:rsidTr="00185F39">
              <w:tc>
                <w:tcPr>
                  <w:tcW w:w="2575" w:type="dxa"/>
                  <w:shd w:val="clear" w:color="auto" w:fill="000000" w:themeFill="text1"/>
                </w:tcPr>
                <w:p w14:paraId="277C9A78" w14:textId="77777777" w:rsidR="002147E2" w:rsidRPr="000F0F3A" w:rsidRDefault="002147E2" w:rsidP="00185F39">
                  <w:pPr>
                    <w:jc w:val="center"/>
                    <w:rPr>
                      <w:b/>
                      <w:color w:val="FFFFFF" w:themeColor="background1"/>
                    </w:rPr>
                  </w:pPr>
                </w:p>
              </w:tc>
              <w:tc>
                <w:tcPr>
                  <w:tcW w:w="1701" w:type="dxa"/>
                  <w:shd w:val="clear" w:color="auto" w:fill="000000" w:themeFill="text1"/>
                </w:tcPr>
                <w:p w14:paraId="723EAC88" w14:textId="77777777" w:rsidR="002147E2" w:rsidRPr="000F0F3A" w:rsidRDefault="002147E2" w:rsidP="00185F39">
                  <w:pPr>
                    <w:jc w:val="center"/>
                    <w:rPr>
                      <w:b/>
                      <w:color w:val="FFFFFF" w:themeColor="background1"/>
                    </w:rPr>
                  </w:pPr>
                  <w:r w:rsidRPr="000F0F3A">
                    <w:rPr>
                      <w:b/>
                      <w:color w:val="FFFFFF" w:themeColor="background1"/>
                    </w:rPr>
                    <w:t>Score</w:t>
                  </w:r>
                </w:p>
              </w:tc>
            </w:tr>
            <w:tr w:rsidR="002147E2" w:rsidRPr="002130CE" w14:paraId="57EB2DBD" w14:textId="77777777" w:rsidTr="00185F39">
              <w:tc>
                <w:tcPr>
                  <w:tcW w:w="2575" w:type="dxa"/>
                </w:tcPr>
                <w:p w14:paraId="346E975B" w14:textId="77777777" w:rsidR="002147E2" w:rsidRDefault="002147E2" w:rsidP="00185F39">
                  <w:pPr>
                    <w:jc w:val="center"/>
                  </w:pPr>
                  <w:r>
                    <w:t>Yes</w:t>
                  </w:r>
                </w:p>
              </w:tc>
              <w:tc>
                <w:tcPr>
                  <w:tcW w:w="1701" w:type="dxa"/>
                </w:tcPr>
                <w:p w14:paraId="11B13FD9" w14:textId="77777777" w:rsidR="002147E2" w:rsidRPr="002130CE" w:rsidRDefault="002147E2" w:rsidP="00185F39">
                  <w:pPr>
                    <w:jc w:val="center"/>
                    <w:rPr>
                      <w:b/>
                    </w:rPr>
                  </w:pPr>
                  <w:r>
                    <w:rPr>
                      <w:b/>
                    </w:rPr>
                    <w:t>5</w:t>
                  </w:r>
                </w:p>
              </w:tc>
            </w:tr>
            <w:tr w:rsidR="002147E2" w:rsidRPr="002130CE" w14:paraId="1C8C8E1A" w14:textId="77777777" w:rsidTr="00185F39">
              <w:tc>
                <w:tcPr>
                  <w:tcW w:w="2575" w:type="dxa"/>
                </w:tcPr>
                <w:p w14:paraId="7446978E" w14:textId="77777777" w:rsidR="002147E2" w:rsidRDefault="002147E2" w:rsidP="00185F39">
                  <w:pPr>
                    <w:jc w:val="center"/>
                  </w:pPr>
                  <w:r>
                    <w:lastRenderedPageBreak/>
                    <w:t>No</w:t>
                  </w:r>
                </w:p>
              </w:tc>
              <w:tc>
                <w:tcPr>
                  <w:tcW w:w="1701" w:type="dxa"/>
                </w:tcPr>
                <w:p w14:paraId="53311201" w14:textId="77777777" w:rsidR="002147E2" w:rsidRPr="002130CE" w:rsidRDefault="002147E2" w:rsidP="00185F39">
                  <w:pPr>
                    <w:jc w:val="center"/>
                    <w:rPr>
                      <w:b/>
                    </w:rPr>
                  </w:pPr>
                  <w:r>
                    <w:rPr>
                      <w:b/>
                    </w:rPr>
                    <w:t>0</w:t>
                  </w:r>
                </w:p>
              </w:tc>
            </w:tr>
          </w:tbl>
          <w:p w14:paraId="573437D6" w14:textId="77777777" w:rsidR="002147E2" w:rsidRDefault="002147E2" w:rsidP="002C0578">
            <w:pPr>
              <w:jc w:val="left"/>
            </w:pPr>
          </w:p>
          <w:p w14:paraId="094EF605" w14:textId="2AB13D88" w:rsidR="008E60BB" w:rsidRDefault="00CB324B" w:rsidP="00D92FFD">
            <w:pPr>
              <w:shd w:val="clear" w:color="auto" w:fill="FFFFFF" w:themeFill="background1"/>
              <w:jc w:val="left"/>
            </w:pPr>
            <w:r>
              <w:rPr>
                <w:b/>
              </w:rPr>
              <w:t xml:space="preserve">14 </w:t>
            </w:r>
            <w:r w:rsidR="002D1094" w:rsidRPr="002B7C30">
              <w:t>Size of pack – in relation to storage at patient’s home</w:t>
            </w:r>
          </w:p>
          <w:p w14:paraId="3540D929" w14:textId="77777777" w:rsidR="00CE71C4" w:rsidRDefault="00CE71C4" w:rsidP="00D92FFD">
            <w:pPr>
              <w:shd w:val="clear" w:color="auto" w:fill="FFFFFF" w:themeFill="background1"/>
              <w:jc w:val="left"/>
            </w:pPr>
          </w:p>
          <w:tbl>
            <w:tblPr>
              <w:tblStyle w:val="TableGrid"/>
              <w:tblW w:w="0" w:type="auto"/>
              <w:tblLayout w:type="fixed"/>
              <w:tblLook w:val="04A0" w:firstRow="1" w:lastRow="0" w:firstColumn="1" w:lastColumn="0" w:noHBand="0" w:noVBand="1"/>
            </w:tblPr>
            <w:tblGrid>
              <w:gridCol w:w="2575"/>
              <w:gridCol w:w="1701"/>
            </w:tblGrid>
            <w:tr w:rsidR="005B56D3" w:rsidRPr="000F0F3A" w14:paraId="04AE38CB" w14:textId="77777777" w:rsidTr="002B7C30">
              <w:tc>
                <w:tcPr>
                  <w:tcW w:w="2575" w:type="dxa"/>
                  <w:shd w:val="clear" w:color="auto" w:fill="000000" w:themeFill="text1"/>
                </w:tcPr>
                <w:p w14:paraId="6311CF5B" w14:textId="77777777" w:rsidR="005B56D3" w:rsidRPr="000F0F3A" w:rsidRDefault="005B56D3" w:rsidP="008E60BB">
                  <w:pPr>
                    <w:jc w:val="center"/>
                    <w:rPr>
                      <w:b/>
                      <w:color w:val="FFFFFF" w:themeColor="background1"/>
                    </w:rPr>
                  </w:pPr>
                </w:p>
              </w:tc>
              <w:tc>
                <w:tcPr>
                  <w:tcW w:w="1701" w:type="dxa"/>
                  <w:shd w:val="clear" w:color="auto" w:fill="000000" w:themeFill="text1"/>
                </w:tcPr>
                <w:p w14:paraId="3D4CAFAC" w14:textId="77777777" w:rsidR="005B56D3" w:rsidRPr="000F0F3A" w:rsidRDefault="005B56D3" w:rsidP="008E60BB">
                  <w:pPr>
                    <w:jc w:val="center"/>
                    <w:rPr>
                      <w:b/>
                      <w:color w:val="FFFFFF" w:themeColor="background1"/>
                    </w:rPr>
                  </w:pPr>
                  <w:r w:rsidRPr="000F0F3A">
                    <w:rPr>
                      <w:b/>
                      <w:color w:val="FFFFFF" w:themeColor="background1"/>
                    </w:rPr>
                    <w:t>Score</w:t>
                  </w:r>
                </w:p>
              </w:tc>
            </w:tr>
            <w:tr w:rsidR="005B56D3" w:rsidRPr="002130CE" w14:paraId="307AD552" w14:textId="77777777" w:rsidTr="002B7C30">
              <w:tc>
                <w:tcPr>
                  <w:tcW w:w="2575" w:type="dxa"/>
                </w:tcPr>
                <w:p w14:paraId="2AC56A7C" w14:textId="77777777" w:rsidR="005B56D3" w:rsidRDefault="005B56D3" w:rsidP="008E60BB">
                  <w:r>
                    <w:t>&lt; or = 200 cubic cm</w:t>
                  </w:r>
                </w:p>
              </w:tc>
              <w:tc>
                <w:tcPr>
                  <w:tcW w:w="1701" w:type="dxa"/>
                </w:tcPr>
                <w:p w14:paraId="7292ED5D" w14:textId="77777777" w:rsidR="005B56D3" w:rsidRPr="002130CE" w:rsidRDefault="005B56D3" w:rsidP="008E60BB">
                  <w:pPr>
                    <w:jc w:val="center"/>
                    <w:rPr>
                      <w:b/>
                    </w:rPr>
                  </w:pPr>
                  <w:r>
                    <w:rPr>
                      <w:b/>
                    </w:rPr>
                    <w:t>8</w:t>
                  </w:r>
                </w:p>
              </w:tc>
            </w:tr>
            <w:tr w:rsidR="005B56D3" w14:paraId="37A86E65" w14:textId="77777777" w:rsidTr="002B7C30">
              <w:tc>
                <w:tcPr>
                  <w:tcW w:w="2575" w:type="dxa"/>
                </w:tcPr>
                <w:p w14:paraId="73566E5F" w14:textId="77777777" w:rsidR="005B56D3" w:rsidRDefault="005B56D3" w:rsidP="008E60BB">
                  <w:pPr>
                    <w:jc w:val="center"/>
                  </w:pPr>
                  <w:r>
                    <w:t>&gt;200 – 400 cubic cm</w:t>
                  </w:r>
                </w:p>
              </w:tc>
              <w:tc>
                <w:tcPr>
                  <w:tcW w:w="1701" w:type="dxa"/>
                  <w:vAlign w:val="center"/>
                </w:tcPr>
                <w:p w14:paraId="55D52C92" w14:textId="77777777" w:rsidR="005B56D3" w:rsidRDefault="005B56D3" w:rsidP="008E60BB">
                  <w:pPr>
                    <w:jc w:val="center"/>
                    <w:rPr>
                      <w:b/>
                    </w:rPr>
                  </w:pPr>
                  <w:r>
                    <w:rPr>
                      <w:b/>
                    </w:rPr>
                    <w:t>5</w:t>
                  </w:r>
                </w:p>
              </w:tc>
            </w:tr>
            <w:tr w:rsidR="005B56D3" w14:paraId="4FAD625B" w14:textId="77777777" w:rsidTr="002B7C30">
              <w:tc>
                <w:tcPr>
                  <w:tcW w:w="2575" w:type="dxa"/>
                </w:tcPr>
                <w:p w14:paraId="539FEA70" w14:textId="77777777" w:rsidR="005B56D3" w:rsidRDefault="005B56D3" w:rsidP="008E60BB">
                  <w:pPr>
                    <w:jc w:val="center"/>
                  </w:pPr>
                  <w:r>
                    <w:t>&gt;400 – 500 cubic cm</w:t>
                  </w:r>
                </w:p>
              </w:tc>
              <w:tc>
                <w:tcPr>
                  <w:tcW w:w="1701" w:type="dxa"/>
                  <w:vAlign w:val="center"/>
                </w:tcPr>
                <w:p w14:paraId="38F1AB0C" w14:textId="77777777" w:rsidR="005B56D3" w:rsidRDefault="005B56D3" w:rsidP="008E60BB">
                  <w:pPr>
                    <w:jc w:val="center"/>
                    <w:rPr>
                      <w:b/>
                    </w:rPr>
                  </w:pPr>
                  <w:r>
                    <w:rPr>
                      <w:b/>
                    </w:rPr>
                    <w:t>2</w:t>
                  </w:r>
                </w:p>
              </w:tc>
            </w:tr>
            <w:tr w:rsidR="005B56D3" w:rsidRPr="002130CE" w14:paraId="734A16DD" w14:textId="77777777" w:rsidTr="002B7C30">
              <w:tc>
                <w:tcPr>
                  <w:tcW w:w="2575" w:type="dxa"/>
                </w:tcPr>
                <w:p w14:paraId="49A32BE1" w14:textId="77777777" w:rsidR="005B56D3" w:rsidRDefault="005B56D3" w:rsidP="008E60BB">
                  <w:r>
                    <w:t xml:space="preserve">&gt;500 cubic cm </w:t>
                  </w:r>
                </w:p>
              </w:tc>
              <w:tc>
                <w:tcPr>
                  <w:tcW w:w="1701" w:type="dxa"/>
                </w:tcPr>
                <w:p w14:paraId="13D72305" w14:textId="77777777" w:rsidR="005B56D3" w:rsidRDefault="005B56D3" w:rsidP="008E60BB">
                  <w:pPr>
                    <w:jc w:val="center"/>
                    <w:rPr>
                      <w:b/>
                    </w:rPr>
                  </w:pPr>
                  <w:r>
                    <w:rPr>
                      <w:b/>
                    </w:rPr>
                    <w:t>0</w:t>
                  </w:r>
                </w:p>
              </w:tc>
            </w:tr>
          </w:tbl>
          <w:p w14:paraId="7C5C19C9" w14:textId="77777777" w:rsidR="008E60BB" w:rsidRDefault="008E60BB" w:rsidP="002C0578">
            <w:pPr>
              <w:jc w:val="left"/>
              <w:rPr>
                <w:highlight w:val="yellow"/>
              </w:rPr>
            </w:pPr>
          </w:p>
          <w:p w14:paraId="2B8E2FE7" w14:textId="7AF45204" w:rsidR="002D1094" w:rsidRDefault="00CB324B" w:rsidP="002C0578">
            <w:pPr>
              <w:jc w:val="left"/>
            </w:pPr>
            <w:r>
              <w:rPr>
                <w:b/>
              </w:rPr>
              <w:t xml:space="preserve">15 </w:t>
            </w:r>
            <w:r w:rsidR="002D1094">
              <w:t>Are all required items in one box or are items supplied in additional packs?</w:t>
            </w:r>
          </w:p>
          <w:p w14:paraId="08D07495" w14:textId="77777777" w:rsidR="00CE71C4" w:rsidRDefault="00CE71C4" w:rsidP="002C0578">
            <w:pPr>
              <w:jc w:val="left"/>
            </w:pPr>
          </w:p>
          <w:tbl>
            <w:tblPr>
              <w:tblStyle w:val="TableGrid"/>
              <w:tblW w:w="0" w:type="auto"/>
              <w:tblLayout w:type="fixed"/>
              <w:tblLook w:val="04A0" w:firstRow="1" w:lastRow="0" w:firstColumn="1" w:lastColumn="0" w:noHBand="0" w:noVBand="1"/>
            </w:tblPr>
            <w:tblGrid>
              <w:gridCol w:w="2610"/>
              <w:gridCol w:w="1701"/>
            </w:tblGrid>
            <w:tr w:rsidR="002D1094" w:rsidRPr="000F0F3A" w14:paraId="07F1864E" w14:textId="77777777" w:rsidTr="005B56D3">
              <w:tc>
                <w:tcPr>
                  <w:tcW w:w="2610" w:type="dxa"/>
                  <w:shd w:val="clear" w:color="auto" w:fill="000000" w:themeFill="text1"/>
                </w:tcPr>
                <w:p w14:paraId="1450C560" w14:textId="77777777" w:rsidR="002D1094" w:rsidRPr="000F0F3A" w:rsidRDefault="002D1094" w:rsidP="002D1094">
                  <w:pPr>
                    <w:jc w:val="left"/>
                    <w:rPr>
                      <w:b/>
                      <w:color w:val="FFFFFF" w:themeColor="background1"/>
                    </w:rPr>
                  </w:pPr>
                </w:p>
              </w:tc>
              <w:tc>
                <w:tcPr>
                  <w:tcW w:w="1701" w:type="dxa"/>
                  <w:shd w:val="clear" w:color="auto" w:fill="000000" w:themeFill="text1"/>
                  <w:vAlign w:val="center"/>
                </w:tcPr>
                <w:p w14:paraId="79B09FDB" w14:textId="77777777" w:rsidR="002D1094" w:rsidRPr="000F0F3A" w:rsidRDefault="002D1094" w:rsidP="002D1094">
                  <w:pPr>
                    <w:jc w:val="center"/>
                    <w:rPr>
                      <w:b/>
                      <w:color w:val="FFFFFF" w:themeColor="background1"/>
                    </w:rPr>
                  </w:pPr>
                  <w:r w:rsidRPr="000F0F3A">
                    <w:rPr>
                      <w:b/>
                      <w:color w:val="FFFFFF" w:themeColor="background1"/>
                    </w:rPr>
                    <w:t>Score</w:t>
                  </w:r>
                </w:p>
              </w:tc>
            </w:tr>
            <w:tr w:rsidR="002D1094" w:rsidRPr="00E6514C" w14:paraId="5ADAD80E" w14:textId="77777777" w:rsidTr="005B56D3">
              <w:tc>
                <w:tcPr>
                  <w:tcW w:w="2610" w:type="dxa"/>
                </w:tcPr>
                <w:p w14:paraId="57BA079F" w14:textId="77777777" w:rsidR="002D1094" w:rsidRDefault="002D1094" w:rsidP="002D1094">
                  <w:pPr>
                    <w:jc w:val="left"/>
                    <w:rPr>
                      <w:highlight w:val="yellow"/>
                    </w:rPr>
                  </w:pPr>
                  <w:r w:rsidRPr="002D1094">
                    <w:t>Yes - all required items are received in one box</w:t>
                  </w:r>
                </w:p>
              </w:tc>
              <w:tc>
                <w:tcPr>
                  <w:tcW w:w="1701" w:type="dxa"/>
                </w:tcPr>
                <w:p w14:paraId="16C33BD3" w14:textId="77777777" w:rsidR="002D1094" w:rsidRPr="005B56D3" w:rsidRDefault="002D1094" w:rsidP="002D1094">
                  <w:pPr>
                    <w:jc w:val="center"/>
                    <w:rPr>
                      <w:b/>
                    </w:rPr>
                  </w:pPr>
                  <w:r w:rsidRPr="005B56D3">
                    <w:rPr>
                      <w:b/>
                    </w:rPr>
                    <w:t>5</w:t>
                  </w:r>
                </w:p>
              </w:tc>
            </w:tr>
            <w:tr w:rsidR="002D1094" w:rsidRPr="00E6514C" w14:paraId="2EBFA74B" w14:textId="77777777" w:rsidTr="005B56D3">
              <w:tc>
                <w:tcPr>
                  <w:tcW w:w="2610" w:type="dxa"/>
                </w:tcPr>
                <w:p w14:paraId="189F7917" w14:textId="6FFD4273" w:rsidR="002D1094" w:rsidRDefault="002D1094" w:rsidP="002D1094">
                  <w:pPr>
                    <w:jc w:val="left"/>
                    <w:rPr>
                      <w:highlight w:val="yellow"/>
                    </w:rPr>
                  </w:pPr>
                  <w:r w:rsidRPr="002D1094">
                    <w:t>No - some items are supplied separately</w:t>
                  </w:r>
                </w:p>
              </w:tc>
              <w:tc>
                <w:tcPr>
                  <w:tcW w:w="1701" w:type="dxa"/>
                </w:tcPr>
                <w:p w14:paraId="38F51F54" w14:textId="77777777" w:rsidR="002D1094" w:rsidRPr="005B56D3" w:rsidRDefault="002D1094" w:rsidP="002D1094">
                  <w:pPr>
                    <w:jc w:val="center"/>
                    <w:rPr>
                      <w:b/>
                    </w:rPr>
                  </w:pPr>
                  <w:r w:rsidRPr="005B56D3">
                    <w:rPr>
                      <w:b/>
                    </w:rPr>
                    <w:t>0</w:t>
                  </w:r>
                </w:p>
              </w:tc>
            </w:tr>
          </w:tbl>
          <w:p w14:paraId="4F5EF5ED" w14:textId="77777777" w:rsidR="002D1094" w:rsidRDefault="002D1094" w:rsidP="002C0578">
            <w:pPr>
              <w:jc w:val="left"/>
            </w:pPr>
          </w:p>
          <w:p w14:paraId="090D63BC" w14:textId="4911050B" w:rsidR="002147E2" w:rsidRDefault="00CB324B" w:rsidP="002C0578">
            <w:pPr>
              <w:jc w:val="left"/>
            </w:pPr>
            <w:bookmarkStart w:id="2" w:name="_Hlk31199655"/>
            <w:r>
              <w:rPr>
                <w:b/>
              </w:rPr>
              <w:t>16</w:t>
            </w:r>
            <w:r>
              <w:t xml:space="preserve"> </w:t>
            </w:r>
            <w:r w:rsidR="002147E2" w:rsidRPr="002147E2">
              <w:t>How environmentally friendly is packaging i.e. amount of packaging, plastic v cardboard, bulkiness of packaging?</w:t>
            </w:r>
          </w:p>
          <w:p w14:paraId="63A73840" w14:textId="77777777" w:rsidR="002147E2" w:rsidRDefault="002147E2" w:rsidP="002C0578">
            <w:pPr>
              <w:jc w:val="left"/>
            </w:pPr>
          </w:p>
          <w:tbl>
            <w:tblPr>
              <w:tblStyle w:val="TableGrid"/>
              <w:tblW w:w="0" w:type="auto"/>
              <w:tblLayout w:type="fixed"/>
              <w:tblLook w:val="04A0" w:firstRow="1" w:lastRow="0" w:firstColumn="1" w:lastColumn="0" w:noHBand="0" w:noVBand="1"/>
            </w:tblPr>
            <w:tblGrid>
              <w:gridCol w:w="4276"/>
              <w:gridCol w:w="850"/>
            </w:tblGrid>
            <w:tr w:rsidR="002147E2" w:rsidRPr="000F0F3A" w14:paraId="6440422C" w14:textId="77777777" w:rsidTr="00185F39">
              <w:tc>
                <w:tcPr>
                  <w:tcW w:w="4276" w:type="dxa"/>
                  <w:shd w:val="clear" w:color="auto" w:fill="000000" w:themeFill="text1"/>
                </w:tcPr>
                <w:p w14:paraId="2125D335" w14:textId="77777777" w:rsidR="002147E2" w:rsidRPr="000F0F3A" w:rsidRDefault="002147E2" w:rsidP="00185F39">
                  <w:pPr>
                    <w:jc w:val="left"/>
                    <w:rPr>
                      <w:b/>
                      <w:color w:val="FFFFFF" w:themeColor="background1"/>
                    </w:rPr>
                  </w:pPr>
                </w:p>
              </w:tc>
              <w:tc>
                <w:tcPr>
                  <w:tcW w:w="850" w:type="dxa"/>
                  <w:shd w:val="clear" w:color="auto" w:fill="000000" w:themeFill="text1"/>
                  <w:vAlign w:val="center"/>
                </w:tcPr>
                <w:p w14:paraId="43245792" w14:textId="77777777" w:rsidR="002147E2" w:rsidRPr="000F0F3A" w:rsidRDefault="002147E2" w:rsidP="00185F39">
                  <w:pPr>
                    <w:jc w:val="center"/>
                    <w:rPr>
                      <w:b/>
                      <w:color w:val="FFFFFF" w:themeColor="background1"/>
                    </w:rPr>
                  </w:pPr>
                  <w:r w:rsidRPr="000F0F3A">
                    <w:rPr>
                      <w:b/>
                      <w:color w:val="FFFFFF" w:themeColor="background1"/>
                    </w:rPr>
                    <w:t>Score</w:t>
                  </w:r>
                </w:p>
              </w:tc>
            </w:tr>
            <w:tr w:rsidR="002147E2" w:rsidRPr="00E6514C" w14:paraId="7F934BAA" w14:textId="77777777" w:rsidTr="00185F39">
              <w:tc>
                <w:tcPr>
                  <w:tcW w:w="4276" w:type="dxa"/>
                </w:tcPr>
                <w:p w14:paraId="10376C6D" w14:textId="77777777" w:rsidR="002147E2" w:rsidRDefault="002147E2" w:rsidP="00185F39">
                  <w:pPr>
                    <w:jc w:val="left"/>
                    <w:rPr>
                      <w:highlight w:val="yellow"/>
                    </w:rPr>
                  </w:pPr>
                  <w:r w:rsidRPr="00CA688D">
                    <w:t>Least amount of waste all of which is recyclable</w:t>
                  </w:r>
                </w:p>
              </w:tc>
              <w:tc>
                <w:tcPr>
                  <w:tcW w:w="850" w:type="dxa"/>
                </w:tcPr>
                <w:p w14:paraId="39474E4A" w14:textId="77777777" w:rsidR="002147E2" w:rsidRPr="005B56D3" w:rsidRDefault="002147E2" w:rsidP="00185F39">
                  <w:pPr>
                    <w:jc w:val="center"/>
                    <w:rPr>
                      <w:b/>
                    </w:rPr>
                  </w:pPr>
                  <w:r w:rsidRPr="005B56D3">
                    <w:rPr>
                      <w:b/>
                    </w:rPr>
                    <w:t>8</w:t>
                  </w:r>
                </w:p>
              </w:tc>
            </w:tr>
            <w:tr w:rsidR="002147E2" w:rsidRPr="00E6514C" w14:paraId="3375D299" w14:textId="77777777" w:rsidTr="00185F39">
              <w:tc>
                <w:tcPr>
                  <w:tcW w:w="4276" w:type="dxa"/>
                </w:tcPr>
                <w:p w14:paraId="50CAB058" w14:textId="77777777" w:rsidR="002147E2" w:rsidRDefault="002147E2" w:rsidP="00185F39">
                  <w:pPr>
                    <w:jc w:val="left"/>
                    <w:rPr>
                      <w:highlight w:val="yellow"/>
                    </w:rPr>
                  </w:pPr>
                  <w:r w:rsidRPr="00CA688D">
                    <w:t>Bulky waste which includes all recyclable material</w:t>
                  </w:r>
                </w:p>
              </w:tc>
              <w:tc>
                <w:tcPr>
                  <w:tcW w:w="850" w:type="dxa"/>
                </w:tcPr>
                <w:p w14:paraId="0ADBF5EA" w14:textId="77777777" w:rsidR="002147E2" w:rsidRPr="005B56D3" w:rsidRDefault="002147E2" w:rsidP="00185F39">
                  <w:pPr>
                    <w:jc w:val="center"/>
                    <w:rPr>
                      <w:b/>
                    </w:rPr>
                  </w:pPr>
                  <w:r w:rsidRPr="005B56D3">
                    <w:rPr>
                      <w:b/>
                    </w:rPr>
                    <w:t>5</w:t>
                  </w:r>
                </w:p>
              </w:tc>
            </w:tr>
            <w:tr w:rsidR="002147E2" w14:paraId="3021CA82" w14:textId="77777777" w:rsidTr="00185F39">
              <w:tc>
                <w:tcPr>
                  <w:tcW w:w="4276" w:type="dxa"/>
                </w:tcPr>
                <w:p w14:paraId="4A1D0116" w14:textId="77777777" w:rsidR="002147E2" w:rsidRDefault="002147E2" w:rsidP="00185F39">
                  <w:pPr>
                    <w:jc w:val="left"/>
                    <w:rPr>
                      <w:highlight w:val="yellow"/>
                    </w:rPr>
                  </w:pPr>
                  <w:r w:rsidRPr="00CA688D">
                    <w:t>Bulky waste which includes some non-recycling material</w:t>
                  </w:r>
                </w:p>
              </w:tc>
              <w:tc>
                <w:tcPr>
                  <w:tcW w:w="850" w:type="dxa"/>
                </w:tcPr>
                <w:p w14:paraId="55BF8A19" w14:textId="77777777" w:rsidR="002147E2" w:rsidRPr="005B56D3" w:rsidRDefault="002147E2" w:rsidP="00185F39">
                  <w:pPr>
                    <w:jc w:val="center"/>
                    <w:rPr>
                      <w:b/>
                      <w:highlight w:val="yellow"/>
                    </w:rPr>
                  </w:pPr>
                  <w:r w:rsidRPr="005B56D3">
                    <w:rPr>
                      <w:b/>
                    </w:rPr>
                    <w:t>2</w:t>
                  </w:r>
                </w:p>
              </w:tc>
            </w:tr>
            <w:tr w:rsidR="002147E2" w14:paraId="6F636C62" w14:textId="77777777" w:rsidTr="00185F39">
              <w:tc>
                <w:tcPr>
                  <w:tcW w:w="4276" w:type="dxa"/>
                </w:tcPr>
                <w:p w14:paraId="1B62A682" w14:textId="77777777" w:rsidR="002147E2" w:rsidRDefault="002147E2" w:rsidP="00185F39">
                  <w:pPr>
                    <w:jc w:val="left"/>
                    <w:rPr>
                      <w:highlight w:val="yellow"/>
                    </w:rPr>
                  </w:pPr>
                  <w:r w:rsidRPr="00CA688D">
                    <w:t>Bulky waste which includes all non-recycling material</w:t>
                  </w:r>
                </w:p>
              </w:tc>
              <w:tc>
                <w:tcPr>
                  <w:tcW w:w="850" w:type="dxa"/>
                </w:tcPr>
                <w:p w14:paraId="329A956E" w14:textId="77777777" w:rsidR="002147E2" w:rsidRPr="005B56D3" w:rsidRDefault="002147E2" w:rsidP="00185F39">
                  <w:pPr>
                    <w:jc w:val="center"/>
                    <w:rPr>
                      <w:b/>
                      <w:highlight w:val="yellow"/>
                    </w:rPr>
                  </w:pPr>
                  <w:r w:rsidRPr="005B56D3">
                    <w:rPr>
                      <w:b/>
                    </w:rPr>
                    <w:t>0</w:t>
                  </w:r>
                </w:p>
              </w:tc>
            </w:tr>
            <w:bookmarkEnd w:id="2"/>
          </w:tbl>
          <w:p w14:paraId="7D59AE1A" w14:textId="77777777" w:rsidR="002147E2" w:rsidRDefault="002147E2" w:rsidP="002C0578">
            <w:pPr>
              <w:jc w:val="left"/>
            </w:pPr>
          </w:p>
          <w:p w14:paraId="7479094A" w14:textId="1239D198" w:rsidR="006A22B4" w:rsidRDefault="00CB324B" w:rsidP="002C0578">
            <w:pPr>
              <w:jc w:val="left"/>
            </w:pPr>
            <w:r>
              <w:rPr>
                <w:b/>
              </w:rPr>
              <w:t xml:space="preserve">17 </w:t>
            </w:r>
            <w:r w:rsidR="006A22B4" w:rsidRPr="006A22B4">
              <w:t>How many steps are required to prepare product for administration?</w:t>
            </w:r>
          </w:p>
          <w:p w14:paraId="626640CF" w14:textId="77777777" w:rsidR="00CE71C4" w:rsidRDefault="00CE71C4" w:rsidP="002C0578">
            <w:pPr>
              <w:jc w:val="left"/>
            </w:pPr>
          </w:p>
          <w:p w14:paraId="6604981D" w14:textId="77777777" w:rsidR="006A22B4" w:rsidRPr="00993A4A" w:rsidRDefault="00C54C0D" w:rsidP="006A22B4">
            <w:pPr>
              <w:jc w:val="left"/>
            </w:pPr>
            <w:r w:rsidRPr="0050755B">
              <w:rPr>
                <w:b/>
              </w:rPr>
              <w:t xml:space="preserve">FOR EXAMPLE: </w:t>
            </w:r>
            <w:r w:rsidR="006A22B4" w:rsidRPr="0050755B">
              <w:rPr>
                <w:b/>
              </w:rPr>
              <w:t>1</w:t>
            </w:r>
            <w:r w:rsidR="006A22B4" w:rsidRPr="0050755B">
              <w:t>-open</w:t>
            </w:r>
            <w:r w:rsidR="006A22B4" w:rsidRPr="00993A4A">
              <w:t xml:space="preserve"> box / </w:t>
            </w:r>
            <w:r w:rsidR="006A22B4" w:rsidRPr="00993A4A">
              <w:rPr>
                <w:b/>
              </w:rPr>
              <w:t>2</w:t>
            </w:r>
            <w:r w:rsidR="006A22B4" w:rsidRPr="00993A4A">
              <w:t xml:space="preserve">-take individual components out of box / </w:t>
            </w:r>
            <w:r w:rsidR="006A22B4" w:rsidRPr="00993A4A">
              <w:rPr>
                <w:b/>
              </w:rPr>
              <w:t>3</w:t>
            </w:r>
            <w:r w:rsidR="006A22B4" w:rsidRPr="00993A4A">
              <w:t xml:space="preserve">-taking bottle tops off / </w:t>
            </w:r>
            <w:r w:rsidR="006A22B4" w:rsidRPr="00993A4A">
              <w:rPr>
                <w:b/>
              </w:rPr>
              <w:t>4</w:t>
            </w:r>
            <w:r w:rsidR="006A22B4" w:rsidRPr="00993A4A">
              <w:t xml:space="preserve">-open the swabs / </w:t>
            </w:r>
            <w:r w:rsidR="006A22B4" w:rsidRPr="00993A4A">
              <w:rPr>
                <w:b/>
              </w:rPr>
              <w:t>5</w:t>
            </w:r>
            <w:r w:rsidR="006A22B4" w:rsidRPr="00993A4A">
              <w:t xml:space="preserve">-clean the top(s) / </w:t>
            </w:r>
            <w:r w:rsidR="006A22B4" w:rsidRPr="00993A4A">
              <w:rPr>
                <w:b/>
              </w:rPr>
              <w:t>6</w:t>
            </w:r>
            <w:r w:rsidR="006A22B4" w:rsidRPr="00993A4A">
              <w:t xml:space="preserve">-taking off the syringe lid / </w:t>
            </w:r>
            <w:r w:rsidR="006A22B4" w:rsidRPr="00993A4A">
              <w:rPr>
                <w:b/>
              </w:rPr>
              <w:t>7</w:t>
            </w:r>
            <w:r w:rsidR="006A22B4" w:rsidRPr="00993A4A">
              <w:t xml:space="preserve">-screw the pre-filled syringe plunger into barrel of syringe device (if applicable) OR connect water and factor devices / </w:t>
            </w:r>
            <w:r w:rsidR="006A22B4" w:rsidRPr="00993A4A">
              <w:rPr>
                <w:b/>
              </w:rPr>
              <w:t>8</w:t>
            </w:r>
            <w:r w:rsidR="006A22B4" w:rsidRPr="00993A4A">
              <w:t xml:space="preserve">-fit syringe into transfer device / </w:t>
            </w:r>
            <w:r w:rsidR="006A22B4" w:rsidRPr="00993A4A">
              <w:rPr>
                <w:b/>
              </w:rPr>
              <w:t>9</w:t>
            </w:r>
            <w:r w:rsidR="006A22B4" w:rsidRPr="00993A4A">
              <w:t xml:space="preserve">-draw factor into syringe / </w:t>
            </w:r>
            <w:r w:rsidR="006A22B4" w:rsidRPr="00993A4A">
              <w:rPr>
                <w:b/>
              </w:rPr>
              <w:t>10</w:t>
            </w:r>
            <w:r w:rsidR="006A22B4" w:rsidRPr="00993A4A">
              <w:t xml:space="preserve">-remove factor vial / </w:t>
            </w:r>
            <w:r w:rsidR="006A22B4" w:rsidRPr="00993A4A">
              <w:rPr>
                <w:b/>
              </w:rPr>
              <w:t>11</w:t>
            </w:r>
            <w:r w:rsidR="006A22B4" w:rsidRPr="00993A4A">
              <w:t xml:space="preserve">-open butterfly needle / </w:t>
            </w:r>
            <w:r w:rsidR="006A22B4" w:rsidRPr="00993A4A">
              <w:rPr>
                <w:b/>
              </w:rPr>
              <w:t>12</w:t>
            </w:r>
            <w:r w:rsidR="006A22B4" w:rsidRPr="00993A4A">
              <w:t xml:space="preserve">-remove needle cap / </w:t>
            </w:r>
            <w:r w:rsidR="006A22B4" w:rsidRPr="00993A4A">
              <w:rPr>
                <w:b/>
              </w:rPr>
              <w:t>13</w:t>
            </w:r>
            <w:r w:rsidR="006A22B4" w:rsidRPr="00993A4A">
              <w:t xml:space="preserve">-put needle on syringe / </w:t>
            </w:r>
            <w:r w:rsidR="006A22B4" w:rsidRPr="00993A4A">
              <w:rPr>
                <w:b/>
              </w:rPr>
              <w:t>14</w:t>
            </w:r>
            <w:r w:rsidR="006A22B4" w:rsidRPr="00993A4A">
              <w:t>-remove needle sheath</w:t>
            </w:r>
          </w:p>
          <w:p w14:paraId="594C6C8C" w14:textId="77777777" w:rsidR="006A22B4" w:rsidRDefault="006A22B4" w:rsidP="006A22B4">
            <w:pPr>
              <w:jc w:val="left"/>
              <w:rPr>
                <w:highlight w:val="yellow"/>
              </w:rPr>
            </w:pPr>
          </w:p>
          <w:tbl>
            <w:tblPr>
              <w:tblStyle w:val="TableGrid"/>
              <w:tblW w:w="0" w:type="auto"/>
              <w:tblLayout w:type="fixed"/>
              <w:tblLook w:val="04A0" w:firstRow="1" w:lastRow="0" w:firstColumn="1" w:lastColumn="0" w:noHBand="0" w:noVBand="1"/>
            </w:tblPr>
            <w:tblGrid>
              <w:gridCol w:w="4276"/>
              <w:gridCol w:w="850"/>
            </w:tblGrid>
            <w:tr w:rsidR="006A22B4" w:rsidRPr="000F0F3A" w14:paraId="3CA0AEA1" w14:textId="77777777" w:rsidTr="00185F39">
              <w:tc>
                <w:tcPr>
                  <w:tcW w:w="4276" w:type="dxa"/>
                  <w:shd w:val="clear" w:color="auto" w:fill="000000" w:themeFill="text1"/>
                </w:tcPr>
                <w:p w14:paraId="63ED1E42" w14:textId="77777777" w:rsidR="006A22B4" w:rsidRPr="000F0F3A" w:rsidRDefault="006A22B4" w:rsidP="00185F39">
                  <w:pPr>
                    <w:jc w:val="left"/>
                    <w:rPr>
                      <w:b/>
                      <w:color w:val="FFFFFF" w:themeColor="background1"/>
                    </w:rPr>
                  </w:pPr>
                </w:p>
              </w:tc>
              <w:tc>
                <w:tcPr>
                  <w:tcW w:w="850" w:type="dxa"/>
                  <w:shd w:val="clear" w:color="auto" w:fill="000000" w:themeFill="text1"/>
                  <w:vAlign w:val="center"/>
                </w:tcPr>
                <w:p w14:paraId="1AAEBD4B" w14:textId="77777777" w:rsidR="006A22B4" w:rsidRPr="000F0F3A" w:rsidRDefault="006A22B4" w:rsidP="00185F39">
                  <w:pPr>
                    <w:jc w:val="center"/>
                    <w:rPr>
                      <w:b/>
                      <w:color w:val="FFFFFF" w:themeColor="background1"/>
                    </w:rPr>
                  </w:pPr>
                  <w:r w:rsidRPr="000F0F3A">
                    <w:rPr>
                      <w:b/>
                      <w:color w:val="FFFFFF" w:themeColor="background1"/>
                    </w:rPr>
                    <w:t>Score</w:t>
                  </w:r>
                </w:p>
              </w:tc>
            </w:tr>
            <w:tr w:rsidR="006A22B4" w14:paraId="750F2CC8" w14:textId="77777777" w:rsidTr="00185F39">
              <w:tc>
                <w:tcPr>
                  <w:tcW w:w="4276" w:type="dxa"/>
                </w:tcPr>
                <w:p w14:paraId="7B581BCB" w14:textId="77777777" w:rsidR="006A22B4" w:rsidRPr="00111949" w:rsidRDefault="00111949" w:rsidP="00185F39">
                  <w:pPr>
                    <w:jc w:val="left"/>
                  </w:pPr>
                  <w:r w:rsidRPr="00111949">
                    <w:t xml:space="preserve">1 to </w:t>
                  </w:r>
                  <w:r w:rsidR="00350D30">
                    <w:t>10</w:t>
                  </w:r>
                </w:p>
              </w:tc>
              <w:tc>
                <w:tcPr>
                  <w:tcW w:w="850" w:type="dxa"/>
                </w:tcPr>
                <w:p w14:paraId="7E2F3B9F" w14:textId="77777777" w:rsidR="006A22B4" w:rsidRPr="005B56D3" w:rsidRDefault="006A22B4" w:rsidP="00185F39">
                  <w:pPr>
                    <w:jc w:val="center"/>
                    <w:rPr>
                      <w:b/>
                    </w:rPr>
                  </w:pPr>
                  <w:r w:rsidRPr="005B56D3">
                    <w:rPr>
                      <w:b/>
                    </w:rPr>
                    <w:t>10</w:t>
                  </w:r>
                </w:p>
              </w:tc>
            </w:tr>
            <w:tr w:rsidR="006A22B4" w14:paraId="6F6C102A" w14:textId="77777777" w:rsidTr="00185F39">
              <w:tc>
                <w:tcPr>
                  <w:tcW w:w="4276" w:type="dxa"/>
                </w:tcPr>
                <w:p w14:paraId="6235F5C2" w14:textId="77777777" w:rsidR="006A22B4" w:rsidRPr="00111949" w:rsidRDefault="00111949" w:rsidP="00185F39">
                  <w:pPr>
                    <w:jc w:val="left"/>
                  </w:pPr>
                  <w:r w:rsidRPr="00111949">
                    <w:t>11 to 15</w:t>
                  </w:r>
                </w:p>
              </w:tc>
              <w:tc>
                <w:tcPr>
                  <w:tcW w:w="850" w:type="dxa"/>
                </w:tcPr>
                <w:p w14:paraId="4B21EC1E" w14:textId="77777777" w:rsidR="006A22B4" w:rsidRPr="005B56D3" w:rsidRDefault="00350D30" w:rsidP="00185F39">
                  <w:pPr>
                    <w:jc w:val="center"/>
                    <w:rPr>
                      <w:b/>
                    </w:rPr>
                  </w:pPr>
                  <w:r w:rsidRPr="005B56D3">
                    <w:rPr>
                      <w:b/>
                    </w:rPr>
                    <w:t>8</w:t>
                  </w:r>
                </w:p>
              </w:tc>
            </w:tr>
            <w:tr w:rsidR="006A22B4" w14:paraId="1E180ECC" w14:textId="77777777" w:rsidTr="00185F39">
              <w:tc>
                <w:tcPr>
                  <w:tcW w:w="4276" w:type="dxa"/>
                </w:tcPr>
                <w:p w14:paraId="1FB51039" w14:textId="77777777" w:rsidR="006A22B4" w:rsidRPr="00111949" w:rsidRDefault="00111949" w:rsidP="00185F39">
                  <w:pPr>
                    <w:jc w:val="left"/>
                  </w:pPr>
                  <w:r w:rsidRPr="00111949">
                    <w:t>16 to 20</w:t>
                  </w:r>
                </w:p>
              </w:tc>
              <w:tc>
                <w:tcPr>
                  <w:tcW w:w="850" w:type="dxa"/>
                </w:tcPr>
                <w:p w14:paraId="003C2304" w14:textId="77777777" w:rsidR="006A22B4" w:rsidRPr="005B56D3" w:rsidRDefault="00111949" w:rsidP="00185F39">
                  <w:pPr>
                    <w:jc w:val="center"/>
                    <w:rPr>
                      <w:b/>
                    </w:rPr>
                  </w:pPr>
                  <w:r w:rsidRPr="005B56D3">
                    <w:rPr>
                      <w:b/>
                    </w:rPr>
                    <w:t>6</w:t>
                  </w:r>
                </w:p>
              </w:tc>
            </w:tr>
            <w:tr w:rsidR="006A22B4" w14:paraId="754293D1" w14:textId="77777777" w:rsidTr="00185F39">
              <w:tc>
                <w:tcPr>
                  <w:tcW w:w="4276" w:type="dxa"/>
                </w:tcPr>
                <w:p w14:paraId="1BFC6062" w14:textId="77777777" w:rsidR="006A22B4" w:rsidRPr="00111949" w:rsidRDefault="00111949" w:rsidP="00185F39">
                  <w:pPr>
                    <w:jc w:val="left"/>
                  </w:pPr>
                  <w:r w:rsidRPr="00111949">
                    <w:lastRenderedPageBreak/>
                    <w:t>21 to 25</w:t>
                  </w:r>
                </w:p>
              </w:tc>
              <w:tc>
                <w:tcPr>
                  <w:tcW w:w="850" w:type="dxa"/>
                </w:tcPr>
                <w:p w14:paraId="3C0A6146" w14:textId="77777777" w:rsidR="006A22B4" w:rsidRPr="005B56D3" w:rsidRDefault="00111949" w:rsidP="00185F39">
                  <w:pPr>
                    <w:jc w:val="center"/>
                    <w:rPr>
                      <w:b/>
                    </w:rPr>
                  </w:pPr>
                  <w:r w:rsidRPr="005B56D3">
                    <w:rPr>
                      <w:b/>
                    </w:rPr>
                    <w:t>4</w:t>
                  </w:r>
                </w:p>
              </w:tc>
            </w:tr>
            <w:tr w:rsidR="006A22B4" w14:paraId="016527BC" w14:textId="77777777" w:rsidTr="00185F39">
              <w:tc>
                <w:tcPr>
                  <w:tcW w:w="4276" w:type="dxa"/>
                </w:tcPr>
                <w:p w14:paraId="162DAD84" w14:textId="77777777" w:rsidR="006A22B4" w:rsidRPr="00111949" w:rsidRDefault="00111949" w:rsidP="00185F39">
                  <w:pPr>
                    <w:jc w:val="left"/>
                  </w:pPr>
                  <w:r w:rsidRPr="00111949">
                    <w:t>26 to 30</w:t>
                  </w:r>
                </w:p>
              </w:tc>
              <w:tc>
                <w:tcPr>
                  <w:tcW w:w="850" w:type="dxa"/>
                </w:tcPr>
                <w:p w14:paraId="71666CB4" w14:textId="77777777" w:rsidR="006A22B4" w:rsidRPr="005B56D3" w:rsidRDefault="00111949" w:rsidP="00185F39">
                  <w:pPr>
                    <w:jc w:val="center"/>
                    <w:rPr>
                      <w:b/>
                    </w:rPr>
                  </w:pPr>
                  <w:r w:rsidRPr="005B56D3">
                    <w:rPr>
                      <w:b/>
                    </w:rPr>
                    <w:t>3</w:t>
                  </w:r>
                </w:p>
              </w:tc>
            </w:tr>
            <w:tr w:rsidR="006A22B4" w14:paraId="35B4F157" w14:textId="77777777" w:rsidTr="00185F39">
              <w:tc>
                <w:tcPr>
                  <w:tcW w:w="4276" w:type="dxa"/>
                </w:tcPr>
                <w:p w14:paraId="20B211F8" w14:textId="77777777" w:rsidR="006A22B4" w:rsidRPr="00111949" w:rsidRDefault="00111949" w:rsidP="00185F39">
                  <w:pPr>
                    <w:jc w:val="left"/>
                  </w:pPr>
                  <w:r w:rsidRPr="00111949">
                    <w:t>31 to 35</w:t>
                  </w:r>
                </w:p>
              </w:tc>
              <w:tc>
                <w:tcPr>
                  <w:tcW w:w="850" w:type="dxa"/>
                </w:tcPr>
                <w:p w14:paraId="6A68132F" w14:textId="77777777" w:rsidR="006A22B4" w:rsidRPr="005B56D3" w:rsidRDefault="00111949" w:rsidP="00185F39">
                  <w:pPr>
                    <w:jc w:val="center"/>
                    <w:rPr>
                      <w:b/>
                    </w:rPr>
                  </w:pPr>
                  <w:r w:rsidRPr="005B56D3">
                    <w:rPr>
                      <w:b/>
                    </w:rPr>
                    <w:t>2</w:t>
                  </w:r>
                </w:p>
              </w:tc>
            </w:tr>
            <w:tr w:rsidR="006A22B4" w14:paraId="126BB97A" w14:textId="77777777" w:rsidTr="00185F39">
              <w:tc>
                <w:tcPr>
                  <w:tcW w:w="4276" w:type="dxa"/>
                </w:tcPr>
                <w:p w14:paraId="799B711E" w14:textId="77777777" w:rsidR="006A22B4" w:rsidRPr="00111949" w:rsidRDefault="00111949" w:rsidP="00185F39">
                  <w:pPr>
                    <w:jc w:val="left"/>
                  </w:pPr>
                  <w:r w:rsidRPr="00111949">
                    <w:t>36 to 40</w:t>
                  </w:r>
                </w:p>
              </w:tc>
              <w:tc>
                <w:tcPr>
                  <w:tcW w:w="850" w:type="dxa"/>
                </w:tcPr>
                <w:p w14:paraId="5B4F75EC" w14:textId="77777777" w:rsidR="006A22B4" w:rsidRPr="005B56D3" w:rsidRDefault="00111949" w:rsidP="00185F39">
                  <w:pPr>
                    <w:jc w:val="center"/>
                    <w:rPr>
                      <w:b/>
                    </w:rPr>
                  </w:pPr>
                  <w:r w:rsidRPr="005B56D3">
                    <w:rPr>
                      <w:b/>
                    </w:rPr>
                    <w:t>1</w:t>
                  </w:r>
                </w:p>
              </w:tc>
            </w:tr>
            <w:tr w:rsidR="006A22B4" w14:paraId="073770E9" w14:textId="77777777" w:rsidTr="00185F39">
              <w:tc>
                <w:tcPr>
                  <w:tcW w:w="4276" w:type="dxa"/>
                </w:tcPr>
                <w:p w14:paraId="49B72F86" w14:textId="77777777" w:rsidR="006A22B4" w:rsidRPr="00111949" w:rsidRDefault="00111949" w:rsidP="00111949">
                  <w:pPr>
                    <w:jc w:val="left"/>
                  </w:pPr>
                  <w:r w:rsidRPr="00111949">
                    <w:t>&gt;40</w:t>
                  </w:r>
                </w:p>
              </w:tc>
              <w:tc>
                <w:tcPr>
                  <w:tcW w:w="850" w:type="dxa"/>
                </w:tcPr>
                <w:p w14:paraId="13A6F5FC" w14:textId="77777777" w:rsidR="006A22B4" w:rsidRPr="005B56D3" w:rsidRDefault="00111949" w:rsidP="00185F39">
                  <w:pPr>
                    <w:jc w:val="center"/>
                    <w:rPr>
                      <w:b/>
                    </w:rPr>
                  </w:pPr>
                  <w:r w:rsidRPr="005B56D3">
                    <w:rPr>
                      <w:b/>
                    </w:rPr>
                    <w:t>0</w:t>
                  </w:r>
                </w:p>
              </w:tc>
            </w:tr>
          </w:tbl>
          <w:p w14:paraId="74F33C22" w14:textId="77777777" w:rsidR="006A22B4" w:rsidRDefault="006A22B4" w:rsidP="002C0578">
            <w:pPr>
              <w:jc w:val="left"/>
            </w:pPr>
          </w:p>
          <w:p w14:paraId="3256EBF9" w14:textId="2FEB5532" w:rsidR="002D1094" w:rsidRDefault="00CB324B" w:rsidP="002C0578">
            <w:pPr>
              <w:jc w:val="left"/>
            </w:pPr>
            <w:r>
              <w:rPr>
                <w:b/>
              </w:rPr>
              <w:t xml:space="preserve">18 </w:t>
            </w:r>
            <w:r w:rsidR="002D1094">
              <w:t>Is dose reusable if reconstitution set fails or does whole set get wasted?</w:t>
            </w:r>
          </w:p>
          <w:p w14:paraId="60887A3A" w14:textId="77777777" w:rsidR="002D1094" w:rsidRDefault="002D1094" w:rsidP="002C0578">
            <w:pPr>
              <w:jc w:val="left"/>
            </w:pPr>
          </w:p>
          <w:tbl>
            <w:tblPr>
              <w:tblStyle w:val="TableGrid"/>
              <w:tblW w:w="0" w:type="auto"/>
              <w:tblLayout w:type="fixed"/>
              <w:tblLook w:val="04A0" w:firstRow="1" w:lastRow="0" w:firstColumn="1" w:lastColumn="0" w:noHBand="0" w:noVBand="1"/>
            </w:tblPr>
            <w:tblGrid>
              <w:gridCol w:w="2575"/>
              <w:gridCol w:w="1701"/>
            </w:tblGrid>
            <w:tr w:rsidR="002D1094" w:rsidRPr="000F0F3A" w14:paraId="2DE1F91C" w14:textId="77777777" w:rsidTr="00971EF7">
              <w:tc>
                <w:tcPr>
                  <w:tcW w:w="2575" w:type="dxa"/>
                  <w:shd w:val="clear" w:color="auto" w:fill="000000" w:themeFill="text1"/>
                </w:tcPr>
                <w:p w14:paraId="6EC5F2A3" w14:textId="77777777" w:rsidR="002D1094" w:rsidRPr="000F0F3A" w:rsidRDefault="002D1094" w:rsidP="002D1094">
                  <w:pPr>
                    <w:jc w:val="center"/>
                    <w:rPr>
                      <w:b/>
                      <w:color w:val="FFFFFF" w:themeColor="background1"/>
                    </w:rPr>
                  </w:pPr>
                </w:p>
              </w:tc>
              <w:tc>
                <w:tcPr>
                  <w:tcW w:w="1701" w:type="dxa"/>
                  <w:shd w:val="clear" w:color="auto" w:fill="000000" w:themeFill="text1"/>
                </w:tcPr>
                <w:p w14:paraId="3AFA42D0" w14:textId="77777777" w:rsidR="002D1094" w:rsidRPr="000F0F3A" w:rsidRDefault="002D1094" w:rsidP="002D1094">
                  <w:pPr>
                    <w:jc w:val="center"/>
                    <w:rPr>
                      <w:b/>
                      <w:color w:val="FFFFFF" w:themeColor="background1"/>
                    </w:rPr>
                  </w:pPr>
                  <w:r w:rsidRPr="000F0F3A">
                    <w:rPr>
                      <w:b/>
                      <w:color w:val="FFFFFF" w:themeColor="background1"/>
                    </w:rPr>
                    <w:t>Score</w:t>
                  </w:r>
                </w:p>
              </w:tc>
            </w:tr>
            <w:tr w:rsidR="002D1094" w:rsidRPr="002130CE" w14:paraId="0BFA5F95" w14:textId="77777777" w:rsidTr="00971EF7">
              <w:tc>
                <w:tcPr>
                  <w:tcW w:w="2575" w:type="dxa"/>
                </w:tcPr>
                <w:p w14:paraId="511E6EF4" w14:textId="77777777" w:rsidR="002D1094" w:rsidRDefault="002D1094" w:rsidP="002D1094">
                  <w:pPr>
                    <w:jc w:val="center"/>
                  </w:pPr>
                  <w:r>
                    <w:t>Yes</w:t>
                  </w:r>
                </w:p>
              </w:tc>
              <w:tc>
                <w:tcPr>
                  <w:tcW w:w="1701" w:type="dxa"/>
                </w:tcPr>
                <w:p w14:paraId="179360EF" w14:textId="77777777" w:rsidR="002D1094" w:rsidRPr="002130CE" w:rsidRDefault="002D1094" w:rsidP="002D1094">
                  <w:pPr>
                    <w:jc w:val="center"/>
                    <w:rPr>
                      <w:b/>
                    </w:rPr>
                  </w:pPr>
                  <w:r>
                    <w:rPr>
                      <w:b/>
                    </w:rPr>
                    <w:t>10</w:t>
                  </w:r>
                </w:p>
              </w:tc>
            </w:tr>
            <w:tr w:rsidR="002D1094" w:rsidRPr="002130CE" w14:paraId="281C9C55" w14:textId="77777777" w:rsidTr="00971EF7">
              <w:tc>
                <w:tcPr>
                  <w:tcW w:w="2575" w:type="dxa"/>
                </w:tcPr>
                <w:p w14:paraId="1F3197CB" w14:textId="77777777" w:rsidR="002D1094" w:rsidRDefault="002D1094" w:rsidP="002D1094">
                  <w:pPr>
                    <w:jc w:val="center"/>
                  </w:pPr>
                  <w:r>
                    <w:t>No</w:t>
                  </w:r>
                </w:p>
              </w:tc>
              <w:tc>
                <w:tcPr>
                  <w:tcW w:w="1701" w:type="dxa"/>
                </w:tcPr>
                <w:p w14:paraId="4C991738" w14:textId="77777777" w:rsidR="002D1094" w:rsidRPr="002130CE" w:rsidRDefault="002D1094" w:rsidP="002D1094">
                  <w:pPr>
                    <w:jc w:val="center"/>
                    <w:rPr>
                      <w:b/>
                    </w:rPr>
                  </w:pPr>
                  <w:r>
                    <w:rPr>
                      <w:b/>
                    </w:rPr>
                    <w:t>0</w:t>
                  </w:r>
                </w:p>
              </w:tc>
            </w:tr>
          </w:tbl>
          <w:p w14:paraId="6CA62C50" w14:textId="77777777" w:rsidR="002D1094" w:rsidRDefault="002D1094" w:rsidP="002C0578">
            <w:pPr>
              <w:jc w:val="left"/>
            </w:pPr>
          </w:p>
          <w:p w14:paraId="76AB1A1B" w14:textId="143D30C5" w:rsidR="002D1094" w:rsidRDefault="00CB324B" w:rsidP="002C0578">
            <w:pPr>
              <w:jc w:val="left"/>
            </w:pPr>
            <w:r>
              <w:rPr>
                <w:b/>
              </w:rPr>
              <w:t xml:space="preserve">19 </w:t>
            </w:r>
            <w:r w:rsidR="006A22B4" w:rsidRPr="006A22B4">
              <w:t>How easily can a 750 IU dose be prepared and infused</w:t>
            </w:r>
          </w:p>
          <w:p w14:paraId="1D157C71" w14:textId="77777777" w:rsidR="00CE71C4" w:rsidRDefault="00CE71C4" w:rsidP="002C0578">
            <w:pPr>
              <w:jc w:val="left"/>
            </w:pPr>
          </w:p>
          <w:tbl>
            <w:tblPr>
              <w:tblStyle w:val="TableGrid"/>
              <w:tblW w:w="0" w:type="auto"/>
              <w:tblLayout w:type="fixed"/>
              <w:tblLook w:val="04A0" w:firstRow="1" w:lastRow="0" w:firstColumn="1" w:lastColumn="0" w:noHBand="0" w:noVBand="1"/>
            </w:tblPr>
            <w:tblGrid>
              <w:gridCol w:w="2575"/>
              <w:gridCol w:w="1701"/>
            </w:tblGrid>
            <w:tr w:rsidR="00185C23" w:rsidRPr="000F0F3A" w14:paraId="18B4037D" w14:textId="77777777" w:rsidTr="00185F39">
              <w:tc>
                <w:tcPr>
                  <w:tcW w:w="2575" w:type="dxa"/>
                  <w:shd w:val="clear" w:color="auto" w:fill="000000" w:themeFill="text1"/>
                </w:tcPr>
                <w:p w14:paraId="49CE492F" w14:textId="77777777" w:rsidR="00185C23" w:rsidRPr="000F0F3A" w:rsidRDefault="00185C23" w:rsidP="00185F39">
                  <w:pPr>
                    <w:jc w:val="center"/>
                    <w:rPr>
                      <w:b/>
                      <w:color w:val="FFFFFF" w:themeColor="background1"/>
                    </w:rPr>
                  </w:pPr>
                </w:p>
              </w:tc>
              <w:tc>
                <w:tcPr>
                  <w:tcW w:w="1701" w:type="dxa"/>
                  <w:shd w:val="clear" w:color="auto" w:fill="000000" w:themeFill="text1"/>
                </w:tcPr>
                <w:p w14:paraId="09DA59CF" w14:textId="77777777" w:rsidR="00185C23" w:rsidRPr="000F0F3A" w:rsidRDefault="00185C23" w:rsidP="00185F39">
                  <w:pPr>
                    <w:jc w:val="center"/>
                    <w:rPr>
                      <w:b/>
                      <w:color w:val="FFFFFF" w:themeColor="background1"/>
                    </w:rPr>
                  </w:pPr>
                  <w:r w:rsidRPr="000F0F3A">
                    <w:rPr>
                      <w:b/>
                      <w:color w:val="FFFFFF" w:themeColor="background1"/>
                    </w:rPr>
                    <w:t>Score</w:t>
                  </w:r>
                </w:p>
              </w:tc>
            </w:tr>
            <w:tr w:rsidR="00185C23" w:rsidRPr="002130CE" w14:paraId="1D6D0C68" w14:textId="77777777" w:rsidTr="00185F39">
              <w:tc>
                <w:tcPr>
                  <w:tcW w:w="2575" w:type="dxa"/>
                </w:tcPr>
                <w:p w14:paraId="4CF6891B" w14:textId="77777777" w:rsidR="00185C23" w:rsidRDefault="005167D3" w:rsidP="00185F39">
                  <w:pPr>
                    <w:jc w:val="center"/>
                  </w:pPr>
                  <w:r>
                    <w:t>Very Easy</w:t>
                  </w:r>
                </w:p>
              </w:tc>
              <w:tc>
                <w:tcPr>
                  <w:tcW w:w="1701" w:type="dxa"/>
                </w:tcPr>
                <w:p w14:paraId="28F6C194" w14:textId="77777777" w:rsidR="005167D3" w:rsidRPr="00CE1303" w:rsidRDefault="00CE1303" w:rsidP="005167D3">
                  <w:pPr>
                    <w:jc w:val="center"/>
                    <w:rPr>
                      <w:b/>
                    </w:rPr>
                  </w:pPr>
                  <w:r>
                    <w:rPr>
                      <w:b/>
                    </w:rPr>
                    <w:t>10</w:t>
                  </w:r>
                </w:p>
              </w:tc>
            </w:tr>
            <w:tr w:rsidR="00185C23" w:rsidRPr="002130CE" w14:paraId="745FD948" w14:textId="77777777" w:rsidTr="00185F39">
              <w:tc>
                <w:tcPr>
                  <w:tcW w:w="2575" w:type="dxa"/>
                </w:tcPr>
                <w:p w14:paraId="7B81A9C0" w14:textId="77777777" w:rsidR="00185C23" w:rsidRDefault="005167D3" w:rsidP="00185F39">
                  <w:pPr>
                    <w:jc w:val="center"/>
                  </w:pPr>
                  <w:r>
                    <w:t>Easy</w:t>
                  </w:r>
                </w:p>
              </w:tc>
              <w:tc>
                <w:tcPr>
                  <w:tcW w:w="1701" w:type="dxa"/>
                </w:tcPr>
                <w:p w14:paraId="385A1EE4" w14:textId="77777777" w:rsidR="00185C23" w:rsidRPr="00CE1303" w:rsidRDefault="002D1094" w:rsidP="00185F39">
                  <w:pPr>
                    <w:jc w:val="center"/>
                    <w:rPr>
                      <w:b/>
                    </w:rPr>
                  </w:pPr>
                  <w:r w:rsidRPr="00CE1303">
                    <w:rPr>
                      <w:b/>
                    </w:rPr>
                    <w:t>5</w:t>
                  </w:r>
                </w:p>
              </w:tc>
            </w:tr>
            <w:tr w:rsidR="00185C23" w:rsidRPr="002130CE" w14:paraId="7D3079A3" w14:textId="77777777" w:rsidTr="00185F39">
              <w:tc>
                <w:tcPr>
                  <w:tcW w:w="2575" w:type="dxa"/>
                </w:tcPr>
                <w:p w14:paraId="1C1F91CD" w14:textId="77777777" w:rsidR="00185C23" w:rsidRDefault="005167D3" w:rsidP="00185F39">
                  <w:pPr>
                    <w:jc w:val="center"/>
                  </w:pPr>
                  <w:r>
                    <w:t>Difficult</w:t>
                  </w:r>
                </w:p>
              </w:tc>
              <w:tc>
                <w:tcPr>
                  <w:tcW w:w="1701" w:type="dxa"/>
                </w:tcPr>
                <w:p w14:paraId="022915A8" w14:textId="77777777" w:rsidR="00185C23" w:rsidRPr="00CE1303" w:rsidRDefault="005167D3" w:rsidP="00185F39">
                  <w:pPr>
                    <w:jc w:val="center"/>
                    <w:rPr>
                      <w:b/>
                    </w:rPr>
                  </w:pPr>
                  <w:r w:rsidRPr="00CE1303">
                    <w:rPr>
                      <w:b/>
                    </w:rPr>
                    <w:t>1</w:t>
                  </w:r>
                </w:p>
              </w:tc>
            </w:tr>
            <w:tr w:rsidR="00185C23" w:rsidRPr="002130CE" w14:paraId="2C98E626" w14:textId="77777777" w:rsidTr="00185F39">
              <w:tc>
                <w:tcPr>
                  <w:tcW w:w="2575" w:type="dxa"/>
                </w:tcPr>
                <w:p w14:paraId="47B7577B" w14:textId="77777777" w:rsidR="00185C23" w:rsidRDefault="005167D3" w:rsidP="00185F39">
                  <w:pPr>
                    <w:jc w:val="center"/>
                  </w:pPr>
                  <w:r>
                    <w:t>Very Difficult</w:t>
                  </w:r>
                </w:p>
              </w:tc>
              <w:tc>
                <w:tcPr>
                  <w:tcW w:w="1701" w:type="dxa"/>
                </w:tcPr>
                <w:p w14:paraId="5FA3DE6D" w14:textId="77777777" w:rsidR="00185C23" w:rsidRPr="00CE1303" w:rsidRDefault="00CE1303" w:rsidP="00185F39">
                  <w:pPr>
                    <w:jc w:val="center"/>
                    <w:rPr>
                      <w:b/>
                    </w:rPr>
                  </w:pPr>
                  <w:r w:rsidRPr="00CE1303">
                    <w:rPr>
                      <w:b/>
                    </w:rPr>
                    <w:t>0</w:t>
                  </w:r>
                </w:p>
              </w:tc>
            </w:tr>
          </w:tbl>
          <w:p w14:paraId="00C1FE86" w14:textId="77777777" w:rsidR="00185C23" w:rsidRDefault="00185C23" w:rsidP="002C0578">
            <w:pPr>
              <w:jc w:val="left"/>
            </w:pPr>
          </w:p>
          <w:p w14:paraId="2D4E0F6E" w14:textId="2701A749" w:rsidR="005167D3" w:rsidRDefault="00CB324B" w:rsidP="002C0578">
            <w:pPr>
              <w:jc w:val="left"/>
            </w:pPr>
            <w:r>
              <w:rPr>
                <w:b/>
              </w:rPr>
              <w:t xml:space="preserve">20 </w:t>
            </w:r>
            <w:r w:rsidR="005167D3" w:rsidRPr="005167D3">
              <w:t>Diluent volume supplied with 250 - 1000 IU vial</w:t>
            </w:r>
          </w:p>
          <w:p w14:paraId="26B2C402" w14:textId="77777777" w:rsidR="00CE71C4" w:rsidRDefault="00CE71C4" w:rsidP="002C0578">
            <w:pPr>
              <w:jc w:val="left"/>
            </w:pPr>
          </w:p>
          <w:tbl>
            <w:tblPr>
              <w:tblStyle w:val="TableGrid"/>
              <w:tblW w:w="0" w:type="auto"/>
              <w:tblLayout w:type="fixed"/>
              <w:tblLook w:val="04A0" w:firstRow="1" w:lastRow="0" w:firstColumn="1" w:lastColumn="0" w:noHBand="0" w:noVBand="1"/>
            </w:tblPr>
            <w:tblGrid>
              <w:gridCol w:w="2575"/>
              <w:gridCol w:w="1701"/>
            </w:tblGrid>
            <w:tr w:rsidR="005167D3" w:rsidRPr="000F0F3A" w14:paraId="648E3FDA" w14:textId="77777777" w:rsidTr="00185F39">
              <w:tc>
                <w:tcPr>
                  <w:tcW w:w="2575" w:type="dxa"/>
                  <w:shd w:val="clear" w:color="auto" w:fill="000000" w:themeFill="text1"/>
                </w:tcPr>
                <w:p w14:paraId="2DA6C0D8" w14:textId="77777777" w:rsidR="005167D3" w:rsidRPr="000F0F3A" w:rsidRDefault="005167D3" w:rsidP="00185F39">
                  <w:pPr>
                    <w:jc w:val="center"/>
                    <w:rPr>
                      <w:b/>
                      <w:color w:val="FFFFFF" w:themeColor="background1"/>
                    </w:rPr>
                  </w:pPr>
                </w:p>
              </w:tc>
              <w:tc>
                <w:tcPr>
                  <w:tcW w:w="1701" w:type="dxa"/>
                  <w:shd w:val="clear" w:color="auto" w:fill="000000" w:themeFill="text1"/>
                </w:tcPr>
                <w:p w14:paraId="7140F89B" w14:textId="77777777" w:rsidR="005167D3" w:rsidRPr="000F0F3A" w:rsidRDefault="005167D3" w:rsidP="00185F39">
                  <w:pPr>
                    <w:jc w:val="center"/>
                    <w:rPr>
                      <w:b/>
                      <w:color w:val="FFFFFF" w:themeColor="background1"/>
                    </w:rPr>
                  </w:pPr>
                  <w:r w:rsidRPr="000F0F3A">
                    <w:rPr>
                      <w:b/>
                      <w:color w:val="FFFFFF" w:themeColor="background1"/>
                    </w:rPr>
                    <w:t>Score</w:t>
                  </w:r>
                </w:p>
              </w:tc>
            </w:tr>
            <w:tr w:rsidR="005167D3" w:rsidRPr="0050755B" w14:paraId="4AB70173" w14:textId="77777777" w:rsidTr="00185F39">
              <w:tc>
                <w:tcPr>
                  <w:tcW w:w="2575" w:type="dxa"/>
                </w:tcPr>
                <w:p w14:paraId="40347D9D" w14:textId="77777777" w:rsidR="005167D3" w:rsidRPr="0050755B" w:rsidRDefault="005167D3" w:rsidP="00185F39">
                  <w:pPr>
                    <w:jc w:val="center"/>
                  </w:pPr>
                  <w:r w:rsidRPr="0050755B">
                    <w:t>&lt;3ml</w:t>
                  </w:r>
                </w:p>
              </w:tc>
              <w:tc>
                <w:tcPr>
                  <w:tcW w:w="1701" w:type="dxa"/>
                </w:tcPr>
                <w:p w14:paraId="38C3CDB2" w14:textId="77777777" w:rsidR="001928EC" w:rsidRPr="0050755B" w:rsidRDefault="001928EC" w:rsidP="001928EC">
                  <w:pPr>
                    <w:jc w:val="center"/>
                    <w:rPr>
                      <w:b/>
                    </w:rPr>
                  </w:pPr>
                  <w:r w:rsidRPr="0050755B">
                    <w:rPr>
                      <w:b/>
                    </w:rPr>
                    <w:t>7</w:t>
                  </w:r>
                </w:p>
              </w:tc>
            </w:tr>
            <w:tr w:rsidR="005167D3" w:rsidRPr="0050755B" w14:paraId="3C702664" w14:textId="77777777" w:rsidTr="00185F39">
              <w:tc>
                <w:tcPr>
                  <w:tcW w:w="2575" w:type="dxa"/>
                </w:tcPr>
                <w:p w14:paraId="69BF862C" w14:textId="77777777" w:rsidR="005167D3" w:rsidRPr="0050755B" w:rsidRDefault="005167D3" w:rsidP="00185F39">
                  <w:pPr>
                    <w:jc w:val="center"/>
                  </w:pPr>
                  <w:r w:rsidRPr="0050755B">
                    <w:t>3-4ml</w:t>
                  </w:r>
                </w:p>
              </w:tc>
              <w:tc>
                <w:tcPr>
                  <w:tcW w:w="1701" w:type="dxa"/>
                </w:tcPr>
                <w:p w14:paraId="738B2750" w14:textId="77777777" w:rsidR="005167D3" w:rsidRPr="0050755B" w:rsidRDefault="001928EC" w:rsidP="00185F39">
                  <w:pPr>
                    <w:jc w:val="center"/>
                    <w:rPr>
                      <w:b/>
                    </w:rPr>
                  </w:pPr>
                  <w:r w:rsidRPr="0050755B">
                    <w:rPr>
                      <w:b/>
                    </w:rPr>
                    <w:t>5</w:t>
                  </w:r>
                </w:p>
              </w:tc>
            </w:tr>
            <w:tr w:rsidR="005167D3" w:rsidRPr="0050755B" w14:paraId="0DF823A5" w14:textId="77777777" w:rsidTr="00185F39">
              <w:tc>
                <w:tcPr>
                  <w:tcW w:w="2575" w:type="dxa"/>
                </w:tcPr>
                <w:p w14:paraId="357DADC2" w14:textId="77777777" w:rsidR="005167D3" w:rsidRPr="0050755B" w:rsidRDefault="005167D3" w:rsidP="00185F39">
                  <w:pPr>
                    <w:jc w:val="center"/>
                  </w:pPr>
                  <w:r w:rsidRPr="0050755B">
                    <w:t>5ml</w:t>
                  </w:r>
                </w:p>
              </w:tc>
              <w:tc>
                <w:tcPr>
                  <w:tcW w:w="1701" w:type="dxa"/>
                </w:tcPr>
                <w:p w14:paraId="317FC6BE" w14:textId="77777777" w:rsidR="005167D3" w:rsidRPr="0050755B" w:rsidRDefault="005167D3" w:rsidP="00185F39">
                  <w:pPr>
                    <w:jc w:val="center"/>
                    <w:rPr>
                      <w:b/>
                    </w:rPr>
                  </w:pPr>
                  <w:r w:rsidRPr="0050755B">
                    <w:rPr>
                      <w:b/>
                    </w:rPr>
                    <w:t>3</w:t>
                  </w:r>
                </w:p>
              </w:tc>
            </w:tr>
            <w:tr w:rsidR="005167D3" w:rsidRPr="0050755B" w14:paraId="5A97F8D6" w14:textId="77777777" w:rsidTr="00185F39">
              <w:tc>
                <w:tcPr>
                  <w:tcW w:w="2575" w:type="dxa"/>
                </w:tcPr>
                <w:p w14:paraId="037C2266" w14:textId="77777777" w:rsidR="005167D3" w:rsidRPr="0050755B" w:rsidRDefault="005167D3" w:rsidP="00185F39">
                  <w:pPr>
                    <w:jc w:val="center"/>
                  </w:pPr>
                  <w:r w:rsidRPr="0050755B">
                    <w:t>&gt;5ml</w:t>
                  </w:r>
                </w:p>
              </w:tc>
              <w:tc>
                <w:tcPr>
                  <w:tcW w:w="1701" w:type="dxa"/>
                </w:tcPr>
                <w:p w14:paraId="4C405209" w14:textId="77777777" w:rsidR="005167D3" w:rsidRPr="0050755B" w:rsidRDefault="005167D3" w:rsidP="00185F39">
                  <w:pPr>
                    <w:jc w:val="center"/>
                    <w:rPr>
                      <w:b/>
                    </w:rPr>
                  </w:pPr>
                  <w:r w:rsidRPr="0050755B">
                    <w:rPr>
                      <w:b/>
                    </w:rPr>
                    <w:t>1</w:t>
                  </w:r>
                </w:p>
              </w:tc>
            </w:tr>
          </w:tbl>
          <w:p w14:paraId="13321438" w14:textId="77777777" w:rsidR="005167D3" w:rsidRPr="0050755B" w:rsidRDefault="005167D3" w:rsidP="002C0578">
            <w:pPr>
              <w:jc w:val="left"/>
            </w:pPr>
          </w:p>
          <w:p w14:paraId="033E6018" w14:textId="316AF421" w:rsidR="005167D3" w:rsidRDefault="00CB324B" w:rsidP="002C0578">
            <w:pPr>
              <w:jc w:val="left"/>
            </w:pPr>
            <w:r>
              <w:rPr>
                <w:b/>
              </w:rPr>
              <w:t xml:space="preserve">21 </w:t>
            </w:r>
            <w:r w:rsidR="005167D3" w:rsidRPr="0050755B">
              <w:t>Diluent volume supplied with 1500 - 3000 IU vial</w:t>
            </w:r>
          </w:p>
          <w:p w14:paraId="0AF93198" w14:textId="77777777" w:rsidR="00CE71C4" w:rsidRDefault="00CE71C4" w:rsidP="002C0578">
            <w:pPr>
              <w:jc w:val="left"/>
            </w:pPr>
          </w:p>
          <w:tbl>
            <w:tblPr>
              <w:tblStyle w:val="TableGrid"/>
              <w:tblW w:w="0" w:type="auto"/>
              <w:tblLayout w:type="fixed"/>
              <w:tblLook w:val="04A0" w:firstRow="1" w:lastRow="0" w:firstColumn="1" w:lastColumn="0" w:noHBand="0" w:noVBand="1"/>
            </w:tblPr>
            <w:tblGrid>
              <w:gridCol w:w="2575"/>
              <w:gridCol w:w="1701"/>
            </w:tblGrid>
            <w:tr w:rsidR="001928EC" w:rsidRPr="0050755B" w14:paraId="4D1F6A15" w14:textId="77777777" w:rsidTr="001928EC">
              <w:tc>
                <w:tcPr>
                  <w:tcW w:w="2575" w:type="dxa"/>
                  <w:shd w:val="clear" w:color="auto" w:fill="000000" w:themeFill="text1"/>
                </w:tcPr>
                <w:p w14:paraId="6DB0D37F" w14:textId="77777777" w:rsidR="001928EC" w:rsidRPr="0050755B" w:rsidRDefault="001928EC" w:rsidP="001928EC">
                  <w:pPr>
                    <w:jc w:val="center"/>
                    <w:rPr>
                      <w:b/>
                      <w:color w:val="FFFFFF" w:themeColor="background1"/>
                    </w:rPr>
                  </w:pPr>
                </w:p>
              </w:tc>
              <w:tc>
                <w:tcPr>
                  <w:tcW w:w="1701" w:type="dxa"/>
                  <w:shd w:val="clear" w:color="auto" w:fill="000000" w:themeFill="text1"/>
                </w:tcPr>
                <w:p w14:paraId="33AE9F3B" w14:textId="77777777" w:rsidR="001928EC" w:rsidRPr="0050755B" w:rsidRDefault="001928EC" w:rsidP="001928EC">
                  <w:pPr>
                    <w:jc w:val="center"/>
                    <w:rPr>
                      <w:b/>
                      <w:color w:val="FFFFFF" w:themeColor="background1"/>
                    </w:rPr>
                  </w:pPr>
                  <w:r w:rsidRPr="0050755B">
                    <w:rPr>
                      <w:b/>
                      <w:color w:val="FFFFFF" w:themeColor="background1"/>
                    </w:rPr>
                    <w:t>Score</w:t>
                  </w:r>
                </w:p>
              </w:tc>
            </w:tr>
            <w:tr w:rsidR="001928EC" w:rsidRPr="0050755B" w14:paraId="47C89564" w14:textId="77777777" w:rsidTr="001928EC">
              <w:tc>
                <w:tcPr>
                  <w:tcW w:w="2575" w:type="dxa"/>
                </w:tcPr>
                <w:p w14:paraId="493584B1" w14:textId="77777777" w:rsidR="001928EC" w:rsidRPr="0050755B" w:rsidRDefault="001928EC" w:rsidP="001928EC">
                  <w:pPr>
                    <w:jc w:val="center"/>
                  </w:pPr>
                  <w:r w:rsidRPr="0050755B">
                    <w:t>&lt;3ml</w:t>
                  </w:r>
                </w:p>
              </w:tc>
              <w:tc>
                <w:tcPr>
                  <w:tcW w:w="1701" w:type="dxa"/>
                </w:tcPr>
                <w:p w14:paraId="253044B5" w14:textId="77777777" w:rsidR="001928EC" w:rsidRPr="0050755B" w:rsidRDefault="001928EC" w:rsidP="001928EC">
                  <w:pPr>
                    <w:jc w:val="center"/>
                    <w:rPr>
                      <w:b/>
                    </w:rPr>
                  </w:pPr>
                  <w:r w:rsidRPr="0050755B">
                    <w:rPr>
                      <w:b/>
                    </w:rPr>
                    <w:t>7</w:t>
                  </w:r>
                </w:p>
              </w:tc>
            </w:tr>
            <w:tr w:rsidR="001928EC" w:rsidRPr="0050755B" w14:paraId="0FB62E3A" w14:textId="77777777" w:rsidTr="001928EC">
              <w:tc>
                <w:tcPr>
                  <w:tcW w:w="2575" w:type="dxa"/>
                </w:tcPr>
                <w:p w14:paraId="7517FBA9" w14:textId="77777777" w:rsidR="001928EC" w:rsidRPr="0050755B" w:rsidRDefault="001928EC" w:rsidP="001928EC">
                  <w:pPr>
                    <w:jc w:val="center"/>
                  </w:pPr>
                  <w:r w:rsidRPr="0050755B">
                    <w:t>3-4ml</w:t>
                  </w:r>
                </w:p>
              </w:tc>
              <w:tc>
                <w:tcPr>
                  <w:tcW w:w="1701" w:type="dxa"/>
                </w:tcPr>
                <w:p w14:paraId="341E7689" w14:textId="77777777" w:rsidR="001928EC" w:rsidRPr="0050755B" w:rsidRDefault="001928EC" w:rsidP="001928EC">
                  <w:pPr>
                    <w:jc w:val="center"/>
                    <w:rPr>
                      <w:b/>
                    </w:rPr>
                  </w:pPr>
                  <w:r w:rsidRPr="0050755B">
                    <w:rPr>
                      <w:b/>
                    </w:rPr>
                    <w:t>5</w:t>
                  </w:r>
                </w:p>
              </w:tc>
            </w:tr>
            <w:tr w:rsidR="001928EC" w:rsidRPr="0050755B" w14:paraId="46D9AA9B" w14:textId="77777777" w:rsidTr="001928EC">
              <w:tc>
                <w:tcPr>
                  <w:tcW w:w="2575" w:type="dxa"/>
                </w:tcPr>
                <w:p w14:paraId="5B183359" w14:textId="77777777" w:rsidR="001928EC" w:rsidRPr="0050755B" w:rsidRDefault="001928EC" w:rsidP="001928EC">
                  <w:pPr>
                    <w:jc w:val="center"/>
                  </w:pPr>
                  <w:r w:rsidRPr="0050755B">
                    <w:t>5ml</w:t>
                  </w:r>
                </w:p>
              </w:tc>
              <w:tc>
                <w:tcPr>
                  <w:tcW w:w="1701" w:type="dxa"/>
                </w:tcPr>
                <w:p w14:paraId="4A76B3B9" w14:textId="77777777" w:rsidR="001928EC" w:rsidRPr="0050755B" w:rsidRDefault="001928EC" w:rsidP="001928EC">
                  <w:pPr>
                    <w:jc w:val="center"/>
                    <w:rPr>
                      <w:b/>
                    </w:rPr>
                  </w:pPr>
                  <w:r w:rsidRPr="0050755B">
                    <w:rPr>
                      <w:b/>
                    </w:rPr>
                    <w:t>3</w:t>
                  </w:r>
                </w:p>
              </w:tc>
            </w:tr>
            <w:tr w:rsidR="001928EC" w:rsidRPr="002130CE" w14:paraId="198BDAA6" w14:textId="77777777" w:rsidTr="001928EC">
              <w:tc>
                <w:tcPr>
                  <w:tcW w:w="2575" w:type="dxa"/>
                </w:tcPr>
                <w:p w14:paraId="2772D374" w14:textId="77777777" w:rsidR="001928EC" w:rsidRPr="0050755B" w:rsidRDefault="001928EC" w:rsidP="001928EC">
                  <w:pPr>
                    <w:jc w:val="center"/>
                  </w:pPr>
                  <w:r w:rsidRPr="0050755B">
                    <w:t>&gt;5ml</w:t>
                  </w:r>
                </w:p>
              </w:tc>
              <w:tc>
                <w:tcPr>
                  <w:tcW w:w="1701" w:type="dxa"/>
                </w:tcPr>
                <w:p w14:paraId="7B26C621" w14:textId="77777777" w:rsidR="001928EC" w:rsidRPr="0050755B" w:rsidRDefault="001928EC" w:rsidP="001928EC">
                  <w:pPr>
                    <w:jc w:val="center"/>
                    <w:rPr>
                      <w:b/>
                    </w:rPr>
                  </w:pPr>
                  <w:r w:rsidRPr="0050755B">
                    <w:rPr>
                      <w:b/>
                    </w:rPr>
                    <w:t>1</w:t>
                  </w:r>
                </w:p>
              </w:tc>
            </w:tr>
          </w:tbl>
          <w:p w14:paraId="254FD31F" w14:textId="77777777" w:rsidR="001928EC" w:rsidRDefault="001928EC" w:rsidP="002C0578">
            <w:pPr>
              <w:jc w:val="left"/>
            </w:pPr>
          </w:p>
          <w:p w14:paraId="02630450" w14:textId="2C65EDE2" w:rsidR="006A22B4" w:rsidRDefault="00CB324B" w:rsidP="002C0578">
            <w:pPr>
              <w:jc w:val="left"/>
            </w:pPr>
            <w:r>
              <w:rPr>
                <w:b/>
              </w:rPr>
              <w:t xml:space="preserve">22 </w:t>
            </w:r>
            <w:r w:rsidR="005167D3" w:rsidRPr="0050755B">
              <w:t xml:space="preserve">Can </w:t>
            </w:r>
            <w:proofErr w:type="spellStart"/>
            <w:r w:rsidR="00C54C0D" w:rsidRPr="0050755B">
              <w:t>unconstituted</w:t>
            </w:r>
            <w:proofErr w:type="spellEnd"/>
            <w:r w:rsidR="00C54C0D" w:rsidRPr="0050755B">
              <w:t xml:space="preserve"> </w:t>
            </w:r>
            <w:r w:rsidR="005167D3" w:rsidRPr="0050755B">
              <w:t>product be stored at room temperature?</w:t>
            </w:r>
          </w:p>
          <w:p w14:paraId="2BA91F72" w14:textId="77777777" w:rsidR="00CE71C4" w:rsidRDefault="00CE71C4" w:rsidP="002C0578">
            <w:pPr>
              <w:jc w:val="left"/>
            </w:pPr>
          </w:p>
          <w:tbl>
            <w:tblPr>
              <w:tblStyle w:val="TableGrid"/>
              <w:tblW w:w="0" w:type="auto"/>
              <w:tblLayout w:type="fixed"/>
              <w:tblLook w:val="04A0" w:firstRow="1" w:lastRow="0" w:firstColumn="1" w:lastColumn="0" w:noHBand="0" w:noVBand="1"/>
            </w:tblPr>
            <w:tblGrid>
              <w:gridCol w:w="2575"/>
              <w:gridCol w:w="1701"/>
            </w:tblGrid>
            <w:tr w:rsidR="005167D3" w:rsidRPr="0050755B" w14:paraId="18EE8960" w14:textId="77777777" w:rsidTr="00185F39">
              <w:tc>
                <w:tcPr>
                  <w:tcW w:w="2575" w:type="dxa"/>
                  <w:shd w:val="clear" w:color="auto" w:fill="000000" w:themeFill="text1"/>
                </w:tcPr>
                <w:p w14:paraId="0DF1ECCF" w14:textId="77777777" w:rsidR="005167D3" w:rsidRPr="0050755B" w:rsidRDefault="005167D3" w:rsidP="00185F39">
                  <w:pPr>
                    <w:jc w:val="center"/>
                    <w:rPr>
                      <w:b/>
                      <w:color w:val="FFFFFF" w:themeColor="background1"/>
                    </w:rPr>
                  </w:pPr>
                </w:p>
              </w:tc>
              <w:tc>
                <w:tcPr>
                  <w:tcW w:w="1701" w:type="dxa"/>
                  <w:shd w:val="clear" w:color="auto" w:fill="000000" w:themeFill="text1"/>
                </w:tcPr>
                <w:p w14:paraId="151670B5" w14:textId="77777777" w:rsidR="005167D3" w:rsidRPr="0050755B" w:rsidRDefault="005167D3" w:rsidP="00185F39">
                  <w:pPr>
                    <w:jc w:val="center"/>
                    <w:rPr>
                      <w:b/>
                      <w:color w:val="FFFFFF" w:themeColor="background1"/>
                    </w:rPr>
                  </w:pPr>
                  <w:r w:rsidRPr="0050755B">
                    <w:rPr>
                      <w:b/>
                      <w:color w:val="FFFFFF" w:themeColor="background1"/>
                    </w:rPr>
                    <w:t>Score</w:t>
                  </w:r>
                </w:p>
              </w:tc>
            </w:tr>
            <w:tr w:rsidR="005167D3" w:rsidRPr="0050755B" w14:paraId="256E9462" w14:textId="77777777" w:rsidTr="00185F39">
              <w:tc>
                <w:tcPr>
                  <w:tcW w:w="2575" w:type="dxa"/>
                </w:tcPr>
                <w:p w14:paraId="1218F581" w14:textId="77777777" w:rsidR="005167D3" w:rsidRPr="0050755B" w:rsidRDefault="005167D3" w:rsidP="00185F39">
                  <w:pPr>
                    <w:jc w:val="center"/>
                  </w:pPr>
                  <w:r w:rsidRPr="0050755B">
                    <w:t>Yes</w:t>
                  </w:r>
                </w:p>
              </w:tc>
              <w:tc>
                <w:tcPr>
                  <w:tcW w:w="1701" w:type="dxa"/>
                </w:tcPr>
                <w:p w14:paraId="628F103B" w14:textId="77777777" w:rsidR="005167D3" w:rsidRPr="0050755B" w:rsidRDefault="005167D3" w:rsidP="00185F39">
                  <w:pPr>
                    <w:jc w:val="center"/>
                    <w:rPr>
                      <w:b/>
                    </w:rPr>
                  </w:pPr>
                  <w:r w:rsidRPr="0050755B">
                    <w:rPr>
                      <w:b/>
                    </w:rPr>
                    <w:t>5</w:t>
                  </w:r>
                </w:p>
              </w:tc>
            </w:tr>
            <w:tr w:rsidR="005167D3" w:rsidRPr="0050755B" w14:paraId="040A55AD" w14:textId="77777777" w:rsidTr="00185F39">
              <w:tc>
                <w:tcPr>
                  <w:tcW w:w="2575" w:type="dxa"/>
                </w:tcPr>
                <w:p w14:paraId="1E3F2B20" w14:textId="77777777" w:rsidR="005167D3" w:rsidRPr="0050755B" w:rsidRDefault="005167D3" w:rsidP="00185F39">
                  <w:pPr>
                    <w:jc w:val="center"/>
                  </w:pPr>
                  <w:r w:rsidRPr="0050755B">
                    <w:t>No</w:t>
                  </w:r>
                </w:p>
              </w:tc>
              <w:tc>
                <w:tcPr>
                  <w:tcW w:w="1701" w:type="dxa"/>
                </w:tcPr>
                <w:p w14:paraId="786634F3" w14:textId="77777777" w:rsidR="005167D3" w:rsidRPr="0050755B" w:rsidRDefault="005167D3" w:rsidP="00185F39">
                  <w:pPr>
                    <w:jc w:val="center"/>
                    <w:rPr>
                      <w:b/>
                    </w:rPr>
                  </w:pPr>
                  <w:r w:rsidRPr="0050755B">
                    <w:rPr>
                      <w:b/>
                    </w:rPr>
                    <w:t>0</w:t>
                  </w:r>
                </w:p>
              </w:tc>
            </w:tr>
          </w:tbl>
          <w:p w14:paraId="1B858A05" w14:textId="77777777" w:rsidR="005167D3" w:rsidRPr="0050755B" w:rsidRDefault="005167D3" w:rsidP="002C0578">
            <w:pPr>
              <w:jc w:val="left"/>
            </w:pPr>
          </w:p>
          <w:p w14:paraId="6D0C8FD2" w14:textId="0508EBDD" w:rsidR="005167D3" w:rsidRDefault="00CB324B" w:rsidP="002C0578">
            <w:pPr>
              <w:jc w:val="left"/>
            </w:pPr>
            <w:r>
              <w:rPr>
                <w:b/>
              </w:rPr>
              <w:t xml:space="preserve">23 </w:t>
            </w:r>
            <w:r w:rsidR="005167D3" w:rsidRPr="0050755B">
              <w:t xml:space="preserve">How long can </w:t>
            </w:r>
            <w:proofErr w:type="spellStart"/>
            <w:r w:rsidR="00C54C0D" w:rsidRPr="0050755B">
              <w:t>unconstituted</w:t>
            </w:r>
            <w:proofErr w:type="spellEnd"/>
            <w:r w:rsidR="00C54C0D" w:rsidRPr="0050755B">
              <w:t xml:space="preserve"> </w:t>
            </w:r>
            <w:r w:rsidR="005167D3" w:rsidRPr="0050755B">
              <w:t>product</w:t>
            </w:r>
            <w:r w:rsidR="005167D3" w:rsidRPr="005167D3">
              <w:t xml:space="preserve"> be stored at room temperature?</w:t>
            </w:r>
          </w:p>
          <w:p w14:paraId="15F6595D" w14:textId="77777777" w:rsidR="00CE71C4" w:rsidRDefault="00CE71C4" w:rsidP="002C0578">
            <w:pPr>
              <w:jc w:val="left"/>
            </w:pPr>
          </w:p>
          <w:tbl>
            <w:tblPr>
              <w:tblStyle w:val="TableGrid"/>
              <w:tblW w:w="0" w:type="auto"/>
              <w:tblLayout w:type="fixed"/>
              <w:tblLook w:val="04A0" w:firstRow="1" w:lastRow="0" w:firstColumn="1" w:lastColumn="0" w:noHBand="0" w:noVBand="1"/>
            </w:tblPr>
            <w:tblGrid>
              <w:gridCol w:w="2575"/>
              <w:gridCol w:w="1701"/>
            </w:tblGrid>
            <w:tr w:rsidR="005167D3" w:rsidRPr="000F0F3A" w14:paraId="4D0A7889" w14:textId="77777777" w:rsidTr="00185F39">
              <w:tc>
                <w:tcPr>
                  <w:tcW w:w="2575" w:type="dxa"/>
                  <w:shd w:val="clear" w:color="auto" w:fill="000000" w:themeFill="text1"/>
                </w:tcPr>
                <w:p w14:paraId="18F45DE3" w14:textId="77777777" w:rsidR="005167D3" w:rsidRPr="000F0F3A" w:rsidRDefault="005167D3" w:rsidP="00185F39">
                  <w:pPr>
                    <w:jc w:val="center"/>
                    <w:rPr>
                      <w:b/>
                      <w:color w:val="FFFFFF" w:themeColor="background1"/>
                    </w:rPr>
                  </w:pPr>
                </w:p>
              </w:tc>
              <w:tc>
                <w:tcPr>
                  <w:tcW w:w="1701" w:type="dxa"/>
                  <w:shd w:val="clear" w:color="auto" w:fill="000000" w:themeFill="text1"/>
                </w:tcPr>
                <w:p w14:paraId="71C27B8B" w14:textId="77777777" w:rsidR="005167D3" w:rsidRPr="000F0F3A" w:rsidRDefault="005167D3" w:rsidP="00185F39">
                  <w:pPr>
                    <w:jc w:val="center"/>
                    <w:rPr>
                      <w:b/>
                      <w:color w:val="FFFFFF" w:themeColor="background1"/>
                    </w:rPr>
                  </w:pPr>
                  <w:r w:rsidRPr="000F0F3A">
                    <w:rPr>
                      <w:b/>
                      <w:color w:val="FFFFFF" w:themeColor="background1"/>
                    </w:rPr>
                    <w:t>Score</w:t>
                  </w:r>
                </w:p>
              </w:tc>
            </w:tr>
            <w:tr w:rsidR="005167D3" w:rsidRPr="002130CE" w14:paraId="6FF0CBAA" w14:textId="77777777" w:rsidTr="00185F39">
              <w:tc>
                <w:tcPr>
                  <w:tcW w:w="2575" w:type="dxa"/>
                </w:tcPr>
                <w:p w14:paraId="25BEEF1F" w14:textId="77777777" w:rsidR="005167D3" w:rsidRDefault="005167D3" w:rsidP="00185F39">
                  <w:pPr>
                    <w:jc w:val="center"/>
                  </w:pPr>
                  <w:r>
                    <w:t>&gt;12 months</w:t>
                  </w:r>
                </w:p>
              </w:tc>
              <w:tc>
                <w:tcPr>
                  <w:tcW w:w="1701" w:type="dxa"/>
                </w:tcPr>
                <w:p w14:paraId="28E83973" w14:textId="77777777" w:rsidR="005167D3" w:rsidRPr="002130CE" w:rsidRDefault="005167D3" w:rsidP="00185F39">
                  <w:pPr>
                    <w:jc w:val="center"/>
                    <w:rPr>
                      <w:b/>
                    </w:rPr>
                  </w:pPr>
                  <w:r>
                    <w:rPr>
                      <w:b/>
                    </w:rPr>
                    <w:t>5</w:t>
                  </w:r>
                </w:p>
              </w:tc>
            </w:tr>
            <w:tr w:rsidR="005167D3" w:rsidRPr="002130CE" w14:paraId="3A930387" w14:textId="77777777" w:rsidTr="00185F39">
              <w:tc>
                <w:tcPr>
                  <w:tcW w:w="2575" w:type="dxa"/>
                </w:tcPr>
                <w:p w14:paraId="03C21F44" w14:textId="77777777" w:rsidR="005167D3" w:rsidRDefault="00254766" w:rsidP="00185F39">
                  <w:pPr>
                    <w:jc w:val="center"/>
                  </w:pPr>
                  <w:r>
                    <w:t>&gt;</w:t>
                  </w:r>
                  <w:r w:rsidR="005167D3">
                    <w:t>9</w:t>
                  </w:r>
                  <w:r>
                    <w:t xml:space="preserve"> </w:t>
                  </w:r>
                  <w:r w:rsidR="005167D3">
                    <w:t>-</w:t>
                  </w:r>
                  <w:r>
                    <w:t xml:space="preserve"> </w:t>
                  </w:r>
                  <w:r w:rsidR="005167D3">
                    <w:t>12 months</w:t>
                  </w:r>
                </w:p>
              </w:tc>
              <w:tc>
                <w:tcPr>
                  <w:tcW w:w="1701" w:type="dxa"/>
                </w:tcPr>
                <w:p w14:paraId="49361366" w14:textId="77777777" w:rsidR="005167D3" w:rsidRPr="002130CE" w:rsidRDefault="005167D3" w:rsidP="00185F39">
                  <w:pPr>
                    <w:jc w:val="center"/>
                    <w:rPr>
                      <w:b/>
                    </w:rPr>
                  </w:pPr>
                  <w:r>
                    <w:rPr>
                      <w:b/>
                    </w:rPr>
                    <w:t>4</w:t>
                  </w:r>
                </w:p>
              </w:tc>
            </w:tr>
            <w:tr w:rsidR="005167D3" w14:paraId="262FB3D7" w14:textId="77777777" w:rsidTr="00185F39">
              <w:tc>
                <w:tcPr>
                  <w:tcW w:w="2575" w:type="dxa"/>
                </w:tcPr>
                <w:p w14:paraId="34FB12DB" w14:textId="77777777" w:rsidR="005167D3" w:rsidRDefault="00254766" w:rsidP="00254766">
                  <w:pPr>
                    <w:pStyle w:val="ListParagraph"/>
                  </w:pPr>
                  <w:r>
                    <w:lastRenderedPageBreak/>
                    <w:t>&gt;</w:t>
                  </w:r>
                  <w:r w:rsidR="005167D3">
                    <w:t>6</w:t>
                  </w:r>
                  <w:r>
                    <w:t xml:space="preserve"> </w:t>
                  </w:r>
                  <w:r w:rsidR="005167D3">
                    <w:t>-</w:t>
                  </w:r>
                  <w:r>
                    <w:t xml:space="preserve"> </w:t>
                  </w:r>
                  <w:r w:rsidR="005167D3">
                    <w:t>9 months</w:t>
                  </w:r>
                </w:p>
              </w:tc>
              <w:tc>
                <w:tcPr>
                  <w:tcW w:w="1701" w:type="dxa"/>
                </w:tcPr>
                <w:p w14:paraId="1F0F39F8" w14:textId="77777777" w:rsidR="005167D3" w:rsidRDefault="005167D3" w:rsidP="00185F39">
                  <w:pPr>
                    <w:jc w:val="center"/>
                    <w:rPr>
                      <w:b/>
                    </w:rPr>
                  </w:pPr>
                  <w:r>
                    <w:rPr>
                      <w:b/>
                    </w:rPr>
                    <w:t>3</w:t>
                  </w:r>
                </w:p>
              </w:tc>
            </w:tr>
            <w:tr w:rsidR="005167D3" w14:paraId="1E4E427B" w14:textId="77777777" w:rsidTr="00185F39">
              <w:tc>
                <w:tcPr>
                  <w:tcW w:w="2575" w:type="dxa"/>
                </w:tcPr>
                <w:p w14:paraId="0F13034B" w14:textId="77777777" w:rsidR="005167D3" w:rsidRDefault="00254766" w:rsidP="00185F39">
                  <w:pPr>
                    <w:jc w:val="center"/>
                  </w:pPr>
                  <w:r>
                    <w:t>&gt;</w:t>
                  </w:r>
                  <w:r w:rsidR="005167D3">
                    <w:t>3</w:t>
                  </w:r>
                  <w:r>
                    <w:t xml:space="preserve"> </w:t>
                  </w:r>
                  <w:r w:rsidR="005167D3">
                    <w:t>-</w:t>
                  </w:r>
                  <w:r>
                    <w:t xml:space="preserve"> </w:t>
                  </w:r>
                  <w:r w:rsidR="005167D3">
                    <w:t>6 months</w:t>
                  </w:r>
                </w:p>
              </w:tc>
              <w:tc>
                <w:tcPr>
                  <w:tcW w:w="1701" w:type="dxa"/>
                </w:tcPr>
                <w:p w14:paraId="677212F6" w14:textId="77777777" w:rsidR="005167D3" w:rsidRDefault="005167D3" w:rsidP="00185F39">
                  <w:pPr>
                    <w:jc w:val="center"/>
                    <w:rPr>
                      <w:b/>
                    </w:rPr>
                  </w:pPr>
                  <w:r>
                    <w:rPr>
                      <w:b/>
                    </w:rPr>
                    <w:t>2</w:t>
                  </w:r>
                </w:p>
              </w:tc>
            </w:tr>
            <w:tr w:rsidR="005167D3" w14:paraId="03663D16" w14:textId="77777777" w:rsidTr="00185F39">
              <w:tc>
                <w:tcPr>
                  <w:tcW w:w="2575" w:type="dxa"/>
                </w:tcPr>
                <w:p w14:paraId="3B593DBA" w14:textId="77777777" w:rsidR="005167D3" w:rsidRDefault="00553962" w:rsidP="00185F39">
                  <w:pPr>
                    <w:jc w:val="center"/>
                  </w:pPr>
                  <w:r>
                    <w:t>&lt;3 months</w:t>
                  </w:r>
                </w:p>
              </w:tc>
              <w:tc>
                <w:tcPr>
                  <w:tcW w:w="1701" w:type="dxa"/>
                </w:tcPr>
                <w:p w14:paraId="69A1E8A0" w14:textId="77777777" w:rsidR="005167D3" w:rsidRDefault="005167D3" w:rsidP="00185F39">
                  <w:pPr>
                    <w:jc w:val="center"/>
                    <w:rPr>
                      <w:b/>
                    </w:rPr>
                  </w:pPr>
                  <w:r>
                    <w:rPr>
                      <w:b/>
                    </w:rPr>
                    <w:t>1</w:t>
                  </w:r>
                </w:p>
              </w:tc>
            </w:tr>
            <w:tr w:rsidR="005167D3" w:rsidRPr="002130CE" w14:paraId="7F5C390B" w14:textId="77777777" w:rsidTr="00185F39">
              <w:tc>
                <w:tcPr>
                  <w:tcW w:w="2575" w:type="dxa"/>
                </w:tcPr>
                <w:p w14:paraId="04422B3F" w14:textId="77777777" w:rsidR="005167D3" w:rsidRDefault="009F792B" w:rsidP="00185F39">
                  <w:pPr>
                    <w:jc w:val="center"/>
                  </w:pPr>
                  <w:r>
                    <w:t xml:space="preserve">Cannot be stored at </w:t>
                  </w:r>
                  <w:r w:rsidR="00553962">
                    <w:t>room temp</w:t>
                  </w:r>
                  <w:r>
                    <w:t>erature</w:t>
                  </w:r>
                </w:p>
              </w:tc>
              <w:tc>
                <w:tcPr>
                  <w:tcW w:w="1701" w:type="dxa"/>
                </w:tcPr>
                <w:p w14:paraId="7981B07A" w14:textId="77777777" w:rsidR="005167D3" w:rsidRPr="002130CE" w:rsidRDefault="005167D3" w:rsidP="00185F39">
                  <w:pPr>
                    <w:jc w:val="center"/>
                    <w:rPr>
                      <w:b/>
                    </w:rPr>
                  </w:pPr>
                  <w:r>
                    <w:rPr>
                      <w:b/>
                    </w:rPr>
                    <w:t>0</w:t>
                  </w:r>
                </w:p>
              </w:tc>
            </w:tr>
          </w:tbl>
          <w:p w14:paraId="10055D99" w14:textId="77777777" w:rsidR="005167D3" w:rsidRDefault="005167D3" w:rsidP="002C0578">
            <w:pPr>
              <w:jc w:val="left"/>
            </w:pPr>
          </w:p>
          <w:p w14:paraId="38E48123" w14:textId="754E247D" w:rsidR="00E11D87" w:rsidRDefault="00CB324B" w:rsidP="002C0578">
            <w:pPr>
              <w:jc w:val="left"/>
            </w:pPr>
            <w:r>
              <w:rPr>
                <w:b/>
              </w:rPr>
              <w:t xml:space="preserve">24 </w:t>
            </w:r>
            <w:r w:rsidR="008C3EB3">
              <w:t>Age range of l</w:t>
            </w:r>
            <w:r w:rsidR="00E11D87">
              <w:t>icense indication</w:t>
            </w:r>
          </w:p>
          <w:p w14:paraId="313AEB4A" w14:textId="77777777" w:rsidR="00CE71C4" w:rsidRDefault="00CE71C4" w:rsidP="002C0578">
            <w:pPr>
              <w:jc w:val="left"/>
            </w:pPr>
          </w:p>
          <w:tbl>
            <w:tblPr>
              <w:tblStyle w:val="TableGrid"/>
              <w:tblW w:w="0" w:type="auto"/>
              <w:tblLayout w:type="fixed"/>
              <w:tblLook w:val="04A0" w:firstRow="1" w:lastRow="0" w:firstColumn="1" w:lastColumn="0" w:noHBand="0" w:noVBand="1"/>
            </w:tblPr>
            <w:tblGrid>
              <w:gridCol w:w="2575"/>
              <w:gridCol w:w="1701"/>
            </w:tblGrid>
            <w:tr w:rsidR="00E11D87" w:rsidRPr="000F0F3A" w14:paraId="7312A327" w14:textId="77777777" w:rsidTr="00E25F54">
              <w:tc>
                <w:tcPr>
                  <w:tcW w:w="2575" w:type="dxa"/>
                  <w:shd w:val="clear" w:color="auto" w:fill="000000" w:themeFill="text1"/>
                </w:tcPr>
                <w:p w14:paraId="245E0B99" w14:textId="77777777" w:rsidR="00E11D87" w:rsidRPr="000F0F3A" w:rsidRDefault="00E11D87" w:rsidP="00E25F54">
                  <w:pPr>
                    <w:jc w:val="center"/>
                    <w:rPr>
                      <w:b/>
                      <w:color w:val="FFFFFF" w:themeColor="background1"/>
                    </w:rPr>
                  </w:pPr>
                </w:p>
              </w:tc>
              <w:tc>
                <w:tcPr>
                  <w:tcW w:w="1701" w:type="dxa"/>
                  <w:shd w:val="clear" w:color="auto" w:fill="000000" w:themeFill="text1"/>
                </w:tcPr>
                <w:p w14:paraId="46EFA826" w14:textId="77777777" w:rsidR="00E11D87" w:rsidRPr="000F0F3A" w:rsidRDefault="00E11D87" w:rsidP="00E25F54">
                  <w:pPr>
                    <w:jc w:val="center"/>
                    <w:rPr>
                      <w:b/>
                      <w:color w:val="FFFFFF" w:themeColor="background1"/>
                    </w:rPr>
                  </w:pPr>
                  <w:r w:rsidRPr="000F0F3A">
                    <w:rPr>
                      <w:b/>
                      <w:color w:val="FFFFFF" w:themeColor="background1"/>
                    </w:rPr>
                    <w:t>Score</w:t>
                  </w:r>
                </w:p>
              </w:tc>
            </w:tr>
            <w:tr w:rsidR="00CE1303" w:rsidRPr="002130CE" w14:paraId="571E3A98" w14:textId="77777777" w:rsidTr="00E528F2">
              <w:trPr>
                <w:trHeight w:val="779"/>
              </w:trPr>
              <w:tc>
                <w:tcPr>
                  <w:tcW w:w="2575" w:type="dxa"/>
                </w:tcPr>
                <w:p w14:paraId="2D09F7D8" w14:textId="77777777" w:rsidR="00E528F2" w:rsidRDefault="00E528F2" w:rsidP="00E528F2">
                  <w:pPr>
                    <w:jc w:val="center"/>
                  </w:pPr>
                  <w:r>
                    <w:t xml:space="preserve">&lt; </w:t>
                  </w:r>
                  <w:r w:rsidR="00CE1303" w:rsidRPr="0050755B">
                    <w:t xml:space="preserve">2 </w:t>
                  </w:r>
                  <w:r>
                    <w:t>years</w:t>
                  </w:r>
                </w:p>
                <w:p w14:paraId="7275E9DD" w14:textId="77777777" w:rsidR="00CE1303" w:rsidRDefault="00E528F2" w:rsidP="00E528F2">
                  <w:pPr>
                    <w:jc w:val="center"/>
                  </w:pPr>
                  <w:r>
                    <w:t xml:space="preserve">2 – 12 </w:t>
                  </w:r>
                  <w:r w:rsidR="00CE1303" w:rsidRPr="0050755B">
                    <w:t>years</w:t>
                  </w:r>
                </w:p>
                <w:p w14:paraId="3099BFAB" w14:textId="77777777" w:rsidR="00CE1303" w:rsidRPr="0050755B" w:rsidRDefault="00E528F2" w:rsidP="00E528F2">
                  <w:pPr>
                    <w:jc w:val="center"/>
                  </w:pPr>
                  <w:r>
                    <w:t>&gt;12 years</w:t>
                  </w:r>
                </w:p>
              </w:tc>
              <w:tc>
                <w:tcPr>
                  <w:tcW w:w="1701" w:type="dxa"/>
                  <w:shd w:val="clear" w:color="auto" w:fill="FFFFFF" w:themeFill="background1"/>
                </w:tcPr>
                <w:p w14:paraId="155ACAAE" w14:textId="77777777" w:rsidR="00CE1303" w:rsidRPr="00CE1303" w:rsidRDefault="00CE1303" w:rsidP="00E11D87">
                  <w:pPr>
                    <w:jc w:val="center"/>
                    <w:rPr>
                      <w:b/>
                    </w:rPr>
                  </w:pPr>
                  <w:r w:rsidRPr="00CE1303">
                    <w:rPr>
                      <w:b/>
                    </w:rPr>
                    <w:t>10</w:t>
                  </w:r>
                </w:p>
              </w:tc>
            </w:tr>
            <w:tr w:rsidR="00CE1303" w:rsidRPr="002130CE" w14:paraId="007B6794" w14:textId="77777777" w:rsidTr="00CE1303">
              <w:tc>
                <w:tcPr>
                  <w:tcW w:w="2575" w:type="dxa"/>
                </w:tcPr>
                <w:p w14:paraId="3DBABAB3" w14:textId="77777777" w:rsidR="00CE1303" w:rsidRPr="0050755B" w:rsidRDefault="00CE1303" w:rsidP="00CE1303">
                  <w:pPr>
                    <w:jc w:val="center"/>
                  </w:pPr>
                  <w:r w:rsidRPr="0050755B">
                    <w:t>2 – 12 years</w:t>
                  </w:r>
                </w:p>
                <w:p w14:paraId="3F994AEE" w14:textId="77777777" w:rsidR="00CE1303" w:rsidRPr="0050755B" w:rsidRDefault="00CE1303" w:rsidP="00CE1303">
                  <w:pPr>
                    <w:jc w:val="center"/>
                  </w:pPr>
                  <w:r w:rsidRPr="0050755B">
                    <w:t>&gt; 12 years</w:t>
                  </w:r>
                </w:p>
              </w:tc>
              <w:tc>
                <w:tcPr>
                  <w:tcW w:w="1701" w:type="dxa"/>
                  <w:shd w:val="clear" w:color="auto" w:fill="FFFFFF" w:themeFill="background1"/>
                </w:tcPr>
                <w:p w14:paraId="76DC677F" w14:textId="77777777" w:rsidR="00CE1303" w:rsidRPr="00CE1303" w:rsidRDefault="00CE1303" w:rsidP="00E11D87">
                  <w:pPr>
                    <w:jc w:val="center"/>
                    <w:rPr>
                      <w:b/>
                    </w:rPr>
                  </w:pPr>
                  <w:r w:rsidRPr="00CE1303">
                    <w:rPr>
                      <w:b/>
                    </w:rPr>
                    <w:t>6</w:t>
                  </w:r>
                </w:p>
              </w:tc>
            </w:tr>
            <w:tr w:rsidR="00CE1303" w:rsidRPr="002130CE" w14:paraId="462723BF" w14:textId="77777777" w:rsidTr="00CE1303">
              <w:tc>
                <w:tcPr>
                  <w:tcW w:w="2575" w:type="dxa"/>
                </w:tcPr>
                <w:p w14:paraId="194156BC" w14:textId="77777777" w:rsidR="00CE1303" w:rsidRPr="0050755B" w:rsidRDefault="00CE1303" w:rsidP="00E11D87">
                  <w:pPr>
                    <w:jc w:val="center"/>
                  </w:pPr>
                  <w:r w:rsidRPr="0050755B">
                    <w:t>&gt; 12 years only</w:t>
                  </w:r>
                </w:p>
              </w:tc>
              <w:tc>
                <w:tcPr>
                  <w:tcW w:w="1701" w:type="dxa"/>
                  <w:shd w:val="clear" w:color="auto" w:fill="FFFFFF" w:themeFill="background1"/>
                </w:tcPr>
                <w:p w14:paraId="7AA92616" w14:textId="77777777" w:rsidR="00CE1303" w:rsidRPr="00CE1303" w:rsidRDefault="00CE1303" w:rsidP="00E11D87">
                  <w:pPr>
                    <w:jc w:val="center"/>
                    <w:rPr>
                      <w:b/>
                    </w:rPr>
                  </w:pPr>
                  <w:r w:rsidRPr="00CE1303">
                    <w:rPr>
                      <w:b/>
                    </w:rPr>
                    <w:t>3</w:t>
                  </w:r>
                </w:p>
              </w:tc>
            </w:tr>
          </w:tbl>
          <w:p w14:paraId="66934175" w14:textId="77777777" w:rsidR="00E11D87" w:rsidRDefault="00E11D87" w:rsidP="002C0578">
            <w:pPr>
              <w:jc w:val="left"/>
            </w:pPr>
          </w:p>
          <w:p w14:paraId="3A4314FF" w14:textId="6A8CFB57" w:rsidR="00553962" w:rsidRDefault="00CB324B" w:rsidP="002C0578">
            <w:pPr>
              <w:jc w:val="left"/>
            </w:pPr>
            <w:r>
              <w:rPr>
                <w:b/>
              </w:rPr>
              <w:t xml:space="preserve">25 </w:t>
            </w:r>
            <w:r w:rsidR="00553962" w:rsidRPr="0050755B">
              <w:t>Total number of inf</w:t>
            </w:r>
            <w:r w:rsidR="004B679E" w:rsidRPr="0050755B">
              <w:t xml:space="preserve">usions required per week per </w:t>
            </w:r>
            <w:r w:rsidR="00320164" w:rsidRPr="0050755B">
              <w:t xml:space="preserve">adult </w:t>
            </w:r>
            <w:r w:rsidR="00553962" w:rsidRPr="0050755B">
              <w:t>with</w:t>
            </w:r>
            <w:r w:rsidR="00553962" w:rsidRPr="00553962">
              <w:t xml:space="preserve"> severe Haemophilia </w:t>
            </w:r>
            <w:r w:rsidR="009F792B">
              <w:t>A</w:t>
            </w:r>
            <w:r w:rsidR="00D63D6E">
              <w:t xml:space="preserve"> as per SmPC</w:t>
            </w:r>
          </w:p>
          <w:p w14:paraId="3A895F44" w14:textId="77777777" w:rsidR="00CE71C4" w:rsidRDefault="00CE71C4" w:rsidP="002C0578">
            <w:pPr>
              <w:jc w:val="left"/>
            </w:pPr>
          </w:p>
          <w:tbl>
            <w:tblPr>
              <w:tblStyle w:val="TableGrid"/>
              <w:tblW w:w="0" w:type="auto"/>
              <w:tblLayout w:type="fixed"/>
              <w:tblLook w:val="04A0" w:firstRow="1" w:lastRow="0" w:firstColumn="1" w:lastColumn="0" w:noHBand="0" w:noVBand="1"/>
            </w:tblPr>
            <w:tblGrid>
              <w:gridCol w:w="3147"/>
              <w:gridCol w:w="1129"/>
            </w:tblGrid>
            <w:tr w:rsidR="00553962" w:rsidRPr="000F0F3A" w14:paraId="06FA648E" w14:textId="77777777" w:rsidTr="009E16C6">
              <w:tc>
                <w:tcPr>
                  <w:tcW w:w="3147" w:type="dxa"/>
                  <w:shd w:val="clear" w:color="auto" w:fill="000000" w:themeFill="text1"/>
                </w:tcPr>
                <w:p w14:paraId="78564F2E" w14:textId="77777777" w:rsidR="00553962" w:rsidRPr="000F0F3A" w:rsidRDefault="00553962" w:rsidP="00185F39">
                  <w:pPr>
                    <w:jc w:val="center"/>
                    <w:rPr>
                      <w:b/>
                      <w:color w:val="FFFFFF" w:themeColor="background1"/>
                    </w:rPr>
                  </w:pPr>
                  <w:bookmarkStart w:id="3" w:name="_Hlk31196880"/>
                </w:p>
              </w:tc>
              <w:tc>
                <w:tcPr>
                  <w:tcW w:w="1129" w:type="dxa"/>
                  <w:shd w:val="clear" w:color="auto" w:fill="000000" w:themeFill="text1"/>
                </w:tcPr>
                <w:p w14:paraId="22288170" w14:textId="77777777" w:rsidR="00553962" w:rsidRPr="000F0F3A" w:rsidRDefault="00553962" w:rsidP="00185F39">
                  <w:pPr>
                    <w:jc w:val="center"/>
                    <w:rPr>
                      <w:b/>
                      <w:color w:val="FFFFFF" w:themeColor="background1"/>
                    </w:rPr>
                  </w:pPr>
                  <w:r w:rsidRPr="000F0F3A">
                    <w:rPr>
                      <w:b/>
                      <w:color w:val="FFFFFF" w:themeColor="background1"/>
                    </w:rPr>
                    <w:t>Score</w:t>
                  </w:r>
                </w:p>
              </w:tc>
            </w:tr>
            <w:tr w:rsidR="009E16C6" w:rsidRPr="002130CE" w14:paraId="79A7683D" w14:textId="77777777" w:rsidTr="009E16C6">
              <w:tc>
                <w:tcPr>
                  <w:tcW w:w="3147" w:type="dxa"/>
                </w:tcPr>
                <w:p w14:paraId="4EF05E46" w14:textId="77777777" w:rsidR="009E16C6" w:rsidRPr="0050755B" w:rsidRDefault="009E16C6">
                  <w:pPr>
                    <w:jc w:val="center"/>
                    <w:rPr>
                      <w:rFonts w:ascii="Calibri" w:eastAsiaTheme="minorHAnsi" w:hAnsi="Calibri"/>
                      <w:szCs w:val="22"/>
                    </w:rPr>
                  </w:pPr>
                  <w:r w:rsidRPr="0050755B">
                    <w:t>Once or less per week</w:t>
                  </w:r>
                </w:p>
              </w:tc>
              <w:tc>
                <w:tcPr>
                  <w:tcW w:w="1129" w:type="dxa"/>
                </w:tcPr>
                <w:p w14:paraId="765D703A" w14:textId="77777777" w:rsidR="009E16C6" w:rsidRPr="0050755B" w:rsidRDefault="009E16C6">
                  <w:pPr>
                    <w:jc w:val="center"/>
                    <w:rPr>
                      <w:rFonts w:ascii="Calibri" w:eastAsiaTheme="minorHAnsi" w:hAnsi="Calibri"/>
                      <w:b/>
                      <w:bCs/>
                      <w:szCs w:val="22"/>
                    </w:rPr>
                  </w:pPr>
                  <w:r w:rsidRPr="0050755B">
                    <w:rPr>
                      <w:b/>
                      <w:bCs/>
                    </w:rPr>
                    <w:t>10</w:t>
                  </w:r>
                </w:p>
              </w:tc>
            </w:tr>
            <w:tr w:rsidR="009E16C6" w:rsidRPr="002130CE" w14:paraId="21DED4B3" w14:textId="77777777" w:rsidTr="009E16C6">
              <w:tc>
                <w:tcPr>
                  <w:tcW w:w="3147" w:type="dxa"/>
                </w:tcPr>
                <w:p w14:paraId="2656E013" w14:textId="77777777" w:rsidR="009E16C6" w:rsidRPr="0050755B" w:rsidRDefault="009E16C6">
                  <w:pPr>
                    <w:jc w:val="center"/>
                    <w:rPr>
                      <w:rFonts w:eastAsiaTheme="minorHAnsi" w:cs="Arial"/>
                      <w:szCs w:val="22"/>
                    </w:rPr>
                  </w:pPr>
                  <w:r w:rsidRPr="0050755B">
                    <w:t>1 – 2 per week</w:t>
                  </w:r>
                </w:p>
              </w:tc>
              <w:tc>
                <w:tcPr>
                  <w:tcW w:w="1129" w:type="dxa"/>
                </w:tcPr>
                <w:p w14:paraId="6DDF12BD" w14:textId="77777777" w:rsidR="009E16C6" w:rsidRPr="0050755B" w:rsidRDefault="009E16C6">
                  <w:pPr>
                    <w:jc w:val="center"/>
                    <w:rPr>
                      <w:rFonts w:eastAsiaTheme="minorHAnsi" w:cs="Arial"/>
                      <w:b/>
                      <w:bCs/>
                      <w:szCs w:val="22"/>
                    </w:rPr>
                  </w:pPr>
                  <w:r w:rsidRPr="0050755B">
                    <w:rPr>
                      <w:b/>
                      <w:bCs/>
                    </w:rPr>
                    <w:t>7</w:t>
                  </w:r>
                </w:p>
              </w:tc>
            </w:tr>
            <w:tr w:rsidR="009E16C6" w14:paraId="7749E1BE" w14:textId="77777777" w:rsidTr="009E16C6">
              <w:tc>
                <w:tcPr>
                  <w:tcW w:w="3147" w:type="dxa"/>
                </w:tcPr>
                <w:p w14:paraId="7C928A33" w14:textId="77777777" w:rsidR="009E16C6" w:rsidRPr="0050755B" w:rsidRDefault="009E16C6">
                  <w:pPr>
                    <w:jc w:val="center"/>
                    <w:rPr>
                      <w:rFonts w:eastAsiaTheme="minorHAnsi" w:cs="Arial"/>
                      <w:szCs w:val="22"/>
                    </w:rPr>
                  </w:pPr>
                  <w:r w:rsidRPr="0050755B">
                    <w:t>2 – 3 per week</w:t>
                  </w:r>
                </w:p>
              </w:tc>
              <w:tc>
                <w:tcPr>
                  <w:tcW w:w="1129" w:type="dxa"/>
                </w:tcPr>
                <w:p w14:paraId="1CCCC90E" w14:textId="77777777" w:rsidR="009E16C6" w:rsidRPr="0050755B" w:rsidRDefault="009E16C6">
                  <w:pPr>
                    <w:jc w:val="center"/>
                    <w:rPr>
                      <w:rFonts w:eastAsiaTheme="minorHAnsi" w:cs="Arial"/>
                      <w:b/>
                      <w:bCs/>
                      <w:szCs w:val="22"/>
                    </w:rPr>
                  </w:pPr>
                  <w:r w:rsidRPr="0050755B">
                    <w:rPr>
                      <w:b/>
                      <w:bCs/>
                    </w:rPr>
                    <w:t>5</w:t>
                  </w:r>
                </w:p>
              </w:tc>
            </w:tr>
            <w:tr w:rsidR="009E16C6" w14:paraId="18703EF4" w14:textId="77777777" w:rsidTr="009E16C6">
              <w:tc>
                <w:tcPr>
                  <w:tcW w:w="3147" w:type="dxa"/>
                </w:tcPr>
                <w:p w14:paraId="6866370C" w14:textId="77777777" w:rsidR="009E16C6" w:rsidRPr="0050755B" w:rsidRDefault="009E16C6">
                  <w:pPr>
                    <w:jc w:val="center"/>
                    <w:rPr>
                      <w:rFonts w:eastAsiaTheme="minorHAnsi" w:cs="Arial"/>
                      <w:szCs w:val="22"/>
                    </w:rPr>
                  </w:pPr>
                  <w:r w:rsidRPr="0050755B">
                    <w:t>More than three times a week</w:t>
                  </w:r>
                </w:p>
              </w:tc>
              <w:tc>
                <w:tcPr>
                  <w:tcW w:w="1129" w:type="dxa"/>
                </w:tcPr>
                <w:p w14:paraId="345ABF78" w14:textId="77777777" w:rsidR="009E16C6" w:rsidRPr="0050755B" w:rsidRDefault="009E16C6">
                  <w:pPr>
                    <w:jc w:val="center"/>
                    <w:rPr>
                      <w:rFonts w:eastAsiaTheme="minorHAnsi" w:cs="Arial"/>
                      <w:b/>
                      <w:bCs/>
                      <w:szCs w:val="22"/>
                    </w:rPr>
                  </w:pPr>
                  <w:r w:rsidRPr="0050755B">
                    <w:rPr>
                      <w:b/>
                      <w:bCs/>
                    </w:rPr>
                    <w:t>1</w:t>
                  </w:r>
                </w:p>
              </w:tc>
            </w:tr>
            <w:bookmarkEnd w:id="3"/>
          </w:tbl>
          <w:p w14:paraId="252BE0BF" w14:textId="77777777" w:rsidR="00553962" w:rsidRDefault="00553962" w:rsidP="002C0578">
            <w:pPr>
              <w:jc w:val="left"/>
            </w:pPr>
          </w:p>
          <w:p w14:paraId="1F59CB84" w14:textId="4CAB202A" w:rsidR="009F792B" w:rsidRDefault="00CB324B" w:rsidP="009F792B">
            <w:pPr>
              <w:jc w:val="left"/>
            </w:pPr>
            <w:r>
              <w:rPr>
                <w:b/>
              </w:rPr>
              <w:t xml:space="preserve">26 </w:t>
            </w:r>
            <w:r w:rsidR="009F792B">
              <w:t>Route of Administration</w:t>
            </w:r>
          </w:p>
          <w:p w14:paraId="52E14F68" w14:textId="77777777" w:rsidR="00CE71C4" w:rsidRDefault="00CE71C4" w:rsidP="009F792B">
            <w:pPr>
              <w:jc w:val="left"/>
            </w:pPr>
          </w:p>
          <w:tbl>
            <w:tblPr>
              <w:tblStyle w:val="TableGrid"/>
              <w:tblW w:w="0" w:type="auto"/>
              <w:tblLayout w:type="fixed"/>
              <w:tblLook w:val="04A0" w:firstRow="1" w:lastRow="0" w:firstColumn="1" w:lastColumn="0" w:noHBand="0" w:noVBand="1"/>
            </w:tblPr>
            <w:tblGrid>
              <w:gridCol w:w="3147"/>
              <w:gridCol w:w="30"/>
              <w:gridCol w:w="1099"/>
            </w:tblGrid>
            <w:tr w:rsidR="009F792B" w:rsidRPr="000F0F3A" w14:paraId="536502A5" w14:textId="77777777" w:rsidTr="00971EF7">
              <w:tc>
                <w:tcPr>
                  <w:tcW w:w="3147" w:type="dxa"/>
                  <w:shd w:val="clear" w:color="auto" w:fill="000000" w:themeFill="text1"/>
                </w:tcPr>
                <w:p w14:paraId="565B0886" w14:textId="77777777" w:rsidR="009F792B" w:rsidRPr="000F0F3A" w:rsidRDefault="009F792B" w:rsidP="009F792B">
                  <w:pPr>
                    <w:jc w:val="center"/>
                    <w:rPr>
                      <w:b/>
                      <w:color w:val="FFFFFF" w:themeColor="background1"/>
                    </w:rPr>
                  </w:pPr>
                </w:p>
              </w:tc>
              <w:tc>
                <w:tcPr>
                  <w:tcW w:w="1129" w:type="dxa"/>
                  <w:gridSpan w:val="2"/>
                  <w:shd w:val="clear" w:color="auto" w:fill="000000" w:themeFill="text1"/>
                </w:tcPr>
                <w:p w14:paraId="7D62D3D1" w14:textId="77777777" w:rsidR="009F792B" w:rsidRPr="000F0F3A" w:rsidRDefault="009F792B" w:rsidP="009F792B">
                  <w:pPr>
                    <w:jc w:val="center"/>
                    <w:rPr>
                      <w:b/>
                      <w:color w:val="FFFFFF" w:themeColor="background1"/>
                    </w:rPr>
                  </w:pPr>
                  <w:r w:rsidRPr="000F0F3A">
                    <w:rPr>
                      <w:b/>
                      <w:color w:val="FFFFFF" w:themeColor="background1"/>
                    </w:rPr>
                    <w:t>Score</w:t>
                  </w:r>
                </w:p>
              </w:tc>
            </w:tr>
            <w:tr w:rsidR="00CE1303" w:rsidRPr="002130CE" w14:paraId="3B637EC7" w14:textId="77777777" w:rsidTr="009F792B">
              <w:tc>
                <w:tcPr>
                  <w:tcW w:w="3177" w:type="dxa"/>
                  <w:gridSpan w:val="2"/>
                </w:tcPr>
                <w:p w14:paraId="65234862" w14:textId="77777777" w:rsidR="00CE1303" w:rsidRDefault="00CE1303" w:rsidP="009F792B">
                  <w:pPr>
                    <w:jc w:val="center"/>
                    <w:rPr>
                      <w:rFonts w:eastAsiaTheme="minorHAnsi" w:cs="Arial"/>
                      <w:szCs w:val="22"/>
                    </w:rPr>
                  </w:pPr>
                  <w:r>
                    <w:rPr>
                      <w:rFonts w:eastAsiaTheme="minorHAnsi" w:cs="Arial"/>
                      <w:szCs w:val="22"/>
                    </w:rPr>
                    <w:t>Sub-cut</w:t>
                  </w:r>
                </w:p>
              </w:tc>
              <w:tc>
                <w:tcPr>
                  <w:tcW w:w="1099" w:type="dxa"/>
                </w:tcPr>
                <w:p w14:paraId="159CCCA4" w14:textId="77777777" w:rsidR="00CE1303" w:rsidRPr="00CE1303" w:rsidRDefault="00CE1303" w:rsidP="009F792B">
                  <w:pPr>
                    <w:jc w:val="center"/>
                    <w:rPr>
                      <w:b/>
                      <w:bCs/>
                    </w:rPr>
                  </w:pPr>
                  <w:r w:rsidRPr="00CE1303">
                    <w:rPr>
                      <w:b/>
                      <w:bCs/>
                    </w:rPr>
                    <w:t>10</w:t>
                  </w:r>
                </w:p>
              </w:tc>
            </w:tr>
            <w:tr w:rsidR="00CE1303" w:rsidRPr="002130CE" w14:paraId="355705F9" w14:textId="77777777" w:rsidTr="009F792B">
              <w:tc>
                <w:tcPr>
                  <w:tcW w:w="3177" w:type="dxa"/>
                  <w:gridSpan w:val="2"/>
                </w:tcPr>
                <w:p w14:paraId="730371E8" w14:textId="77777777" w:rsidR="00CE1303" w:rsidRDefault="00CE1303" w:rsidP="009F792B">
                  <w:pPr>
                    <w:jc w:val="center"/>
                    <w:rPr>
                      <w:rFonts w:eastAsiaTheme="minorHAnsi" w:cs="Arial"/>
                      <w:szCs w:val="22"/>
                    </w:rPr>
                  </w:pPr>
                  <w:r>
                    <w:rPr>
                      <w:rFonts w:eastAsiaTheme="minorHAnsi" w:cs="Arial"/>
                      <w:szCs w:val="22"/>
                    </w:rPr>
                    <w:t>IV</w:t>
                  </w:r>
                </w:p>
              </w:tc>
              <w:tc>
                <w:tcPr>
                  <w:tcW w:w="1099" w:type="dxa"/>
                </w:tcPr>
                <w:p w14:paraId="6635B469" w14:textId="77777777" w:rsidR="00CE1303" w:rsidRPr="00CE1303" w:rsidRDefault="00CE1303" w:rsidP="009F792B">
                  <w:pPr>
                    <w:jc w:val="center"/>
                    <w:rPr>
                      <w:b/>
                      <w:bCs/>
                    </w:rPr>
                  </w:pPr>
                  <w:r w:rsidRPr="00CE1303">
                    <w:rPr>
                      <w:b/>
                      <w:bCs/>
                    </w:rPr>
                    <w:t>1</w:t>
                  </w:r>
                </w:p>
              </w:tc>
            </w:tr>
          </w:tbl>
          <w:p w14:paraId="48B40E3D" w14:textId="77777777" w:rsidR="009F792B" w:rsidRDefault="009F792B" w:rsidP="002C0578">
            <w:pPr>
              <w:jc w:val="left"/>
            </w:pPr>
          </w:p>
          <w:p w14:paraId="3E931DF7" w14:textId="06624E9C" w:rsidR="00CE1303" w:rsidRDefault="00CB324B" w:rsidP="002C0578">
            <w:pPr>
              <w:jc w:val="left"/>
            </w:pPr>
            <w:r>
              <w:rPr>
                <w:b/>
              </w:rPr>
              <w:t xml:space="preserve">27 </w:t>
            </w:r>
            <w:r w:rsidR="002147E2">
              <w:t>N</w:t>
            </w:r>
            <w:r w:rsidR="00A47124">
              <w:t xml:space="preserve">umber of vials </w:t>
            </w:r>
            <w:r w:rsidR="006D6760">
              <w:t>available:</w:t>
            </w:r>
          </w:p>
          <w:p w14:paraId="2CF16479" w14:textId="77777777" w:rsidR="00CE71C4" w:rsidRDefault="00CE71C4" w:rsidP="002C0578">
            <w:pPr>
              <w:jc w:val="left"/>
            </w:pPr>
          </w:p>
          <w:tbl>
            <w:tblPr>
              <w:tblStyle w:val="TableGrid"/>
              <w:tblW w:w="5162" w:type="dxa"/>
              <w:tblLayout w:type="fixed"/>
              <w:tblLook w:val="04A0" w:firstRow="1" w:lastRow="0" w:firstColumn="1" w:lastColumn="0" w:noHBand="0" w:noVBand="1"/>
            </w:tblPr>
            <w:tblGrid>
              <w:gridCol w:w="4311"/>
              <w:gridCol w:w="851"/>
            </w:tblGrid>
            <w:tr w:rsidR="00CE1303" w:rsidRPr="000F0F3A" w14:paraId="1E37D0CA" w14:textId="77777777" w:rsidTr="00D92FFD">
              <w:tc>
                <w:tcPr>
                  <w:tcW w:w="4311" w:type="dxa"/>
                  <w:shd w:val="clear" w:color="auto" w:fill="000000" w:themeFill="text1"/>
                </w:tcPr>
                <w:p w14:paraId="550386C6" w14:textId="77777777" w:rsidR="00CE1303" w:rsidRPr="000F0F3A" w:rsidRDefault="00CE1303" w:rsidP="00CE1303">
                  <w:pPr>
                    <w:jc w:val="center"/>
                    <w:rPr>
                      <w:b/>
                      <w:color w:val="FFFFFF" w:themeColor="background1"/>
                    </w:rPr>
                  </w:pPr>
                </w:p>
              </w:tc>
              <w:tc>
                <w:tcPr>
                  <w:tcW w:w="851" w:type="dxa"/>
                  <w:shd w:val="clear" w:color="auto" w:fill="000000" w:themeFill="text1"/>
                </w:tcPr>
                <w:p w14:paraId="03563B91" w14:textId="77777777" w:rsidR="00CE1303" w:rsidRPr="000F0F3A" w:rsidRDefault="00CE1303" w:rsidP="00CE1303">
                  <w:pPr>
                    <w:jc w:val="center"/>
                    <w:rPr>
                      <w:b/>
                      <w:color w:val="FFFFFF" w:themeColor="background1"/>
                    </w:rPr>
                  </w:pPr>
                  <w:r w:rsidRPr="000F0F3A">
                    <w:rPr>
                      <w:b/>
                      <w:color w:val="FFFFFF" w:themeColor="background1"/>
                    </w:rPr>
                    <w:t>Score</w:t>
                  </w:r>
                </w:p>
              </w:tc>
            </w:tr>
            <w:tr w:rsidR="00CE1303" w:rsidRPr="002130CE" w14:paraId="0D0053E9" w14:textId="77777777" w:rsidTr="00D92FFD">
              <w:tc>
                <w:tcPr>
                  <w:tcW w:w="4311" w:type="dxa"/>
                </w:tcPr>
                <w:p w14:paraId="5E51A82D" w14:textId="77777777" w:rsidR="00CE1303" w:rsidRPr="005B56D3" w:rsidRDefault="00CE1303" w:rsidP="00CD75FC">
                  <w:pPr>
                    <w:jc w:val="center"/>
                    <w:rPr>
                      <w:rFonts w:eastAsiaTheme="minorHAnsi" w:cs="Arial"/>
                      <w:szCs w:val="22"/>
                    </w:rPr>
                  </w:pPr>
                  <w:r w:rsidRPr="005B56D3">
                    <w:rPr>
                      <w:rFonts w:eastAsiaTheme="minorHAnsi" w:cs="Arial"/>
                      <w:szCs w:val="22"/>
                    </w:rPr>
                    <w:t>All vial options</w:t>
                  </w:r>
                </w:p>
              </w:tc>
              <w:tc>
                <w:tcPr>
                  <w:tcW w:w="851" w:type="dxa"/>
                </w:tcPr>
                <w:p w14:paraId="7DADBB88" w14:textId="77777777" w:rsidR="00CE1303" w:rsidRPr="005B56D3" w:rsidRDefault="00CE1303" w:rsidP="00CE1303">
                  <w:pPr>
                    <w:jc w:val="center"/>
                    <w:rPr>
                      <w:rFonts w:eastAsiaTheme="minorHAnsi" w:cs="Arial"/>
                      <w:b/>
                      <w:bCs/>
                      <w:szCs w:val="22"/>
                    </w:rPr>
                  </w:pPr>
                  <w:r w:rsidRPr="005B56D3">
                    <w:rPr>
                      <w:rFonts w:eastAsiaTheme="minorHAnsi" w:cs="Arial"/>
                      <w:b/>
                      <w:bCs/>
                      <w:szCs w:val="22"/>
                    </w:rPr>
                    <w:t>10</w:t>
                  </w:r>
                </w:p>
              </w:tc>
            </w:tr>
            <w:tr w:rsidR="00CE1303" w:rsidRPr="002130CE" w14:paraId="00185C8E" w14:textId="77777777" w:rsidTr="00D92FFD">
              <w:tc>
                <w:tcPr>
                  <w:tcW w:w="4311" w:type="dxa"/>
                </w:tcPr>
                <w:p w14:paraId="609FBCBA" w14:textId="77777777" w:rsidR="00CD75FC" w:rsidRPr="005B56D3" w:rsidRDefault="00CD75FC" w:rsidP="00CD75FC">
                  <w:pPr>
                    <w:tabs>
                      <w:tab w:val="left" w:pos="977"/>
                    </w:tabs>
                    <w:jc w:val="center"/>
                    <w:rPr>
                      <w:rFonts w:eastAsiaTheme="minorHAnsi" w:cs="Arial"/>
                      <w:szCs w:val="22"/>
                    </w:rPr>
                  </w:pPr>
                  <w:r w:rsidRPr="005B56D3">
                    <w:rPr>
                      <w:rFonts w:eastAsiaTheme="minorHAnsi" w:cs="Arial"/>
                      <w:szCs w:val="22"/>
                    </w:rPr>
                    <w:t>Five vial options which include:</w:t>
                  </w:r>
                </w:p>
                <w:p w14:paraId="6B18166A" w14:textId="77777777" w:rsidR="00CD75FC" w:rsidRPr="005B56D3" w:rsidRDefault="00CD75FC" w:rsidP="00CD75FC">
                  <w:pPr>
                    <w:tabs>
                      <w:tab w:val="left" w:pos="977"/>
                    </w:tabs>
                    <w:jc w:val="center"/>
                    <w:rPr>
                      <w:rFonts w:eastAsiaTheme="minorHAnsi" w:cs="Arial"/>
                      <w:szCs w:val="22"/>
                    </w:rPr>
                  </w:pPr>
                  <w:r w:rsidRPr="005B56D3">
                    <w:rPr>
                      <w:rFonts w:eastAsiaTheme="minorHAnsi" w:cs="Arial"/>
                      <w:szCs w:val="22"/>
                    </w:rPr>
                    <w:t>(Lots 1-3) 250 &amp; 500 IU vials</w:t>
                  </w:r>
                </w:p>
                <w:p w14:paraId="1620E176" w14:textId="77777777" w:rsidR="00D92FFD" w:rsidRPr="005B56D3" w:rsidRDefault="00CD75FC" w:rsidP="00CD75FC">
                  <w:pPr>
                    <w:tabs>
                      <w:tab w:val="left" w:pos="977"/>
                    </w:tabs>
                    <w:jc w:val="center"/>
                    <w:rPr>
                      <w:rFonts w:eastAsiaTheme="minorHAnsi" w:cs="Arial"/>
                      <w:szCs w:val="22"/>
                    </w:rPr>
                  </w:pPr>
                  <w:r w:rsidRPr="005B56D3">
                    <w:rPr>
                      <w:rFonts w:eastAsiaTheme="minorHAnsi" w:cs="Arial"/>
                      <w:szCs w:val="22"/>
                    </w:rPr>
                    <w:t>(Lot 4) 30 &amp; 60mg vial</w:t>
                  </w:r>
                </w:p>
              </w:tc>
              <w:tc>
                <w:tcPr>
                  <w:tcW w:w="851" w:type="dxa"/>
                </w:tcPr>
                <w:p w14:paraId="06763693" w14:textId="77777777" w:rsidR="00CE1303" w:rsidRPr="005B56D3" w:rsidRDefault="00CE1303" w:rsidP="00CE1303">
                  <w:pPr>
                    <w:jc w:val="center"/>
                    <w:rPr>
                      <w:rFonts w:eastAsiaTheme="minorHAnsi" w:cs="Arial"/>
                      <w:b/>
                      <w:bCs/>
                      <w:szCs w:val="22"/>
                    </w:rPr>
                  </w:pPr>
                  <w:r w:rsidRPr="005B56D3">
                    <w:rPr>
                      <w:rFonts w:eastAsiaTheme="minorHAnsi" w:cs="Arial"/>
                      <w:b/>
                      <w:bCs/>
                      <w:szCs w:val="22"/>
                    </w:rPr>
                    <w:t>9</w:t>
                  </w:r>
                </w:p>
              </w:tc>
            </w:tr>
            <w:tr w:rsidR="00CE1303" w14:paraId="20BB8FD3" w14:textId="77777777" w:rsidTr="00D92FFD">
              <w:tc>
                <w:tcPr>
                  <w:tcW w:w="4311" w:type="dxa"/>
                </w:tcPr>
                <w:p w14:paraId="41A35B13" w14:textId="77777777" w:rsidR="00CD75FC" w:rsidRPr="005B56D3" w:rsidRDefault="00CD75FC" w:rsidP="00CD75FC">
                  <w:pPr>
                    <w:jc w:val="center"/>
                    <w:rPr>
                      <w:rFonts w:eastAsiaTheme="minorHAnsi" w:cs="Arial"/>
                      <w:szCs w:val="22"/>
                    </w:rPr>
                  </w:pPr>
                  <w:r w:rsidRPr="005B56D3">
                    <w:rPr>
                      <w:rFonts w:eastAsiaTheme="minorHAnsi" w:cs="Arial"/>
                      <w:szCs w:val="22"/>
                    </w:rPr>
                    <w:t>Five vial options which include:</w:t>
                  </w:r>
                </w:p>
                <w:p w14:paraId="32E9B72E" w14:textId="77777777" w:rsidR="00CD75FC" w:rsidRPr="005B56D3" w:rsidRDefault="00CD75FC" w:rsidP="00CD75FC">
                  <w:pPr>
                    <w:jc w:val="center"/>
                    <w:rPr>
                      <w:rFonts w:eastAsiaTheme="minorHAnsi" w:cs="Arial"/>
                      <w:szCs w:val="22"/>
                    </w:rPr>
                  </w:pPr>
                  <w:r w:rsidRPr="005B56D3">
                    <w:rPr>
                      <w:rFonts w:eastAsiaTheme="minorHAnsi" w:cs="Arial"/>
                      <w:szCs w:val="22"/>
                    </w:rPr>
                    <w:t xml:space="preserve">(Lots 1-3) either a 250 or 500 IU vial </w:t>
                  </w:r>
                </w:p>
                <w:p w14:paraId="4B252791" w14:textId="77777777" w:rsidR="00D92FFD" w:rsidRPr="005B56D3" w:rsidRDefault="00CD75FC" w:rsidP="00CD75FC">
                  <w:pPr>
                    <w:jc w:val="center"/>
                    <w:rPr>
                      <w:rFonts w:eastAsiaTheme="minorHAnsi" w:cs="Arial"/>
                      <w:szCs w:val="22"/>
                    </w:rPr>
                  </w:pPr>
                  <w:r w:rsidRPr="005B56D3">
                    <w:rPr>
                      <w:rFonts w:eastAsiaTheme="minorHAnsi" w:cs="Arial"/>
                      <w:szCs w:val="22"/>
                    </w:rPr>
                    <w:t>(Lot 4) either a 30 or 60mg via</w:t>
                  </w:r>
                </w:p>
              </w:tc>
              <w:tc>
                <w:tcPr>
                  <w:tcW w:w="851" w:type="dxa"/>
                </w:tcPr>
                <w:p w14:paraId="6B6BC6EE" w14:textId="77777777" w:rsidR="00CE1303" w:rsidRPr="005B56D3" w:rsidRDefault="00CE1303" w:rsidP="00CE1303">
                  <w:pPr>
                    <w:jc w:val="center"/>
                    <w:rPr>
                      <w:rFonts w:eastAsiaTheme="minorHAnsi" w:cs="Arial"/>
                      <w:b/>
                      <w:bCs/>
                      <w:szCs w:val="22"/>
                    </w:rPr>
                  </w:pPr>
                  <w:r w:rsidRPr="005B56D3">
                    <w:rPr>
                      <w:rFonts w:eastAsiaTheme="minorHAnsi" w:cs="Arial"/>
                      <w:b/>
                      <w:bCs/>
                      <w:szCs w:val="22"/>
                    </w:rPr>
                    <w:t>8</w:t>
                  </w:r>
                </w:p>
              </w:tc>
            </w:tr>
            <w:tr w:rsidR="00CE1303" w14:paraId="043202AC" w14:textId="77777777" w:rsidTr="00D92FFD">
              <w:tc>
                <w:tcPr>
                  <w:tcW w:w="4311" w:type="dxa"/>
                </w:tcPr>
                <w:p w14:paraId="568952C4" w14:textId="77777777" w:rsidR="00CD75FC" w:rsidRPr="005B56D3" w:rsidRDefault="00CD75FC" w:rsidP="00CD75FC">
                  <w:pPr>
                    <w:tabs>
                      <w:tab w:val="left" w:pos="338"/>
                    </w:tabs>
                    <w:jc w:val="center"/>
                    <w:rPr>
                      <w:rFonts w:eastAsiaTheme="minorHAnsi" w:cs="Arial"/>
                      <w:szCs w:val="22"/>
                    </w:rPr>
                  </w:pPr>
                  <w:r w:rsidRPr="005B56D3">
                    <w:rPr>
                      <w:rFonts w:eastAsiaTheme="minorHAnsi" w:cs="Arial"/>
                      <w:szCs w:val="22"/>
                    </w:rPr>
                    <w:t>Four vial options which include:</w:t>
                  </w:r>
                </w:p>
                <w:p w14:paraId="6D38FD1F" w14:textId="77777777" w:rsidR="00CD75FC" w:rsidRPr="005B56D3" w:rsidRDefault="00CD75FC" w:rsidP="00CD75FC">
                  <w:pPr>
                    <w:tabs>
                      <w:tab w:val="left" w:pos="338"/>
                    </w:tabs>
                    <w:jc w:val="center"/>
                    <w:rPr>
                      <w:rFonts w:eastAsiaTheme="minorHAnsi" w:cs="Arial"/>
                      <w:szCs w:val="22"/>
                    </w:rPr>
                  </w:pPr>
                  <w:r w:rsidRPr="005B56D3">
                    <w:rPr>
                      <w:rFonts w:eastAsiaTheme="minorHAnsi" w:cs="Arial"/>
                      <w:szCs w:val="22"/>
                    </w:rPr>
                    <w:t>(Lot 1-3) 250 &amp; 500 IU vials</w:t>
                  </w:r>
                </w:p>
                <w:p w14:paraId="3E5378E3" w14:textId="77777777" w:rsidR="00D92FFD" w:rsidRPr="005B56D3" w:rsidRDefault="00CD75FC" w:rsidP="00CD75FC">
                  <w:pPr>
                    <w:tabs>
                      <w:tab w:val="left" w:pos="338"/>
                    </w:tabs>
                    <w:jc w:val="center"/>
                    <w:rPr>
                      <w:rFonts w:eastAsiaTheme="minorHAnsi" w:cs="Arial"/>
                      <w:szCs w:val="22"/>
                    </w:rPr>
                  </w:pPr>
                  <w:r w:rsidRPr="005B56D3">
                    <w:rPr>
                      <w:rFonts w:eastAsiaTheme="minorHAnsi" w:cs="Arial"/>
                      <w:szCs w:val="22"/>
                    </w:rPr>
                    <w:t>(Lot 4) 30 &amp; 60mg vial</w:t>
                  </w:r>
                </w:p>
              </w:tc>
              <w:tc>
                <w:tcPr>
                  <w:tcW w:w="851" w:type="dxa"/>
                </w:tcPr>
                <w:p w14:paraId="2351623A" w14:textId="77777777" w:rsidR="00CE1303" w:rsidRPr="005B56D3" w:rsidRDefault="00CE1303" w:rsidP="00CE1303">
                  <w:pPr>
                    <w:jc w:val="center"/>
                    <w:rPr>
                      <w:rFonts w:eastAsiaTheme="minorHAnsi" w:cs="Arial"/>
                      <w:b/>
                      <w:bCs/>
                      <w:szCs w:val="22"/>
                    </w:rPr>
                  </w:pPr>
                  <w:r w:rsidRPr="005B56D3">
                    <w:rPr>
                      <w:rFonts w:eastAsiaTheme="minorHAnsi" w:cs="Arial"/>
                      <w:b/>
                      <w:bCs/>
                      <w:szCs w:val="22"/>
                    </w:rPr>
                    <w:t>7</w:t>
                  </w:r>
                </w:p>
              </w:tc>
            </w:tr>
            <w:tr w:rsidR="00CE1303" w14:paraId="22EA8D21" w14:textId="77777777" w:rsidTr="00D92FFD">
              <w:tc>
                <w:tcPr>
                  <w:tcW w:w="4311" w:type="dxa"/>
                </w:tcPr>
                <w:p w14:paraId="0D9D2B6C" w14:textId="77777777" w:rsidR="00CD75FC" w:rsidRPr="005B56D3" w:rsidRDefault="00CD75FC" w:rsidP="00CD75FC">
                  <w:pPr>
                    <w:jc w:val="center"/>
                    <w:rPr>
                      <w:rFonts w:cs="Arial"/>
                    </w:rPr>
                  </w:pPr>
                  <w:r w:rsidRPr="005B56D3">
                    <w:rPr>
                      <w:rFonts w:cs="Arial"/>
                    </w:rPr>
                    <w:t>Four vial options which include:</w:t>
                  </w:r>
                </w:p>
                <w:p w14:paraId="619784C8" w14:textId="77777777" w:rsidR="00CD75FC" w:rsidRPr="005B56D3" w:rsidRDefault="00CD75FC" w:rsidP="00CD75FC">
                  <w:pPr>
                    <w:jc w:val="center"/>
                    <w:rPr>
                      <w:rFonts w:cs="Arial"/>
                    </w:rPr>
                  </w:pPr>
                  <w:r w:rsidRPr="005B56D3">
                    <w:rPr>
                      <w:rFonts w:cs="Arial"/>
                    </w:rPr>
                    <w:t>(Lot 1-3) either a 250 or 500 IU vial</w:t>
                  </w:r>
                </w:p>
                <w:p w14:paraId="0CCDCF7D" w14:textId="77777777" w:rsidR="00CD75FC" w:rsidRPr="005B56D3" w:rsidRDefault="00CD75FC" w:rsidP="00CD75FC">
                  <w:pPr>
                    <w:jc w:val="center"/>
                    <w:rPr>
                      <w:rFonts w:cs="Arial"/>
                    </w:rPr>
                  </w:pPr>
                  <w:r w:rsidRPr="005B56D3">
                    <w:rPr>
                      <w:rFonts w:cs="Arial"/>
                    </w:rPr>
                    <w:t>(Lot 4) either a 30 or 60mg vial</w:t>
                  </w:r>
                </w:p>
                <w:p w14:paraId="4E9DB84A" w14:textId="77777777" w:rsidR="00CD75FC" w:rsidRPr="005B56D3" w:rsidRDefault="00CD75FC" w:rsidP="00CD75FC">
                  <w:pPr>
                    <w:jc w:val="center"/>
                    <w:rPr>
                      <w:rFonts w:cs="Arial"/>
                      <w:b/>
                    </w:rPr>
                  </w:pPr>
                  <w:r w:rsidRPr="005B56D3">
                    <w:rPr>
                      <w:rFonts w:cs="Arial"/>
                      <w:b/>
                    </w:rPr>
                    <w:t>OR</w:t>
                  </w:r>
                </w:p>
                <w:p w14:paraId="13B3CC79" w14:textId="77777777" w:rsidR="00CD75FC" w:rsidRPr="005B56D3" w:rsidRDefault="00CD75FC" w:rsidP="00CD75FC">
                  <w:pPr>
                    <w:jc w:val="center"/>
                    <w:rPr>
                      <w:rFonts w:cs="Arial"/>
                    </w:rPr>
                  </w:pPr>
                  <w:r w:rsidRPr="005B56D3">
                    <w:rPr>
                      <w:rFonts w:cs="Arial"/>
                    </w:rPr>
                    <w:t>Three vial options which include:</w:t>
                  </w:r>
                </w:p>
                <w:p w14:paraId="73B7EC69" w14:textId="77777777" w:rsidR="00CD75FC" w:rsidRPr="005B56D3" w:rsidRDefault="00CD75FC" w:rsidP="00CD75FC">
                  <w:pPr>
                    <w:jc w:val="center"/>
                    <w:rPr>
                      <w:rFonts w:cs="Arial"/>
                    </w:rPr>
                  </w:pPr>
                  <w:r w:rsidRPr="005B56D3">
                    <w:rPr>
                      <w:rFonts w:cs="Arial"/>
                    </w:rPr>
                    <w:t>(Lot 1-3) 250 &amp; 500 IU vials</w:t>
                  </w:r>
                </w:p>
                <w:p w14:paraId="71F569A8" w14:textId="77777777" w:rsidR="00D92FFD" w:rsidRPr="005B56D3" w:rsidRDefault="00CD75FC" w:rsidP="00CD75FC">
                  <w:pPr>
                    <w:jc w:val="center"/>
                    <w:rPr>
                      <w:rFonts w:cs="Arial"/>
                    </w:rPr>
                  </w:pPr>
                  <w:r w:rsidRPr="005B56D3">
                    <w:rPr>
                      <w:rFonts w:cs="Arial"/>
                    </w:rPr>
                    <w:t>(Lot 4) 30 &amp; 60mg vials</w:t>
                  </w:r>
                </w:p>
              </w:tc>
              <w:tc>
                <w:tcPr>
                  <w:tcW w:w="851" w:type="dxa"/>
                </w:tcPr>
                <w:p w14:paraId="6EE3596D" w14:textId="77777777" w:rsidR="00CE1303" w:rsidRPr="005B56D3" w:rsidRDefault="00CE1303" w:rsidP="00CE1303">
                  <w:pPr>
                    <w:jc w:val="center"/>
                    <w:rPr>
                      <w:rFonts w:cs="Arial"/>
                      <w:b/>
                      <w:bCs/>
                    </w:rPr>
                  </w:pPr>
                  <w:r w:rsidRPr="005B56D3">
                    <w:rPr>
                      <w:rFonts w:cs="Arial"/>
                      <w:b/>
                      <w:bCs/>
                    </w:rPr>
                    <w:t>6</w:t>
                  </w:r>
                </w:p>
              </w:tc>
            </w:tr>
            <w:tr w:rsidR="00CE1303" w14:paraId="31333E26" w14:textId="77777777" w:rsidTr="00D92FFD">
              <w:tc>
                <w:tcPr>
                  <w:tcW w:w="4311" w:type="dxa"/>
                </w:tcPr>
                <w:p w14:paraId="1B34FF6F" w14:textId="77777777" w:rsidR="00CD75FC" w:rsidRPr="005B56D3" w:rsidRDefault="00CD75FC" w:rsidP="00CD75FC">
                  <w:pPr>
                    <w:jc w:val="center"/>
                    <w:rPr>
                      <w:rFonts w:cs="Arial"/>
                    </w:rPr>
                  </w:pPr>
                  <w:r w:rsidRPr="005B56D3">
                    <w:rPr>
                      <w:rFonts w:cs="Arial"/>
                    </w:rPr>
                    <w:t xml:space="preserve">Four vial options </w:t>
                  </w:r>
                  <w:r w:rsidRPr="005B56D3">
                    <w:rPr>
                      <w:rFonts w:cs="Arial"/>
                      <w:u w:val="single"/>
                    </w:rPr>
                    <w:t>not</w:t>
                  </w:r>
                  <w:r w:rsidRPr="005B56D3">
                    <w:rPr>
                      <w:rFonts w:cs="Arial"/>
                    </w:rPr>
                    <w:t xml:space="preserve"> including:</w:t>
                  </w:r>
                </w:p>
                <w:p w14:paraId="5B3813FF" w14:textId="77777777" w:rsidR="00CD75FC" w:rsidRPr="005B56D3" w:rsidRDefault="00CD75FC" w:rsidP="00CD75FC">
                  <w:pPr>
                    <w:jc w:val="center"/>
                    <w:rPr>
                      <w:rFonts w:cs="Arial"/>
                    </w:rPr>
                  </w:pPr>
                  <w:r w:rsidRPr="005B56D3">
                    <w:rPr>
                      <w:rFonts w:cs="Arial"/>
                    </w:rPr>
                    <w:lastRenderedPageBreak/>
                    <w:t>(Lot 1-3) 250 or 500 IU vials or</w:t>
                  </w:r>
                </w:p>
                <w:p w14:paraId="11641334" w14:textId="77777777" w:rsidR="00CD75FC" w:rsidRPr="005B56D3" w:rsidRDefault="00CD75FC" w:rsidP="00CD75FC">
                  <w:pPr>
                    <w:jc w:val="center"/>
                    <w:rPr>
                      <w:rFonts w:cs="Arial"/>
                    </w:rPr>
                  </w:pPr>
                  <w:r w:rsidRPr="005B56D3">
                    <w:rPr>
                      <w:rFonts w:cs="Arial"/>
                    </w:rPr>
                    <w:t>(Lot 4) 30 or 60mg vials</w:t>
                  </w:r>
                </w:p>
                <w:p w14:paraId="47416524" w14:textId="77777777" w:rsidR="00CD75FC" w:rsidRPr="005B56D3" w:rsidRDefault="00CD75FC" w:rsidP="00CD75FC">
                  <w:pPr>
                    <w:jc w:val="center"/>
                    <w:rPr>
                      <w:rFonts w:cs="Arial"/>
                      <w:b/>
                    </w:rPr>
                  </w:pPr>
                  <w:r w:rsidRPr="005B56D3">
                    <w:rPr>
                      <w:rFonts w:cs="Arial"/>
                      <w:b/>
                    </w:rPr>
                    <w:t>OR</w:t>
                  </w:r>
                </w:p>
                <w:p w14:paraId="32D1F936" w14:textId="77777777" w:rsidR="00CD75FC" w:rsidRPr="005B56D3" w:rsidRDefault="00CD75FC" w:rsidP="00CD75FC">
                  <w:pPr>
                    <w:jc w:val="center"/>
                    <w:rPr>
                      <w:rFonts w:cs="Arial"/>
                    </w:rPr>
                  </w:pPr>
                  <w:r w:rsidRPr="005B56D3">
                    <w:rPr>
                      <w:rFonts w:cs="Arial"/>
                    </w:rPr>
                    <w:t>Three vial options which include:</w:t>
                  </w:r>
                </w:p>
                <w:p w14:paraId="3C524C02" w14:textId="77777777" w:rsidR="00CD75FC" w:rsidRPr="005B56D3" w:rsidRDefault="00CD75FC" w:rsidP="00CD75FC">
                  <w:pPr>
                    <w:jc w:val="center"/>
                    <w:rPr>
                      <w:rFonts w:cs="Arial"/>
                    </w:rPr>
                  </w:pPr>
                  <w:r w:rsidRPr="005B56D3">
                    <w:rPr>
                      <w:rFonts w:cs="Arial"/>
                    </w:rPr>
                    <w:t>(Lot 1-3) either a 250 or 500 IU vial</w:t>
                  </w:r>
                </w:p>
                <w:p w14:paraId="3C3AB5D4" w14:textId="77777777" w:rsidR="00CD75FC" w:rsidRPr="005B56D3" w:rsidRDefault="00CD75FC" w:rsidP="00CD75FC">
                  <w:pPr>
                    <w:jc w:val="center"/>
                    <w:rPr>
                      <w:rFonts w:cs="Arial"/>
                    </w:rPr>
                  </w:pPr>
                  <w:r w:rsidRPr="005B56D3">
                    <w:rPr>
                      <w:rFonts w:cs="Arial"/>
                    </w:rPr>
                    <w:t>(Lot 4) either a 30 or 60mg vial</w:t>
                  </w:r>
                </w:p>
                <w:p w14:paraId="335E5C56" w14:textId="77777777" w:rsidR="00CD75FC" w:rsidRPr="005B56D3" w:rsidRDefault="00CD75FC" w:rsidP="00CD75FC">
                  <w:pPr>
                    <w:jc w:val="center"/>
                    <w:rPr>
                      <w:rFonts w:cs="Arial"/>
                      <w:b/>
                    </w:rPr>
                  </w:pPr>
                  <w:r w:rsidRPr="005B56D3">
                    <w:rPr>
                      <w:rFonts w:cs="Arial"/>
                      <w:b/>
                    </w:rPr>
                    <w:t>OR</w:t>
                  </w:r>
                </w:p>
                <w:p w14:paraId="46090C4F" w14:textId="77777777" w:rsidR="00CD75FC" w:rsidRPr="005B56D3" w:rsidRDefault="00CD75FC" w:rsidP="00CD75FC">
                  <w:pPr>
                    <w:jc w:val="center"/>
                    <w:rPr>
                      <w:rFonts w:cs="Arial"/>
                    </w:rPr>
                  </w:pPr>
                  <w:r w:rsidRPr="005B56D3">
                    <w:rPr>
                      <w:rFonts w:cs="Arial"/>
                    </w:rPr>
                    <w:t>Two vial options which include:</w:t>
                  </w:r>
                </w:p>
                <w:p w14:paraId="642A0DF6" w14:textId="77777777" w:rsidR="00CD75FC" w:rsidRPr="005B56D3" w:rsidRDefault="00CD75FC" w:rsidP="00CD75FC">
                  <w:pPr>
                    <w:jc w:val="center"/>
                    <w:rPr>
                      <w:rFonts w:cs="Arial"/>
                    </w:rPr>
                  </w:pPr>
                  <w:r w:rsidRPr="005B56D3">
                    <w:rPr>
                      <w:rFonts w:cs="Arial"/>
                    </w:rPr>
                    <w:t>(Lot 1-3) 250 &amp; 500 IU vials</w:t>
                  </w:r>
                </w:p>
                <w:p w14:paraId="3C667959" w14:textId="77777777" w:rsidR="00D92FFD" w:rsidRPr="005B56D3" w:rsidRDefault="00CD75FC" w:rsidP="00CD75FC">
                  <w:pPr>
                    <w:jc w:val="center"/>
                    <w:rPr>
                      <w:rFonts w:cs="Arial"/>
                    </w:rPr>
                  </w:pPr>
                  <w:r w:rsidRPr="005B56D3">
                    <w:rPr>
                      <w:rFonts w:cs="Arial"/>
                    </w:rPr>
                    <w:t>(Lot 4) 30 &amp; 60mg vials</w:t>
                  </w:r>
                </w:p>
              </w:tc>
              <w:tc>
                <w:tcPr>
                  <w:tcW w:w="851" w:type="dxa"/>
                </w:tcPr>
                <w:p w14:paraId="424A2326" w14:textId="77777777" w:rsidR="00CE1303" w:rsidRPr="005B56D3" w:rsidRDefault="00CE1303" w:rsidP="00CE1303">
                  <w:pPr>
                    <w:jc w:val="center"/>
                    <w:rPr>
                      <w:rFonts w:cs="Arial"/>
                      <w:b/>
                      <w:bCs/>
                    </w:rPr>
                  </w:pPr>
                  <w:r w:rsidRPr="005B56D3">
                    <w:rPr>
                      <w:rFonts w:cs="Arial"/>
                      <w:b/>
                      <w:bCs/>
                    </w:rPr>
                    <w:lastRenderedPageBreak/>
                    <w:t>5</w:t>
                  </w:r>
                </w:p>
              </w:tc>
            </w:tr>
            <w:tr w:rsidR="00CE1303" w14:paraId="58A38B1F" w14:textId="77777777" w:rsidTr="00D92FFD">
              <w:tc>
                <w:tcPr>
                  <w:tcW w:w="4311" w:type="dxa"/>
                </w:tcPr>
                <w:p w14:paraId="15E40D60" w14:textId="77777777" w:rsidR="00CD75FC" w:rsidRPr="005B56D3" w:rsidRDefault="00CD75FC" w:rsidP="00CD75FC">
                  <w:pPr>
                    <w:jc w:val="center"/>
                    <w:rPr>
                      <w:rFonts w:cs="Arial"/>
                    </w:rPr>
                  </w:pPr>
                  <w:r w:rsidRPr="005B56D3">
                    <w:rPr>
                      <w:rFonts w:cs="Arial"/>
                    </w:rPr>
                    <w:t xml:space="preserve">Three vial options </w:t>
                  </w:r>
                  <w:r w:rsidRPr="005B56D3">
                    <w:rPr>
                      <w:rFonts w:cs="Arial"/>
                      <w:u w:val="single"/>
                    </w:rPr>
                    <w:t xml:space="preserve">not </w:t>
                  </w:r>
                  <w:r w:rsidRPr="005B56D3">
                    <w:rPr>
                      <w:rFonts w:cs="Arial"/>
                    </w:rPr>
                    <w:t>including:</w:t>
                  </w:r>
                </w:p>
                <w:p w14:paraId="68E1DFFC" w14:textId="77777777" w:rsidR="00CD75FC" w:rsidRPr="005B56D3" w:rsidRDefault="00CD75FC" w:rsidP="00CD75FC">
                  <w:pPr>
                    <w:jc w:val="center"/>
                    <w:rPr>
                      <w:rFonts w:cs="Arial"/>
                    </w:rPr>
                  </w:pPr>
                  <w:r w:rsidRPr="005B56D3">
                    <w:rPr>
                      <w:rFonts w:cs="Arial"/>
                    </w:rPr>
                    <w:t>(Lot 1-3) 250 or 500 IU vials</w:t>
                  </w:r>
                </w:p>
                <w:p w14:paraId="3C5AA4A8" w14:textId="77777777" w:rsidR="00CD75FC" w:rsidRPr="005B56D3" w:rsidRDefault="00CD75FC" w:rsidP="00CD75FC">
                  <w:pPr>
                    <w:jc w:val="center"/>
                    <w:rPr>
                      <w:rFonts w:cs="Arial"/>
                    </w:rPr>
                  </w:pPr>
                  <w:r w:rsidRPr="005B56D3">
                    <w:rPr>
                      <w:rFonts w:cs="Arial"/>
                    </w:rPr>
                    <w:t>(Lot 4) 30 or 60mg vials</w:t>
                  </w:r>
                </w:p>
                <w:p w14:paraId="7C6BA043" w14:textId="77777777" w:rsidR="00CD75FC" w:rsidRPr="005B56D3" w:rsidRDefault="00CD75FC" w:rsidP="00CD75FC">
                  <w:pPr>
                    <w:jc w:val="center"/>
                    <w:rPr>
                      <w:rFonts w:cs="Arial"/>
                      <w:b/>
                    </w:rPr>
                  </w:pPr>
                  <w:r w:rsidRPr="005B56D3">
                    <w:rPr>
                      <w:rFonts w:cs="Arial"/>
                      <w:b/>
                    </w:rPr>
                    <w:t>OR</w:t>
                  </w:r>
                </w:p>
                <w:p w14:paraId="47F0255F" w14:textId="77777777" w:rsidR="00CD75FC" w:rsidRPr="005B56D3" w:rsidRDefault="00CD75FC" w:rsidP="00CD75FC">
                  <w:pPr>
                    <w:jc w:val="center"/>
                    <w:rPr>
                      <w:rFonts w:cs="Arial"/>
                    </w:rPr>
                  </w:pPr>
                  <w:r w:rsidRPr="005B56D3">
                    <w:rPr>
                      <w:rFonts w:cs="Arial"/>
                    </w:rPr>
                    <w:t>Two vial options which include:</w:t>
                  </w:r>
                </w:p>
                <w:p w14:paraId="62D6913D" w14:textId="77777777" w:rsidR="00CD75FC" w:rsidRPr="005B56D3" w:rsidRDefault="00CD75FC" w:rsidP="00CD75FC">
                  <w:pPr>
                    <w:jc w:val="center"/>
                    <w:rPr>
                      <w:rFonts w:cs="Arial"/>
                    </w:rPr>
                  </w:pPr>
                  <w:r w:rsidRPr="005B56D3">
                    <w:rPr>
                      <w:rFonts w:cs="Arial"/>
                    </w:rPr>
                    <w:t>(Lot 1-3) either a 250 or 500 IU vial</w:t>
                  </w:r>
                </w:p>
                <w:p w14:paraId="5C8EC84B" w14:textId="77777777" w:rsidR="00D92FFD" w:rsidRPr="005B56D3" w:rsidRDefault="00CD75FC" w:rsidP="00CD75FC">
                  <w:pPr>
                    <w:jc w:val="center"/>
                    <w:rPr>
                      <w:rFonts w:cs="Arial"/>
                    </w:rPr>
                  </w:pPr>
                  <w:r w:rsidRPr="005B56D3">
                    <w:rPr>
                      <w:rFonts w:cs="Arial"/>
                    </w:rPr>
                    <w:t>(Lot 4) either a 30 or 60mg vial</w:t>
                  </w:r>
                </w:p>
              </w:tc>
              <w:tc>
                <w:tcPr>
                  <w:tcW w:w="851" w:type="dxa"/>
                </w:tcPr>
                <w:p w14:paraId="6CA6DE1A" w14:textId="77777777" w:rsidR="00CE1303" w:rsidRPr="005B56D3" w:rsidRDefault="00CE1303" w:rsidP="00CE1303">
                  <w:pPr>
                    <w:jc w:val="center"/>
                    <w:rPr>
                      <w:rFonts w:cs="Arial"/>
                      <w:b/>
                      <w:bCs/>
                    </w:rPr>
                  </w:pPr>
                  <w:r w:rsidRPr="005B56D3">
                    <w:rPr>
                      <w:rFonts w:cs="Arial"/>
                      <w:b/>
                      <w:bCs/>
                    </w:rPr>
                    <w:t>4</w:t>
                  </w:r>
                </w:p>
              </w:tc>
            </w:tr>
            <w:tr w:rsidR="00CE1303" w14:paraId="4BCFCDAE" w14:textId="77777777" w:rsidTr="00D92FFD">
              <w:tc>
                <w:tcPr>
                  <w:tcW w:w="4311" w:type="dxa"/>
                </w:tcPr>
                <w:p w14:paraId="151D11E2" w14:textId="77777777" w:rsidR="00CD75FC" w:rsidRPr="005B56D3" w:rsidRDefault="00CD75FC" w:rsidP="00CD75FC">
                  <w:pPr>
                    <w:jc w:val="center"/>
                    <w:rPr>
                      <w:rFonts w:cs="Arial"/>
                    </w:rPr>
                  </w:pPr>
                  <w:r w:rsidRPr="005B56D3">
                    <w:rPr>
                      <w:rFonts w:cs="Arial"/>
                    </w:rPr>
                    <w:t xml:space="preserve">Two vial options </w:t>
                  </w:r>
                  <w:r w:rsidRPr="005B56D3">
                    <w:rPr>
                      <w:rFonts w:cs="Arial"/>
                      <w:u w:val="single"/>
                    </w:rPr>
                    <w:t>not</w:t>
                  </w:r>
                  <w:r w:rsidRPr="005B56D3">
                    <w:rPr>
                      <w:rFonts w:cs="Arial"/>
                    </w:rPr>
                    <w:t xml:space="preserve"> including:</w:t>
                  </w:r>
                </w:p>
                <w:p w14:paraId="1743DAFA" w14:textId="77777777" w:rsidR="00CD75FC" w:rsidRPr="005B56D3" w:rsidRDefault="00CD75FC" w:rsidP="00CD75FC">
                  <w:pPr>
                    <w:jc w:val="center"/>
                    <w:rPr>
                      <w:rFonts w:cs="Arial"/>
                    </w:rPr>
                  </w:pPr>
                  <w:r w:rsidRPr="005B56D3">
                    <w:rPr>
                      <w:rFonts w:cs="Arial"/>
                    </w:rPr>
                    <w:t>(Lot 1-3) 250 or 500 IU vials</w:t>
                  </w:r>
                </w:p>
                <w:p w14:paraId="2134746D" w14:textId="77777777" w:rsidR="00CD75FC" w:rsidRPr="005B56D3" w:rsidRDefault="00CD75FC" w:rsidP="00CD75FC">
                  <w:pPr>
                    <w:jc w:val="center"/>
                    <w:rPr>
                      <w:rFonts w:cs="Arial"/>
                    </w:rPr>
                  </w:pPr>
                  <w:r w:rsidRPr="005B56D3">
                    <w:rPr>
                      <w:rFonts w:cs="Arial"/>
                    </w:rPr>
                    <w:t>(Lot 4) 30 or 60mg vials</w:t>
                  </w:r>
                </w:p>
                <w:p w14:paraId="746337A3" w14:textId="77777777" w:rsidR="00CD75FC" w:rsidRPr="005B56D3" w:rsidRDefault="00CD75FC" w:rsidP="00CD75FC">
                  <w:pPr>
                    <w:jc w:val="center"/>
                    <w:rPr>
                      <w:rFonts w:cs="Arial"/>
                      <w:b/>
                    </w:rPr>
                  </w:pPr>
                  <w:r w:rsidRPr="005B56D3">
                    <w:rPr>
                      <w:rFonts w:cs="Arial"/>
                      <w:b/>
                    </w:rPr>
                    <w:t>OR</w:t>
                  </w:r>
                </w:p>
                <w:p w14:paraId="1D5A5157" w14:textId="77777777" w:rsidR="00CD75FC" w:rsidRPr="005B56D3" w:rsidRDefault="00CD75FC" w:rsidP="00CD75FC">
                  <w:pPr>
                    <w:jc w:val="center"/>
                    <w:rPr>
                      <w:rFonts w:cs="Arial"/>
                    </w:rPr>
                  </w:pPr>
                  <w:r w:rsidRPr="005B56D3">
                    <w:rPr>
                      <w:rFonts w:cs="Arial"/>
                    </w:rPr>
                    <w:t>One vial option which includes:</w:t>
                  </w:r>
                </w:p>
                <w:p w14:paraId="2CEF4A74" w14:textId="77777777" w:rsidR="00CD75FC" w:rsidRPr="005B56D3" w:rsidRDefault="00CD75FC" w:rsidP="00CD75FC">
                  <w:pPr>
                    <w:jc w:val="center"/>
                    <w:rPr>
                      <w:rFonts w:cs="Arial"/>
                    </w:rPr>
                  </w:pPr>
                  <w:r w:rsidRPr="005B56D3">
                    <w:rPr>
                      <w:rFonts w:cs="Arial"/>
                    </w:rPr>
                    <w:t>(Lot1-3) either a 250 or 500 IU vial</w:t>
                  </w:r>
                </w:p>
                <w:p w14:paraId="7308016E" w14:textId="77777777" w:rsidR="00D92FFD" w:rsidRPr="005B56D3" w:rsidRDefault="00CD75FC" w:rsidP="00CD75FC">
                  <w:pPr>
                    <w:jc w:val="center"/>
                    <w:rPr>
                      <w:rFonts w:cs="Arial"/>
                    </w:rPr>
                  </w:pPr>
                  <w:r w:rsidRPr="005B56D3">
                    <w:rPr>
                      <w:rFonts w:cs="Arial"/>
                    </w:rPr>
                    <w:t>(Lot 4) either a 30 or 60mg vial</w:t>
                  </w:r>
                </w:p>
              </w:tc>
              <w:tc>
                <w:tcPr>
                  <w:tcW w:w="851" w:type="dxa"/>
                </w:tcPr>
                <w:p w14:paraId="152BC922" w14:textId="77777777" w:rsidR="00CE1303" w:rsidRPr="005B56D3" w:rsidRDefault="00CE1303" w:rsidP="00CE1303">
                  <w:pPr>
                    <w:jc w:val="center"/>
                    <w:rPr>
                      <w:rFonts w:cs="Arial"/>
                      <w:b/>
                      <w:bCs/>
                    </w:rPr>
                  </w:pPr>
                  <w:r w:rsidRPr="005B56D3">
                    <w:rPr>
                      <w:rFonts w:cs="Arial"/>
                      <w:b/>
                      <w:bCs/>
                    </w:rPr>
                    <w:t>3</w:t>
                  </w:r>
                </w:p>
              </w:tc>
            </w:tr>
            <w:tr w:rsidR="00CE1303" w14:paraId="7BB36916" w14:textId="77777777" w:rsidTr="00D92FFD">
              <w:tc>
                <w:tcPr>
                  <w:tcW w:w="4311" w:type="dxa"/>
                </w:tcPr>
                <w:p w14:paraId="7E126C1E" w14:textId="77777777" w:rsidR="00CD75FC" w:rsidRPr="005B56D3" w:rsidRDefault="00CD75FC" w:rsidP="00CD75FC">
                  <w:pPr>
                    <w:jc w:val="center"/>
                    <w:rPr>
                      <w:rFonts w:cs="Arial"/>
                    </w:rPr>
                  </w:pPr>
                  <w:r w:rsidRPr="005B56D3">
                    <w:rPr>
                      <w:rFonts w:cs="Arial"/>
                    </w:rPr>
                    <w:t xml:space="preserve">One vial option </w:t>
                  </w:r>
                  <w:r w:rsidRPr="005B56D3">
                    <w:rPr>
                      <w:rFonts w:cs="Arial"/>
                      <w:u w:val="single"/>
                    </w:rPr>
                    <w:t>not</w:t>
                  </w:r>
                  <w:r w:rsidRPr="005B56D3">
                    <w:rPr>
                      <w:rFonts w:cs="Arial"/>
                    </w:rPr>
                    <w:t xml:space="preserve"> including:</w:t>
                  </w:r>
                </w:p>
                <w:p w14:paraId="23CAA7EC" w14:textId="77777777" w:rsidR="00CD75FC" w:rsidRPr="005B56D3" w:rsidRDefault="00CD75FC" w:rsidP="00CD75FC">
                  <w:pPr>
                    <w:jc w:val="center"/>
                    <w:rPr>
                      <w:rFonts w:cs="Arial"/>
                    </w:rPr>
                  </w:pPr>
                  <w:r w:rsidRPr="005B56D3">
                    <w:rPr>
                      <w:rFonts w:cs="Arial"/>
                    </w:rPr>
                    <w:t>(Lot 1-3) 250 or 500 IU vial</w:t>
                  </w:r>
                </w:p>
                <w:p w14:paraId="3098C74D" w14:textId="77777777" w:rsidR="00D92FFD" w:rsidRPr="005B56D3" w:rsidRDefault="00CD75FC" w:rsidP="00CD75FC">
                  <w:pPr>
                    <w:jc w:val="center"/>
                    <w:rPr>
                      <w:rFonts w:cs="Arial"/>
                    </w:rPr>
                  </w:pPr>
                  <w:r w:rsidRPr="005B56D3">
                    <w:rPr>
                      <w:rFonts w:cs="Arial"/>
                    </w:rPr>
                    <w:t>(Lot 4) 30 or 60mg vials</w:t>
                  </w:r>
                </w:p>
              </w:tc>
              <w:tc>
                <w:tcPr>
                  <w:tcW w:w="851" w:type="dxa"/>
                </w:tcPr>
                <w:p w14:paraId="7022A225" w14:textId="77777777" w:rsidR="00CE1303" w:rsidRPr="005B56D3" w:rsidRDefault="00CE1303" w:rsidP="00CE1303">
                  <w:pPr>
                    <w:jc w:val="center"/>
                    <w:rPr>
                      <w:rFonts w:cs="Arial"/>
                      <w:b/>
                      <w:bCs/>
                    </w:rPr>
                  </w:pPr>
                  <w:r w:rsidRPr="005B56D3">
                    <w:rPr>
                      <w:rFonts w:cs="Arial"/>
                      <w:b/>
                      <w:bCs/>
                    </w:rPr>
                    <w:t>2</w:t>
                  </w:r>
                </w:p>
              </w:tc>
            </w:tr>
          </w:tbl>
          <w:p w14:paraId="2CD376BE" w14:textId="77777777" w:rsidR="00CE1303" w:rsidRDefault="00CE1303" w:rsidP="002C0578">
            <w:pPr>
              <w:jc w:val="left"/>
            </w:pPr>
          </w:p>
          <w:p w14:paraId="477F1357" w14:textId="77777777" w:rsidR="00185F39" w:rsidRDefault="00185F39" w:rsidP="002C0578">
            <w:pPr>
              <w:jc w:val="left"/>
            </w:pPr>
          </w:p>
          <w:p w14:paraId="7115D2E9" w14:textId="77777777" w:rsidR="009F792B" w:rsidRDefault="009F792B" w:rsidP="009F792B">
            <w:pPr>
              <w:jc w:val="left"/>
            </w:pPr>
          </w:p>
        </w:tc>
        <w:tc>
          <w:tcPr>
            <w:tcW w:w="1337" w:type="dxa"/>
            <w:vAlign w:val="center"/>
          </w:tcPr>
          <w:p w14:paraId="6D491A78" w14:textId="77777777" w:rsidR="006D6760" w:rsidRPr="00BE416A" w:rsidRDefault="002147E2" w:rsidP="00BE416A">
            <w:pPr>
              <w:jc w:val="center"/>
              <w:rPr>
                <w:b/>
              </w:rPr>
            </w:pPr>
            <w:r>
              <w:rPr>
                <w:b/>
              </w:rPr>
              <w:lastRenderedPageBreak/>
              <w:t>1</w:t>
            </w:r>
            <w:r w:rsidR="006D6760">
              <w:rPr>
                <w:b/>
              </w:rPr>
              <w:t>5</w:t>
            </w:r>
            <w:r w:rsidR="006D6760" w:rsidRPr="00BE416A">
              <w:rPr>
                <w:b/>
              </w:rPr>
              <w:t>%</w:t>
            </w:r>
          </w:p>
        </w:tc>
      </w:tr>
    </w:tbl>
    <w:p w14:paraId="3A6B86B0" w14:textId="77777777" w:rsidR="00922C19" w:rsidRPr="004932CC" w:rsidRDefault="004E7876" w:rsidP="00922C19">
      <w:pPr>
        <w:pStyle w:val="Heading1"/>
        <w:keepNext/>
        <w:keepLines/>
        <w:spacing w:after="120"/>
        <w:contextualSpacing w:val="0"/>
      </w:pPr>
      <w:r w:rsidRPr="004932CC">
        <w:lastRenderedPageBreak/>
        <w:t>Eligibility</w:t>
      </w:r>
    </w:p>
    <w:p w14:paraId="4A1ACE3A" w14:textId="25B4AC20" w:rsidR="003243CB" w:rsidRPr="009A35C2" w:rsidRDefault="003243CB" w:rsidP="009A35C2">
      <w:r>
        <w:t>All the</w:t>
      </w:r>
      <w:r w:rsidR="00E034B5">
        <w:t xml:space="preserve"> points listed within section 4 of this document </w:t>
      </w:r>
      <w:r>
        <w:t>are mandatory requirements</w:t>
      </w:r>
      <w:r w:rsidR="002D06BB">
        <w:t>. Any tender failing to meet any one or more of these requirements will be disqualified.</w:t>
      </w:r>
    </w:p>
    <w:p w14:paraId="01665B12" w14:textId="77777777" w:rsidR="00847381" w:rsidRPr="009A35C2" w:rsidRDefault="00847381" w:rsidP="00847381">
      <w:pPr>
        <w:pStyle w:val="Heading2"/>
        <w:rPr>
          <w:b/>
        </w:rPr>
      </w:pPr>
      <w:r w:rsidRPr="009A35C2">
        <w:rPr>
          <w:b/>
        </w:rPr>
        <w:t>Technical Merit/Safety</w:t>
      </w:r>
    </w:p>
    <w:p w14:paraId="4EC06667" w14:textId="77777777" w:rsidR="00C7198F" w:rsidRDefault="00847381" w:rsidP="008F5BA0">
      <w:pPr>
        <w:pStyle w:val="Heading3"/>
      </w:pPr>
      <w:r>
        <w:t xml:space="preserve">All products must have a valid UK Marketing Authorisation awarded by the MHRA or EMA applicable to all categories of products offered at the </w:t>
      </w:r>
      <w:r w:rsidR="00C7198F">
        <w:t xml:space="preserve">award date of the framework which is </w:t>
      </w:r>
      <w:r w:rsidR="00121E21">
        <w:t xml:space="preserve">anticipated to be </w:t>
      </w:r>
      <w:r w:rsidR="00003858">
        <w:t>1</w:t>
      </w:r>
      <w:r w:rsidR="00410FB1">
        <w:t xml:space="preserve"> </w:t>
      </w:r>
      <w:r w:rsidR="00953BB7">
        <w:t>June</w:t>
      </w:r>
      <w:r w:rsidR="00410FB1">
        <w:t xml:space="preserve"> 2020</w:t>
      </w:r>
      <w:r w:rsidR="00003858">
        <w:t>.</w:t>
      </w:r>
      <w:r>
        <w:t xml:space="preserve"> </w:t>
      </w:r>
    </w:p>
    <w:p w14:paraId="46256558" w14:textId="4BEFBF50" w:rsidR="00847381" w:rsidRDefault="00C7198F" w:rsidP="008F5BA0">
      <w:pPr>
        <w:pStyle w:val="Heading3"/>
      </w:pPr>
      <w:r>
        <w:t xml:space="preserve">Offerors must have </w:t>
      </w:r>
      <w:r w:rsidR="00847381">
        <w:t xml:space="preserve">product </w:t>
      </w:r>
      <w:r>
        <w:t xml:space="preserve">available </w:t>
      </w:r>
      <w:r w:rsidR="00847381">
        <w:t>for delivery</w:t>
      </w:r>
      <w:r>
        <w:t xml:space="preserve"> to </w:t>
      </w:r>
      <w:r w:rsidR="002D06BB">
        <w:t xml:space="preserve">Participating Authorities </w:t>
      </w:r>
      <w:r>
        <w:t xml:space="preserve">at the framework go-live date which is </w:t>
      </w:r>
      <w:r w:rsidR="004932CC">
        <w:t>1</w:t>
      </w:r>
      <w:r w:rsidR="00410FB1">
        <w:t xml:space="preserve"> July 2020</w:t>
      </w:r>
      <w:r w:rsidR="00847381">
        <w:t>.</w:t>
      </w:r>
    </w:p>
    <w:p w14:paraId="23ADC3CD" w14:textId="77777777" w:rsidR="00847381" w:rsidRPr="00FE33AE" w:rsidRDefault="009A35C2" w:rsidP="009A35C2">
      <w:pPr>
        <w:pStyle w:val="Heading2"/>
        <w:rPr>
          <w:b/>
        </w:rPr>
      </w:pPr>
      <w:r w:rsidRPr="00FE33AE">
        <w:rPr>
          <w:b/>
        </w:rPr>
        <w:t>Terms and Conditions</w:t>
      </w:r>
    </w:p>
    <w:p w14:paraId="5C3D595A" w14:textId="589F2721" w:rsidR="009A35C2" w:rsidRDefault="009A35C2" w:rsidP="008F5BA0">
      <w:pPr>
        <w:pStyle w:val="Heading3"/>
      </w:pPr>
      <w:r>
        <w:t>Full acceptance of the CMU terms and conditions</w:t>
      </w:r>
      <w:r w:rsidR="002D06BB">
        <w:t xml:space="preserve"> must be confirmed by signing Document</w:t>
      </w:r>
      <w:r w:rsidR="00FE33AE">
        <w:t xml:space="preserve"> No. 03 – Framework Agreement and Terms and Conditions. </w:t>
      </w:r>
      <w:r>
        <w:t>No legal or commercial alterations or substitutions can be proposed.</w:t>
      </w:r>
    </w:p>
    <w:p w14:paraId="3899AF48" w14:textId="77777777" w:rsidR="00847381" w:rsidRPr="009A35C2" w:rsidRDefault="009A35C2" w:rsidP="009A35C2">
      <w:pPr>
        <w:pStyle w:val="Heading2"/>
        <w:rPr>
          <w:b/>
        </w:rPr>
      </w:pPr>
      <w:r w:rsidRPr="009A35C2">
        <w:rPr>
          <w:b/>
        </w:rPr>
        <w:t>Service Levels</w:t>
      </w:r>
    </w:p>
    <w:p w14:paraId="7AE631F9" w14:textId="77777777" w:rsidR="00BB71CB" w:rsidRDefault="00BB71CB" w:rsidP="005B56D3">
      <w:pPr>
        <w:pStyle w:val="Heading3"/>
        <w:numPr>
          <w:ilvl w:val="0"/>
          <w:numId w:val="0"/>
        </w:numPr>
        <w:ind w:left="576"/>
      </w:pPr>
      <w:r>
        <w:lastRenderedPageBreak/>
        <w:t>The following service levels will become legally-binding obligations if the Offeror becomes a supplier under the framework agreement.</w:t>
      </w:r>
    </w:p>
    <w:p w14:paraId="6C180EF9" w14:textId="0A4B79B3" w:rsidR="00847381" w:rsidRPr="000A0B01" w:rsidRDefault="002D06BB" w:rsidP="008F5BA0">
      <w:pPr>
        <w:pStyle w:val="Heading3"/>
      </w:pPr>
      <w:r>
        <w:t xml:space="preserve">The Offeror must commit to </w:t>
      </w:r>
      <w:r w:rsidRPr="00847381">
        <w:t>maintain a level of</w:t>
      </w:r>
      <w:r w:rsidRPr="007C29F5">
        <w:t xml:space="preserve"> stock holding enough to </w:t>
      </w:r>
      <w:r w:rsidRPr="000A0B01">
        <w:t xml:space="preserve">meet </w:t>
      </w:r>
      <w:r w:rsidRPr="008415E6">
        <w:t>12 weeks’</w:t>
      </w:r>
      <w:r w:rsidRPr="000A0B01">
        <w:t xml:space="preserve"> anticipated demand</w:t>
      </w:r>
      <w:r>
        <w:t xml:space="preserve"> w</w:t>
      </w:r>
      <w:r w:rsidR="00922C19" w:rsidRPr="00847381">
        <w:t>ith effect from the comm</w:t>
      </w:r>
      <w:r w:rsidR="00C204F0">
        <w:t>encement of the framework</w:t>
      </w:r>
      <w:r w:rsidR="00BB71CB">
        <w:t>.</w:t>
      </w:r>
      <w:r w:rsidR="000E15AB">
        <w:t xml:space="preserve"> </w:t>
      </w:r>
      <w:r w:rsidR="00887345">
        <w:t xml:space="preserve">The stock holding figure will be calculated using </w:t>
      </w:r>
      <w:r w:rsidR="004932CC">
        <w:t xml:space="preserve">indicative </w:t>
      </w:r>
      <w:r w:rsidR="00887345">
        <w:t xml:space="preserve">annual volumes </w:t>
      </w:r>
      <w:r w:rsidR="004932CC">
        <w:t>obtained from treatment centres</w:t>
      </w:r>
      <w:r w:rsidR="00887345">
        <w:t>. The CMU will monitor monthly volumes and adjust the required stock holding figure in line with actual volumes. Any amend</w:t>
      </w:r>
      <w:r>
        <w:t>ment</w:t>
      </w:r>
      <w:r w:rsidR="00887345">
        <w:t>s will be done on a quarterly basis</w:t>
      </w:r>
      <w:r>
        <w:t>.</w:t>
      </w:r>
      <w:r w:rsidR="00887345">
        <w:t xml:space="preserve"> in conjunction with the supplier</w:t>
      </w:r>
      <w:r>
        <w:t xml:space="preserve"> and in accordance with the terms of the framework agreement</w:t>
      </w:r>
      <w:r w:rsidR="00887345">
        <w:t>.</w:t>
      </w:r>
    </w:p>
    <w:p w14:paraId="7203477D" w14:textId="4527E994" w:rsidR="00202582" w:rsidRPr="00271D34" w:rsidRDefault="002D06BB" w:rsidP="008F5BA0">
      <w:pPr>
        <w:pStyle w:val="Heading3"/>
      </w:pPr>
      <w:r>
        <w:t xml:space="preserve">The Offeror must commit to supply products with a shelf life of not less than 12 months. </w:t>
      </w:r>
      <w:r w:rsidR="00922C19" w:rsidRPr="00D750FB">
        <w:t xml:space="preserve">Where any </w:t>
      </w:r>
      <w:r w:rsidR="00922C19">
        <w:t>product</w:t>
      </w:r>
      <w:r w:rsidR="00922C19" w:rsidRPr="00D750FB">
        <w:t>s are supplied under th</w:t>
      </w:r>
      <w:r w:rsidR="00922C19">
        <w:t>is framework</w:t>
      </w:r>
      <w:r>
        <w:t>,</w:t>
      </w:r>
      <w:r w:rsidR="00922C19" w:rsidRPr="00D750FB">
        <w:t xml:space="preserve"> the </w:t>
      </w:r>
      <w:r w:rsidR="00953BB7" w:rsidRPr="00D750FB">
        <w:t>period</w:t>
      </w:r>
      <w:r w:rsidR="00922C19" w:rsidRPr="00D750FB">
        <w:t xml:space="preserve"> between the date of supply of these goods to </w:t>
      </w:r>
      <w:r w:rsidR="00922C19">
        <w:t>the Participating Authority</w:t>
      </w:r>
      <w:r w:rsidR="00922C19" w:rsidRPr="00D750FB">
        <w:t xml:space="preserve"> and the expiry date shown on </w:t>
      </w:r>
      <w:r w:rsidR="00922C19" w:rsidRPr="00C30EBA">
        <w:t xml:space="preserve">the </w:t>
      </w:r>
      <w:r w:rsidR="00922C19" w:rsidRPr="000A0B01">
        <w:t xml:space="preserve">goods ("shelf life") </w:t>
      </w:r>
      <w:r>
        <w:t>must</w:t>
      </w:r>
      <w:r w:rsidR="00922C19" w:rsidRPr="000A0B01">
        <w:t xml:space="preserve"> not</w:t>
      </w:r>
      <w:r>
        <w:t xml:space="preserve"> be</w:t>
      </w:r>
      <w:r w:rsidR="00922C19" w:rsidRPr="000A0B01">
        <w:t xml:space="preserve"> less than 12 months.</w:t>
      </w:r>
      <w:r w:rsidR="00922C19" w:rsidRPr="00C30EBA">
        <w:t xml:space="preserve"> </w:t>
      </w:r>
      <w:r w:rsidR="00202582">
        <w:t xml:space="preserve">Supply of any product with a shelf life </w:t>
      </w:r>
      <w:r>
        <w:t xml:space="preserve">of </w:t>
      </w:r>
      <w:r w:rsidR="00202582">
        <w:t xml:space="preserve">less than 12 months must be agreed </w:t>
      </w:r>
      <w:r w:rsidR="00202582" w:rsidRPr="00271D34">
        <w:t>with the Participating Authority prior to delivery.</w:t>
      </w:r>
      <w:r w:rsidR="00202582" w:rsidRPr="00202582">
        <w:t xml:space="preserve"> </w:t>
      </w:r>
      <w:r w:rsidR="00C204F0">
        <w:t>In the event that the s</w:t>
      </w:r>
      <w:r w:rsidR="00202582" w:rsidRPr="00271D34">
        <w:t xml:space="preserve">upplier supplies product with a shelf life of less than 12 months (or such other period as </w:t>
      </w:r>
      <w:r>
        <w:t xml:space="preserve">agreed with </w:t>
      </w:r>
      <w:r w:rsidR="00202582" w:rsidRPr="00271D34">
        <w:t xml:space="preserve">the Participating Authority), the Supplier </w:t>
      </w:r>
      <w:r>
        <w:t>must</w:t>
      </w:r>
      <w:r w:rsidR="00202582" w:rsidRPr="00271D34">
        <w:t>, upon request by the Participating Authority and at no cost to the Participating Authority, replace any product the Participating Authority is unable to use within the product</w:t>
      </w:r>
      <w:r w:rsidR="00202582">
        <w:t>’</w:t>
      </w:r>
      <w:r w:rsidR="00202582" w:rsidRPr="00271D34">
        <w:t>s remaining shelf life period</w:t>
      </w:r>
      <w:r w:rsidR="00C758FA">
        <w:t xml:space="preserve">. Any </w:t>
      </w:r>
      <w:r w:rsidR="00202582" w:rsidRPr="00271D34">
        <w:t>replacement product must have a shelf life greater than 12 months</w:t>
      </w:r>
      <w:r w:rsidR="00C2079D">
        <w:t xml:space="preserve"> unless otherwise agreed with the Participating Authority prior to delivery</w:t>
      </w:r>
      <w:r w:rsidR="00202582" w:rsidRPr="00271D34">
        <w:t xml:space="preserve">. </w:t>
      </w:r>
      <w:r>
        <w:t xml:space="preserve">Failure to comply with the shelf life service level or any of the other obligations outlined above may lead to </w:t>
      </w:r>
      <w:r w:rsidR="00202582" w:rsidRPr="00271D34">
        <w:t>CMU terminat</w:t>
      </w:r>
      <w:r w:rsidR="00BB71CB">
        <w:t>ing</w:t>
      </w:r>
      <w:r w:rsidR="00202582" w:rsidRPr="00271D34">
        <w:t xml:space="preserve"> th</w:t>
      </w:r>
      <w:r>
        <w:t>e</w:t>
      </w:r>
      <w:r w:rsidR="00202582" w:rsidRPr="00271D34">
        <w:t xml:space="preserve"> framework agreement with </w:t>
      </w:r>
      <w:r w:rsidR="00BB71CB">
        <w:t>the relevant supplier, in accordance with the terms of the framework agreement</w:t>
      </w:r>
      <w:r w:rsidR="00202582" w:rsidRPr="00271D34">
        <w:t>.</w:t>
      </w:r>
    </w:p>
    <w:p w14:paraId="02DA68F2" w14:textId="65BF8524" w:rsidR="00202582" w:rsidRDefault="00BB71CB" w:rsidP="008F5BA0">
      <w:pPr>
        <w:pStyle w:val="Heading3"/>
      </w:pPr>
      <w:r>
        <w:t xml:space="preserve">The Offeror must commit to </w:t>
      </w:r>
      <w:r w:rsidR="00202582" w:rsidRPr="00D750FB">
        <w:t>en</w:t>
      </w:r>
      <w:r w:rsidR="00202582" w:rsidRPr="0044047C">
        <w:t>suring security of delivery</w:t>
      </w:r>
      <w:r w:rsidR="00202582" w:rsidRPr="00D750FB">
        <w:t xml:space="preserve"> to the appropriate delivery point.</w:t>
      </w:r>
      <w:r>
        <w:t xml:space="preserve"> </w:t>
      </w:r>
    </w:p>
    <w:p w14:paraId="0FF8BA00" w14:textId="4C81284A" w:rsidR="00202582" w:rsidRDefault="00BB71CB" w:rsidP="008F5BA0">
      <w:pPr>
        <w:pStyle w:val="Heading3"/>
      </w:pPr>
      <w:r>
        <w:t>The Offeror must not propose (and no supplier may impose) any</w:t>
      </w:r>
      <w:r w:rsidR="00202582" w:rsidRPr="00D750FB">
        <w:t xml:space="preserve"> delivery charges for standard deliveries within this </w:t>
      </w:r>
      <w:r w:rsidR="00202582">
        <w:t xml:space="preserve">framework </w:t>
      </w:r>
      <w:r w:rsidR="00202582" w:rsidRPr="00D750FB">
        <w:t>agreement</w:t>
      </w:r>
      <w:r w:rsidR="00202582">
        <w:t>.</w:t>
      </w:r>
    </w:p>
    <w:p w14:paraId="54043A50" w14:textId="6E8229EA" w:rsidR="00922C19" w:rsidRPr="00C30EBA" w:rsidRDefault="00C204F0" w:rsidP="008F5BA0">
      <w:pPr>
        <w:pStyle w:val="Heading3"/>
      </w:pPr>
      <w:r>
        <w:t xml:space="preserve">The </w:t>
      </w:r>
      <w:r w:rsidR="00BB71CB">
        <w:t xml:space="preserve">Offeror must commit to </w:t>
      </w:r>
      <w:r w:rsidR="00202582">
        <w:t>notify CMU</w:t>
      </w:r>
      <w:r w:rsidR="00202582" w:rsidRPr="00D750FB">
        <w:t xml:space="preserve"> of any di</w:t>
      </w:r>
      <w:r w:rsidR="00202582">
        <w:t xml:space="preserve">sruptions to supply and of the </w:t>
      </w:r>
      <w:r w:rsidR="00202582" w:rsidRPr="00D750FB">
        <w:t>contingency arrangements being employed to mitigate and resolve the supply restriction</w:t>
      </w:r>
      <w:r w:rsidR="00202582">
        <w:t xml:space="preserve">. Notification must be given by </w:t>
      </w:r>
      <w:r w:rsidR="00202582" w:rsidRPr="00D750FB">
        <w:t>contacting the Specialised Pharmaceuticals team by email</w:t>
      </w:r>
      <w:r w:rsidR="00202582">
        <w:t xml:space="preserve"> – </w:t>
      </w:r>
      <w:hyperlink r:id="rId9" w:history="1">
        <w:r w:rsidR="00410FB1" w:rsidRPr="009C6252">
          <w:rPr>
            <w:rStyle w:val="Hyperlink"/>
          </w:rPr>
          <w:t>specialisedpharma@cmu.nhs.uk</w:t>
        </w:r>
      </w:hyperlink>
      <w:r w:rsidR="004932CC" w:rsidRPr="004932CC">
        <w:t xml:space="preserve"> </w:t>
      </w:r>
      <w:r w:rsidR="004932CC" w:rsidRPr="00064952">
        <w:rPr>
          <w:b/>
        </w:rPr>
        <w:t>and</w:t>
      </w:r>
      <w:r w:rsidR="004932CC" w:rsidRPr="004932CC">
        <w:t xml:space="preserve"> the</w:t>
      </w:r>
      <w:r w:rsidR="004932CC">
        <w:t xml:space="preserve"> relevant CMU Contract Manager.</w:t>
      </w:r>
    </w:p>
    <w:p w14:paraId="413DF544" w14:textId="5B23D711" w:rsidR="00922C19" w:rsidRPr="009A35C2" w:rsidRDefault="00BB71CB" w:rsidP="008F5BA0">
      <w:pPr>
        <w:pStyle w:val="Heading3"/>
      </w:pPr>
      <w:r>
        <w:t xml:space="preserve">The Offeror must commit to </w:t>
      </w:r>
      <w:r w:rsidR="00922C19" w:rsidRPr="009A35C2">
        <w:t>deliver to third party homecare suppliers on current and any future national framework agreements for the home delivery of products</w:t>
      </w:r>
      <w:r w:rsidR="000D4DF8" w:rsidRPr="009A35C2">
        <w:t xml:space="preserve"> covered in this framework</w:t>
      </w:r>
      <w:r w:rsidR="00922C19" w:rsidRPr="009A35C2">
        <w:t>.</w:t>
      </w:r>
      <w:r w:rsidR="00BD4900" w:rsidRPr="009A35C2">
        <w:t xml:space="preserve"> Any orders placed by third party homecare suppliers as of 1</w:t>
      </w:r>
      <w:r w:rsidR="00410FB1">
        <w:t xml:space="preserve"> July 2020</w:t>
      </w:r>
      <w:r w:rsidR="00DC46F8">
        <w:t xml:space="preserve"> </w:t>
      </w:r>
      <w:r w:rsidR="00BD4900" w:rsidRPr="009A35C2">
        <w:t xml:space="preserve">will be subject to the </w:t>
      </w:r>
      <w:r w:rsidR="00521E43">
        <w:t xml:space="preserve">framework awarded </w:t>
      </w:r>
      <w:r w:rsidR="00BD4900" w:rsidRPr="009A35C2">
        <w:t>prices.</w:t>
      </w:r>
    </w:p>
    <w:p w14:paraId="00F70241" w14:textId="77777777" w:rsidR="00847381" w:rsidRPr="00005466" w:rsidRDefault="00847381" w:rsidP="00847381">
      <w:pPr>
        <w:pStyle w:val="Heading1"/>
      </w:pPr>
      <w:r w:rsidRPr="00005466">
        <w:t>Contract Pricing</w:t>
      </w:r>
    </w:p>
    <w:p w14:paraId="1F1E3535" w14:textId="6D025D37" w:rsidR="00847381" w:rsidRPr="00BE1ABF" w:rsidRDefault="00847381" w:rsidP="00847381">
      <w:pPr>
        <w:pStyle w:val="Heading2"/>
      </w:pPr>
      <w:r w:rsidRPr="00005466">
        <w:t xml:space="preserve">Offerors are required to submit prices in </w:t>
      </w:r>
      <w:r w:rsidR="007073AE" w:rsidRPr="00AF3AA5">
        <w:t>Document No. 05</w:t>
      </w:r>
      <w:r w:rsidR="00DB3440" w:rsidRPr="00AF3AA5">
        <w:t>a</w:t>
      </w:r>
      <w:r w:rsidR="007D144D" w:rsidRPr="00AF3AA5">
        <w:t xml:space="preserve"> </w:t>
      </w:r>
      <w:r w:rsidR="005413BB" w:rsidRPr="00AF3AA5">
        <w:t>–</w:t>
      </w:r>
      <w:r w:rsidR="005E76D3" w:rsidRPr="00AF3AA5">
        <w:t xml:space="preserve"> </w:t>
      </w:r>
      <w:r w:rsidR="005413BB" w:rsidRPr="00AF3AA5">
        <w:t>Haemophilia A</w:t>
      </w:r>
      <w:r w:rsidRPr="00AF3AA5">
        <w:t xml:space="preserve"> </w:t>
      </w:r>
      <w:r w:rsidR="000A0B01" w:rsidRPr="00AF3AA5">
        <w:t xml:space="preserve">- </w:t>
      </w:r>
      <w:r w:rsidR="00F14F54" w:rsidRPr="00AF3AA5">
        <w:t xml:space="preserve">Offer Schedule </w:t>
      </w:r>
      <w:r w:rsidR="00005466" w:rsidRPr="00AF3AA5">
        <w:t xml:space="preserve">- </w:t>
      </w:r>
      <w:r w:rsidR="007D144D" w:rsidRPr="00AF3AA5">
        <w:t>Product Information</w:t>
      </w:r>
      <w:r w:rsidRPr="00AF3AA5">
        <w:t xml:space="preserve">; these prices will be fixed for the framework length of </w:t>
      </w:r>
      <w:r w:rsidR="00A1198B" w:rsidRPr="00AF3AA5">
        <w:t>2</w:t>
      </w:r>
      <w:r w:rsidR="00064952" w:rsidRPr="00AF3AA5">
        <w:t>4</w:t>
      </w:r>
      <w:r w:rsidRPr="00AF3AA5">
        <w:t xml:space="preserve"> months</w:t>
      </w:r>
      <w:r w:rsidR="00945368" w:rsidRPr="00AF3AA5">
        <w:t xml:space="preserve"> unless stated otherwise</w:t>
      </w:r>
      <w:r w:rsidR="00BB71CB" w:rsidRPr="00AF3AA5">
        <w:t>.</w:t>
      </w:r>
      <w:r w:rsidRPr="00AF3AA5">
        <w:t xml:space="preserve"> </w:t>
      </w:r>
      <w:r w:rsidR="00BB71CB" w:rsidRPr="00AF3AA5">
        <w:t>I</w:t>
      </w:r>
      <w:r w:rsidRPr="00AF3AA5">
        <w:t>f the framework</w:t>
      </w:r>
      <w:r w:rsidRPr="00C758FA">
        <w:t xml:space="preserve"> is extended</w:t>
      </w:r>
      <w:r w:rsidR="00BB71CB">
        <w:t>,</w:t>
      </w:r>
      <w:r w:rsidRPr="00C758FA">
        <w:t xml:space="preserve"> then prices </w:t>
      </w:r>
      <w:r w:rsidR="005E2C24" w:rsidRPr="00C758FA">
        <w:t>may be</w:t>
      </w:r>
      <w:r w:rsidRPr="00C758FA">
        <w:t xml:space="preserve"> </w:t>
      </w:r>
      <w:r w:rsidRPr="00BE1ABF">
        <w:lastRenderedPageBreak/>
        <w:t>reviewed at this point. Any price reviews will be made in</w:t>
      </w:r>
      <w:r w:rsidR="00BB71CB" w:rsidRPr="00BE1ABF">
        <w:t xml:space="preserve"> </w:t>
      </w:r>
      <w:r w:rsidRPr="00BE1ABF">
        <w:t xml:space="preserve">line with the Framework Agreement Price Variation Clause which can be found in Document </w:t>
      </w:r>
      <w:r w:rsidR="002A220B" w:rsidRPr="00BE1ABF">
        <w:t>No. 0</w:t>
      </w:r>
      <w:r w:rsidR="006B56CB" w:rsidRPr="00BE1ABF">
        <w:t>3</w:t>
      </w:r>
      <w:r w:rsidRPr="00BE1ABF">
        <w:t xml:space="preserve"> – </w:t>
      </w:r>
      <w:r w:rsidR="006B56CB" w:rsidRPr="00BE1ABF">
        <w:t xml:space="preserve">Framework Agreement </w:t>
      </w:r>
      <w:r w:rsidR="00C758FA" w:rsidRPr="00BE1ABF">
        <w:t xml:space="preserve">and Terms and Conditions, </w:t>
      </w:r>
      <w:r w:rsidR="006B56CB" w:rsidRPr="00BE1ABF">
        <w:t>Schedule 1 (section 11)</w:t>
      </w:r>
      <w:r w:rsidRPr="00BE1ABF">
        <w:t>.</w:t>
      </w:r>
      <w:r w:rsidR="005E2C24" w:rsidRPr="00BE1ABF">
        <w:t xml:space="preserve">  </w:t>
      </w:r>
    </w:p>
    <w:p w14:paraId="64EBF191" w14:textId="77777777" w:rsidR="00847381" w:rsidRPr="00005466" w:rsidRDefault="00847381" w:rsidP="00847381">
      <w:pPr>
        <w:pStyle w:val="Heading2"/>
      </w:pPr>
      <w:r w:rsidRPr="00005466">
        <w:t>Prices submitted must be exclusive of VAT.</w:t>
      </w:r>
    </w:p>
    <w:p w14:paraId="4A9F3FAC" w14:textId="77777777" w:rsidR="00804C0B" w:rsidRDefault="00804C0B" w:rsidP="00804C0B">
      <w:pPr>
        <w:pStyle w:val="Heading1"/>
        <w:keepNext/>
        <w:keepLines/>
        <w:spacing w:after="120"/>
        <w:contextualSpacing w:val="0"/>
      </w:pPr>
      <w:r>
        <w:t>General Requirements – Products, Packaging and Stock Holding</w:t>
      </w:r>
    </w:p>
    <w:p w14:paraId="5A5A9288" w14:textId="77777777" w:rsidR="00804C0B" w:rsidRPr="00A5488A" w:rsidRDefault="00804C0B" w:rsidP="00804C0B">
      <w:pPr>
        <w:pStyle w:val="Heading2"/>
        <w:keepNext/>
        <w:keepLines/>
        <w:spacing w:before="320" w:after="120"/>
      </w:pPr>
      <w:r w:rsidRPr="0003643E">
        <w:t xml:space="preserve">Offerors </w:t>
      </w:r>
      <w:r w:rsidRPr="00005466">
        <w:t xml:space="preserve">are required to provide details of their contingency arrangements with their offer i.e. details of any business continuity accreditation or procedure e.g. ISO 22301 in </w:t>
      </w:r>
      <w:r w:rsidRPr="00AF3AA5">
        <w:t>Document No. 05a</w:t>
      </w:r>
      <w:r w:rsidR="004932CC" w:rsidRPr="00AF3AA5">
        <w:t xml:space="preserve"> </w:t>
      </w:r>
      <w:r w:rsidR="005413BB" w:rsidRPr="00AF3AA5">
        <w:t>–</w:t>
      </w:r>
      <w:r w:rsidR="004932CC" w:rsidRPr="00AF3AA5">
        <w:t xml:space="preserve"> </w:t>
      </w:r>
      <w:r w:rsidR="005413BB" w:rsidRPr="00AF3AA5">
        <w:t>Haemophilia A</w:t>
      </w:r>
      <w:r w:rsidRPr="00AF3AA5">
        <w:t xml:space="preserve"> - Offer Schedule </w:t>
      </w:r>
      <w:r w:rsidR="00005466" w:rsidRPr="00AF3AA5">
        <w:t xml:space="preserve">- </w:t>
      </w:r>
      <w:r w:rsidRPr="00AF3AA5">
        <w:t>Additional Information.</w:t>
      </w:r>
      <w:r w:rsidRPr="00A5488A">
        <w:t xml:space="preserve"> </w:t>
      </w:r>
    </w:p>
    <w:p w14:paraId="5FB45E92" w14:textId="77777777" w:rsidR="00804C0B" w:rsidRPr="00AF3AA5" w:rsidRDefault="00804C0B" w:rsidP="00804C0B">
      <w:pPr>
        <w:pStyle w:val="Heading2"/>
        <w:keepNext/>
        <w:keepLines/>
        <w:spacing w:before="320" w:after="120"/>
      </w:pPr>
      <w:r w:rsidRPr="00A5488A">
        <w:t xml:space="preserve">“Stock holding” </w:t>
      </w:r>
      <w:r w:rsidR="00064952">
        <w:t>refers to</w:t>
      </w:r>
      <w:r w:rsidRPr="00A5488A">
        <w:t xml:space="preserve"> product held in the UK and available for despatch</w:t>
      </w:r>
      <w:r w:rsidRPr="0003643E">
        <w:t xml:space="preserve"> within 24 hours, to meet fluctuation in </w:t>
      </w:r>
      <w:r w:rsidRPr="008A0CA0">
        <w:t>demand</w:t>
      </w:r>
      <w:r w:rsidR="00064952">
        <w:t>,</w:t>
      </w:r>
      <w:r w:rsidRPr="008A0CA0">
        <w:t xml:space="preserve"> stocks held elsewhere may be used providing delivery is made in line with the stated delivery lead-time given </w:t>
      </w:r>
      <w:r w:rsidRPr="00AF3AA5">
        <w:t xml:space="preserve">in Doc No. 5a </w:t>
      </w:r>
      <w:r w:rsidR="005413BB" w:rsidRPr="00AF3AA5">
        <w:t>–</w:t>
      </w:r>
      <w:r w:rsidRPr="00AF3AA5">
        <w:t xml:space="preserve"> </w:t>
      </w:r>
      <w:r w:rsidR="005413BB" w:rsidRPr="00AF3AA5">
        <w:t xml:space="preserve">Haemophilia A </w:t>
      </w:r>
      <w:r w:rsidRPr="00AF3AA5">
        <w:t xml:space="preserve">- Offer Schedule </w:t>
      </w:r>
      <w:r w:rsidR="008A0CA0" w:rsidRPr="00AF3AA5">
        <w:t xml:space="preserve">- </w:t>
      </w:r>
      <w:r w:rsidRPr="00AF3AA5">
        <w:t>Additional Information.</w:t>
      </w:r>
    </w:p>
    <w:p w14:paraId="259CE7D9" w14:textId="77777777" w:rsidR="00BB71CB" w:rsidRDefault="00BB71CB" w:rsidP="00804C0B">
      <w:pPr>
        <w:pStyle w:val="Heading2"/>
        <w:keepNext/>
        <w:keepLines/>
        <w:spacing w:before="320" w:after="120"/>
      </w:pPr>
      <w:r>
        <w:t xml:space="preserve">If awarded a place as a supplier on the framework, the Offeror must meet the following </w:t>
      </w:r>
      <w:r w:rsidR="0078482C">
        <w:t xml:space="preserve">stockholding </w:t>
      </w:r>
      <w:r>
        <w:t xml:space="preserve">obligations under the framework agreement - </w:t>
      </w:r>
    </w:p>
    <w:p w14:paraId="0F773D63" w14:textId="77777777" w:rsidR="00804C0B" w:rsidRPr="0003643E" w:rsidRDefault="00804C0B" w:rsidP="001B2556">
      <w:pPr>
        <w:pStyle w:val="Heading3"/>
      </w:pPr>
      <w:r>
        <w:t xml:space="preserve">The </w:t>
      </w:r>
      <w:r w:rsidRPr="001B2556">
        <w:t>supplier</w:t>
      </w:r>
      <w:r>
        <w:t xml:space="preserve"> must notify CMU within 24 hours if the stock </w:t>
      </w:r>
      <w:r w:rsidRPr="00D750FB">
        <w:t xml:space="preserve">holding drops below </w:t>
      </w:r>
      <w:r w:rsidRPr="0003643E">
        <w:t>12 weeks’ average sales.</w:t>
      </w:r>
    </w:p>
    <w:p w14:paraId="6C7AB25D" w14:textId="77777777" w:rsidR="00804C0B" w:rsidRPr="0057315D" w:rsidRDefault="00804C0B" w:rsidP="001B2556">
      <w:pPr>
        <w:pStyle w:val="Heading3"/>
      </w:pPr>
      <w:r>
        <w:t>The s</w:t>
      </w:r>
      <w:r w:rsidRPr="00D750FB">
        <w:t xml:space="preserve">upplier </w:t>
      </w:r>
      <w:r>
        <w:t>must</w:t>
      </w:r>
      <w:r w:rsidRPr="00D750FB">
        <w:t xml:space="preserve"> notify </w:t>
      </w:r>
      <w:r>
        <w:t>CMU</w:t>
      </w:r>
      <w:r w:rsidRPr="00D750FB">
        <w:t xml:space="preserve"> </w:t>
      </w:r>
      <w:r>
        <w:t xml:space="preserve">within </w:t>
      </w:r>
      <w:r w:rsidRPr="0057315D">
        <w:t xml:space="preserve">4 hours if the stock holding drops below eight weeks average sales.  </w:t>
      </w:r>
    </w:p>
    <w:p w14:paraId="3A198ADA" w14:textId="77777777" w:rsidR="00804C0B" w:rsidRPr="0003643E" w:rsidRDefault="00804C0B" w:rsidP="001B2556">
      <w:pPr>
        <w:pStyle w:val="Heading3"/>
        <w:rPr>
          <w:rStyle w:val="Hyperlink"/>
          <w:color w:val="auto"/>
        </w:rPr>
      </w:pPr>
      <w:r>
        <w:t>The s</w:t>
      </w:r>
      <w:r w:rsidRPr="0057315D">
        <w:t xml:space="preserve">upplier must notify CMU of any stock holding issues by contacting </w:t>
      </w:r>
      <w:r>
        <w:t xml:space="preserve">the </w:t>
      </w:r>
      <w:r w:rsidRPr="0003643E">
        <w:t>Specialise</w:t>
      </w:r>
      <w:r>
        <w:t>d Pharmaceuticals team by emailing</w:t>
      </w:r>
      <w:r w:rsidRPr="0003643E">
        <w:t xml:space="preserve"> </w:t>
      </w:r>
      <w:hyperlink r:id="rId10" w:history="1">
        <w:r w:rsidR="005413BB" w:rsidRPr="009C6252">
          <w:rPr>
            <w:rStyle w:val="Hyperlink"/>
          </w:rPr>
          <w:t>specialisedpharma@cmu.nhs.uk</w:t>
        </w:r>
      </w:hyperlink>
      <w:r w:rsidR="004932CC" w:rsidRPr="004932CC">
        <w:rPr>
          <w:rStyle w:val="Hyperlink"/>
          <w:color w:val="0070C0"/>
          <w:u w:val="none"/>
        </w:rPr>
        <w:t xml:space="preserve"> </w:t>
      </w:r>
      <w:r w:rsidR="004932CC" w:rsidRPr="00064952">
        <w:rPr>
          <w:b/>
        </w:rPr>
        <w:t xml:space="preserve">and </w:t>
      </w:r>
      <w:r w:rsidR="004932CC" w:rsidRPr="0057315D">
        <w:t xml:space="preserve">the </w:t>
      </w:r>
      <w:r w:rsidR="004932CC">
        <w:t>CMU Contract Manager responsible for this framework.</w:t>
      </w:r>
    </w:p>
    <w:p w14:paraId="00F0AAC9" w14:textId="5A8A3B05" w:rsidR="0057315D" w:rsidRPr="0003643E" w:rsidRDefault="0057315D" w:rsidP="001B2556">
      <w:pPr>
        <w:pStyle w:val="Heading3"/>
      </w:pPr>
      <w:r w:rsidRPr="0003643E">
        <w:t>If stock levels fall below the required minimum level</w:t>
      </w:r>
      <w:r w:rsidR="00351A9A">
        <w:t>,</w:t>
      </w:r>
      <w:r w:rsidRPr="0003643E">
        <w:t xml:space="preserve"> </w:t>
      </w:r>
      <w:r w:rsidR="00BB71CB">
        <w:t xml:space="preserve">the </w:t>
      </w:r>
      <w:r w:rsidRPr="0003643E">
        <w:t xml:space="preserve">supplier </w:t>
      </w:r>
      <w:r w:rsidR="00BB71CB">
        <w:t>must</w:t>
      </w:r>
      <w:r w:rsidRPr="0003643E">
        <w:t xml:space="preserve"> </w:t>
      </w:r>
      <w:proofErr w:type="gramStart"/>
      <w:r w:rsidR="00406368" w:rsidRPr="0003643E">
        <w:t>take action</w:t>
      </w:r>
      <w:proofErr w:type="gramEnd"/>
      <w:r w:rsidR="00406368" w:rsidRPr="0003643E">
        <w:t xml:space="preserve"> to rectify t</w:t>
      </w:r>
      <w:r w:rsidRPr="0003643E">
        <w:t xml:space="preserve">he </w:t>
      </w:r>
      <w:r w:rsidR="00C02DF2" w:rsidRPr="0003643E">
        <w:t>issue</w:t>
      </w:r>
      <w:r w:rsidR="00BB71CB">
        <w:t>.</w:t>
      </w:r>
      <w:r w:rsidR="00406368" w:rsidRPr="0003643E">
        <w:t xml:space="preserve"> </w:t>
      </w:r>
      <w:r w:rsidR="00BB71CB">
        <w:t>F</w:t>
      </w:r>
      <w:r w:rsidR="00406368" w:rsidRPr="0003643E">
        <w:t xml:space="preserve">ailure to do so </w:t>
      </w:r>
      <w:r w:rsidR="0003643E" w:rsidRPr="0003643E">
        <w:t>may</w:t>
      </w:r>
      <w:r w:rsidR="00406368" w:rsidRPr="0003643E">
        <w:t xml:space="preserve"> lead to termination of the framework</w:t>
      </w:r>
      <w:r w:rsidR="00491258">
        <w:t xml:space="preserve"> agreement with the supplier</w:t>
      </w:r>
      <w:r w:rsidRPr="0003643E">
        <w:t>.</w:t>
      </w:r>
    </w:p>
    <w:p w14:paraId="2BD48F7A" w14:textId="77777777" w:rsidR="00922C19" w:rsidRPr="00822FC3" w:rsidRDefault="00C204F0" w:rsidP="001B2556">
      <w:pPr>
        <w:pStyle w:val="Heading3"/>
      </w:pPr>
      <w:r>
        <w:t>Where a s</w:t>
      </w:r>
      <w:r w:rsidR="00922C19" w:rsidRPr="00D750FB">
        <w:t xml:space="preserve">upplier is unable to meet the delivery requirements of locally agreed contractual arrangements, the supplier shall be liable for any incurred or additional costs incurred by the customer resulting from the requirement to source </w:t>
      </w:r>
      <w:r w:rsidR="007C1ED0">
        <w:t xml:space="preserve">a </w:t>
      </w:r>
      <w:r w:rsidR="00922C19" w:rsidRPr="00D750FB">
        <w:t>suitable product from an alternative supplier.</w:t>
      </w:r>
    </w:p>
    <w:p w14:paraId="1491067A" w14:textId="77777777" w:rsidR="00922C19" w:rsidRPr="0057315D" w:rsidRDefault="00C204F0" w:rsidP="001B2556">
      <w:pPr>
        <w:pStyle w:val="Heading3"/>
      </w:pPr>
      <w:r>
        <w:t>The s</w:t>
      </w:r>
      <w:r w:rsidR="00922C19" w:rsidRPr="0057315D">
        <w:t>upplier shall on request by CMU provide without delay certificates of analysis (including, without limitation, certificates confirming B.P, E.P. or B.P.C. conformity) in such form as CMU may reasonably require) for such products as CMU may specify.</w:t>
      </w:r>
    </w:p>
    <w:p w14:paraId="1AB23C6B" w14:textId="2061DE7C" w:rsidR="00922C19" w:rsidRPr="0057315D" w:rsidRDefault="0078482C" w:rsidP="00922C19">
      <w:pPr>
        <w:pStyle w:val="Heading2"/>
        <w:keepNext/>
        <w:keepLines/>
        <w:spacing w:before="320" w:after="120"/>
      </w:pPr>
      <w:r>
        <w:t xml:space="preserve">The framework agreement (and therefore any future orders placed under it) may </w:t>
      </w:r>
      <w:r w:rsidR="00922C19" w:rsidRPr="0057315D">
        <w:t xml:space="preserve">be suspended unless and until the </w:t>
      </w:r>
      <w:r>
        <w:t xml:space="preserve">supplier </w:t>
      </w:r>
      <w:r w:rsidR="00922C19" w:rsidRPr="0057315D">
        <w:t>can demonstrate to CMU satisfaction that:</w:t>
      </w:r>
    </w:p>
    <w:p w14:paraId="42C498A5" w14:textId="3069679B" w:rsidR="00922C19" w:rsidRPr="0057315D" w:rsidRDefault="00922C19" w:rsidP="008F5BA0">
      <w:pPr>
        <w:pStyle w:val="Heading3"/>
      </w:pPr>
      <w:r w:rsidRPr="0057315D">
        <w:t xml:space="preserve">the products have a valid UK </w:t>
      </w:r>
      <w:r w:rsidR="00202582" w:rsidRPr="0057315D">
        <w:t>Marketing Authorisation</w:t>
      </w:r>
      <w:r w:rsidRPr="0057315D">
        <w:t xml:space="preserve"> awarded by the MHRA or EMEA applicable to all categories of the products at the</w:t>
      </w:r>
      <w:r w:rsidR="00B101DE">
        <w:t xml:space="preserve"> award date of the framework which is</w:t>
      </w:r>
      <w:r w:rsidR="00121E21">
        <w:t xml:space="preserve"> anticipated to be </w:t>
      </w:r>
      <w:r w:rsidR="005413BB">
        <w:t xml:space="preserve">1 </w:t>
      </w:r>
      <w:r w:rsidR="00953BB7">
        <w:t>June</w:t>
      </w:r>
      <w:r w:rsidR="005413BB">
        <w:t xml:space="preserve"> 2020</w:t>
      </w:r>
      <w:r w:rsidRPr="0057315D">
        <w:t xml:space="preserve"> and </w:t>
      </w:r>
      <w:r w:rsidR="00B101DE">
        <w:t xml:space="preserve">have product available for delivery to </w:t>
      </w:r>
      <w:r w:rsidR="001B2556" w:rsidRPr="001B2556">
        <w:t xml:space="preserve">Participating Authorities </w:t>
      </w:r>
      <w:r w:rsidR="00B101DE">
        <w:t xml:space="preserve">at the framework go-live date which is the </w:t>
      </w:r>
      <w:r w:rsidR="005413BB">
        <w:t>1 July 2020</w:t>
      </w:r>
      <w:r w:rsidRPr="0057315D">
        <w:t xml:space="preserve">; </w:t>
      </w:r>
    </w:p>
    <w:p w14:paraId="0B20C3E1" w14:textId="77777777" w:rsidR="00922C19" w:rsidRPr="0057315D" w:rsidRDefault="00922C19" w:rsidP="008F5BA0">
      <w:pPr>
        <w:pStyle w:val="Heading3"/>
      </w:pPr>
      <w:r w:rsidRPr="0057315D">
        <w:lastRenderedPageBreak/>
        <w:t>the goods have been supplied in accordance with current legislation and if such goods are medical devices that they are CE marked; and</w:t>
      </w:r>
    </w:p>
    <w:p w14:paraId="030746F0" w14:textId="02ED5DAC" w:rsidR="00922C19" w:rsidRPr="0057315D" w:rsidRDefault="00922C19" w:rsidP="008F5BA0">
      <w:pPr>
        <w:pStyle w:val="Heading3"/>
      </w:pPr>
      <w:r w:rsidRPr="0057315D">
        <w:t xml:space="preserve">should the appropriate </w:t>
      </w:r>
      <w:r w:rsidR="00202582" w:rsidRPr="0057315D">
        <w:t xml:space="preserve">Marketing Authorisation </w:t>
      </w:r>
      <w:r w:rsidRPr="0057315D">
        <w:t xml:space="preserve">not have been obtained by the </w:t>
      </w:r>
      <w:r w:rsidR="00B101DE">
        <w:t>award date of the framework which is</w:t>
      </w:r>
      <w:r w:rsidR="00121E21">
        <w:t xml:space="preserve"> anticipated to be </w:t>
      </w:r>
      <w:r w:rsidR="005413BB">
        <w:t xml:space="preserve">1 </w:t>
      </w:r>
      <w:r w:rsidR="00953BB7">
        <w:t>June</w:t>
      </w:r>
      <w:r w:rsidR="005413BB">
        <w:t xml:space="preserve"> 2020</w:t>
      </w:r>
      <w:r w:rsidRPr="0057315D">
        <w:t xml:space="preserve"> or product be unavailable for delivery </w:t>
      </w:r>
      <w:r w:rsidR="00B101DE">
        <w:t xml:space="preserve">to </w:t>
      </w:r>
      <w:r w:rsidR="001B2556" w:rsidRPr="001B2556">
        <w:t>Participating Authorities</w:t>
      </w:r>
      <w:r w:rsidR="00B101DE">
        <w:t xml:space="preserve"> </w:t>
      </w:r>
      <w:r w:rsidRPr="0057315D">
        <w:t xml:space="preserve">on </w:t>
      </w:r>
      <w:r w:rsidR="005413BB">
        <w:t>1 July 2020</w:t>
      </w:r>
      <w:r w:rsidR="00816D68">
        <w:t>,</w:t>
      </w:r>
      <w:r w:rsidRPr="0057315D">
        <w:t xml:space="preserve"> CMU will disregard any offer or terminate any subsequent awarded framework and re-distribute the award</w:t>
      </w:r>
      <w:r w:rsidR="0003643E">
        <w:t xml:space="preserve"> accordingly</w:t>
      </w:r>
      <w:r w:rsidRPr="0057315D">
        <w:t>.</w:t>
      </w:r>
    </w:p>
    <w:p w14:paraId="49392181" w14:textId="6D4115F0" w:rsidR="00922C19" w:rsidRPr="00454FFD" w:rsidRDefault="00922C19" w:rsidP="00922C19">
      <w:pPr>
        <w:pStyle w:val="Heading2"/>
        <w:keepNext/>
        <w:keepLines/>
        <w:spacing w:before="320" w:after="120"/>
      </w:pPr>
      <w:r w:rsidRPr="00D750FB">
        <w:t xml:space="preserve">In the event of the goods being recalled, initiated by the manufacturer of the goods, the Secretary of State for Health or </w:t>
      </w:r>
      <w:r w:rsidR="007C1ED0">
        <w:t xml:space="preserve">the </w:t>
      </w:r>
      <w:r w:rsidRPr="00D750FB">
        <w:t>MHRA (or any such</w:t>
      </w:r>
      <w:r w:rsidR="00C204F0">
        <w:t xml:space="preserve"> similar regulatory body), the s</w:t>
      </w:r>
      <w:r w:rsidRPr="00D750FB">
        <w:t xml:space="preserve">upplier </w:t>
      </w:r>
      <w:r w:rsidR="0078482C">
        <w:t>must</w:t>
      </w:r>
      <w:r w:rsidRPr="00D750FB">
        <w:t xml:space="preserve">, without delay and at its own expense, arrange for the collection of such goods and credit </w:t>
      </w:r>
      <w:r>
        <w:t>the Participating Authority</w:t>
      </w:r>
      <w:r w:rsidRPr="00D750FB">
        <w:t xml:space="preserve"> for any goods delivered but unused by </w:t>
      </w:r>
      <w:r>
        <w:t xml:space="preserve">the </w:t>
      </w:r>
      <w:r w:rsidRPr="00454FFD">
        <w:t>Participating Authority including part used packs.</w:t>
      </w:r>
    </w:p>
    <w:p w14:paraId="2FC7342C" w14:textId="40A5A097" w:rsidR="009D3574" w:rsidRDefault="00F62608" w:rsidP="009D3574">
      <w:pPr>
        <w:pStyle w:val="Heading2"/>
      </w:pPr>
      <w:r w:rsidRPr="00454FFD">
        <w:t xml:space="preserve">Offerors are required </w:t>
      </w:r>
      <w:r w:rsidRPr="00BE1ABF">
        <w:t xml:space="preserve">to upload information onto </w:t>
      </w:r>
      <w:proofErr w:type="spellStart"/>
      <w:r w:rsidRPr="00BE1ABF">
        <w:t>PharmaQC</w:t>
      </w:r>
      <w:proofErr w:type="spellEnd"/>
      <w:r w:rsidRPr="00BE1ABF">
        <w:t xml:space="preserve"> no later than the go live date of </w:t>
      </w:r>
      <w:r w:rsidR="005413BB" w:rsidRPr="00BE1ABF">
        <w:t>1 July 2020</w:t>
      </w:r>
      <w:r w:rsidR="00DC46F8" w:rsidRPr="00BE1ABF">
        <w:t xml:space="preserve"> </w:t>
      </w:r>
      <w:r w:rsidR="007073AE" w:rsidRPr="00BE1ABF">
        <w:t>(see Document No. 05</w:t>
      </w:r>
      <w:r w:rsidR="00DB3440" w:rsidRPr="00BE1ABF">
        <w:t>a</w:t>
      </w:r>
      <w:r w:rsidR="00491258" w:rsidRPr="00BE1ABF">
        <w:t xml:space="preserve"> </w:t>
      </w:r>
      <w:r w:rsidR="005413BB" w:rsidRPr="00BE1ABF">
        <w:t>–</w:t>
      </w:r>
      <w:r w:rsidR="005E76D3" w:rsidRPr="00BE1ABF">
        <w:t xml:space="preserve"> </w:t>
      </w:r>
      <w:r w:rsidR="005413BB" w:rsidRPr="00BE1ABF">
        <w:t>Haemophilia A</w:t>
      </w:r>
      <w:r w:rsidR="005E76D3" w:rsidRPr="00BE1ABF">
        <w:t xml:space="preserve"> -</w:t>
      </w:r>
      <w:r w:rsidR="00491258" w:rsidRPr="00BE1ABF">
        <w:t xml:space="preserve"> Offer Schedule </w:t>
      </w:r>
      <w:r w:rsidR="008A0CA0" w:rsidRPr="00BE1ABF">
        <w:t xml:space="preserve">- </w:t>
      </w:r>
      <w:r w:rsidR="00491258" w:rsidRPr="00BE1ABF">
        <w:t>Additional Informa</w:t>
      </w:r>
      <w:r w:rsidR="00381D4E" w:rsidRPr="00BE1ABF">
        <w:t>tion</w:t>
      </w:r>
      <w:r w:rsidRPr="00BE1ABF">
        <w:t>, Document No. 0</w:t>
      </w:r>
      <w:r w:rsidR="007073AE" w:rsidRPr="00BE1ABF">
        <w:t>7</w:t>
      </w:r>
      <w:r w:rsidRPr="00BE1ABF">
        <w:t>a - Quality control technical sheet and Document No. 0</w:t>
      </w:r>
      <w:r w:rsidR="007073AE" w:rsidRPr="00BE1ABF">
        <w:t>7</w:t>
      </w:r>
      <w:r w:rsidRPr="00BE1ABF">
        <w:t xml:space="preserve">b - Guidance for performing a risk assessment of licensed medicines for the NHS for further information). If </w:t>
      </w:r>
      <w:r w:rsidR="0078482C" w:rsidRPr="00BE1ABF">
        <w:t xml:space="preserve">an </w:t>
      </w:r>
      <w:r w:rsidRPr="00BE1ABF">
        <w:t xml:space="preserve">Offeror have already supplied product information on </w:t>
      </w:r>
      <w:proofErr w:type="spellStart"/>
      <w:r w:rsidRPr="00BE1ABF">
        <w:t>PharmaQC</w:t>
      </w:r>
      <w:proofErr w:type="spellEnd"/>
      <w:r w:rsidRPr="00BE1ABF">
        <w:t xml:space="preserve"> it is essential</w:t>
      </w:r>
      <w:bookmarkStart w:id="4" w:name="_GoBack"/>
      <w:bookmarkEnd w:id="4"/>
      <w:r w:rsidRPr="00767CEA">
        <w:t xml:space="preserve"> </w:t>
      </w:r>
      <w:r w:rsidR="0078482C">
        <w:t xml:space="preserve">that </w:t>
      </w:r>
      <w:r w:rsidRPr="00767CEA">
        <w:t xml:space="preserve">the Offeror ensures the information contained on </w:t>
      </w:r>
      <w:proofErr w:type="spellStart"/>
      <w:r w:rsidRPr="00767CEA">
        <w:t>PharmaQC</w:t>
      </w:r>
      <w:proofErr w:type="spellEnd"/>
      <w:r w:rsidRPr="00767CEA">
        <w:t xml:space="preserve"> for </w:t>
      </w:r>
      <w:r w:rsidR="0078482C">
        <w:t>its</w:t>
      </w:r>
      <w:r w:rsidR="0078482C" w:rsidRPr="00767CEA">
        <w:t xml:space="preserve"> </w:t>
      </w:r>
      <w:r w:rsidRPr="00767CEA">
        <w:t xml:space="preserve">product(s) is up to date. </w:t>
      </w:r>
    </w:p>
    <w:p w14:paraId="08295275" w14:textId="77777777" w:rsidR="00804C0B" w:rsidRPr="00F30037" w:rsidRDefault="00804C0B" w:rsidP="00804C0B">
      <w:pPr>
        <w:pStyle w:val="Heading1"/>
        <w:keepNext/>
        <w:keepLines/>
        <w:spacing w:after="120"/>
        <w:contextualSpacing w:val="0"/>
      </w:pPr>
      <w:r w:rsidRPr="00F30037">
        <w:t>Local Issues</w:t>
      </w:r>
    </w:p>
    <w:p w14:paraId="344CF725" w14:textId="77777777" w:rsidR="00804C0B" w:rsidRPr="00D750FB" w:rsidRDefault="00804C0B" w:rsidP="00804C0B">
      <w:pPr>
        <w:pStyle w:val="Heading2"/>
        <w:keepNext/>
        <w:keepLines/>
        <w:spacing w:before="320" w:after="120"/>
      </w:pPr>
      <w:r w:rsidRPr="00D750FB">
        <w:t>Certain issues will need to be considered at a local level and have therefore been excluded from this f</w:t>
      </w:r>
      <w:r>
        <w:t>ramework agreement. Successful Offerors</w:t>
      </w:r>
      <w:r w:rsidRPr="00D750FB">
        <w:t xml:space="preserve"> will be required to discuss and agree with individual </w:t>
      </w:r>
      <w:r>
        <w:t>Participating Authorities</w:t>
      </w:r>
      <w:r w:rsidRPr="00D750FB">
        <w:t xml:space="preserve"> protocols on </w:t>
      </w:r>
      <w:r>
        <w:t>areas</w:t>
      </w:r>
      <w:r w:rsidRPr="00D750FB">
        <w:t xml:space="preserve"> such as the following:</w:t>
      </w:r>
      <w:r w:rsidRPr="009C0667">
        <w:rPr>
          <w:noProof/>
        </w:rPr>
        <w:t xml:space="preserve"> </w:t>
      </w:r>
    </w:p>
    <w:p w14:paraId="07B21977" w14:textId="77777777" w:rsidR="00F30037" w:rsidRDefault="00F30037" w:rsidP="0027095A">
      <w:pPr>
        <w:pStyle w:val="BodyTextIndent"/>
        <w:numPr>
          <w:ilvl w:val="0"/>
          <w:numId w:val="3"/>
        </w:numPr>
        <w:spacing w:after="0"/>
        <w:rPr>
          <w:color w:val="000000"/>
        </w:rPr>
      </w:pPr>
      <w:r w:rsidRPr="00D750FB">
        <w:rPr>
          <w:color w:val="000000"/>
        </w:rPr>
        <w:t>Training associated with the supply and use of the product by patients or healthcare professionals</w:t>
      </w:r>
    </w:p>
    <w:p w14:paraId="5687A798" w14:textId="77777777" w:rsidR="00F30037" w:rsidRDefault="00F30037" w:rsidP="0027095A">
      <w:pPr>
        <w:numPr>
          <w:ilvl w:val="0"/>
          <w:numId w:val="3"/>
        </w:numPr>
        <w:rPr>
          <w:color w:val="000000"/>
        </w:rPr>
      </w:pPr>
      <w:r w:rsidRPr="00D750FB">
        <w:rPr>
          <w:color w:val="000000"/>
        </w:rPr>
        <w:t xml:space="preserve">Delivery requirements, delivery notes, times, </w:t>
      </w:r>
      <w:r w:rsidR="00A84924" w:rsidRPr="00D750FB">
        <w:rPr>
          <w:color w:val="000000"/>
        </w:rPr>
        <w:t>etc.</w:t>
      </w:r>
    </w:p>
    <w:p w14:paraId="2D35695B" w14:textId="77777777" w:rsidR="00F30037" w:rsidRDefault="00F30037" w:rsidP="0027095A">
      <w:pPr>
        <w:numPr>
          <w:ilvl w:val="0"/>
          <w:numId w:val="3"/>
        </w:numPr>
        <w:rPr>
          <w:color w:val="000000"/>
        </w:rPr>
      </w:pPr>
      <w:r w:rsidRPr="00D750FB">
        <w:rPr>
          <w:color w:val="000000"/>
        </w:rPr>
        <w:t xml:space="preserve">Research and clinical trials </w:t>
      </w:r>
    </w:p>
    <w:p w14:paraId="75179A8D" w14:textId="77777777" w:rsidR="00F30037" w:rsidRPr="00C374B7" w:rsidRDefault="00F30037" w:rsidP="0027095A">
      <w:pPr>
        <w:pStyle w:val="BodyText2"/>
        <w:numPr>
          <w:ilvl w:val="0"/>
          <w:numId w:val="3"/>
        </w:numPr>
        <w:jc w:val="both"/>
        <w:rPr>
          <w:color w:val="000000"/>
        </w:rPr>
      </w:pPr>
      <w:r w:rsidRPr="00C374B7">
        <w:rPr>
          <w:color w:val="000000"/>
        </w:rPr>
        <w:t xml:space="preserve">The provision of Quality Assurance / Quality Control procedures, certificates, analyses, </w:t>
      </w:r>
      <w:r w:rsidR="00A84924" w:rsidRPr="00C374B7">
        <w:rPr>
          <w:color w:val="000000"/>
        </w:rPr>
        <w:t>etc.</w:t>
      </w:r>
    </w:p>
    <w:p w14:paraId="259112E7" w14:textId="77777777" w:rsidR="00840DFA" w:rsidRPr="00C374B7" w:rsidRDefault="00840DFA" w:rsidP="0027095A">
      <w:pPr>
        <w:pStyle w:val="BodyText2"/>
        <w:numPr>
          <w:ilvl w:val="0"/>
          <w:numId w:val="3"/>
        </w:numPr>
        <w:jc w:val="both"/>
        <w:rPr>
          <w:color w:val="000000"/>
        </w:rPr>
      </w:pPr>
      <w:r w:rsidRPr="00C374B7">
        <w:rPr>
          <w:color w:val="000000"/>
        </w:rPr>
        <w:t xml:space="preserve">KPIs </w:t>
      </w:r>
    </w:p>
    <w:p w14:paraId="498EEF2D" w14:textId="77777777" w:rsidR="00F30037" w:rsidRPr="00C374B7" w:rsidRDefault="00F30037" w:rsidP="0027095A">
      <w:pPr>
        <w:numPr>
          <w:ilvl w:val="0"/>
          <w:numId w:val="3"/>
        </w:numPr>
      </w:pPr>
      <w:r w:rsidRPr="00C374B7">
        <w:rPr>
          <w:color w:val="000000"/>
        </w:rPr>
        <w:t>Compliance with the appropriate Authority policies</w:t>
      </w:r>
    </w:p>
    <w:p w14:paraId="0B7A613A" w14:textId="2D0E9081" w:rsidR="00F30037" w:rsidRPr="009D3574" w:rsidRDefault="00F30037" w:rsidP="0027095A">
      <w:pPr>
        <w:numPr>
          <w:ilvl w:val="0"/>
          <w:numId w:val="3"/>
        </w:numPr>
      </w:pPr>
      <w:r w:rsidRPr="00DF1B13">
        <w:rPr>
          <w:color w:val="000000"/>
        </w:rPr>
        <w:t xml:space="preserve">Home delivery of product in accordance with </w:t>
      </w:r>
      <w:r>
        <w:rPr>
          <w:color w:val="000000"/>
        </w:rPr>
        <w:t>Participating Authority’s</w:t>
      </w:r>
      <w:r w:rsidRPr="00DF1B13">
        <w:rPr>
          <w:color w:val="000000"/>
        </w:rPr>
        <w:t xml:space="preserve"> home delivery </w:t>
      </w:r>
      <w:r w:rsidRPr="00007524">
        <w:rPr>
          <w:color w:val="000000"/>
        </w:rPr>
        <w:t xml:space="preserve">arrangements. </w:t>
      </w:r>
      <w:r w:rsidR="00E545F3" w:rsidRPr="00007524">
        <w:rPr>
          <w:color w:val="000000"/>
        </w:rPr>
        <w:t xml:space="preserve">From the go-live date of the framework agreement </w:t>
      </w:r>
      <w:r w:rsidR="0078482C">
        <w:rPr>
          <w:color w:val="000000"/>
        </w:rPr>
        <w:t>(</w:t>
      </w:r>
      <w:r w:rsidR="005413BB">
        <w:rPr>
          <w:color w:val="000000"/>
        </w:rPr>
        <w:t>1 July 2020</w:t>
      </w:r>
      <w:r w:rsidR="0078482C">
        <w:rPr>
          <w:color w:val="000000"/>
        </w:rPr>
        <w:t>)</w:t>
      </w:r>
      <w:r w:rsidR="00E545F3" w:rsidRPr="00007524">
        <w:rPr>
          <w:color w:val="000000"/>
        </w:rPr>
        <w:t>,</w:t>
      </w:r>
      <w:r w:rsidR="00E545F3">
        <w:rPr>
          <w:color w:val="000000"/>
        </w:rPr>
        <w:t xml:space="preserve"> t</w:t>
      </w:r>
      <w:r w:rsidRPr="00DF1B13">
        <w:rPr>
          <w:color w:val="000000"/>
        </w:rPr>
        <w:t xml:space="preserve">he </w:t>
      </w:r>
      <w:r w:rsidR="007E50A2">
        <w:rPr>
          <w:color w:val="000000"/>
        </w:rPr>
        <w:t xml:space="preserve">awarded framework </w:t>
      </w:r>
      <w:r w:rsidRPr="00DF1B13">
        <w:rPr>
          <w:color w:val="000000"/>
        </w:rPr>
        <w:t xml:space="preserve">prices will be the prices that apply to the product element of any </w:t>
      </w:r>
      <w:r>
        <w:rPr>
          <w:color w:val="000000"/>
        </w:rPr>
        <w:t>Participating Authority’s</w:t>
      </w:r>
      <w:r w:rsidRPr="00DF1B13">
        <w:rPr>
          <w:color w:val="000000"/>
        </w:rPr>
        <w:t xml:space="preserve"> home delivery arrangement</w:t>
      </w:r>
      <w:r w:rsidR="00BD4900">
        <w:rPr>
          <w:color w:val="000000"/>
        </w:rPr>
        <w:t>.</w:t>
      </w:r>
    </w:p>
    <w:p w14:paraId="70F0934F" w14:textId="77777777" w:rsidR="00F30037" w:rsidRDefault="00F30037" w:rsidP="00F30037">
      <w:pPr>
        <w:pStyle w:val="Heading1"/>
        <w:keepNext/>
        <w:keepLines/>
        <w:spacing w:after="120"/>
        <w:contextualSpacing w:val="0"/>
      </w:pPr>
      <w:r>
        <w:lastRenderedPageBreak/>
        <w:t>Homecare and Extension of NHS Terms and Conditions and Pricing to Defined Beneficiaries</w:t>
      </w:r>
    </w:p>
    <w:p w14:paraId="5850221A" w14:textId="22CA81ED" w:rsidR="00013A14" w:rsidRDefault="00F30037" w:rsidP="00013A14">
      <w:pPr>
        <w:pStyle w:val="Heading2"/>
        <w:keepNext/>
        <w:keepLines/>
        <w:spacing w:before="320" w:after="120"/>
      </w:pPr>
      <w:r w:rsidRPr="00F47256">
        <w:t xml:space="preserve">Where the NHS has delegated to defined </w:t>
      </w:r>
      <w:proofErr w:type="gramStart"/>
      <w:r w:rsidR="00953BB7" w:rsidRPr="00F47256">
        <w:t>beneficiaries</w:t>
      </w:r>
      <w:proofErr w:type="gramEnd"/>
      <w:r w:rsidRPr="00F47256">
        <w:t xml:space="preserve"> certain responsibilities, such as delivery of products</w:t>
      </w:r>
      <w:r w:rsidRPr="00D750FB">
        <w:t xml:space="preserve"> to patients’ homes, the </w:t>
      </w:r>
      <w:r>
        <w:t>CMU</w:t>
      </w:r>
      <w:r w:rsidRPr="00D750FB">
        <w:t xml:space="preserve"> framework agreement terms and pricing are to be extended to the defined beneficiaries.</w:t>
      </w:r>
      <w:r w:rsidR="005E25D2">
        <w:t xml:space="preserve"> </w:t>
      </w:r>
    </w:p>
    <w:p w14:paraId="15392893" w14:textId="088BEE78" w:rsidR="00676D67" w:rsidRDefault="00B430FB" w:rsidP="00B430FB">
      <w:pPr>
        <w:pStyle w:val="Heading2"/>
      </w:pPr>
      <w:r>
        <w:t>T</w:t>
      </w:r>
      <w:r w:rsidRPr="00C374B7">
        <w:t xml:space="preserve">he suppliers </w:t>
      </w:r>
      <w:r w:rsidR="007E50A2">
        <w:t xml:space="preserve">awarded </w:t>
      </w:r>
      <w:r w:rsidR="0078482C">
        <w:t xml:space="preserve">a place </w:t>
      </w:r>
      <w:r w:rsidR="007E50A2">
        <w:t xml:space="preserve">on this framework agreement </w:t>
      </w:r>
      <w:r w:rsidR="00A71105">
        <w:t xml:space="preserve">are expected to work with the </w:t>
      </w:r>
      <w:r w:rsidR="005A78BC">
        <w:t>home delivery provider</w:t>
      </w:r>
      <w:r w:rsidR="00A71105">
        <w:t xml:space="preserve">s </w:t>
      </w:r>
      <w:r w:rsidR="0078482C">
        <w:t xml:space="preserve">appointed </w:t>
      </w:r>
      <w:r w:rsidR="00A71105">
        <w:t xml:space="preserve">to the CMU </w:t>
      </w:r>
      <w:r w:rsidR="00452FA1" w:rsidRPr="00452FA1">
        <w:t xml:space="preserve">NHS National Framework Agreement for the Homecare Delivery Service of products for the treatment of bleeding disorders in England, Wales and Northern </w:t>
      </w:r>
      <w:r w:rsidR="00452FA1" w:rsidRPr="00AF3AA5">
        <w:t>Ireland</w:t>
      </w:r>
      <w:r w:rsidR="00A71105" w:rsidRPr="00AF3AA5">
        <w:t xml:space="preserve"> (CM/MSR/1</w:t>
      </w:r>
      <w:r w:rsidR="00A84924" w:rsidRPr="00AF3AA5">
        <w:t>5</w:t>
      </w:r>
      <w:r w:rsidR="00A71105" w:rsidRPr="00AF3AA5">
        <w:t>/5</w:t>
      </w:r>
      <w:r w:rsidR="00A84924" w:rsidRPr="00AF3AA5">
        <w:t>480</w:t>
      </w:r>
      <w:r w:rsidR="00A71105" w:rsidRPr="00AF3AA5">
        <w:t>)</w:t>
      </w:r>
      <w:r w:rsidR="005655B9" w:rsidRPr="00AF3AA5">
        <w:t xml:space="preserve"> </w:t>
      </w:r>
      <w:r w:rsidR="007350FA" w:rsidRPr="00AF3AA5">
        <w:t>and</w:t>
      </w:r>
      <w:r w:rsidR="007350FA">
        <w:t xml:space="preserve"> </w:t>
      </w:r>
      <w:r w:rsidR="00D16F12">
        <w:t>with suppliers a</w:t>
      </w:r>
      <w:r w:rsidR="0078482C">
        <w:t>ppointed</w:t>
      </w:r>
      <w:r w:rsidR="00D16F12">
        <w:t xml:space="preserve"> </w:t>
      </w:r>
      <w:r w:rsidR="00676D67">
        <w:t xml:space="preserve">to </w:t>
      </w:r>
      <w:r w:rsidR="007350FA">
        <w:t>any future CMU Home Delivery Service framework agreement</w:t>
      </w:r>
      <w:r w:rsidR="00D16F12">
        <w:t>s</w:t>
      </w:r>
      <w:r w:rsidR="007350FA">
        <w:t xml:space="preserve"> for </w:t>
      </w:r>
      <w:r w:rsidR="00A84924">
        <w:t xml:space="preserve">products for the treatment of bleeding disorders. </w:t>
      </w:r>
      <w:r w:rsidR="007350FA">
        <w:t xml:space="preserve"> </w:t>
      </w:r>
    </w:p>
    <w:p w14:paraId="4CD63CCF" w14:textId="5ECA98D4" w:rsidR="00B430FB" w:rsidRDefault="007350FA" w:rsidP="00B430FB">
      <w:pPr>
        <w:pStyle w:val="Heading2"/>
      </w:pPr>
      <w:r>
        <w:t>I</w:t>
      </w:r>
      <w:r w:rsidR="00A71105">
        <w:t>n preparation for the transition</w:t>
      </w:r>
      <w:r w:rsidR="00A71105" w:rsidRPr="00C374B7">
        <w:t xml:space="preserve"> </w:t>
      </w:r>
      <w:r w:rsidR="00A71105">
        <w:t xml:space="preserve">of the new framework </w:t>
      </w:r>
      <w:r>
        <w:t>t</w:t>
      </w:r>
      <w:r w:rsidRPr="00C374B7">
        <w:t>he supplier</w:t>
      </w:r>
      <w:r w:rsidR="0078482C">
        <w:t xml:space="preserve"> </w:t>
      </w:r>
      <w:r w:rsidR="009E2808">
        <w:t xml:space="preserve">awarded </w:t>
      </w:r>
      <w:r w:rsidR="0078482C">
        <w:t xml:space="preserve">a place </w:t>
      </w:r>
      <w:r w:rsidR="009E2808">
        <w:t>on th</w:t>
      </w:r>
      <w:r w:rsidR="0078482C">
        <w:t>is</w:t>
      </w:r>
      <w:r w:rsidR="009E2808">
        <w:t xml:space="preserve"> framework </w:t>
      </w:r>
      <w:r>
        <w:t xml:space="preserve">are </w:t>
      </w:r>
      <w:r w:rsidR="00B430FB" w:rsidRPr="00C374B7">
        <w:t>responsible for</w:t>
      </w:r>
      <w:r w:rsidR="005A78BC">
        <w:t xml:space="preserve"> ensuring that the home d</w:t>
      </w:r>
      <w:r w:rsidR="00B430FB" w:rsidRPr="00C374B7">
        <w:t xml:space="preserve">elivery </w:t>
      </w:r>
      <w:r w:rsidR="005A78BC">
        <w:t>providers</w:t>
      </w:r>
      <w:r w:rsidR="00B430FB">
        <w:t xml:space="preserve"> are aware of the new framework prices well in advance of the framework go-live date of </w:t>
      </w:r>
      <w:r w:rsidR="005413BB">
        <w:t>1 July 2020</w:t>
      </w:r>
      <w:r w:rsidR="00B430FB" w:rsidRPr="00C374B7">
        <w:t xml:space="preserve">. </w:t>
      </w:r>
      <w:r w:rsidR="005A78BC">
        <w:t xml:space="preserve">Up to date details for home delivery providers </w:t>
      </w:r>
      <w:r w:rsidR="0078482C">
        <w:t xml:space="preserve">appointed </w:t>
      </w:r>
      <w:r w:rsidR="005A78BC">
        <w:t xml:space="preserve">to the CMU </w:t>
      </w:r>
      <w:r w:rsidR="005A78BC" w:rsidRPr="00452FA1">
        <w:t xml:space="preserve">NHS National Framework Agreement for the Homecare Delivery Service of products for the treatment of bleeding disorders in England, Wales and Northern </w:t>
      </w:r>
      <w:r w:rsidR="005A78BC" w:rsidRPr="00AF3AA5">
        <w:t>Ireland (CM/MSR/15/5480) can</w:t>
      </w:r>
      <w:r w:rsidR="005A78BC">
        <w:t xml:space="preserve"> be obtained from </w:t>
      </w:r>
      <w:hyperlink r:id="rId11" w:history="1">
        <w:r w:rsidR="0046139E" w:rsidRPr="009C6252">
          <w:rPr>
            <w:rStyle w:val="Hyperlink"/>
          </w:rPr>
          <w:t>lynne.newell@nhs.net</w:t>
        </w:r>
      </w:hyperlink>
      <w:r w:rsidR="005A78BC">
        <w:t xml:space="preserve"> </w:t>
      </w:r>
    </w:p>
    <w:p w14:paraId="51E7ADE2" w14:textId="3B801C8D" w:rsidR="005A78BC" w:rsidRDefault="005A78BC" w:rsidP="005A78BC">
      <w:pPr>
        <w:pStyle w:val="Heading2"/>
      </w:pPr>
      <w:r>
        <w:t>Su</w:t>
      </w:r>
      <w:r w:rsidR="00B430FB" w:rsidRPr="00C374B7">
        <w:t xml:space="preserve">ppliers </w:t>
      </w:r>
      <w:r w:rsidR="0078482C" w:rsidRPr="0078482C">
        <w:t xml:space="preserve">awarded a place on this framework agreement </w:t>
      </w:r>
      <w:r w:rsidR="00B430FB" w:rsidRPr="00C374B7">
        <w:t>are res</w:t>
      </w:r>
      <w:r>
        <w:t xml:space="preserve">ponsible for ensuring </w:t>
      </w:r>
      <w:r w:rsidR="0078482C">
        <w:t xml:space="preserve">that </w:t>
      </w:r>
      <w:r>
        <w:t>home d</w:t>
      </w:r>
      <w:r w:rsidR="00B430FB" w:rsidRPr="00C374B7">
        <w:t xml:space="preserve">elivery </w:t>
      </w:r>
      <w:r>
        <w:t xml:space="preserve">providers </w:t>
      </w:r>
      <w:r w:rsidR="00B430FB" w:rsidRPr="00C374B7">
        <w:t>ha</w:t>
      </w:r>
      <w:r>
        <w:t>ve</w:t>
      </w:r>
      <w:r w:rsidR="00B430FB" w:rsidRPr="00C374B7">
        <w:t xml:space="preserve"> updated framework prices throughout the duration of th</w:t>
      </w:r>
      <w:r>
        <w:t>is</w:t>
      </w:r>
      <w:r w:rsidR="00B430FB" w:rsidRPr="00C374B7">
        <w:t xml:space="preserve"> framework</w:t>
      </w:r>
      <w:r w:rsidR="00B430FB">
        <w:t>.</w:t>
      </w:r>
      <w:r>
        <w:t xml:space="preserve"> Where relevant, the </w:t>
      </w:r>
      <w:r w:rsidRPr="00C374B7">
        <w:t>suppliers</w:t>
      </w:r>
      <w:r>
        <w:t xml:space="preserve"> </w:t>
      </w:r>
      <w:r w:rsidR="0078482C">
        <w:t>must</w:t>
      </w:r>
      <w:r>
        <w:t xml:space="preserve"> inform the home d</w:t>
      </w:r>
      <w:r w:rsidRPr="00C374B7">
        <w:t xml:space="preserve">elivery </w:t>
      </w:r>
      <w:r>
        <w:t>provide</w:t>
      </w:r>
      <w:r w:rsidRPr="00C374B7">
        <w:t xml:space="preserve">r </w:t>
      </w:r>
      <w:r>
        <w:t xml:space="preserve">well in advance </w:t>
      </w:r>
      <w:r w:rsidRPr="00C374B7">
        <w:t xml:space="preserve">of any start dates of new prices. </w:t>
      </w:r>
    </w:p>
    <w:p w14:paraId="4006AB64" w14:textId="699AE261" w:rsidR="00013A14" w:rsidRPr="00C374B7" w:rsidRDefault="005A78BC" w:rsidP="00013A14">
      <w:pPr>
        <w:pStyle w:val="Heading2"/>
      </w:pPr>
      <w:r>
        <w:t>Home d</w:t>
      </w:r>
      <w:r w:rsidR="00013A14" w:rsidRPr="00C374B7">
        <w:t xml:space="preserve">elivery </w:t>
      </w:r>
      <w:r>
        <w:t>providers</w:t>
      </w:r>
      <w:r w:rsidR="00013A14" w:rsidRPr="00C374B7">
        <w:t xml:space="preserve"> are responsible for updating their pricin</w:t>
      </w:r>
      <w:r>
        <w:t>g information accordingly. The home d</w:t>
      </w:r>
      <w:r w:rsidR="00013A14" w:rsidRPr="00C374B7">
        <w:t xml:space="preserve">elivery </w:t>
      </w:r>
      <w:r>
        <w:t>provide</w:t>
      </w:r>
      <w:r w:rsidR="00013A14" w:rsidRPr="00C374B7">
        <w:t>r will invoice the P</w:t>
      </w:r>
      <w:r w:rsidR="0078482C">
        <w:t>articipating</w:t>
      </w:r>
      <w:r w:rsidR="00013A14" w:rsidRPr="00C374B7">
        <w:t xml:space="preserve"> Authority at the agreed framework prices for products and medicines</w:t>
      </w:r>
      <w:r w:rsidR="00C374B7">
        <w:t xml:space="preserve"> from </w:t>
      </w:r>
      <w:r w:rsidR="0046139E">
        <w:t>1 July 2020</w:t>
      </w:r>
      <w:r w:rsidR="00013A14" w:rsidRPr="00C374B7">
        <w:t>.</w:t>
      </w:r>
    </w:p>
    <w:p w14:paraId="5AE9F192" w14:textId="77777777" w:rsidR="00804C0B" w:rsidRPr="006D2852" w:rsidRDefault="00804C0B" w:rsidP="00804C0B">
      <w:pPr>
        <w:pStyle w:val="Heading1"/>
        <w:keepNext/>
        <w:keepLines/>
        <w:spacing w:after="120"/>
        <w:contextualSpacing w:val="0"/>
      </w:pPr>
      <w:r>
        <w:lastRenderedPageBreak/>
        <w:t xml:space="preserve">Improving </w:t>
      </w:r>
      <w:r w:rsidRPr="006D2852">
        <w:t xml:space="preserve">Patient Care and Lifestyle </w:t>
      </w:r>
    </w:p>
    <w:p w14:paraId="5BE54A80" w14:textId="77777777" w:rsidR="00804C0B" w:rsidRPr="006D2852" w:rsidRDefault="00804C0B" w:rsidP="00804C0B">
      <w:pPr>
        <w:pStyle w:val="Heading2"/>
        <w:keepNext/>
        <w:keepLines/>
        <w:spacing w:before="320" w:after="120"/>
      </w:pPr>
      <w:r w:rsidRPr="006D2852">
        <w:t xml:space="preserve">Successful Offerors will be required to attend regular meetings to discuss and review proposals for innovative delivery of products covered by this framework. Parties present at such meetings may include representatives from CMU, the UKHCDO, </w:t>
      </w:r>
      <w:r w:rsidR="0046139E">
        <w:t>Blood Disorders</w:t>
      </w:r>
      <w:r w:rsidRPr="006D2852">
        <w:t xml:space="preserve"> CRG and NHS England</w:t>
      </w:r>
      <w:r w:rsidR="00286AAC">
        <w:t xml:space="preserve"> Commissioning</w:t>
      </w:r>
      <w:r w:rsidRPr="006D2852">
        <w:t xml:space="preserve">. The purpose of such meetings will be to provide an opportunity for discussion about such things as new prescribing regimes and improving patient care and lifestyle in a </w:t>
      </w:r>
      <w:r w:rsidR="00953BB7" w:rsidRPr="006D2852">
        <w:t>cost-effective</w:t>
      </w:r>
      <w:r w:rsidRPr="006D2852">
        <w:t xml:space="preserve"> way. Frequency and dates for meetings will be agreed with the successful Offerors.</w:t>
      </w:r>
    </w:p>
    <w:p w14:paraId="0667EFE3" w14:textId="77777777" w:rsidR="00F30037" w:rsidRDefault="00F30037" w:rsidP="00F30037">
      <w:pPr>
        <w:pStyle w:val="Heading1"/>
        <w:keepNext/>
        <w:keepLines/>
        <w:spacing w:after="120"/>
        <w:contextualSpacing w:val="0"/>
      </w:pPr>
      <w:r>
        <w:t>Framework Monitoring including Management Information</w:t>
      </w:r>
    </w:p>
    <w:p w14:paraId="5C6A93B5" w14:textId="6B547E72" w:rsidR="00F30037" w:rsidRDefault="00C204F0" w:rsidP="00F30037">
      <w:pPr>
        <w:pStyle w:val="Heading2"/>
        <w:keepNext/>
        <w:keepLines/>
        <w:spacing w:before="320" w:after="120"/>
      </w:pPr>
      <w:r>
        <w:t xml:space="preserve">The </w:t>
      </w:r>
      <w:r w:rsidR="0078482C">
        <w:t>Offeror (if appointed to the framework)</w:t>
      </w:r>
      <w:r w:rsidR="00F30037" w:rsidRPr="00D750FB">
        <w:t xml:space="preserve"> will comply with all </w:t>
      </w:r>
      <w:r w:rsidR="00C35AC5">
        <w:t xml:space="preserve">ad-hoc </w:t>
      </w:r>
      <w:r w:rsidR="00F30037" w:rsidRPr="00D750FB">
        <w:t xml:space="preserve">requests by the </w:t>
      </w:r>
      <w:r w:rsidR="0046139E">
        <w:t>DHSC</w:t>
      </w:r>
      <w:r w:rsidR="00F30037">
        <w:t>,</w:t>
      </w:r>
      <w:r w:rsidR="00E4334D">
        <w:t xml:space="preserve"> NHS England, the</w:t>
      </w:r>
      <w:r w:rsidR="00F30037">
        <w:t xml:space="preserve"> UKHCDO and CMU</w:t>
      </w:r>
      <w:r w:rsidR="00F30037" w:rsidRPr="00D750FB">
        <w:t xml:space="preserve"> for management data to be provided in respect of the products supplied under this framework agreement. This information is to be provided within 10 working days for ad</w:t>
      </w:r>
      <w:r w:rsidR="0078482C">
        <w:t xml:space="preserve"> </w:t>
      </w:r>
      <w:r w:rsidR="00F30037" w:rsidRPr="00D750FB">
        <w:t>hoc requests.</w:t>
      </w:r>
    </w:p>
    <w:p w14:paraId="7FB16217" w14:textId="77777777" w:rsidR="00E4334D" w:rsidRPr="00AF3AA5" w:rsidRDefault="00F30037" w:rsidP="00F30037">
      <w:pPr>
        <w:pStyle w:val="Heading2"/>
        <w:keepNext/>
        <w:keepLines/>
        <w:spacing w:before="320" w:after="120"/>
      </w:pPr>
      <w:r w:rsidRPr="008A0CA0">
        <w:t xml:space="preserve">Offerors are required to provide a named contact in </w:t>
      </w:r>
      <w:r w:rsidR="007073AE" w:rsidRPr="00AF3AA5">
        <w:t>Document No. 05</w:t>
      </w:r>
      <w:r w:rsidR="00DB3440" w:rsidRPr="00AF3AA5">
        <w:t>a</w:t>
      </w:r>
      <w:r w:rsidR="002B1715" w:rsidRPr="00AF3AA5">
        <w:t xml:space="preserve"> </w:t>
      </w:r>
      <w:r w:rsidR="0046139E" w:rsidRPr="00AF3AA5">
        <w:t>–</w:t>
      </w:r>
      <w:r w:rsidRPr="00AF3AA5">
        <w:t xml:space="preserve"> </w:t>
      </w:r>
      <w:r w:rsidR="0046139E" w:rsidRPr="00AF3AA5">
        <w:t>Haemophilia A</w:t>
      </w:r>
      <w:r w:rsidR="005E76D3" w:rsidRPr="00AF3AA5">
        <w:t xml:space="preserve"> </w:t>
      </w:r>
      <w:r w:rsidR="00F14F54" w:rsidRPr="00AF3AA5">
        <w:t xml:space="preserve">- </w:t>
      </w:r>
      <w:r w:rsidRPr="00AF3AA5">
        <w:t>Offer Schedule</w:t>
      </w:r>
      <w:r w:rsidR="008A0CA0" w:rsidRPr="00AF3AA5">
        <w:t xml:space="preserve"> - </w:t>
      </w:r>
      <w:r w:rsidR="00F14F54" w:rsidRPr="00AF3AA5">
        <w:t>Supplier</w:t>
      </w:r>
      <w:r w:rsidR="002B1715" w:rsidRPr="00AF3AA5">
        <w:t xml:space="preserve"> </w:t>
      </w:r>
      <w:r w:rsidR="00F14F54" w:rsidRPr="00AF3AA5">
        <w:t>Info</w:t>
      </w:r>
      <w:r w:rsidR="002B1715" w:rsidRPr="00AF3AA5">
        <w:t>rmation</w:t>
      </w:r>
      <w:r w:rsidR="00381D4E" w:rsidRPr="00AF3AA5">
        <w:t xml:space="preserve"> who will be </w:t>
      </w:r>
      <w:r w:rsidRPr="00AF3AA5">
        <w:t xml:space="preserve">responsible for the provision of management information. </w:t>
      </w:r>
    </w:p>
    <w:p w14:paraId="530CF64E" w14:textId="77777777" w:rsidR="00F30037" w:rsidRPr="00AF3AA5" w:rsidRDefault="00E4334D" w:rsidP="00E4334D">
      <w:pPr>
        <w:pStyle w:val="Heading2"/>
      </w:pPr>
      <w:r w:rsidRPr="0017462E">
        <w:t>Management information</w:t>
      </w:r>
      <w:r w:rsidR="00F30037" w:rsidRPr="0017462E">
        <w:t xml:space="preserve"> </w:t>
      </w:r>
      <w:r w:rsidR="00615BB4">
        <w:t>must</w:t>
      </w:r>
      <w:r w:rsidR="00F30037" w:rsidRPr="0017462E">
        <w:t xml:space="preserve"> be submitted </w:t>
      </w:r>
      <w:r w:rsidR="00615BB4">
        <w:t xml:space="preserve">in accordance with </w:t>
      </w:r>
      <w:r w:rsidR="00615BB4" w:rsidRPr="00AF3AA5">
        <w:t xml:space="preserve">Document No. 04b – Management Information Schedule. </w:t>
      </w:r>
    </w:p>
    <w:p w14:paraId="3351E22F" w14:textId="77777777" w:rsidR="00F30037" w:rsidRPr="00240D6A" w:rsidRDefault="00F30037" w:rsidP="00F30037">
      <w:pPr>
        <w:pStyle w:val="Heading1"/>
        <w:keepNext/>
        <w:keepLines/>
        <w:spacing w:after="120"/>
        <w:contextualSpacing w:val="0"/>
      </w:pPr>
      <w:r w:rsidRPr="00240D6A">
        <w:t>Supplier Performance</w:t>
      </w:r>
      <w:r w:rsidR="00164906">
        <w:t xml:space="preserve"> Management</w:t>
      </w:r>
    </w:p>
    <w:p w14:paraId="675EE25D" w14:textId="12202A15" w:rsidR="00F30037" w:rsidRDefault="00F30037" w:rsidP="00F30037">
      <w:pPr>
        <w:pStyle w:val="Heading2"/>
        <w:keepNext/>
        <w:keepLines/>
        <w:spacing w:before="320" w:after="120"/>
      </w:pPr>
      <w:r>
        <w:t xml:space="preserve">CMU will continually monitor the successful suppliers’ performance for this framework </w:t>
      </w:r>
      <w:r w:rsidR="00953BB7">
        <w:t>during</w:t>
      </w:r>
      <w:r w:rsidR="00324B4E">
        <w:t xml:space="preserve"> the contract period</w:t>
      </w:r>
      <w:r w:rsidR="0078482C">
        <w:t>.</w:t>
      </w:r>
      <w:r w:rsidR="00AF4175">
        <w:t xml:space="preserve"> </w:t>
      </w:r>
      <w:r w:rsidR="0078482C">
        <w:t>A</w:t>
      </w:r>
      <w:r w:rsidR="00AF4175">
        <w:t>s a minimum</w:t>
      </w:r>
      <w:r w:rsidR="0078482C">
        <w:t>,</w:t>
      </w:r>
      <w:r w:rsidR="00AF4175">
        <w:t xml:space="preserve"> CMU will use</w:t>
      </w:r>
      <w:r w:rsidR="00324B4E">
        <w:t xml:space="preserve"> a supplier scorecard </w:t>
      </w:r>
      <w:r w:rsidR="00AF4175">
        <w:t xml:space="preserve">process which </w:t>
      </w:r>
      <w:r w:rsidR="00324B4E">
        <w:t xml:space="preserve">will monitor: </w:t>
      </w:r>
    </w:p>
    <w:p w14:paraId="3E1EF9F4" w14:textId="77777777" w:rsidR="00324B4E" w:rsidRDefault="00324B4E" w:rsidP="0027095A">
      <w:pPr>
        <w:pStyle w:val="ListParagraph"/>
        <w:numPr>
          <w:ilvl w:val="0"/>
          <w:numId w:val="6"/>
        </w:numPr>
      </w:pPr>
      <w:r>
        <w:t>Volume of product supplied</w:t>
      </w:r>
    </w:p>
    <w:p w14:paraId="4567DC42" w14:textId="77777777" w:rsidR="00324B4E" w:rsidRDefault="00324B4E" w:rsidP="0027095A">
      <w:pPr>
        <w:pStyle w:val="ListParagraph"/>
        <w:numPr>
          <w:ilvl w:val="0"/>
          <w:numId w:val="6"/>
        </w:numPr>
      </w:pPr>
      <w:r>
        <w:t xml:space="preserve">Quantity of stock </w:t>
      </w:r>
      <w:r w:rsidR="00AF4175">
        <w:t>held</w:t>
      </w:r>
    </w:p>
    <w:p w14:paraId="3C79A8EB" w14:textId="77777777" w:rsidR="00324B4E" w:rsidRDefault="00324B4E" w:rsidP="0027095A">
      <w:pPr>
        <w:pStyle w:val="ListParagraph"/>
        <w:numPr>
          <w:ilvl w:val="0"/>
          <w:numId w:val="6"/>
        </w:numPr>
      </w:pPr>
      <w:r>
        <w:t>Number of complaints received</w:t>
      </w:r>
      <w:r w:rsidR="00AF4175">
        <w:t xml:space="preserve"> in relation to number of orders received</w:t>
      </w:r>
    </w:p>
    <w:p w14:paraId="22520A27" w14:textId="77777777" w:rsidR="00324B4E" w:rsidRDefault="00324B4E" w:rsidP="0027095A">
      <w:pPr>
        <w:pStyle w:val="ListParagraph"/>
        <w:numPr>
          <w:ilvl w:val="0"/>
          <w:numId w:val="6"/>
        </w:numPr>
      </w:pPr>
      <w:r>
        <w:t>Receipt of monthly MI by the required date and in the required format</w:t>
      </w:r>
      <w:r w:rsidR="0078482C">
        <w:t>.</w:t>
      </w:r>
    </w:p>
    <w:p w14:paraId="405C3849" w14:textId="77777777" w:rsidR="00324B4E" w:rsidRDefault="00324B4E" w:rsidP="00324B4E"/>
    <w:p w14:paraId="2CE81240" w14:textId="77777777" w:rsidR="004D52DA" w:rsidRDefault="004D52DA" w:rsidP="008F5BA0">
      <w:pPr>
        <w:pStyle w:val="Heading3"/>
      </w:pPr>
      <w:r>
        <w:t>Each of th</w:t>
      </w:r>
      <w:r w:rsidR="00324B4E">
        <w:t>ese areas</w:t>
      </w:r>
      <w:r>
        <w:t xml:space="preserve"> will be</w:t>
      </w:r>
      <w:r w:rsidR="00324B4E">
        <w:t xml:space="preserve"> given a score on a monthly </w:t>
      </w:r>
      <w:r w:rsidR="00AF4175">
        <w:t>basis and these scores</w:t>
      </w:r>
      <w:r w:rsidR="00324B4E">
        <w:t xml:space="preserve"> are used to </w:t>
      </w:r>
      <w:r w:rsidR="00615BB4">
        <w:t>obtain</w:t>
      </w:r>
      <w:r w:rsidR="00324B4E">
        <w:t xml:space="preserve"> a quarterly score</w:t>
      </w:r>
      <w:r w:rsidR="00AF4175">
        <w:t xml:space="preserve"> for the supplier. </w:t>
      </w:r>
    </w:p>
    <w:p w14:paraId="5E10F0E6" w14:textId="76FB296A" w:rsidR="004D52DA" w:rsidRPr="00312FD1" w:rsidRDefault="00AF4175" w:rsidP="008F5BA0">
      <w:pPr>
        <w:pStyle w:val="Heading3"/>
      </w:pPr>
      <w:r>
        <w:t>Suppliers are required to score above a minimum score of 80% for each area. Suppliers</w:t>
      </w:r>
      <w:r w:rsidR="008F5BA0">
        <w:t>'</w:t>
      </w:r>
      <w:r>
        <w:t xml:space="preserve"> scores will be discussed in supplier review meetings which will be held on a </w:t>
      </w:r>
      <w:r w:rsidRPr="00312FD1">
        <w:t xml:space="preserve">regular basis throughout the </w:t>
      </w:r>
      <w:r w:rsidR="00B101DE" w:rsidRPr="00312FD1">
        <w:t>term</w:t>
      </w:r>
      <w:r w:rsidRPr="00312FD1">
        <w:t xml:space="preserve"> of the framework. </w:t>
      </w:r>
    </w:p>
    <w:p w14:paraId="4AF6849E" w14:textId="77777777" w:rsidR="00324B4E" w:rsidRPr="00312FD1" w:rsidRDefault="00AF4175" w:rsidP="008F5BA0">
      <w:pPr>
        <w:pStyle w:val="Heading3"/>
      </w:pPr>
      <w:r w:rsidRPr="00312FD1">
        <w:t>Further details on the supplier scorecard can be viewed in the Excel spreadsheet attached below.</w:t>
      </w:r>
    </w:p>
    <w:p w14:paraId="6E4A6BCD" w14:textId="77777777" w:rsidR="002B1715" w:rsidRPr="00312FD1" w:rsidRDefault="002B1715" w:rsidP="00324B4E">
      <w:pPr>
        <w:ind w:left="360"/>
      </w:pPr>
    </w:p>
    <w:bookmarkStart w:id="5" w:name="_MON_1635084328"/>
    <w:bookmarkEnd w:id="5"/>
    <w:p w14:paraId="38167F79" w14:textId="77777777" w:rsidR="00AF4175" w:rsidRDefault="00CE1303" w:rsidP="00324B4E">
      <w:pPr>
        <w:ind w:left="360"/>
      </w:pPr>
      <w:r>
        <w:object w:dxaOrig="2556" w:dyaOrig="1623" w14:anchorId="7307D5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78pt" o:ole="">
            <v:imagedata r:id="rId12" o:title=""/>
          </v:shape>
          <o:OLEObject Type="Embed" ProgID="Excel.Sheet.12" ShapeID="_x0000_i1025" DrawAspect="Icon" ObjectID="_1643804663" r:id="rId13"/>
        </w:object>
      </w:r>
    </w:p>
    <w:p w14:paraId="5225234A" w14:textId="2AADC544" w:rsidR="004D52DA" w:rsidRDefault="004D52DA" w:rsidP="004D52DA">
      <w:pPr>
        <w:pStyle w:val="Heading2"/>
        <w:keepNext/>
        <w:keepLines/>
        <w:spacing w:before="320" w:after="120"/>
      </w:pPr>
      <w:r>
        <w:t>CMU will operate a Customer Complaints procedure and all customer complaints will be recorded. This procedure will assist CMU in monitoring supplier performance</w:t>
      </w:r>
      <w:r w:rsidR="008F5BA0">
        <w:t>.</w:t>
      </w:r>
      <w:r>
        <w:t xml:space="preserve"> </w:t>
      </w:r>
      <w:r w:rsidR="008F5BA0">
        <w:t>A</w:t>
      </w:r>
      <w:r>
        <w:t>ny such complaints will be taken up with the supplier and a resolution to the issue sought.</w:t>
      </w:r>
    </w:p>
    <w:p w14:paraId="75C7C205" w14:textId="77777777" w:rsidR="004D52DA" w:rsidRDefault="004D52DA" w:rsidP="004D52DA">
      <w:pPr>
        <w:pStyle w:val="Heading2"/>
        <w:keepNext/>
        <w:keepLines/>
        <w:spacing w:before="320" w:after="120"/>
      </w:pPr>
      <w:r>
        <w:t xml:space="preserve">CMU will conduct </w:t>
      </w:r>
      <w:r w:rsidR="009E2808">
        <w:t>r</w:t>
      </w:r>
      <w:r>
        <w:t>eview meetings with suppliers and expect successful Offerors to attend such meetings.</w:t>
      </w:r>
    </w:p>
    <w:p w14:paraId="0B6B287D" w14:textId="77777777" w:rsidR="004D52DA" w:rsidRDefault="004D52DA" w:rsidP="004D52DA">
      <w:pPr>
        <w:pStyle w:val="Heading2"/>
        <w:keepNext/>
        <w:keepLines/>
        <w:spacing w:before="320" w:after="120"/>
      </w:pPr>
      <w:r>
        <w:t>Individual Participating Authorities may set individual SLAs with successful Offerors to monitor supplier performance.</w:t>
      </w:r>
    </w:p>
    <w:p w14:paraId="28FD01D4" w14:textId="77777777" w:rsidR="004D52DA" w:rsidRDefault="004D52DA" w:rsidP="004D52DA">
      <w:pPr>
        <w:pStyle w:val="Heading2"/>
        <w:keepNext/>
        <w:keepLines/>
        <w:spacing w:before="320" w:after="120"/>
      </w:pPr>
      <w:r>
        <w:t>Successful Offerors are required to operate a customer complaints procedure and have an escalation process in place to deal with customer issues. Both the customer complaints procedure and escalation process must be provided upon request.</w:t>
      </w:r>
    </w:p>
    <w:p w14:paraId="0D3BE142" w14:textId="77777777" w:rsidR="004D52DA" w:rsidRDefault="004D52DA" w:rsidP="004D52DA">
      <w:pPr>
        <w:pStyle w:val="Heading2"/>
        <w:keepNext/>
        <w:keepLines/>
        <w:spacing w:before="320" w:after="120"/>
      </w:pPr>
      <w:r>
        <w:t>Successful Offerors are required to have a product recall procedure in place. The recall procedure must be provided upon request.</w:t>
      </w:r>
    </w:p>
    <w:p w14:paraId="4D3D6024" w14:textId="77777777" w:rsidR="004D52DA" w:rsidRPr="00F97BF6" w:rsidRDefault="004D52DA" w:rsidP="004D52DA">
      <w:pPr>
        <w:pStyle w:val="Heading1"/>
        <w:keepNext/>
        <w:keepLines/>
        <w:spacing w:after="120"/>
        <w:contextualSpacing w:val="0"/>
      </w:pPr>
      <w:r w:rsidRPr="00F97BF6">
        <w:t xml:space="preserve">Participating Authorities </w:t>
      </w:r>
    </w:p>
    <w:p w14:paraId="469E23A3" w14:textId="77777777" w:rsidR="004D52DA" w:rsidRPr="00AF3AA5" w:rsidRDefault="004D52DA" w:rsidP="004D52DA">
      <w:pPr>
        <w:pStyle w:val="Heading2"/>
        <w:keepNext/>
        <w:keepLines/>
        <w:spacing w:before="320" w:after="120"/>
      </w:pPr>
      <w:r w:rsidRPr="00F97BF6">
        <w:t>A list of the Participating Authorities in this framework agreement</w:t>
      </w:r>
      <w:r>
        <w:t xml:space="preserve"> can be found in </w:t>
      </w:r>
      <w:r w:rsidRPr="00AF3AA5">
        <w:t>Document No. 0</w:t>
      </w:r>
      <w:r w:rsidR="00DF6E85" w:rsidRPr="00AF3AA5">
        <w:t>4</w:t>
      </w:r>
      <w:r w:rsidRPr="00AF3AA5">
        <w:t xml:space="preserve">d </w:t>
      </w:r>
      <w:r w:rsidR="0046139E" w:rsidRPr="00AF3AA5">
        <w:t>–</w:t>
      </w:r>
      <w:r w:rsidRPr="00AF3AA5">
        <w:t xml:space="preserve"> </w:t>
      </w:r>
      <w:r w:rsidR="0046139E" w:rsidRPr="00AF3AA5">
        <w:t>Haemophilia A</w:t>
      </w:r>
      <w:r w:rsidRPr="00AF3AA5">
        <w:t xml:space="preserve"> - Participating Authorities. </w:t>
      </w:r>
    </w:p>
    <w:p w14:paraId="3BCA06E5" w14:textId="77777777" w:rsidR="00F30037" w:rsidRDefault="00F30037" w:rsidP="00F30037">
      <w:pPr>
        <w:pStyle w:val="Heading1"/>
        <w:keepNext/>
        <w:keepLines/>
        <w:spacing w:after="120"/>
        <w:contextualSpacing w:val="0"/>
      </w:pPr>
      <w:bookmarkStart w:id="6" w:name="_Hlk33086772"/>
      <w:r>
        <w:t xml:space="preserve">Supplementary Information </w:t>
      </w:r>
    </w:p>
    <w:p w14:paraId="611192FF" w14:textId="35421AEF" w:rsidR="0029241F" w:rsidRPr="0029241F" w:rsidRDefault="00F30037" w:rsidP="00407E60">
      <w:pPr>
        <w:pStyle w:val="Heading2"/>
        <w:keepNext/>
        <w:keepLines/>
        <w:spacing w:before="320" w:after="120"/>
      </w:pPr>
      <w:r>
        <w:t xml:space="preserve">Offerors are given the opportunity to provide </w:t>
      </w:r>
      <w:r w:rsidR="008F5BA0">
        <w:t xml:space="preserve">the </w:t>
      </w:r>
      <w:r>
        <w:t>additional information</w:t>
      </w:r>
      <w:r w:rsidR="008F5BA0">
        <w:t xml:space="preserve"> set out</w:t>
      </w:r>
      <w:r>
        <w:t xml:space="preserve"> </w:t>
      </w:r>
      <w:r w:rsidR="00F929CE" w:rsidRPr="00694C6F">
        <w:t xml:space="preserve">in </w:t>
      </w:r>
      <w:r w:rsidR="00F929CE" w:rsidRPr="00AF3AA5">
        <w:t xml:space="preserve">Document No. </w:t>
      </w:r>
      <w:r w:rsidR="007073AE" w:rsidRPr="00AF3AA5">
        <w:t>05</w:t>
      </w:r>
      <w:r w:rsidR="00F06D1B" w:rsidRPr="00AF3AA5">
        <w:t>a</w:t>
      </w:r>
      <w:r w:rsidR="006556F8" w:rsidRPr="00AF3AA5">
        <w:t xml:space="preserve"> </w:t>
      </w:r>
      <w:r w:rsidR="0046139E" w:rsidRPr="00AF3AA5">
        <w:t>–</w:t>
      </w:r>
      <w:r w:rsidR="006556F8" w:rsidRPr="00AF3AA5">
        <w:t xml:space="preserve"> </w:t>
      </w:r>
      <w:r w:rsidR="0046139E" w:rsidRPr="00AF3AA5">
        <w:t>Haemophilia A</w:t>
      </w:r>
      <w:r w:rsidR="006556F8" w:rsidRPr="00AF3AA5">
        <w:t xml:space="preserve"> -</w:t>
      </w:r>
      <w:r w:rsidR="00F929CE" w:rsidRPr="00AF3AA5">
        <w:t xml:space="preserve"> Offer Schedule </w:t>
      </w:r>
      <w:r w:rsidR="008A0CA0" w:rsidRPr="00AF3AA5">
        <w:t xml:space="preserve">- </w:t>
      </w:r>
      <w:r w:rsidR="00F929CE" w:rsidRPr="00AF3AA5">
        <w:t>Add</w:t>
      </w:r>
      <w:r w:rsidR="006556F8" w:rsidRPr="00AF3AA5">
        <w:t xml:space="preserve">itional </w:t>
      </w:r>
      <w:r w:rsidR="00F929CE" w:rsidRPr="00AF3AA5">
        <w:t>Info</w:t>
      </w:r>
      <w:r w:rsidR="006556F8" w:rsidRPr="00AF3AA5">
        <w:t xml:space="preserve">rmation </w:t>
      </w:r>
      <w:r w:rsidRPr="00AF3AA5">
        <w:t>to</w:t>
      </w:r>
      <w:r w:rsidRPr="00FA1D60">
        <w:t xml:space="preserve"> supplement their of</w:t>
      </w:r>
      <w:r w:rsidRPr="008A0CA0">
        <w:t>fer.</w:t>
      </w:r>
      <w:r w:rsidRPr="00694C6F">
        <w:t xml:space="preserve"> </w:t>
      </w:r>
      <w:r w:rsidR="008F5BA0">
        <w:t xml:space="preserve">No other supplementary information will be accepted. </w:t>
      </w:r>
    </w:p>
    <w:p w14:paraId="2ECCAA0E" w14:textId="7210CE63" w:rsidR="0029241F" w:rsidRPr="00982B9D" w:rsidRDefault="0029241F" w:rsidP="008F5BA0">
      <w:pPr>
        <w:pStyle w:val="Heading3"/>
      </w:pPr>
      <w:r w:rsidRPr="00982B9D">
        <w:t xml:space="preserve">Alternative pricing proposals </w:t>
      </w:r>
      <w:r w:rsidRPr="00AF3AA5">
        <w:rPr>
          <w:b/>
        </w:rPr>
        <w:t xml:space="preserve">will </w:t>
      </w:r>
      <w:r w:rsidR="005E2742">
        <w:rPr>
          <w:b/>
        </w:rPr>
        <w:t>NOT</w:t>
      </w:r>
      <w:r w:rsidRPr="00982B9D">
        <w:t xml:space="preserve"> be accepted from any bidder as part of their supplementary information.  Supplementary information is classified as any value-added services a bidder may have in place and could offer to patients, treaters and/or the NHS.</w:t>
      </w:r>
    </w:p>
    <w:p w14:paraId="0EE42AF8" w14:textId="7A411B99" w:rsidR="00ED15F5" w:rsidRDefault="00F30037" w:rsidP="008F5BA0">
      <w:pPr>
        <w:pStyle w:val="Heading3"/>
      </w:pPr>
      <w:r w:rsidRPr="00694C6F">
        <w:t>Such information may</w:t>
      </w:r>
      <w:r w:rsidR="008F5BA0">
        <w:t xml:space="preserve"> </w:t>
      </w:r>
      <w:r w:rsidRPr="00694C6F">
        <w:t xml:space="preserve">be included by </w:t>
      </w:r>
      <w:r w:rsidR="00ED15F5">
        <w:t xml:space="preserve">the </w:t>
      </w:r>
      <w:r w:rsidRPr="00694C6F">
        <w:t xml:space="preserve">CMU in the final </w:t>
      </w:r>
      <w:r w:rsidR="007E41A9">
        <w:t xml:space="preserve">Framework Agreement </w:t>
      </w:r>
      <w:r w:rsidRPr="00694C6F">
        <w:t>Stakeholder</w:t>
      </w:r>
      <w:r w:rsidRPr="00C02DF2">
        <w:t xml:space="preserve"> Briefing</w:t>
      </w:r>
      <w:r>
        <w:t xml:space="preserve"> Document </w:t>
      </w:r>
      <w:r w:rsidR="007E41A9">
        <w:t xml:space="preserve">which is shared with Participating Authorities </w:t>
      </w:r>
      <w:r>
        <w:t xml:space="preserve">but </w:t>
      </w:r>
      <w:r w:rsidRPr="005E2742">
        <w:rPr>
          <w:b/>
        </w:rPr>
        <w:t>will NOT</w:t>
      </w:r>
      <w:r>
        <w:t xml:space="preserve"> be </w:t>
      </w:r>
      <w:r w:rsidR="008F5BA0">
        <w:t>evaluated as part of this tender</w:t>
      </w:r>
      <w:r>
        <w:t xml:space="preserve">. </w:t>
      </w:r>
    </w:p>
    <w:p w14:paraId="625119CC" w14:textId="77777777" w:rsidR="00B8347E" w:rsidRDefault="00F30037" w:rsidP="008F5BA0">
      <w:pPr>
        <w:pStyle w:val="Heading3"/>
      </w:pPr>
      <w:r>
        <w:t xml:space="preserve">Please ensure any supplementary information is </w:t>
      </w:r>
      <w:r w:rsidRPr="00414AD8">
        <w:t xml:space="preserve">labelled clearly and is included with your offer submission. Please note due to system restrictions each attachment can be no </w:t>
      </w:r>
      <w:r w:rsidR="00286AAC" w:rsidRPr="00414AD8">
        <w:t>larger than 2MB.</w:t>
      </w:r>
    </w:p>
    <w:bookmarkEnd w:id="6"/>
    <w:p w14:paraId="5C579FAB" w14:textId="77777777" w:rsidR="00127D62" w:rsidRDefault="00127D62" w:rsidP="00127D62"/>
    <w:p w14:paraId="289546ED" w14:textId="77777777" w:rsidR="00127D62" w:rsidRDefault="00127D62" w:rsidP="00127D62">
      <w:pPr>
        <w:sectPr w:rsidR="00127D62" w:rsidSect="00DF6E85">
          <w:headerReference w:type="default" r:id="rId14"/>
          <w:footerReference w:type="default" r:id="rId15"/>
          <w:pgSz w:w="11906" w:h="16838" w:code="9"/>
          <w:pgMar w:top="1440" w:right="1440" w:bottom="1440" w:left="1440" w:header="709" w:footer="709" w:gutter="0"/>
          <w:cols w:space="708"/>
          <w:docGrid w:linePitch="360"/>
        </w:sectPr>
      </w:pPr>
    </w:p>
    <w:p w14:paraId="01CEC9D8" w14:textId="77777777" w:rsidR="00127D62" w:rsidRPr="003842B4" w:rsidRDefault="00C43D95" w:rsidP="00127D62">
      <w:pPr>
        <w:rPr>
          <w:rFonts w:cs="Arial"/>
          <w:b/>
          <w:sz w:val="72"/>
          <w:szCs w:val="72"/>
          <w:lang w:eastAsia="en-GB"/>
        </w:rPr>
      </w:pPr>
      <w:r w:rsidRPr="003842B4">
        <w:rPr>
          <w:rFonts w:cs="Arial"/>
          <w:b/>
          <w:sz w:val="72"/>
          <w:szCs w:val="72"/>
          <w:lang w:eastAsia="en-GB"/>
        </w:rPr>
        <w:lastRenderedPageBreak/>
        <w:t xml:space="preserve">FAO: </w:t>
      </w:r>
      <w:r w:rsidR="0046139E" w:rsidRPr="003842B4">
        <w:rPr>
          <w:rFonts w:cs="Arial"/>
          <w:b/>
          <w:sz w:val="72"/>
          <w:szCs w:val="72"/>
          <w:lang w:eastAsia="en-GB"/>
        </w:rPr>
        <w:t>Catherine Harrison</w:t>
      </w:r>
    </w:p>
    <w:p w14:paraId="75220B7A" w14:textId="77777777" w:rsidR="00C43D95" w:rsidRPr="003842B4" w:rsidRDefault="00C43D95" w:rsidP="00127D62">
      <w:pPr>
        <w:rPr>
          <w:rFonts w:cs="Arial"/>
          <w:sz w:val="72"/>
          <w:szCs w:val="72"/>
          <w:lang w:eastAsia="en-GB"/>
        </w:rPr>
      </w:pPr>
    </w:p>
    <w:p w14:paraId="361F4760" w14:textId="77777777" w:rsidR="00C43D95" w:rsidRPr="003842B4" w:rsidRDefault="003842B4" w:rsidP="00127D62">
      <w:pPr>
        <w:rPr>
          <w:rFonts w:cs="Arial"/>
          <w:sz w:val="52"/>
          <w:szCs w:val="52"/>
          <w:lang w:eastAsia="en-GB"/>
        </w:rPr>
      </w:pPr>
      <w:r w:rsidRPr="003842B4">
        <w:rPr>
          <w:rFonts w:cs="Arial"/>
          <w:sz w:val="52"/>
          <w:szCs w:val="52"/>
          <w:lang w:eastAsia="en-GB"/>
        </w:rPr>
        <w:t xml:space="preserve">Sheffield </w:t>
      </w:r>
      <w:r w:rsidR="006D5916" w:rsidRPr="003842B4">
        <w:rPr>
          <w:rFonts w:cs="Arial"/>
          <w:sz w:val="52"/>
          <w:szCs w:val="52"/>
          <w:lang w:eastAsia="en-GB"/>
        </w:rPr>
        <w:t xml:space="preserve">Haemophilia </w:t>
      </w:r>
      <w:r w:rsidRPr="003842B4">
        <w:rPr>
          <w:rFonts w:cs="Arial"/>
          <w:sz w:val="52"/>
          <w:szCs w:val="52"/>
          <w:lang w:eastAsia="en-GB"/>
        </w:rPr>
        <w:t>&amp; Thrombosis Centre (p100) p Floor</w:t>
      </w:r>
      <w:r w:rsidR="006D5916" w:rsidRPr="003842B4">
        <w:rPr>
          <w:rFonts w:cs="Arial"/>
          <w:sz w:val="52"/>
          <w:szCs w:val="52"/>
          <w:lang w:eastAsia="en-GB"/>
        </w:rPr>
        <w:t xml:space="preserve"> </w:t>
      </w:r>
    </w:p>
    <w:p w14:paraId="6902089C" w14:textId="77777777" w:rsidR="00C43D95" w:rsidRPr="003842B4" w:rsidRDefault="003842B4" w:rsidP="00127D62">
      <w:pPr>
        <w:rPr>
          <w:rFonts w:cs="Arial"/>
          <w:sz w:val="52"/>
          <w:szCs w:val="52"/>
          <w:lang w:eastAsia="en-GB"/>
        </w:rPr>
      </w:pPr>
      <w:r w:rsidRPr="003842B4">
        <w:rPr>
          <w:rFonts w:cs="Arial"/>
          <w:sz w:val="52"/>
          <w:szCs w:val="52"/>
          <w:lang w:eastAsia="en-GB"/>
        </w:rPr>
        <w:t>Royal Hallamshire Hospital</w:t>
      </w:r>
    </w:p>
    <w:p w14:paraId="0E11479B" w14:textId="77777777" w:rsidR="00C43D95" w:rsidRPr="003842B4" w:rsidRDefault="003842B4" w:rsidP="00127D62">
      <w:pPr>
        <w:rPr>
          <w:rFonts w:cs="Arial"/>
          <w:sz w:val="52"/>
          <w:szCs w:val="52"/>
          <w:lang w:eastAsia="en-GB"/>
        </w:rPr>
      </w:pPr>
      <w:r w:rsidRPr="003842B4">
        <w:rPr>
          <w:rFonts w:cs="Arial"/>
          <w:sz w:val="52"/>
          <w:szCs w:val="52"/>
          <w:lang w:eastAsia="en-GB"/>
        </w:rPr>
        <w:t>Glossop Road</w:t>
      </w:r>
      <w:r w:rsidR="006D5916" w:rsidRPr="003842B4">
        <w:rPr>
          <w:rFonts w:cs="Arial"/>
          <w:sz w:val="52"/>
          <w:szCs w:val="52"/>
          <w:lang w:eastAsia="en-GB"/>
        </w:rPr>
        <w:t xml:space="preserve"> </w:t>
      </w:r>
    </w:p>
    <w:p w14:paraId="47F4AD3F" w14:textId="77777777" w:rsidR="00127D62" w:rsidRPr="003842B4" w:rsidRDefault="003842B4" w:rsidP="00127D62">
      <w:pPr>
        <w:rPr>
          <w:rFonts w:cs="Arial"/>
          <w:sz w:val="52"/>
          <w:szCs w:val="52"/>
          <w:lang w:eastAsia="en-GB"/>
        </w:rPr>
      </w:pPr>
      <w:r w:rsidRPr="003842B4">
        <w:rPr>
          <w:rFonts w:cs="Arial"/>
          <w:sz w:val="52"/>
          <w:szCs w:val="52"/>
          <w:lang w:eastAsia="en-GB"/>
        </w:rPr>
        <w:t>Sheffield</w:t>
      </w:r>
    </w:p>
    <w:p w14:paraId="10A71C9C" w14:textId="77777777" w:rsidR="003842B4" w:rsidRPr="003842B4" w:rsidRDefault="003842B4" w:rsidP="00127D62">
      <w:pPr>
        <w:rPr>
          <w:rFonts w:cs="Arial"/>
          <w:sz w:val="52"/>
          <w:szCs w:val="52"/>
        </w:rPr>
      </w:pPr>
      <w:r w:rsidRPr="003842B4">
        <w:rPr>
          <w:rFonts w:cs="Arial"/>
          <w:sz w:val="52"/>
          <w:szCs w:val="52"/>
        </w:rPr>
        <w:t>S10 2JF</w:t>
      </w:r>
    </w:p>
    <w:p w14:paraId="76015486" w14:textId="77777777" w:rsidR="00127D62" w:rsidRDefault="00127D62" w:rsidP="00127D62">
      <w:pPr>
        <w:rPr>
          <w:rFonts w:cs="Arial"/>
          <w:sz w:val="56"/>
          <w:szCs w:val="56"/>
        </w:rPr>
      </w:pPr>
    </w:p>
    <w:p w14:paraId="2C14A04D" w14:textId="77777777" w:rsidR="003842B4" w:rsidRDefault="003842B4" w:rsidP="00127D62">
      <w:pPr>
        <w:rPr>
          <w:rFonts w:cs="Arial"/>
          <w:sz w:val="56"/>
          <w:szCs w:val="56"/>
        </w:rPr>
      </w:pPr>
    </w:p>
    <w:p w14:paraId="2E567B1F" w14:textId="77777777" w:rsidR="00127D62" w:rsidRDefault="00127D62" w:rsidP="00127D62">
      <w:pPr>
        <w:rPr>
          <w:rFonts w:cs="Arial"/>
          <w:sz w:val="36"/>
          <w:szCs w:val="36"/>
        </w:rPr>
      </w:pPr>
      <w:r w:rsidRPr="003A1AAB">
        <w:rPr>
          <w:rFonts w:cs="Arial"/>
          <w:sz w:val="36"/>
          <w:szCs w:val="36"/>
        </w:rPr>
        <w:t>Supplier Name:</w:t>
      </w:r>
      <w:r>
        <w:rPr>
          <w:rFonts w:cs="Arial"/>
          <w:sz w:val="36"/>
          <w:szCs w:val="36"/>
        </w:rPr>
        <w:t xml:space="preserve">   </w:t>
      </w:r>
      <w:r w:rsidRPr="003A1AAB">
        <w:rPr>
          <w:rFonts w:cs="Arial"/>
          <w:sz w:val="36"/>
          <w:szCs w:val="36"/>
        </w:rPr>
        <w:t>………………………………………………………………………….</w:t>
      </w:r>
    </w:p>
    <w:p w14:paraId="46BE233C" w14:textId="77777777" w:rsidR="00127D62" w:rsidRDefault="00127D62" w:rsidP="00127D62">
      <w:pPr>
        <w:rPr>
          <w:rFonts w:cs="Arial"/>
          <w:sz w:val="36"/>
          <w:szCs w:val="36"/>
        </w:rPr>
      </w:pPr>
    </w:p>
    <w:p w14:paraId="075A9FE0" w14:textId="77777777" w:rsidR="00127D62" w:rsidRDefault="00127D62" w:rsidP="00127D62">
      <w:pPr>
        <w:rPr>
          <w:rFonts w:cs="Arial"/>
          <w:sz w:val="36"/>
          <w:szCs w:val="36"/>
        </w:rPr>
      </w:pPr>
    </w:p>
    <w:p w14:paraId="3AB3F724" w14:textId="77777777" w:rsidR="00127D62" w:rsidRDefault="00127D62" w:rsidP="00127D62">
      <w:pPr>
        <w:rPr>
          <w:rFonts w:cs="Arial"/>
          <w:b/>
          <w:sz w:val="36"/>
          <w:szCs w:val="36"/>
        </w:rPr>
      </w:pPr>
      <w:r w:rsidRPr="003A1AAB">
        <w:rPr>
          <w:rFonts w:cs="Arial"/>
          <w:b/>
          <w:sz w:val="36"/>
          <w:szCs w:val="36"/>
        </w:rPr>
        <w:t>Reference:</w:t>
      </w:r>
      <w:r>
        <w:rPr>
          <w:rFonts w:cs="Arial"/>
          <w:b/>
          <w:sz w:val="36"/>
          <w:szCs w:val="36"/>
        </w:rPr>
        <w:t xml:space="preserve">  CM/PHS/17/55</w:t>
      </w:r>
      <w:r w:rsidR="0046139E">
        <w:rPr>
          <w:rFonts w:cs="Arial"/>
          <w:b/>
          <w:sz w:val="36"/>
          <w:szCs w:val="36"/>
        </w:rPr>
        <w:t>6</w:t>
      </w:r>
      <w:r>
        <w:rPr>
          <w:rFonts w:cs="Arial"/>
          <w:b/>
          <w:sz w:val="36"/>
          <w:szCs w:val="36"/>
        </w:rPr>
        <w:t>4</w:t>
      </w:r>
    </w:p>
    <w:p w14:paraId="251D04B5" w14:textId="77777777" w:rsidR="0060583F" w:rsidRDefault="0060583F" w:rsidP="00127D62"/>
    <w:p w14:paraId="654A6B6B" w14:textId="287AE42F" w:rsidR="0060583F" w:rsidRPr="0060583F" w:rsidRDefault="0060583F" w:rsidP="00127D62"/>
    <w:sectPr w:rsidR="0060583F" w:rsidRPr="0060583F" w:rsidSect="004D52DA">
      <w:headerReference w:type="default" r:id="rId16"/>
      <w:footerReference w:type="default" r:id="rId17"/>
      <w:pgSz w:w="16838" w:h="11906" w:orient="landscape" w:code="9"/>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B8FE1" w14:textId="77777777" w:rsidR="00280C99" w:rsidRDefault="00280C99">
      <w:r>
        <w:separator/>
      </w:r>
    </w:p>
  </w:endnote>
  <w:endnote w:type="continuationSeparator" w:id="0">
    <w:p w14:paraId="3A01AAD9" w14:textId="77777777" w:rsidR="00280C99" w:rsidRDefault="0028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656D" w14:textId="77777777" w:rsidR="002D06BB" w:rsidRDefault="002D06BB" w:rsidP="00F17381">
    <w:pPr>
      <w:rPr>
        <w:iCs/>
        <w:color w:val="A6A6A6" w:themeColor="background1" w:themeShade="A6"/>
        <w:szCs w:val="22"/>
      </w:rPr>
    </w:pPr>
  </w:p>
  <w:p w14:paraId="5619C311" w14:textId="77777777" w:rsidR="002D06BB" w:rsidRPr="00286AAC" w:rsidRDefault="002D06BB" w:rsidP="00F17381">
    <w:pPr>
      <w:rPr>
        <w:iCs/>
        <w:color w:val="808080" w:themeColor="background1" w:themeShade="80"/>
        <w:sz w:val="20"/>
      </w:rPr>
    </w:pPr>
    <w:r w:rsidRPr="00286AAC">
      <w:rPr>
        <w:iCs/>
        <w:color w:val="808080" w:themeColor="background1" w:themeShade="80"/>
        <w:sz w:val="20"/>
      </w:rPr>
      <w:t xml:space="preserve">Document No </w:t>
    </w:r>
    <w:r>
      <w:rPr>
        <w:iCs/>
        <w:color w:val="808080" w:themeColor="background1" w:themeShade="80"/>
        <w:sz w:val="20"/>
      </w:rPr>
      <w:t>0</w:t>
    </w:r>
    <w:r w:rsidRPr="00286AAC">
      <w:rPr>
        <w:iCs/>
        <w:color w:val="808080" w:themeColor="background1" w:themeShade="80"/>
        <w:sz w:val="20"/>
      </w:rPr>
      <w:t xml:space="preserve">4a – Contract Technical Specification </w:t>
    </w:r>
  </w:p>
  <w:p w14:paraId="355D3AB1" w14:textId="77777777" w:rsidR="002D06BB" w:rsidRPr="00286AAC" w:rsidRDefault="002D06BB" w:rsidP="00F17381">
    <w:pPr>
      <w:rPr>
        <w:rStyle w:val="PageNumber"/>
        <w:color w:val="808080" w:themeColor="background1" w:themeShade="80"/>
        <w:sz w:val="20"/>
      </w:rPr>
    </w:pPr>
    <w:r w:rsidRPr="00286AAC">
      <w:rPr>
        <w:iCs/>
        <w:color w:val="808080" w:themeColor="background1" w:themeShade="80"/>
        <w:sz w:val="20"/>
      </w:rPr>
      <w:t>© NHS England 20</w:t>
    </w:r>
    <w:r>
      <w:rPr>
        <w:iCs/>
        <w:color w:val="808080" w:themeColor="background1" w:themeShade="80"/>
        <w:sz w:val="20"/>
      </w:rPr>
      <w:t>20</w:t>
    </w:r>
    <w:r w:rsidRPr="00286AAC">
      <w:rPr>
        <w:iCs/>
        <w:color w:val="808080" w:themeColor="background1" w:themeShade="80"/>
        <w:sz w:val="20"/>
      </w:rPr>
      <w:tab/>
    </w:r>
    <w:r w:rsidRPr="00286AAC">
      <w:rPr>
        <w:iCs/>
        <w:color w:val="808080" w:themeColor="background1" w:themeShade="80"/>
        <w:sz w:val="20"/>
      </w:rPr>
      <w:tab/>
    </w:r>
    <w:r w:rsidRPr="00286AAC">
      <w:rPr>
        <w:iCs/>
        <w:color w:val="808080" w:themeColor="background1" w:themeShade="80"/>
        <w:sz w:val="20"/>
      </w:rPr>
      <w:tab/>
      <w:t xml:space="preserve">                                                             </w:t>
    </w:r>
    <w:r w:rsidRPr="00286AAC">
      <w:rPr>
        <w:color w:val="808080" w:themeColor="background1" w:themeShade="80"/>
        <w:sz w:val="20"/>
      </w:rPr>
      <w:t xml:space="preserve">Page </w:t>
    </w:r>
    <w:r w:rsidRPr="00286AAC">
      <w:rPr>
        <w:rStyle w:val="PageNumber"/>
        <w:color w:val="808080" w:themeColor="background1" w:themeShade="80"/>
        <w:sz w:val="20"/>
      </w:rPr>
      <w:fldChar w:fldCharType="begin"/>
    </w:r>
    <w:r w:rsidRPr="00286AAC">
      <w:rPr>
        <w:rStyle w:val="PageNumber"/>
        <w:color w:val="808080" w:themeColor="background1" w:themeShade="80"/>
        <w:sz w:val="20"/>
      </w:rPr>
      <w:instrText xml:space="preserve"> PAGE </w:instrText>
    </w:r>
    <w:r w:rsidRPr="00286AAC">
      <w:rPr>
        <w:rStyle w:val="PageNumber"/>
        <w:color w:val="808080" w:themeColor="background1" w:themeShade="80"/>
        <w:sz w:val="20"/>
      </w:rPr>
      <w:fldChar w:fldCharType="separate"/>
    </w:r>
    <w:r w:rsidR="008F5BA0">
      <w:rPr>
        <w:rStyle w:val="PageNumber"/>
        <w:noProof/>
        <w:color w:val="808080" w:themeColor="background1" w:themeShade="80"/>
        <w:sz w:val="20"/>
      </w:rPr>
      <w:t>17</w:t>
    </w:r>
    <w:r w:rsidRPr="00286AAC">
      <w:rPr>
        <w:rStyle w:val="PageNumber"/>
        <w:color w:val="808080" w:themeColor="background1" w:themeShade="80"/>
        <w:sz w:val="20"/>
      </w:rPr>
      <w:fldChar w:fldCharType="end"/>
    </w:r>
    <w:r w:rsidRPr="00286AAC">
      <w:rPr>
        <w:rStyle w:val="PageNumber"/>
        <w:color w:val="808080" w:themeColor="background1" w:themeShade="80"/>
        <w:sz w:val="20"/>
      </w:rPr>
      <w:t xml:space="preserve"> of </w:t>
    </w:r>
    <w:r w:rsidRPr="00286AAC">
      <w:rPr>
        <w:rStyle w:val="PageNumber"/>
        <w:color w:val="808080" w:themeColor="background1" w:themeShade="80"/>
        <w:sz w:val="20"/>
      </w:rPr>
      <w:fldChar w:fldCharType="begin"/>
    </w:r>
    <w:r w:rsidRPr="00286AAC">
      <w:rPr>
        <w:rStyle w:val="PageNumber"/>
        <w:color w:val="808080" w:themeColor="background1" w:themeShade="80"/>
        <w:sz w:val="20"/>
      </w:rPr>
      <w:instrText xml:space="preserve"> NUMPAGES </w:instrText>
    </w:r>
    <w:r w:rsidRPr="00286AAC">
      <w:rPr>
        <w:rStyle w:val="PageNumber"/>
        <w:color w:val="808080" w:themeColor="background1" w:themeShade="80"/>
        <w:sz w:val="20"/>
      </w:rPr>
      <w:fldChar w:fldCharType="separate"/>
    </w:r>
    <w:r w:rsidR="008F5BA0">
      <w:rPr>
        <w:rStyle w:val="PageNumber"/>
        <w:noProof/>
        <w:color w:val="808080" w:themeColor="background1" w:themeShade="80"/>
        <w:sz w:val="20"/>
      </w:rPr>
      <w:t>18</w:t>
    </w:r>
    <w:r w:rsidRPr="00286AAC">
      <w:rPr>
        <w:rStyle w:val="PageNumber"/>
        <w:color w:val="808080" w:themeColor="background1" w:themeShade="80"/>
        <w:sz w:val="20"/>
      </w:rPr>
      <w:fldChar w:fldCharType="end"/>
    </w:r>
  </w:p>
  <w:p w14:paraId="54A17822" w14:textId="77777777" w:rsidR="002D06BB" w:rsidRPr="00286AAC" w:rsidRDefault="002D06BB" w:rsidP="00C758FA">
    <w:pPr>
      <w:jc w:val="center"/>
      <w:rPr>
        <w:color w:val="808080" w:themeColor="background1" w:themeShade="80"/>
        <w:sz w:val="20"/>
      </w:rPr>
    </w:pPr>
    <w:r w:rsidRPr="00286AAC">
      <w:rPr>
        <w:iCs/>
        <w:color w:val="808080" w:themeColor="background1" w:themeShade="80"/>
        <w:sz w:val="20"/>
      </w:rPr>
      <w:t>OFFICIAL</w:t>
    </w:r>
  </w:p>
  <w:p w14:paraId="518A9667" w14:textId="77777777" w:rsidR="002D06BB" w:rsidRPr="00286AAC" w:rsidRDefault="002D06BB" w:rsidP="00F17381">
    <w:pPr>
      <w:pStyle w:val="Footer"/>
      <w:jc w:val="center"/>
      <w:rPr>
        <w:color w:val="808080" w:themeColor="background1" w:themeShade="8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1F8DA" w14:textId="77777777" w:rsidR="002D06BB" w:rsidRPr="008B1463" w:rsidRDefault="002D06BB" w:rsidP="008B1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F0E71" w14:textId="77777777" w:rsidR="00280C99" w:rsidRDefault="00280C99">
      <w:r>
        <w:separator/>
      </w:r>
    </w:p>
  </w:footnote>
  <w:footnote w:type="continuationSeparator" w:id="0">
    <w:p w14:paraId="1192F977" w14:textId="77777777" w:rsidR="00280C99" w:rsidRDefault="00280C99">
      <w:r>
        <w:continuationSeparator/>
      </w:r>
    </w:p>
  </w:footnote>
  <w:footnote w:id="1">
    <w:p w14:paraId="63FA90AC" w14:textId="77777777" w:rsidR="002D06BB" w:rsidRDefault="002D06BB">
      <w:pPr>
        <w:pStyle w:val="FootnoteText"/>
      </w:pPr>
      <w:r>
        <w:rPr>
          <w:rStyle w:val="FootnoteReference"/>
        </w:rPr>
        <w:footnoteRef/>
      </w:r>
      <w:r>
        <w:t xml:space="preserve"> </w:t>
      </w:r>
      <w:r w:rsidRPr="0042572A">
        <w:rPr>
          <w:sz w:val="16"/>
          <w:szCs w:val="16"/>
        </w:rPr>
        <w:t>UKHCDO Annual Report 2019 &amp; Bleeding Disorder Statistics for 208/2019, Data table for Figure 13, page 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5602E" w14:textId="77777777" w:rsidR="002D06BB" w:rsidRPr="00E73616" w:rsidRDefault="002D06BB" w:rsidP="002A220B">
    <w:pPr>
      <w:pStyle w:val="Header"/>
      <w:jc w:val="left"/>
      <w:rPr>
        <w:color w:val="A6A6A6" w:themeColor="background1" w:themeShade="A6"/>
        <w:sz w:val="20"/>
      </w:rPr>
    </w:pPr>
    <w:r w:rsidRPr="00F72CDC">
      <w:rPr>
        <w:color w:val="A6A6A6" w:themeColor="background1" w:themeShade="A6"/>
        <w:szCs w:val="22"/>
      </w:rPr>
      <w:tab/>
    </w:r>
    <w:r w:rsidRPr="00E73616">
      <w:rPr>
        <w:color w:val="A6A6A6" w:themeColor="background1" w:themeShade="A6"/>
        <w:sz w:val="20"/>
      </w:rPr>
      <w:t>OFFICIAL</w:t>
    </w:r>
    <w:r w:rsidRPr="00E73616">
      <w:rPr>
        <w:color w:val="A6A6A6" w:themeColor="background1" w:themeShade="A6"/>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5A686" w14:textId="77777777" w:rsidR="002D06BB" w:rsidRDefault="002D06BB" w:rsidP="002A220B">
    <w:pPr>
      <w:pStyle w:val="Header"/>
      <w:jc w:val="left"/>
    </w:pPr>
    <w:r>
      <w:rPr>
        <w:b/>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450BE"/>
    <w:multiLevelType w:val="hybridMultilevel"/>
    <w:tmpl w:val="942A7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3E4ECB"/>
    <w:multiLevelType w:val="multilevel"/>
    <w:tmpl w:val="861A1ED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2B3A94"/>
    <w:multiLevelType w:val="hybridMultilevel"/>
    <w:tmpl w:val="F744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C4BE7"/>
    <w:multiLevelType w:val="multilevel"/>
    <w:tmpl w:val="D2746C20"/>
    <w:lvl w:ilvl="0">
      <w:start w:val="1"/>
      <w:numFmt w:val="decimal"/>
      <w:lvlText w:val="%1."/>
      <w:lvlJc w:val="left"/>
      <w:pPr>
        <w:tabs>
          <w:tab w:val="num" w:pos="170"/>
        </w:tabs>
        <w:ind w:left="1418" w:hanging="1418"/>
      </w:pPr>
      <w:rPr>
        <w:rFonts w:ascii="Arial" w:hAnsi="Arial" w:hint="default"/>
        <w:b/>
        <w:i w:val="0"/>
        <w:sz w:val="22"/>
        <w:u w:val="none"/>
      </w:rPr>
    </w:lvl>
    <w:lvl w:ilvl="1">
      <w:start w:val="1"/>
      <w:numFmt w:val="decimal"/>
      <w:lvlText w:val="%2."/>
      <w:lvlJc w:val="left"/>
      <w:pPr>
        <w:tabs>
          <w:tab w:val="num" w:pos="851"/>
        </w:tabs>
        <w:ind w:left="851" w:hanging="851"/>
      </w:pPr>
      <w:rPr>
        <w:rFonts w:ascii="Arial" w:eastAsia="Times New Roman" w:hAnsi="Arial" w:cs="Arial"/>
        <w:b w:val="0"/>
        <w:i w:val="0"/>
        <w:strike w:val="0"/>
        <w:sz w:val="22"/>
        <w:u w:val="none"/>
      </w:rPr>
    </w:lvl>
    <w:lvl w:ilvl="2">
      <w:start w:val="1"/>
      <w:numFmt w:val="decimal"/>
      <w:lvlText w:val="%1.%2.%3"/>
      <w:lvlJc w:val="left"/>
      <w:pPr>
        <w:tabs>
          <w:tab w:val="num" w:pos="1341"/>
        </w:tabs>
        <w:ind w:left="1341" w:hanging="850"/>
      </w:pPr>
      <w:rPr>
        <w:rFonts w:ascii="Arial" w:hAnsi="Arial" w:hint="default"/>
        <w:b w:val="0"/>
        <w:i w:val="0"/>
        <w:sz w:val="22"/>
      </w:rPr>
    </w:lvl>
    <w:lvl w:ilvl="3">
      <w:start w:val="1"/>
      <w:numFmt w:val="lowerLetter"/>
      <w:pStyle w:val="Outline4"/>
      <w:lvlText w:val="(%4)"/>
      <w:lvlJc w:val="left"/>
      <w:pPr>
        <w:tabs>
          <w:tab w:val="num" w:pos="1908"/>
        </w:tabs>
        <w:ind w:left="1908" w:hanging="567"/>
      </w:pPr>
      <w:rPr>
        <w:rFonts w:ascii="Times New Roman" w:hAnsi="Times New Roman" w:hint="default"/>
        <w:b w:val="0"/>
        <w:i w:val="0"/>
        <w:sz w:val="23"/>
      </w:rPr>
    </w:lvl>
    <w:lvl w:ilvl="4">
      <w:start w:val="1"/>
      <w:numFmt w:val="lowerRoman"/>
      <w:pStyle w:val="Outline5"/>
      <w:lvlText w:val="(%5)"/>
      <w:lvlJc w:val="left"/>
      <w:pPr>
        <w:tabs>
          <w:tab w:val="num" w:pos="2628"/>
        </w:tabs>
        <w:ind w:left="2475" w:hanging="567"/>
      </w:pPr>
      <w:rPr>
        <w:rFonts w:ascii="Times New Roman" w:hAnsi="Times New Roman" w:hint="default"/>
        <w:sz w:val="23"/>
      </w:rPr>
    </w:lvl>
    <w:lvl w:ilvl="5">
      <w:start w:val="1"/>
      <w:numFmt w:val="decimal"/>
      <w:pStyle w:val="OutlineInd2"/>
      <w:lvlText w:val="%1.%6"/>
      <w:lvlJc w:val="left"/>
      <w:pPr>
        <w:tabs>
          <w:tab w:val="num" w:pos="1341"/>
        </w:tabs>
        <w:ind w:left="1341" w:hanging="85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192"/>
        </w:tabs>
        <w:ind w:left="2192" w:hanging="851"/>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2759"/>
        </w:tabs>
        <w:ind w:left="2759" w:hanging="567"/>
      </w:pPr>
      <w:rPr>
        <w:rFonts w:ascii="Times New Roman" w:hAnsi="Times New Roman" w:hint="default"/>
        <w:b w:val="0"/>
        <w:i w:val="0"/>
        <w:sz w:val="23"/>
      </w:rPr>
    </w:lvl>
    <w:lvl w:ilvl="8">
      <w:start w:val="1"/>
      <w:numFmt w:val="lowerRoman"/>
      <w:pStyle w:val="OutlineInd5"/>
      <w:lvlText w:val="(%9)"/>
      <w:lvlJc w:val="left"/>
      <w:pPr>
        <w:tabs>
          <w:tab w:val="num" w:pos="3479"/>
        </w:tabs>
        <w:ind w:left="3326" w:hanging="567"/>
      </w:pPr>
      <w:rPr>
        <w:rFonts w:ascii="Times New Roman" w:hAnsi="Times New Roman" w:hint="default"/>
        <w:b w:val="0"/>
        <w:i w:val="0"/>
        <w:sz w:val="23"/>
      </w:rPr>
    </w:lvl>
  </w:abstractNum>
  <w:abstractNum w:abstractNumId="4" w15:restartNumberingAfterBreak="0">
    <w:nsid w:val="1FFD750B"/>
    <w:multiLevelType w:val="multilevel"/>
    <w:tmpl w:val="4BAC6D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B5C5D68"/>
    <w:multiLevelType w:val="hybridMultilevel"/>
    <w:tmpl w:val="6164B618"/>
    <w:lvl w:ilvl="0" w:tplc="661EF372">
      <w:start w:val="1"/>
      <w:numFmt w:val="bullet"/>
      <w:pStyle w:val="Outline3"/>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4FDA221C"/>
    <w:multiLevelType w:val="multilevel"/>
    <w:tmpl w:val="4FCCA24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A2D41CE"/>
    <w:multiLevelType w:val="multilevel"/>
    <w:tmpl w:val="56A0BF86"/>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PCSchedule4"/>
      <w:isLgl/>
      <w:lvlText w:val="%1.%2"/>
      <w:lvlJc w:val="left"/>
      <w:pPr>
        <w:tabs>
          <w:tab w:val="num" w:pos="851"/>
        </w:tabs>
        <w:ind w:left="851" w:hanging="851"/>
      </w:pPr>
      <w:rPr>
        <w:rFonts w:ascii="Arial" w:hAnsi="Arial" w:hint="default"/>
        <w:b w:val="0"/>
        <w:i w:val="0"/>
        <w:sz w:val="22"/>
        <w:u w:val="none"/>
      </w:rPr>
    </w:lvl>
    <w:lvl w:ilvl="2">
      <w:start w:val="1"/>
      <w:numFmt w:val="decimal"/>
      <w:pStyle w:val="PCSchedule5"/>
      <w:isLgl/>
      <w:lvlText w:val="%1.%2.%3"/>
      <w:lvlJc w:val="left"/>
      <w:pPr>
        <w:tabs>
          <w:tab w:val="num" w:pos="1701"/>
        </w:tabs>
        <w:ind w:left="1701" w:hanging="850"/>
      </w:pPr>
      <w:rPr>
        <w:rFonts w:ascii="Arial" w:hAnsi="Arial" w:hint="default"/>
        <w:b w:val="0"/>
        <w:i w:val="0"/>
        <w:sz w:val="22"/>
      </w:rPr>
    </w:lvl>
    <w:lvl w:ilvl="3">
      <w:start w:val="1"/>
      <w:numFmt w:val="lowerLetter"/>
      <w:pStyle w:val="PCScheduleInd2"/>
      <w:lvlText w:val="(%4)"/>
      <w:lvlJc w:val="left"/>
      <w:pPr>
        <w:tabs>
          <w:tab w:val="num" w:pos="2268"/>
        </w:tabs>
        <w:ind w:left="2268" w:hanging="567"/>
      </w:pPr>
      <w:rPr>
        <w:rFonts w:ascii="Arial" w:hAnsi="Arial" w:hint="default"/>
        <w:b w:val="0"/>
        <w:i w:val="0"/>
        <w:sz w:val="22"/>
      </w:rPr>
    </w:lvl>
    <w:lvl w:ilvl="4">
      <w:start w:val="1"/>
      <w:numFmt w:val="lowerRoman"/>
      <w:pStyle w:val="PCScheduleInd3"/>
      <w:lvlText w:val="(%5)"/>
      <w:lvlJc w:val="left"/>
      <w:pPr>
        <w:tabs>
          <w:tab w:val="num" w:pos="2988"/>
        </w:tabs>
        <w:ind w:left="2835" w:hanging="567"/>
      </w:pPr>
      <w:rPr>
        <w:rFonts w:ascii="Arial" w:hAnsi="Arial" w:hint="default"/>
        <w:sz w:val="22"/>
      </w:rPr>
    </w:lvl>
    <w:lvl w:ilvl="5">
      <w:start w:val="1"/>
      <w:numFmt w:val="decimal"/>
      <w:pStyle w:val="PCScheduleInd4"/>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11"/>
      <w:lvlText w:val="(%8)"/>
      <w:lvlJc w:val="left"/>
      <w:pPr>
        <w:tabs>
          <w:tab w:val="num" w:pos="3119"/>
        </w:tabs>
        <w:ind w:left="3119" w:hanging="567"/>
      </w:pPr>
      <w:rPr>
        <w:rFonts w:ascii="Arial" w:hAnsi="Arial" w:hint="default"/>
        <w:b w:val="0"/>
        <w:i w:val="0"/>
        <w:sz w:val="22"/>
      </w:rPr>
    </w:lvl>
    <w:lvl w:ilvl="8">
      <w:start w:val="1"/>
      <w:numFmt w:val="lowerRoman"/>
      <w:pStyle w:val="BodyText2"/>
      <w:lvlText w:val="(%9)"/>
      <w:lvlJc w:val="left"/>
      <w:pPr>
        <w:tabs>
          <w:tab w:val="num" w:pos="3839"/>
        </w:tabs>
        <w:ind w:left="3686" w:hanging="567"/>
      </w:pPr>
      <w:rPr>
        <w:rFonts w:ascii="Arial" w:hAnsi="Arial" w:hint="default"/>
        <w:b w:val="0"/>
        <w:i w:val="0"/>
        <w:sz w:val="22"/>
      </w:rPr>
    </w:lvl>
  </w:abstractNum>
  <w:abstractNum w:abstractNumId="8" w15:restartNumberingAfterBreak="0">
    <w:nsid w:val="5C695F6F"/>
    <w:multiLevelType w:val="hybridMultilevel"/>
    <w:tmpl w:val="FAD45E9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4363CCA"/>
    <w:multiLevelType w:val="hybridMultilevel"/>
    <w:tmpl w:val="23A0322A"/>
    <w:lvl w:ilvl="0" w:tplc="29062A64">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544679"/>
    <w:multiLevelType w:val="hybridMultilevel"/>
    <w:tmpl w:val="C8088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5"/>
  </w:num>
  <w:num w:numId="5">
    <w:abstractNumId w:val="4"/>
  </w:num>
  <w:num w:numId="6">
    <w:abstractNumId w:val="0"/>
  </w:num>
  <w:num w:numId="7">
    <w:abstractNumId w:val="2"/>
  </w:num>
  <w:num w:numId="8">
    <w:abstractNumId w:val="6"/>
  </w:num>
  <w:num w:numId="9">
    <w:abstractNumId w:val="10"/>
  </w:num>
  <w:num w:numId="10">
    <w:abstractNumId w:val="8"/>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7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TimeOpened" w:val="18-Feb-2020 14:39:06"/>
  </w:docVars>
  <w:rsids>
    <w:rsidRoot w:val="00882116"/>
    <w:rsid w:val="000016C9"/>
    <w:rsid w:val="00001DF8"/>
    <w:rsid w:val="00002A58"/>
    <w:rsid w:val="00003858"/>
    <w:rsid w:val="000040D2"/>
    <w:rsid w:val="00005466"/>
    <w:rsid w:val="00006420"/>
    <w:rsid w:val="00006950"/>
    <w:rsid w:val="00007524"/>
    <w:rsid w:val="00007CED"/>
    <w:rsid w:val="00013A14"/>
    <w:rsid w:val="000141B7"/>
    <w:rsid w:val="00015051"/>
    <w:rsid w:val="000205D4"/>
    <w:rsid w:val="000213A1"/>
    <w:rsid w:val="00032A15"/>
    <w:rsid w:val="0003643E"/>
    <w:rsid w:val="000377DF"/>
    <w:rsid w:val="00037A97"/>
    <w:rsid w:val="0004123A"/>
    <w:rsid w:val="0004125F"/>
    <w:rsid w:val="00042EDC"/>
    <w:rsid w:val="00043EC6"/>
    <w:rsid w:val="00044CF7"/>
    <w:rsid w:val="00046FB8"/>
    <w:rsid w:val="00047149"/>
    <w:rsid w:val="00047D2B"/>
    <w:rsid w:val="00060F20"/>
    <w:rsid w:val="00061DE5"/>
    <w:rsid w:val="000639A0"/>
    <w:rsid w:val="00064952"/>
    <w:rsid w:val="00071844"/>
    <w:rsid w:val="00075616"/>
    <w:rsid w:val="000759C8"/>
    <w:rsid w:val="00076603"/>
    <w:rsid w:val="0008130D"/>
    <w:rsid w:val="00082690"/>
    <w:rsid w:val="000856BC"/>
    <w:rsid w:val="00087586"/>
    <w:rsid w:val="0009307D"/>
    <w:rsid w:val="000935B4"/>
    <w:rsid w:val="00095B6C"/>
    <w:rsid w:val="000A0B01"/>
    <w:rsid w:val="000A115E"/>
    <w:rsid w:val="000A2554"/>
    <w:rsid w:val="000A2B2B"/>
    <w:rsid w:val="000A315D"/>
    <w:rsid w:val="000A3C31"/>
    <w:rsid w:val="000B07AF"/>
    <w:rsid w:val="000B2B65"/>
    <w:rsid w:val="000B4824"/>
    <w:rsid w:val="000B5D00"/>
    <w:rsid w:val="000B6274"/>
    <w:rsid w:val="000B6469"/>
    <w:rsid w:val="000B6A26"/>
    <w:rsid w:val="000B6BE6"/>
    <w:rsid w:val="000B76E6"/>
    <w:rsid w:val="000C09BE"/>
    <w:rsid w:val="000C4712"/>
    <w:rsid w:val="000C5E0A"/>
    <w:rsid w:val="000C5E5E"/>
    <w:rsid w:val="000C6595"/>
    <w:rsid w:val="000C7E16"/>
    <w:rsid w:val="000D0DC5"/>
    <w:rsid w:val="000D4DF8"/>
    <w:rsid w:val="000D7A3C"/>
    <w:rsid w:val="000E0228"/>
    <w:rsid w:val="000E15AB"/>
    <w:rsid w:val="000E1F2A"/>
    <w:rsid w:val="000F0F3A"/>
    <w:rsid w:val="000F1C4D"/>
    <w:rsid w:val="000F2D13"/>
    <w:rsid w:val="000F53E3"/>
    <w:rsid w:val="000F7C9E"/>
    <w:rsid w:val="0010004B"/>
    <w:rsid w:val="00106974"/>
    <w:rsid w:val="00111949"/>
    <w:rsid w:val="00112D90"/>
    <w:rsid w:val="00113476"/>
    <w:rsid w:val="0011580A"/>
    <w:rsid w:val="00120EBB"/>
    <w:rsid w:val="00121E21"/>
    <w:rsid w:val="00122C1A"/>
    <w:rsid w:val="001275EE"/>
    <w:rsid w:val="00127A1D"/>
    <w:rsid w:val="00127D62"/>
    <w:rsid w:val="00133831"/>
    <w:rsid w:val="00133A97"/>
    <w:rsid w:val="00134271"/>
    <w:rsid w:val="00135CF7"/>
    <w:rsid w:val="001414E8"/>
    <w:rsid w:val="001459F6"/>
    <w:rsid w:val="0014685F"/>
    <w:rsid w:val="00151BE8"/>
    <w:rsid w:val="00153076"/>
    <w:rsid w:val="0015323E"/>
    <w:rsid w:val="00155634"/>
    <w:rsid w:val="0016002B"/>
    <w:rsid w:val="00161179"/>
    <w:rsid w:val="00161EFF"/>
    <w:rsid w:val="00163383"/>
    <w:rsid w:val="0016341E"/>
    <w:rsid w:val="00163E30"/>
    <w:rsid w:val="00164906"/>
    <w:rsid w:val="00172614"/>
    <w:rsid w:val="00173240"/>
    <w:rsid w:val="0017462E"/>
    <w:rsid w:val="00176A2D"/>
    <w:rsid w:val="00180AA8"/>
    <w:rsid w:val="0018328A"/>
    <w:rsid w:val="0018398F"/>
    <w:rsid w:val="00183D87"/>
    <w:rsid w:val="00185C23"/>
    <w:rsid w:val="00185F1A"/>
    <w:rsid w:val="00185F39"/>
    <w:rsid w:val="00187D2A"/>
    <w:rsid w:val="0019082A"/>
    <w:rsid w:val="00190C69"/>
    <w:rsid w:val="00192063"/>
    <w:rsid w:val="001928EC"/>
    <w:rsid w:val="001929D5"/>
    <w:rsid w:val="00193114"/>
    <w:rsid w:val="001940FA"/>
    <w:rsid w:val="00195BD5"/>
    <w:rsid w:val="0019660D"/>
    <w:rsid w:val="00197C0B"/>
    <w:rsid w:val="001A0357"/>
    <w:rsid w:val="001A0CF5"/>
    <w:rsid w:val="001A156C"/>
    <w:rsid w:val="001A214D"/>
    <w:rsid w:val="001B130B"/>
    <w:rsid w:val="001B2556"/>
    <w:rsid w:val="001B26AC"/>
    <w:rsid w:val="001B2EF4"/>
    <w:rsid w:val="001B4BB5"/>
    <w:rsid w:val="001C273E"/>
    <w:rsid w:val="001C44E0"/>
    <w:rsid w:val="001C4945"/>
    <w:rsid w:val="001C56BC"/>
    <w:rsid w:val="001D2769"/>
    <w:rsid w:val="001D3DC4"/>
    <w:rsid w:val="001D4763"/>
    <w:rsid w:val="001D7210"/>
    <w:rsid w:val="001E5FDB"/>
    <w:rsid w:val="001E69D5"/>
    <w:rsid w:val="001E6A02"/>
    <w:rsid w:val="001E6C8E"/>
    <w:rsid w:val="001F0E89"/>
    <w:rsid w:val="001F2C9E"/>
    <w:rsid w:val="001F41A3"/>
    <w:rsid w:val="001F6029"/>
    <w:rsid w:val="00202582"/>
    <w:rsid w:val="002042C8"/>
    <w:rsid w:val="0020760A"/>
    <w:rsid w:val="00210367"/>
    <w:rsid w:val="00212463"/>
    <w:rsid w:val="002130CE"/>
    <w:rsid w:val="002137CE"/>
    <w:rsid w:val="002147E2"/>
    <w:rsid w:val="00214C5E"/>
    <w:rsid w:val="00223B4E"/>
    <w:rsid w:val="00230BAB"/>
    <w:rsid w:val="002316D4"/>
    <w:rsid w:val="00237955"/>
    <w:rsid w:val="00237A9D"/>
    <w:rsid w:val="00240C61"/>
    <w:rsid w:val="00240D6A"/>
    <w:rsid w:val="00242A5A"/>
    <w:rsid w:val="0024543E"/>
    <w:rsid w:val="00245B6F"/>
    <w:rsid w:val="00247CE3"/>
    <w:rsid w:val="002522E6"/>
    <w:rsid w:val="00252AF8"/>
    <w:rsid w:val="00254766"/>
    <w:rsid w:val="00260ED3"/>
    <w:rsid w:val="002621A0"/>
    <w:rsid w:val="00263DC2"/>
    <w:rsid w:val="0026662E"/>
    <w:rsid w:val="00266EA4"/>
    <w:rsid w:val="0027095A"/>
    <w:rsid w:val="00273A25"/>
    <w:rsid w:val="00275308"/>
    <w:rsid w:val="0027627D"/>
    <w:rsid w:val="00277C74"/>
    <w:rsid w:val="00280C99"/>
    <w:rsid w:val="00281C51"/>
    <w:rsid w:val="00281C81"/>
    <w:rsid w:val="00282AFB"/>
    <w:rsid w:val="002838C9"/>
    <w:rsid w:val="002847D1"/>
    <w:rsid w:val="0028545B"/>
    <w:rsid w:val="00285FD1"/>
    <w:rsid w:val="00286AAC"/>
    <w:rsid w:val="0028717A"/>
    <w:rsid w:val="0028752F"/>
    <w:rsid w:val="0029241F"/>
    <w:rsid w:val="00293E02"/>
    <w:rsid w:val="0029491B"/>
    <w:rsid w:val="00294A2D"/>
    <w:rsid w:val="002A10D1"/>
    <w:rsid w:val="002A18DE"/>
    <w:rsid w:val="002A220B"/>
    <w:rsid w:val="002A22C7"/>
    <w:rsid w:val="002A3BF0"/>
    <w:rsid w:val="002A7A38"/>
    <w:rsid w:val="002B0172"/>
    <w:rsid w:val="002B03AC"/>
    <w:rsid w:val="002B0732"/>
    <w:rsid w:val="002B0FBD"/>
    <w:rsid w:val="002B1715"/>
    <w:rsid w:val="002B1FB2"/>
    <w:rsid w:val="002B2807"/>
    <w:rsid w:val="002B5FD4"/>
    <w:rsid w:val="002B79E3"/>
    <w:rsid w:val="002B7C30"/>
    <w:rsid w:val="002C0578"/>
    <w:rsid w:val="002C1253"/>
    <w:rsid w:val="002C165E"/>
    <w:rsid w:val="002C5E30"/>
    <w:rsid w:val="002D06BB"/>
    <w:rsid w:val="002D1094"/>
    <w:rsid w:val="002E0ADF"/>
    <w:rsid w:val="002F21EC"/>
    <w:rsid w:val="002F452E"/>
    <w:rsid w:val="00304B5F"/>
    <w:rsid w:val="00304D26"/>
    <w:rsid w:val="003059C2"/>
    <w:rsid w:val="00305C9C"/>
    <w:rsid w:val="00311C9E"/>
    <w:rsid w:val="00312FD1"/>
    <w:rsid w:val="003137B8"/>
    <w:rsid w:val="00314089"/>
    <w:rsid w:val="0031512B"/>
    <w:rsid w:val="00316E02"/>
    <w:rsid w:val="00320164"/>
    <w:rsid w:val="00321B12"/>
    <w:rsid w:val="00323A2E"/>
    <w:rsid w:val="003243CB"/>
    <w:rsid w:val="00324B4E"/>
    <w:rsid w:val="00325C0B"/>
    <w:rsid w:val="00331EA9"/>
    <w:rsid w:val="00332209"/>
    <w:rsid w:val="003323B5"/>
    <w:rsid w:val="00335735"/>
    <w:rsid w:val="00337827"/>
    <w:rsid w:val="00337E19"/>
    <w:rsid w:val="003411FB"/>
    <w:rsid w:val="00346E72"/>
    <w:rsid w:val="00350D30"/>
    <w:rsid w:val="0035110E"/>
    <w:rsid w:val="00351A9A"/>
    <w:rsid w:val="00352361"/>
    <w:rsid w:val="003533BF"/>
    <w:rsid w:val="00355DE3"/>
    <w:rsid w:val="00360C5B"/>
    <w:rsid w:val="00362E3D"/>
    <w:rsid w:val="00362FE6"/>
    <w:rsid w:val="00363E9F"/>
    <w:rsid w:val="0036485E"/>
    <w:rsid w:val="00365678"/>
    <w:rsid w:val="00365F2F"/>
    <w:rsid w:val="003662AD"/>
    <w:rsid w:val="00366D9E"/>
    <w:rsid w:val="00370FF3"/>
    <w:rsid w:val="00372D0F"/>
    <w:rsid w:val="00380E3F"/>
    <w:rsid w:val="00381D4E"/>
    <w:rsid w:val="00382334"/>
    <w:rsid w:val="00382939"/>
    <w:rsid w:val="00383A2C"/>
    <w:rsid w:val="003842B4"/>
    <w:rsid w:val="00385C26"/>
    <w:rsid w:val="003875A0"/>
    <w:rsid w:val="00390DA6"/>
    <w:rsid w:val="00391235"/>
    <w:rsid w:val="00393765"/>
    <w:rsid w:val="00396F9B"/>
    <w:rsid w:val="003A12CB"/>
    <w:rsid w:val="003A2D86"/>
    <w:rsid w:val="003A4ACE"/>
    <w:rsid w:val="003A52B6"/>
    <w:rsid w:val="003A5859"/>
    <w:rsid w:val="003B19D5"/>
    <w:rsid w:val="003B33A6"/>
    <w:rsid w:val="003B69FC"/>
    <w:rsid w:val="003B6EAA"/>
    <w:rsid w:val="003C11B0"/>
    <w:rsid w:val="003C1A40"/>
    <w:rsid w:val="003C2839"/>
    <w:rsid w:val="003C66BE"/>
    <w:rsid w:val="003D0793"/>
    <w:rsid w:val="003D0F5F"/>
    <w:rsid w:val="003D5317"/>
    <w:rsid w:val="003D6AAB"/>
    <w:rsid w:val="003D7CBC"/>
    <w:rsid w:val="003E0A0F"/>
    <w:rsid w:val="003E6711"/>
    <w:rsid w:val="003E7328"/>
    <w:rsid w:val="003E7B1B"/>
    <w:rsid w:val="003E7F14"/>
    <w:rsid w:val="003F114F"/>
    <w:rsid w:val="003F4EC6"/>
    <w:rsid w:val="0040107A"/>
    <w:rsid w:val="00401207"/>
    <w:rsid w:val="004018A1"/>
    <w:rsid w:val="004028A7"/>
    <w:rsid w:val="004029CD"/>
    <w:rsid w:val="0040375F"/>
    <w:rsid w:val="00403B16"/>
    <w:rsid w:val="00406368"/>
    <w:rsid w:val="00410FB1"/>
    <w:rsid w:val="0041215C"/>
    <w:rsid w:val="004122A1"/>
    <w:rsid w:val="00413219"/>
    <w:rsid w:val="0041375A"/>
    <w:rsid w:val="00413C55"/>
    <w:rsid w:val="00414AD8"/>
    <w:rsid w:val="00420958"/>
    <w:rsid w:val="00421D78"/>
    <w:rsid w:val="004226FA"/>
    <w:rsid w:val="0042572A"/>
    <w:rsid w:val="00427F0C"/>
    <w:rsid w:val="004308EB"/>
    <w:rsid w:val="00430FA0"/>
    <w:rsid w:val="0043102F"/>
    <w:rsid w:val="00440E7C"/>
    <w:rsid w:val="00441C3D"/>
    <w:rsid w:val="004429E7"/>
    <w:rsid w:val="00444D10"/>
    <w:rsid w:val="00445E73"/>
    <w:rsid w:val="004460CE"/>
    <w:rsid w:val="00452A14"/>
    <w:rsid w:val="00452FA1"/>
    <w:rsid w:val="00454019"/>
    <w:rsid w:val="004543F3"/>
    <w:rsid w:val="00454FFD"/>
    <w:rsid w:val="00455854"/>
    <w:rsid w:val="004570AB"/>
    <w:rsid w:val="0046139E"/>
    <w:rsid w:val="00462010"/>
    <w:rsid w:val="00462EED"/>
    <w:rsid w:val="00467438"/>
    <w:rsid w:val="0047115B"/>
    <w:rsid w:val="0047419B"/>
    <w:rsid w:val="00476A04"/>
    <w:rsid w:val="004813DD"/>
    <w:rsid w:val="00482A40"/>
    <w:rsid w:val="00485188"/>
    <w:rsid w:val="00486394"/>
    <w:rsid w:val="00491258"/>
    <w:rsid w:val="00492C23"/>
    <w:rsid w:val="004932CC"/>
    <w:rsid w:val="0049547A"/>
    <w:rsid w:val="00497074"/>
    <w:rsid w:val="004A17D2"/>
    <w:rsid w:val="004A1E86"/>
    <w:rsid w:val="004A3453"/>
    <w:rsid w:val="004A50CF"/>
    <w:rsid w:val="004B152B"/>
    <w:rsid w:val="004B3BBF"/>
    <w:rsid w:val="004B66A6"/>
    <w:rsid w:val="004B679E"/>
    <w:rsid w:val="004B6A9B"/>
    <w:rsid w:val="004C00A3"/>
    <w:rsid w:val="004C17D7"/>
    <w:rsid w:val="004C2302"/>
    <w:rsid w:val="004C38B7"/>
    <w:rsid w:val="004C4D4F"/>
    <w:rsid w:val="004C627A"/>
    <w:rsid w:val="004C6A5F"/>
    <w:rsid w:val="004D1649"/>
    <w:rsid w:val="004D52DA"/>
    <w:rsid w:val="004D6AF3"/>
    <w:rsid w:val="004E0037"/>
    <w:rsid w:val="004E144B"/>
    <w:rsid w:val="004E7876"/>
    <w:rsid w:val="004F2DAE"/>
    <w:rsid w:val="004F3EA0"/>
    <w:rsid w:val="004F5C5C"/>
    <w:rsid w:val="00501FD7"/>
    <w:rsid w:val="0050383D"/>
    <w:rsid w:val="00504E89"/>
    <w:rsid w:val="0050570B"/>
    <w:rsid w:val="0050657C"/>
    <w:rsid w:val="0050755B"/>
    <w:rsid w:val="005078E1"/>
    <w:rsid w:val="00512F87"/>
    <w:rsid w:val="00513C42"/>
    <w:rsid w:val="00514E44"/>
    <w:rsid w:val="005167D3"/>
    <w:rsid w:val="00517A8C"/>
    <w:rsid w:val="00517FB8"/>
    <w:rsid w:val="00521E43"/>
    <w:rsid w:val="00526972"/>
    <w:rsid w:val="005300C8"/>
    <w:rsid w:val="00533AF1"/>
    <w:rsid w:val="00537AFA"/>
    <w:rsid w:val="0054067C"/>
    <w:rsid w:val="005413BB"/>
    <w:rsid w:val="00543640"/>
    <w:rsid w:val="005516CF"/>
    <w:rsid w:val="00553962"/>
    <w:rsid w:val="00554E54"/>
    <w:rsid w:val="00556FBB"/>
    <w:rsid w:val="005619A3"/>
    <w:rsid w:val="005631BC"/>
    <w:rsid w:val="005655B9"/>
    <w:rsid w:val="00567C8A"/>
    <w:rsid w:val="005720BC"/>
    <w:rsid w:val="0057315D"/>
    <w:rsid w:val="005743B3"/>
    <w:rsid w:val="00590FB7"/>
    <w:rsid w:val="00592A19"/>
    <w:rsid w:val="00593642"/>
    <w:rsid w:val="005A0202"/>
    <w:rsid w:val="005A4668"/>
    <w:rsid w:val="005A52A2"/>
    <w:rsid w:val="005A6D1F"/>
    <w:rsid w:val="005A751B"/>
    <w:rsid w:val="005A78BC"/>
    <w:rsid w:val="005B398D"/>
    <w:rsid w:val="005B3B4D"/>
    <w:rsid w:val="005B56D3"/>
    <w:rsid w:val="005B593F"/>
    <w:rsid w:val="005B701A"/>
    <w:rsid w:val="005C0B48"/>
    <w:rsid w:val="005C2DFB"/>
    <w:rsid w:val="005C67BA"/>
    <w:rsid w:val="005D0730"/>
    <w:rsid w:val="005D2A76"/>
    <w:rsid w:val="005D34BA"/>
    <w:rsid w:val="005D675C"/>
    <w:rsid w:val="005E25D2"/>
    <w:rsid w:val="005E2742"/>
    <w:rsid w:val="005E2C24"/>
    <w:rsid w:val="005E3590"/>
    <w:rsid w:val="005E76D3"/>
    <w:rsid w:val="005F0CBF"/>
    <w:rsid w:val="005F1004"/>
    <w:rsid w:val="005F4346"/>
    <w:rsid w:val="005F4920"/>
    <w:rsid w:val="006015D6"/>
    <w:rsid w:val="006028D7"/>
    <w:rsid w:val="006041FA"/>
    <w:rsid w:val="0060583F"/>
    <w:rsid w:val="00612669"/>
    <w:rsid w:val="0061316E"/>
    <w:rsid w:val="00615BB4"/>
    <w:rsid w:val="006162A3"/>
    <w:rsid w:val="00620C5A"/>
    <w:rsid w:val="00621EBA"/>
    <w:rsid w:val="00623E43"/>
    <w:rsid w:val="00624E9E"/>
    <w:rsid w:val="00625810"/>
    <w:rsid w:val="006274B3"/>
    <w:rsid w:val="00627B5C"/>
    <w:rsid w:val="00637EDF"/>
    <w:rsid w:val="00637F67"/>
    <w:rsid w:val="00647BC0"/>
    <w:rsid w:val="00651903"/>
    <w:rsid w:val="00652989"/>
    <w:rsid w:val="006556F8"/>
    <w:rsid w:val="00656098"/>
    <w:rsid w:val="00663679"/>
    <w:rsid w:val="00667A84"/>
    <w:rsid w:val="00670CE7"/>
    <w:rsid w:val="00674743"/>
    <w:rsid w:val="00676D67"/>
    <w:rsid w:val="0068635F"/>
    <w:rsid w:val="00694C6F"/>
    <w:rsid w:val="00696871"/>
    <w:rsid w:val="006969D7"/>
    <w:rsid w:val="00696A16"/>
    <w:rsid w:val="006A1E5C"/>
    <w:rsid w:val="006A22B4"/>
    <w:rsid w:val="006A3132"/>
    <w:rsid w:val="006A6474"/>
    <w:rsid w:val="006B4808"/>
    <w:rsid w:val="006B499E"/>
    <w:rsid w:val="006B56CB"/>
    <w:rsid w:val="006C043A"/>
    <w:rsid w:val="006C50FB"/>
    <w:rsid w:val="006D2852"/>
    <w:rsid w:val="006D5916"/>
    <w:rsid w:val="006D607D"/>
    <w:rsid w:val="006D6760"/>
    <w:rsid w:val="006E53CA"/>
    <w:rsid w:val="006E63CF"/>
    <w:rsid w:val="006F1FAA"/>
    <w:rsid w:val="006F2955"/>
    <w:rsid w:val="006F51F3"/>
    <w:rsid w:val="006F566A"/>
    <w:rsid w:val="006F5725"/>
    <w:rsid w:val="006F64A3"/>
    <w:rsid w:val="007013A1"/>
    <w:rsid w:val="00701DF4"/>
    <w:rsid w:val="00702CDA"/>
    <w:rsid w:val="007054A1"/>
    <w:rsid w:val="007063EA"/>
    <w:rsid w:val="007064E5"/>
    <w:rsid w:val="007073AE"/>
    <w:rsid w:val="007105EC"/>
    <w:rsid w:val="00710BAD"/>
    <w:rsid w:val="00711997"/>
    <w:rsid w:val="00717BC4"/>
    <w:rsid w:val="00720059"/>
    <w:rsid w:val="0072046D"/>
    <w:rsid w:val="00720C03"/>
    <w:rsid w:val="007232A1"/>
    <w:rsid w:val="00723C67"/>
    <w:rsid w:val="00725321"/>
    <w:rsid w:val="0072556B"/>
    <w:rsid w:val="00731EBA"/>
    <w:rsid w:val="007350FA"/>
    <w:rsid w:val="00736C8E"/>
    <w:rsid w:val="007371AB"/>
    <w:rsid w:val="00737825"/>
    <w:rsid w:val="00740185"/>
    <w:rsid w:val="0074187D"/>
    <w:rsid w:val="00741A1E"/>
    <w:rsid w:val="007455CB"/>
    <w:rsid w:val="007465D7"/>
    <w:rsid w:val="007469DA"/>
    <w:rsid w:val="007520ED"/>
    <w:rsid w:val="00755184"/>
    <w:rsid w:val="007644E3"/>
    <w:rsid w:val="007667A6"/>
    <w:rsid w:val="00767CEA"/>
    <w:rsid w:val="00770811"/>
    <w:rsid w:val="007746BB"/>
    <w:rsid w:val="00774C6E"/>
    <w:rsid w:val="0078482C"/>
    <w:rsid w:val="00790548"/>
    <w:rsid w:val="0079357B"/>
    <w:rsid w:val="00793812"/>
    <w:rsid w:val="0079427B"/>
    <w:rsid w:val="0079468A"/>
    <w:rsid w:val="007968F7"/>
    <w:rsid w:val="007A183E"/>
    <w:rsid w:val="007A1F86"/>
    <w:rsid w:val="007A2634"/>
    <w:rsid w:val="007A35BD"/>
    <w:rsid w:val="007A5E2C"/>
    <w:rsid w:val="007A7A7A"/>
    <w:rsid w:val="007B026C"/>
    <w:rsid w:val="007B1AA4"/>
    <w:rsid w:val="007B20E0"/>
    <w:rsid w:val="007B23A7"/>
    <w:rsid w:val="007B2D20"/>
    <w:rsid w:val="007B6287"/>
    <w:rsid w:val="007B7CFD"/>
    <w:rsid w:val="007C1ED0"/>
    <w:rsid w:val="007C29F5"/>
    <w:rsid w:val="007C2C16"/>
    <w:rsid w:val="007C3D2D"/>
    <w:rsid w:val="007C47C0"/>
    <w:rsid w:val="007C4CAE"/>
    <w:rsid w:val="007C5948"/>
    <w:rsid w:val="007C5B5E"/>
    <w:rsid w:val="007C6DC7"/>
    <w:rsid w:val="007C7BF6"/>
    <w:rsid w:val="007D0BE3"/>
    <w:rsid w:val="007D144D"/>
    <w:rsid w:val="007D1E1A"/>
    <w:rsid w:val="007D4AC0"/>
    <w:rsid w:val="007D4F33"/>
    <w:rsid w:val="007E41A9"/>
    <w:rsid w:val="007E50A2"/>
    <w:rsid w:val="007F2FFC"/>
    <w:rsid w:val="007F44B3"/>
    <w:rsid w:val="007F7A2D"/>
    <w:rsid w:val="00801886"/>
    <w:rsid w:val="00801D20"/>
    <w:rsid w:val="00804C0B"/>
    <w:rsid w:val="00807979"/>
    <w:rsid w:val="00810502"/>
    <w:rsid w:val="00814F01"/>
    <w:rsid w:val="0081511E"/>
    <w:rsid w:val="00816520"/>
    <w:rsid w:val="00816D68"/>
    <w:rsid w:val="00820766"/>
    <w:rsid w:val="00824A5F"/>
    <w:rsid w:val="0082612C"/>
    <w:rsid w:val="0083112A"/>
    <w:rsid w:val="00834912"/>
    <w:rsid w:val="00836577"/>
    <w:rsid w:val="008375F9"/>
    <w:rsid w:val="00840DFA"/>
    <w:rsid w:val="008415E6"/>
    <w:rsid w:val="00843C2A"/>
    <w:rsid w:val="00844626"/>
    <w:rsid w:val="00845581"/>
    <w:rsid w:val="00847381"/>
    <w:rsid w:val="00847F74"/>
    <w:rsid w:val="0085006C"/>
    <w:rsid w:val="00852CB9"/>
    <w:rsid w:val="008614B5"/>
    <w:rsid w:val="008629F9"/>
    <w:rsid w:val="00864362"/>
    <w:rsid w:val="00865CC8"/>
    <w:rsid w:val="00866158"/>
    <w:rsid w:val="00871D32"/>
    <w:rsid w:val="008728F8"/>
    <w:rsid w:val="008729E6"/>
    <w:rsid w:val="00873D6C"/>
    <w:rsid w:val="008746E9"/>
    <w:rsid w:val="00877C99"/>
    <w:rsid w:val="00882116"/>
    <w:rsid w:val="00883599"/>
    <w:rsid w:val="00887026"/>
    <w:rsid w:val="00887345"/>
    <w:rsid w:val="00895F47"/>
    <w:rsid w:val="008975FF"/>
    <w:rsid w:val="008A0CA0"/>
    <w:rsid w:val="008A3EBC"/>
    <w:rsid w:val="008A4617"/>
    <w:rsid w:val="008B0F21"/>
    <w:rsid w:val="008B1463"/>
    <w:rsid w:val="008B2162"/>
    <w:rsid w:val="008B7420"/>
    <w:rsid w:val="008C19D3"/>
    <w:rsid w:val="008C3EB3"/>
    <w:rsid w:val="008D1067"/>
    <w:rsid w:val="008D51A9"/>
    <w:rsid w:val="008D5DA4"/>
    <w:rsid w:val="008E20A5"/>
    <w:rsid w:val="008E40A9"/>
    <w:rsid w:val="008E50A0"/>
    <w:rsid w:val="008E60BB"/>
    <w:rsid w:val="008E6D55"/>
    <w:rsid w:val="008F152D"/>
    <w:rsid w:val="008F47A6"/>
    <w:rsid w:val="008F5BA0"/>
    <w:rsid w:val="008F6553"/>
    <w:rsid w:val="008F657E"/>
    <w:rsid w:val="008F685E"/>
    <w:rsid w:val="008F6F36"/>
    <w:rsid w:val="00901E77"/>
    <w:rsid w:val="00905F3F"/>
    <w:rsid w:val="009070FA"/>
    <w:rsid w:val="0091107B"/>
    <w:rsid w:val="00913950"/>
    <w:rsid w:val="00915D98"/>
    <w:rsid w:val="00916924"/>
    <w:rsid w:val="009170CA"/>
    <w:rsid w:val="00920FB6"/>
    <w:rsid w:val="00922C19"/>
    <w:rsid w:val="00924837"/>
    <w:rsid w:val="009263E2"/>
    <w:rsid w:val="00932EF6"/>
    <w:rsid w:val="00937D33"/>
    <w:rsid w:val="00945368"/>
    <w:rsid w:val="00950698"/>
    <w:rsid w:val="00952702"/>
    <w:rsid w:val="00953BB7"/>
    <w:rsid w:val="009544AF"/>
    <w:rsid w:val="00955458"/>
    <w:rsid w:val="00955534"/>
    <w:rsid w:val="00960376"/>
    <w:rsid w:val="00961868"/>
    <w:rsid w:val="009628ED"/>
    <w:rsid w:val="009663CB"/>
    <w:rsid w:val="00970F66"/>
    <w:rsid w:val="00971EF7"/>
    <w:rsid w:val="009744C1"/>
    <w:rsid w:val="00977F3D"/>
    <w:rsid w:val="00982B9D"/>
    <w:rsid w:val="00985658"/>
    <w:rsid w:val="00986682"/>
    <w:rsid w:val="0098724D"/>
    <w:rsid w:val="00990B07"/>
    <w:rsid w:val="00992248"/>
    <w:rsid w:val="0099393E"/>
    <w:rsid w:val="00993A4A"/>
    <w:rsid w:val="009970F6"/>
    <w:rsid w:val="009A35C2"/>
    <w:rsid w:val="009A5982"/>
    <w:rsid w:val="009A688E"/>
    <w:rsid w:val="009A714E"/>
    <w:rsid w:val="009A79CF"/>
    <w:rsid w:val="009B0377"/>
    <w:rsid w:val="009B2351"/>
    <w:rsid w:val="009B357C"/>
    <w:rsid w:val="009C0667"/>
    <w:rsid w:val="009C12AB"/>
    <w:rsid w:val="009C5917"/>
    <w:rsid w:val="009D125E"/>
    <w:rsid w:val="009D18EB"/>
    <w:rsid w:val="009D3574"/>
    <w:rsid w:val="009E16C6"/>
    <w:rsid w:val="009E2808"/>
    <w:rsid w:val="009E64EC"/>
    <w:rsid w:val="009E67AC"/>
    <w:rsid w:val="009F0D38"/>
    <w:rsid w:val="009F111A"/>
    <w:rsid w:val="009F157D"/>
    <w:rsid w:val="009F2B09"/>
    <w:rsid w:val="009F2CF4"/>
    <w:rsid w:val="009F5195"/>
    <w:rsid w:val="009F792B"/>
    <w:rsid w:val="00A01900"/>
    <w:rsid w:val="00A030D3"/>
    <w:rsid w:val="00A060DE"/>
    <w:rsid w:val="00A1198B"/>
    <w:rsid w:val="00A12866"/>
    <w:rsid w:val="00A15539"/>
    <w:rsid w:val="00A25418"/>
    <w:rsid w:val="00A26619"/>
    <w:rsid w:val="00A26DD6"/>
    <w:rsid w:val="00A27505"/>
    <w:rsid w:val="00A27F3F"/>
    <w:rsid w:val="00A33852"/>
    <w:rsid w:val="00A3658E"/>
    <w:rsid w:val="00A416FA"/>
    <w:rsid w:val="00A43058"/>
    <w:rsid w:val="00A47124"/>
    <w:rsid w:val="00A47C7F"/>
    <w:rsid w:val="00A50B17"/>
    <w:rsid w:val="00A51656"/>
    <w:rsid w:val="00A53051"/>
    <w:rsid w:val="00A5488A"/>
    <w:rsid w:val="00A55482"/>
    <w:rsid w:val="00A61ACA"/>
    <w:rsid w:val="00A61C73"/>
    <w:rsid w:val="00A66312"/>
    <w:rsid w:val="00A674FF"/>
    <w:rsid w:val="00A7073D"/>
    <w:rsid w:val="00A71105"/>
    <w:rsid w:val="00A7384C"/>
    <w:rsid w:val="00A746F8"/>
    <w:rsid w:val="00A754FF"/>
    <w:rsid w:val="00A766BD"/>
    <w:rsid w:val="00A824BF"/>
    <w:rsid w:val="00A84924"/>
    <w:rsid w:val="00A85295"/>
    <w:rsid w:val="00A8677C"/>
    <w:rsid w:val="00A87DDA"/>
    <w:rsid w:val="00A91A46"/>
    <w:rsid w:val="00A91D16"/>
    <w:rsid w:val="00A93523"/>
    <w:rsid w:val="00A93629"/>
    <w:rsid w:val="00A967E2"/>
    <w:rsid w:val="00A97D12"/>
    <w:rsid w:val="00AB2C64"/>
    <w:rsid w:val="00AB328D"/>
    <w:rsid w:val="00AB33C0"/>
    <w:rsid w:val="00AB4CE5"/>
    <w:rsid w:val="00AC1751"/>
    <w:rsid w:val="00AC5A94"/>
    <w:rsid w:val="00AC6681"/>
    <w:rsid w:val="00AC7FBB"/>
    <w:rsid w:val="00AD010E"/>
    <w:rsid w:val="00AD0D72"/>
    <w:rsid w:val="00AD237A"/>
    <w:rsid w:val="00AD7337"/>
    <w:rsid w:val="00AE0C6A"/>
    <w:rsid w:val="00AE0D33"/>
    <w:rsid w:val="00AE4348"/>
    <w:rsid w:val="00AE4CAC"/>
    <w:rsid w:val="00AE5347"/>
    <w:rsid w:val="00AF0CDD"/>
    <w:rsid w:val="00AF3AA5"/>
    <w:rsid w:val="00AF3E8A"/>
    <w:rsid w:val="00AF4175"/>
    <w:rsid w:val="00B002CC"/>
    <w:rsid w:val="00B038CD"/>
    <w:rsid w:val="00B04A6C"/>
    <w:rsid w:val="00B06DC2"/>
    <w:rsid w:val="00B07070"/>
    <w:rsid w:val="00B0772A"/>
    <w:rsid w:val="00B101DE"/>
    <w:rsid w:val="00B11910"/>
    <w:rsid w:val="00B11DDF"/>
    <w:rsid w:val="00B1622A"/>
    <w:rsid w:val="00B17B26"/>
    <w:rsid w:val="00B2221C"/>
    <w:rsid w:val="00B258EE"/>
    <w:rsid w:val="00B3051E"/>
    <w:rsid w:val="00B319CA"/>
    <w:rsid w:val="00B3741C"/>
    <w:rsid w:val="00B430FB"/>
    <w:rsid w:val="00B44FF2"/>
    <w:rsid w:val="00B55008"/>
    <w:rsid w:val="00B550DE"/>
    <w:rsid w:val="00B57360"/>
    <w:rsid w:val="00B606CD"/>
    <w:rsid w:val="00B63DA3"/>
    <w:rsid w:val="00B64FD7"/>
    <w:rsid w:val="00B66099"/>
    <w:rsid w:val="00B73156"/>
    <w:rsid w:val="00B7439C"/>
    <w:rsid w:val="00B75629"/>
    <w:rsid w:val="00B761A1"/>
    <w:rsid w:val="00B8347E"/>
    <w:rsid w:val="00B84BA6"/>
    <w:rsid w:val="00B87FE9"/>
    <w:rsid w:val="00B92B9E"/>
    <w:rsid w:val="00B944A6"/>
    <w:rsid w:val="00B94F80"/>
    <w:rsid w:val="00B95CB2"/>
    <w:rsid w:val="00B95D7A"/>
    <w:rsid w:val="00BA10A2"/>
    <w:rsid w:val="00BA6BC4"/>
    <w:rsid w:val="00BB2EF9"/>
    <w:rsid w:val="00BB30AC"/>
    <w:rsid w:val="00BB679C"/>
    <w:rsid w:val="00BB71CB"/>
    <w:rsid w:val="00BB73B0"/>
    <w:rsid w:val="00BB7E9F"/>
    <w:rsid w:val="00BC1C16"/>
    <w:rsid w:val="00BD379B"/>
    <w:rsid w:val="00BD4900"/>
    <w:rsid w:val="00BD61A8"/>
    <w:rsid w:val="00BD70A8"/>
    <w:rsid w:val="00BE029F"/>
    <w:rsid w:val="00BE1ABF"/>
    <w:rsid w:val="00BE35AB"/>
    <w:rsid w:val="00BE416A"/>
    <w:rsid w:val="00BE539C"/>
    <w:rsid w:val="00BE7307"/>
    <w:rsid w:val="00BF1495"/>
    <w:rsid w:val="00BF1B2D"/>
    <w:rsid w:val="00BF33D0"/>
    <w:rsid w:val="00C00C06"/>
    <w:rsid w:val="00C01219"/>
    <w:rsid w:val="00C0254B"/>
    <w:rsid w:val="00C02C1D"/>
    <w:rsid w:val="00C02DF2"/>
    <w:rsid w:val="00C0437C"/>
    <w:rsid w:val="00C04502"/>
    <w:rsid w:val="00C0786C"/>
    <w:rsid w:val="00C10D07"/>
    <w:rsid w:val="00C13780"/>
    <w:rsid w:val="00C166DD"/>
    <w:rsid w:val="00C20341"/>
    <w:rsid w:val="00C204F0"/>
    <w:rsid w:val="00C2079D"/>
    <w:rsid w:val="00C21745"/>
    <w:rsid w:val="00C21D29"/>
    <w:rsid w:val="00C24391"/>
    <w:rsid w:val="00C25831"/>
    <w:rsid w:val="00C312DD"/>
    <w:rsid w:val="00C3260C"/>
    <w:rsid w:val="00C33A9F"/>
    <w:rsid w:val="00C351B0"/>
    <w:rsid w:val="00C35AC5"/>
    <w:rsid w:val="00C374B7"/>
    <w:rsid w:val="00C4170C"/>
    <w:rsid w:val="00C42A89"/>
    <w:rsid w:val="00C42D8D"/>
    <w:rsid w:val="00C42F30"/>
    <w:rsid w:val="00C43D95"/>
    <w:rsid w:val="00C44AA9"/>
    <w:rsid w:val="00C44FC0"/>
    <w:rsid w:val="00C47203"/>
    <w:rsid w:val="00C54B86"/>
    <w:rsid w:val="00C54C0D"/>
    <w:rsid w:val="00C6048C"/>
    <w:rsid w:val="00C611A2"/>
    <w:rsid w:val="00C641C8"/>
    <w:rsid w:val="00C64FA9"/>
    <w:rsid w:val="00C663A5"/>
    <w:rsid w:val="00C67571"/>
    <w:rsid w:val="00C70040"/>
    <w:rsid w:val="00C7056C"/>
    <w:rsid w:val="00C7198F"/>
    <w:rsid w:val="00C726A2"/>
    <w:rsid w:val="00C74650"/>
    <w:rsid w:val="00C750F0"/>
    <w:rsid w:val="00C758FA"/>
    <w:rsid w:val="00C76D22"/>
    <w:rsid w:val="00C77164"/>
    <w:rsid w:val="00C82BD8"/>
    <w:rsid w:val="00C83BC6"/>
    <w:rsid w:val="00C85A4D"/>
    <w:rsid w:val="00C92808"/>
    <w:rsid w:val="00C9294F"/>
    <w:rsid w:val="00C958BA"/>
    <w:rsid w:val="00C95962"/>
    <w:rsid w:val="00C96280"/>
    <w:rsid w:val="00C96283"/>
    <w:rsid w:val="00C96FB3"/>
    <w:rsid w:val="00CA688D"/>
    <w:rsid w:val="00CB2287"/>
    <w:rsid w:val="00CB324B"/>
    <w:rsid w:val="00CB65AA"/>
    <w:rsid w:val="00CB7010"/>
    <w:rsid w:val="00CC0595"/>
    <w:rsid w:val="00CC3471"/>
    <w:rsid w:val="00CC5A03"/>
    <w:rsid w:val="00CD44F0"/>
    <w:rsid w:val="00CD57E9"/>
    <w:rsid w:val="00CD75FC"/>
    <w:rsid w:val="00CE1303"/>
    <w:rsid w:val="00CE15F7"/>
    <w:rsid w:val="00CE232E"/>
    <w:rsid w:val="00CE3214"/>
    <w:rsid w:val="00CE35AD"/>
    <w:rsid w:val="00CE4614"/>
    <w:rsid w:val="00CE5488"/>
    <w:rsid w:val="00CE71C4"/>
    <w:rsid w:val="00CE7E6E"/>
    <w:rsid w:val="00CF0A77"/>
    <w:rsid w:val="00CF1458"/>
    <w:rsid w:val="00CF1A56"/>
    <w:rsid w:val="00CF1A79"/>
    <w:rsid w:val="00CF2AD1"/>
    <w:rsid w:val="00CF38A9"/>
    <w:rsid w:val="00CF7153"/>
    <w:rsid w:val="00D02680"/>
    <w:rsid w:val="00D04EF6"/>
    <w:rsid w:val="00D0753C"/>
    <w:rsid w:val="00D10757"/>
    <w:rsid w:val="00D11450"/>
    <w:rsid w:val="00D122A8"/>
    <w:rsid w:val="00D1234A"/>
    <w:rsid w:val="00D133CD"/>
    <w:rsid w:val="00D16F12"/>
    <w:rsid w:val="00D25735"/>
    <w:rsid w:val="00D257F8"/>
    <w:rsid w:val="00D26D9D"/>
    <w:rsid w:val="00D33A07"/>
    <w:rsid w:val="00D36B82"/>
    <w:rsid w:val="00D41855"/>
    <w:rsid w:val="00D41E59"/>
    <w:rsid w:val="00D45BAB"/>
    <w:rsid w:val="00D46CE1"/>
    <w:rsid w:val="00D46FE2"/>
    <w:rsid w:val="00D50564"/>
    <w:rsid w:val="00D509DB"/>
    <w:rsid w:val="00D54042"/>
    <w:rsid w:val="00D542B7"/>
    <w:rsid w:val="00D55ECF"/>
    <w:rsid w:val="00D57515"/>
    <w:rsid w:val="00D62011"/>
    <w:rsid w:val="00D622E6"/>
    <w:rsid w:val="00D63D6E"/>
    <w:rsid w:val="00D642CE"/>
    <w:rsid w:val="00D64E68"/>
    <w:rsid w:val="00D652E3"/>
    <w:rsid w:val="00D750FB"/>
    <w:rsid w:val="00D757AB"/>
    <w:rsid w:val="00D801DB"/>
    <w:rsid w:val="00D80736"/>
    <w:rsid w:val="00D807D6"/>
    <w:rsid w:val="00D80B0F"/>
    <w:rsid w:val="00D8728E"/>
    <w:rsid w:val="00D878A6"/>
    <w:rsid w:val="00D90276"/>
    <w:rsid w:val="00D912EE"/>
    <w:rsid w:val="00D92795"/>
    <w:rsid w:val="00D92906"/>
    <w:rsid w:val="00D92FFD"/>
    <w:rsid w:val="00D945A3"/>
    <w:rsid w:val="00DA32FB"/>
    <w:rsid w:val="00DA44E6"/>
    <w:rsid w:val="00DA7F9B"/>
    <w:rsid w:val="00DB02B2"/>
    <w:rsid w:val="00DB1A76"/>
    <w:rsid w:val="00DB3440"/>
    <w:rsid w:val="00DC034E"/>
    <w:rsid w:val="00DC0747"/>
    <w:rsid w:val="00DC264E"/>
    <w:rsid w:val="00DC39F8"/>
    <w:rsid w:val="00DC46F8"/>
    <w:rsid w:val="00DC61CD"/>
    <w:rsid w:val="00DC67E1"/>
    <w:rsid w:val="00DD426F"/>
    <w:rsid w:val="00DD5D21"/>
    <w:rsid w:val="00DE44B3"/>
    <w:rsid w:val="00DE4F38"/>
    <w:rsid w:val="00DE5189"/>
    <w:rsid w:val="00DE51CC"/>
    <w:rsid w:val="00DE6020"/>
    <w:rsid w:val="00DE6ABB"/>
    <w:rsid w:val="00DE7840"/>
    <w:rsid w:val="00DF0255"/>
    <w:rsid w:val="00DF1465"/>
    <w:rsid w:val="00DF6E85"/>
    <w:rsid w:val="00E01C42"/>
    <w:rsid w:val="00E02EC9"/>
    <w:rsid w:val="00E034B5"/>
    <w:rsid w:val="00E036EF"/>
    <w:rsid w:val="00E066C4"/>
    <w:rsid w:val="00E0703C"/>
    <w:rsid w:val="00E11302"/>
    <w:rsid w:val="00E11D87"/>
    <w:rsid w:val="00E12AFB"/>
    <w:rsid w:val="00E143D8"/>
    <w:rsid w:val="00E166C1"/>
    <w:rsid w:val="00E17CF1"/>
    <w:rsid w:val="00E24377"/>
    <w:rsid w:val="00E25065"/>
    <w:rsid w:val="00E25F3B"/>
    <w:rsid w:val="00E25F54"/>
    <w:rsid w:val="00E27C43"/>
    <w:rsid w:val="00E302DD"/>
    <w:rsid w:val="00E30471"/>
    <w:rsid w:val="00E304DE"/>
    <w:rsid w:val="00E3646C"/>
    <w:rsid w:val="00E4334D"/>
    <w:rsid w:val="00E446BD"/>
    <w:rsid w:val="00E4794C"/>
    <w:rsid w:val="00E528F2"/>
    <w:rsid w:val="00E52D0B"/>
    <w:rsid w:val="00E545F3"/>
    <w:rsid w:val="00E608C8"/>
    <w:rsid w:val="00E625C9"/>
    <w:rsid w:val="00E63525"/>
    <w:rsid w:val="00E63A5E"/>
    <w:rsid w:val="00E6514C"/>
    <w:rsid w:val="00E668F6"/>
    <w:rsid w:val="00E707CF"/>
    <w:rsid w:val="00E73616"/>
    <w:rsid w:val="00E738CB"/>
    <w:rsid w:val="00E7763E"/>
    <w:rsid w:val="00E8190F"/>
    <w:rsid w:val="00E8220D"/>
    <w:rsid w:val="00E82A25"/>
    <w:rsid w:val="00E90A77"/>
    <w:rsid w:val="00E90FC6"/>
    <w:rsid w:val="00E930C4"/>
    <w:rsid w:val="00EA15BA"/>
    <w:rsid w:val="00EA17AA"/>
    <w:rsid w:val="00EA2464"/>
    <w:rsid w:val="00EA63F6"/>
    <w:rsid w:val="00EA7554"/>
    <w:rsid w:val="00EA79A9"/>
    <w:rsid w:val="00EB0C2A"/>
    <w:rsid w:val="00EB1A2C"/>
    <w:rsid w:val="00EB2780"/>
    <w:rsid w:val="00EB698E"/>
    <w:rsid w:val="00EB699C"/>
    <w:rsid w:val="00EB7BEC"/>
    <w:rsid w:val="00EC1F47"/>
    <w:rsid w:val="00EC2200"/>
    <w:rsid w:val="00EC2797"/>
    <w:rsid w:val="00EC4674"/>
    <w:rsid w:val="00EC5194"/>
    <w:rsid w:val="00ED15F5"/>
    <w:rsid w:val="00ED4DA1"/>
    <w:rsid w:val="00ED6AD1"/>
    <w:rsid w:val="00EE178F"/>
    <w:rsid w:val="00EE31ED"/>
    <w:rsid w:val="00EE3764"/>
    <w:rsid w:val="00EE5803"/>
    <w:rsid w:val="00EF2471"/>
    <w:rsid w:val="00EF42DA"/>
    <w:rsid w:val="00EF4A4E"/>
    <w:rsid w:val="00F018F2"/>
    <w:rsid w:val="00F02373"/>
    <w:rsid w:val="00F043A0"/>
    <w:rsid w:val="00F061B5"/>
    <w:rsid w:val="00F06802"/>
    <w:rsid w:val="00F06D1B"/>
    <w:rsid w:val="00F105BC"/>
    <w:rsid w:val="00F10B50"/>
    <w:rsid w:val="00F10FFB"/>
    <w:rsid w:val="00F11115"/>
    <w:rsid w:val="00F137A3"/>
    <w:rsid w:val="00F1388B"/>
    <w:rsid w:val="00F14F54"/>
    <w:rsid w:val="00F17381"/>
    <w:rsid w:val="00F27CC3"/>
    <w:rsid w:val="00F30037"/>
    <w:rsid w:val="00F3055D"/>
    <w:rsid w:val="00F30CD8"/>
    <w:rsid w:val="00F30D62"/>
    <w:rsid w:val="00F402B2"/>
    <w:rsid w:val="00F419F5"/>
    <w:rsid w:val="00F42820"/>
    <w:rsid w:val="00F43721"/>
    <w:rsid w:val="00F45F10"/>
    <w:rsid w:val="00F47256"/>
    <w:rsid w:val="00F5343F"/>
    <w:rsid w:val="00F6081F"/>
    <w:rsid w:val="00F61B24"/>
    <w:rsid w:val="00F62608"/>
    <w:rsid w:val="00F6315A"/>
    <w:rsid w:val="00F6654A"/>
    <w:rsid w:val="00F71FF6"/>
    <w:rsid w:val="00F72CDC"/>
    <w:rsid w:val="00F826FF"/>
    <w:rsid w:val="00F834BF"/>
    <w:rsid w:val="00F8476B"/>
    <w:rsid w:val="00F91765"/>
    <w:rsid w:val="00F929CE"/>
    <w:rsid w:val="00F94BC8"/>
    <w:rsid w:val="00F97BF6"/>
    <w:rsid w:val="00FA1D60"/>
    <w:rsid w:val="00FA4059"/>
    <w:rsid w:val="00FB246E"/>
    <w:rsid w:val="00FB29D2"/>
    <w:rsid w:val="00FB3022"/>
    <w:rsid w:val="00FC2199"/>
    <w:rsid w:val="00FC22DC"/>
    <w:rsid w:val="00FC45A8"/>
    <w:rsid w:val="00FC6915"/>
    <w:rsid w:val="00FC6BAB"/>
    <w:rsid w:val="00FC7F3B"/>
    <w:rsid w:val="00FC7FB3"/>
    <w:rsid w:val="00FD3A47"/>
    <w:rsid w:val="00FD5285"/>
    <w:rsid w:val="00FD76B6"/>
    <w:rsid w:val="00FE0E4A"/>
    <w:rsid w:val="00FE2F48"/>
    <w:rsid w:val="00FE33AE"/>
    <w:rsid w:val="00FF39CE"/>
    <w:rsid w:val="00FF7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0A55A5"/>
  <w15:docId w15:val="{7FAAE53A-2EE3-4433-825C-E760AB04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116"/>
    <w:pPr>
      <w:jc w:val="both"/>
    </w:pPr>
    <w:rPr>
      <w:rFonts w:ascii="Arial" w:eastAsia="Times New Roman" w:hAnsi="Arial"/>
      <w:sz w:val="22"/>
      <w:lang w:eastAsia="en-US"/>
    </w:rPr>
  </w:style>
  <w:style w:type="paragraph" w:styleId="Heading1">
    <w:name w:val="heading 1"/>
    <w:basedOn w:val="Normal"/>
    <w:next w:val="Normal"/>
    <w:link w:val="Heading1Char"/>
    <w:uiPriority w:val="9"/>
    <w:qFormat/>
    <w:rsid w:val="00C3260C"/>
    <w:pPr>
      <w:numPr>
        <w:numId w:val="5"/>
      </w:numPr>
      <w:spacing w:before="480"/>
      <w:contextualSpacing/>
      <w:outlineLvl w:val="0"/>
    </w:pPr>
    <w:rPr>
      <w:b/>
      <w:bCs/>
      <w:sz w:val="24"/>
      <w:szCs w:val="28"/>
    </w:rPr>
  </w:style>
  <w:style w:type="paragraph" w:styleId="Heading2">
    <w:name w:val="heading 2"/>
    <w:basedOn w:val="Normal"/>
    <w:next w:val="Normal"/>
    <w:link w:val="Heading2Char"/>
    <w:uiPriority w:val="9"/>
    <w:qFormat/>
    <w:rsid w:val="001414E8"/>
    <w:pPr>
      <w:numPr>
        <w:ilvl w:val="1"/>
        <w:numId w:val="5"/>
      </w:numPr>
      <w:spacing w:before="200"/>
      <w:outlineLvl w:val="1"/>
    </w:pPr>
    <w:rPr>
      <w:bCs/>
      <w:szCs w:val="26"/>
    </w:rPr>
  </w:style>
  <w:style w:type="paragraph" w:styleId="Heading3">
    <w:name w:val="heading 3"/>
    <w:basedOn w:val="Normal"/>
    <w:next w:val="Normal"/>
    <w:link w:val="Heading3Char"/>
    <w:autoRedefine/>
    <w:uiPriority w:val="9"/>
    <w:qFormat/>
    <w:rsid w:val="001B2556"/>
    <w:pPr>
      <w:numPr>
        <w:ilvl w:val="2"/>
        <w:numId w:val="5"/>
      </w:numPr>
      <w:spacing w:before="200" w:line="271" w:lineRule="auto"/>
      <w:outlineLvl w:val="2"/>
    </w:pPr>
    <w:rPr>
      <w:bCs/>
    </w:rPr>
  </w:style>
  <w:style w:type="paragraph" w:styleId="Heading4">
    <w:name w:val="heading 4"/>
    <w:basedOn w:val="Normal"/>
    <w:next w:val="Normal"/>
    <w:link w:val="Heading4Char"/>
    <w:uiPriority w:val="9"/>
    <w:qFormat/>
    <w:rsid w:val="00363E9F"/>
    <w:pPr>
      <w:numPr>
        <w:ilvl w:val="3"/>
        <w:numId w:val="5"/>
      </w:numPr>
      <w:spacing w:before="200"/>
      <w:outlineLvl w:val="3"/>
    </w:pPr>
    <w:rPr>
      <w:rFonts w:ascii="Cambria" w:hAnsi="Cambria"/>
      <w:b/>
      <w:bCs/>
      <w:i/>
      <w:iCs/>
    </w:rPr>
  </w:style>
  <w:style w:type="paragraph" w:styleId="Heading5">
    <w:name w:val="heading 5"/>
    <w:basedOn w:val="Normal"/>
    <w:next w:val="Normal"/>
    <w:link w:val="Heading5Char"/>
    <w:uiPriority w:val="9"/>
    <w:qFormat/>
    <w:rsid w:val="00363E9F"/>
    <w:pPr>
      <w:numPr>
        <w:ilvl w:val="4"/>
        <w:numId w:val="5"/>
      </w:num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363E9F"/>
    <w:pPr>
      <w:numPr>
        <w:ilvl w:val="5"/>
        <w:numId w:val="5"/>
      </w:num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363E9F"/>
    <w:pPr>
      <w:numPr>
        <w:ilvl w:val="6"/>
        <w:numId w:val="5"/>
      </w:numPr>
      <w:outlineLvl w:val="6"/>
    </w:pPr>
    <w:rPr>
      <w:rFonts w:ascii="Cambria" w:hAnsi="Cambria"/>
      <w:i/>
      <w:iCs/>
    </w:rPr>
  </w:style>
  <w:style w:type="paragraph" w:styleId="Heading8">
    <w:name w:val="heading 8"/>
    <w:basedOn w:val="Normal"/>
    <w:next w:val="Normal"/>
    <w:link w:val="Heading8Char"/>
    <w:uiPriority w:val="9"/>
    <w:qFormat/>
    <w:rsid w:val="00363E9F"/>
    <w:pPr>
      <w:numPr>
        <w:ilvl w:val="7"/>
        <w:numId w:val="5"/>
      </w:numPr>
      <w:outlineLvl w:val="7"/>
    </w:pPr>
    <w:rPr>
      <w:rFonts w:ascii="Cambria" w:hAnsi="Cambria"/>
      <w:sz w:val="20"/>
    </w:rPr>
  </w:style>
  <w:style w:type="paragraph" w:styleId="Heading9">
    <w:name w:val="heading 9"/>
    <w:basedOn w:val="Normal"/>
    <w:next w:val="Normal"/>
    <w:link w:val="Heading9Char"/>
    <w:uiPriority w:val="9"/>
    <w:qFormat/>
    <w:rsid w:val="00363E9F"/>
    <w:pPr>
      <w:numPr>
        <w:ilvl w:val="8"/>
        <w:numId w:val="5"/>
      </w:numPr>
      <w:outlineLvl w:val="8"/>
    </w:pPr>
    <w:rPr>
      <w:rFonts w:ascii="Cambria" w:hAnsi="Cambria"/>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60C"/>
    <w:rPr>
      <w:rFonts w:ascii="Arial" w:eastAsia="Times New Roman" w:hAnsi="Arial"/>
      <w:b/>
      <w:bCs/>
      <w:sz w:val="24"/>
      <w:szCs w:val="28"/>
      <w:lang w:eastAsia="en-US"/>
    </w:rPr>
  </w:style>
  <w:style w:type="character" w:customStyle="1" w:styleId="Heading2Char">
    <w:name w:val="Heading 2 Char"/>
    <w:basedOn w:val="DefaultParagraphFont"/>
    <w:link w:val="Heading2"/>
    <w:uiPriority w:val="9"/>
    <w:rsid w:val="001414E8"/>
    <w:rPr>
      <w:rFonts w:ascii="Arial" w:eastAsia="Times New Roman" w:hAnsi="Arial"/>
      <w:bCs/>
      <w:sz w:val="22"/>
      <w:szCs w:val="26"/>
      <w:lang w:eastAsia="en-US"/>
    </w:rPr>
  </w:style>
  <w:style w:type="character" w:customStyle="1" w:styleId="Heading3Char">
    <w:name w:val="Heading 3 Char"/>
    <w:basedOn w:val="DefaultParagraphFont"/>
    <w:link w:val="Heading3"/>
    <w:uiPriority w:val="9"/>
    <w:rsid w:val="001B2556"/>
    <w:rPr>
      <w:rFonts w:ascii="Arial" w:eastAsia="Times New Roman" w:hAnsi="Arial"/>
      <w:bCs/>
      <w:sz w:val="22"/>
      <w:lang w:eastAsia="en-US"/>
    </w:rPr>
  </w:style>
  <w:style w:type="character" w:customStyle="1" w:styleId="Heading4Char">
    <w:name w:val="Heading 4 Char"/>
    <w:basedOn w:val="DefaultParagraphFont"/>
    <w:link w:val="Heading4"/>
    <w:uiPriority w:val="9"/>
    <w:rsid w:val="00363E9F"/>
    <w:rPr>
      <w:rFonts w:ascii="Cambria" w:eastAsia="Times New Roman" w:hAnsi="Cambria"/>
      <w:b/>
      <w:bCs/>
      <w:i/>
      <w:iCs/>
      <w:sz w:val="22"/>
      <w:lang w:eastAsia="en-US"/>
    </w:rPr>
  </w:style>
  <w:style w:type="character" w:customStyle="1" w:styleId="Heading5Char">
    <w:name w:val="Heading 5 Char"/>
    <w:basedOn w:val="DefaultParagraphFont"/>
    <w:link w:val="Heading5"/>
    <w:uiPriority w:val="9"/>
    <w:rsid w:val="00363E9F"/>
    <w:rPr>
      <w:rFonts w:ascii="Cambria" w:eastAsia="Times New Roman" w:hAnsi="Cambria"/>
      <w:b/>
      <w:bCs/>
      <w:color w:val="7F7F7F"/>
      <w:sz w:val="22"/>
      <w:lang w:eastAsia="en-US"/>
    </w:rPr>
  </w:style>
  <w:style w:type="character" w:customStyle="1" w:styleId="Heading6Char">
    <w:name w:val="Heading 6 Char"/>
    <w:basedOn w:val="DefaultParagraphFont"/>
    <w:link w:val="Heading6"/>
    <w:uiPriority w:val="9"/>
    <w:rsid w:val="00363E9F"/>
    <w:rPr>
      <w:rFonts w:ascii="Cambria" w:eastAsia="Times New Roman" w:hAnsi="Cambria"/>
      <w:b/>
      <w:bCs/>
      <w:i/>
      <w:iCs/>
      <w:color w:val="7F7F7F"/>
      <w:sz w:val="22"/>
      <w:lang w:eastAsia="en-US"/>
    </w:rPr>
  </w:style>
  <w:style w:type="character" w:customStyle="1" w:styleId="Heading7Char">
    <w:name w:val="Heading 7 Char"/>
    <w:basedOn w:val="DefaultParagraphFont"/>
    <w:link w:val="Heading7"/>
    <w:uiPriority w:val="9"/>
    <w:rsid w:val="00363E9F"/>
    <w:rPr>
      <w:rFonts w:ascii="Cambria" w:eastAsia="Times New Roman" w:hAnsi="Cambria"/>
      <w:i/>
      <w:iCs/>
      <w:sz w:val="22"/>
      <w:lang w:eastAsia="en-US"/>
    </w:rPr>
  </w:style>
  <w:style w:type="character" w:customStyle="1" w:styleId="Heading8Char">
    <w:name w:val="Heading 8 Char"/>
    <w:basedOn w:val="DefaultParagraphFont"/>
    <w:link w:val="Heading8"/>
    <w:uiPriority w:val="9"/>
    <w:rsid w:val="00363E9F"/>
    <w:rPr>
      <w:rFonts w:ascii="Cambria" w:eastAsia="Times New Roman" w:hAnsi="Cambria"/>
      <w:lang w:eastAsia="en-US"/>
    </w:rPr>
  </w:style>
  <w:style w:type="character" w:customStyle="1" w:styleId="Heading9Char">
    <w:name w:val="Heading 9 Char"/>
    <w:basedOn w:val="DefaultParagraphFont"/>
    <w:link w:val="Heading9"/>
    <w:uiPriority w:val="9"/>
    <w:rsid w:val="00363E9F"/>
    <w:rPr>
      <w:rFonts w:ascii="Cambria" w:eastAsia="Times New Roman" w:hAnsi="Cambria"/>
      <w:i/>
      <w:iCs/>
      <w:spacing w:val="5"/>
      <w:lang w:eastAsia="en-US"/>
    </w:rPr>
  </w:style>
  <w:style w:type="paragraph" w:styleId="Caption">
    <w:name w:val="caption"/>
    <w:basedOn w:val="Normal"/>
    <w:next w:val="Normal"/>
    <w:uiPriority w:val="35"/>
    <w:qFormat/>
    <w:rsid w:val="00363E9F"/>
    <w:rPr>
      <w:b/>
      <w:bCs/>
      <w:smallCaps/>
      <w:color w:val="1F497D"/>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spacing w:val="5"/>
      <w:sz w:val="52"/>
      <w:szCs w:val="52"/>
    </w:rPr>
  </w:style>
  <w:style w:type="character" w:customStyle="1" w:styleId="TitleChar">
    <w:name w:val="Title Char"/>
    <w:basedOn w:val="DefaultParagraphFont"/>
    <w:link w:val="Title"/>
    <w:uiPriority w:val="10"/>
    <w:rsid w:val="00363E9F"/>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363E9F"/>
    <w:pPr>
      <w:spacing w:after="600"/>
    </w:pPr>
    <w:rPr>
      <w:i/>
      <w:iCs/>
      <w:spacing w:val="13"/>
      <w:szCs w:val="24"/>
    </w:rPr>
  </w:style>
  <w:style w:type="character" w:customStyle="1" w:styleId="SubtitleChar">
    <w:name w:val="Subtitle Char"/>
    <w:basedOn w:val="DefaultParagraphFont"/>
    <w:link w:val="Subtitle"/>
    <w:uiPriority w:val="11"/>
    <w:rsid w:val="00363E9F"/>
    <w:rPr>
      <w:rFonts w:ascii="Arial" w:eastAsia="Times New Roman" w:hAnsi="Arial" w:cs="Times New Roman"/>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qFormat/>
    <w:rsid w:val="00363E9F"/>
    <w:pPr>
      <w:outlineLvl w:val="9"/>
    </w:pPr>
  </w:style>
  <w:style w:type="paragraph" w:customStyle="1" w:styleId="Outline1">
    <w:name w:val="Outline 1"/>
    <w:basedOn w:val="Normal"/>
    <w:autoRedefine/>
    <w:rsid w:val="004308EB"/>
    <w:pPr>
      <w:keepNext/>
      <w:spacing w:after="240"/>
      <w:ind w:left="709"/>
      <w:outlineLvl w:val="0"/>
    </w:pPr>
    <w:rPr>
      <w:rFonts w:cs="Arial"/>
      <w:szCs w:val="22"/>
    </w:rPr>
  </w:style>
  <w:style w:type="paragraph" w:customStyle="1" w:styleId="Outline2">
    <w:name w:val="Outline 2"/>
    <w:basedOn w:val="Normal"/>
    <w:link w:val="Outline2Char"/>
    <w:autoRedefine/>
    <w:rsid w:val="004D6AF3"/>
    <w:pPr>
      <w:spacing w:after="240"/>
      <w:ind w:left="709"/>
      <w:contextualSpacing/>
      <w:outlineLvl w:val="1"/>
    </w:pPr>
    <w:rPr>
      <w:rFonts w:cs="Arial"/>
      <w:szCs w:val="22"/>
    </w:rPr>
  </w:style>
  <w:style w:type="paragraph" w:customStyle="1" w:styleId="Outline3">
    <w:name w:val="Outline 3"/>
    <w:basedOn w:val="Normal"/>
    <w:autoRedefine/>
    <w:rsid w:val="00E82A25"/>
    <w:pPr>
      <w:numPr>
        <w:numId w:val="4"/>
      </w:numPr>
      <w:tabs>
        <w:tab w:val="left" w:pos="1134"/>
        <w:tab w:val="left" w:pos="1418"/>
      </w:tabs>
      <w:spacing w:after="240"/>
      <w:ind w:left="1134" w:hanging="425"/>
      <w:outlineLvl w:val="2"/>
    </w:pPr>
  </w:style>
  <w:style w:type="paragraph" w:customStyle="1" w:styleId="Outline4">
    <w:name w:val="Outline 4"/>
    <w:basedOn w:val="Normal"/>
    <w:rsid w:val="00882116"/>
    <w:pPr>
      <w:numPr>
        <w:ilvl w:val="3"/>
        <w:numId w:val="1"/>
      </w:numPr>
      <w:spacing w:after="240"/>
      <w:outlineLvl w:val="3"/>
    </w:pPr>
  </w:style>
  <w:style w:type="paragraph" w:customStyle="1" w:styleId="Outline5">
    <w:name w:val="Outline 5"/>
    <w:basedOn w:val="Normal"/>
    <w:rsid w:val="00882116"/>
    <w:pPr>
      <w:numPr>
        <w:ilvl w:val="4"/>
        <w:numId w:val="1"/>
      </w:numPr>
      <w:tabs>
        <w:tab w:val="left" w:pos="2835"/>
      </w:tabs>
      <w:spacing w:after="240"/>
      <w:outlineLvl w:val="4"/>
    </w:pPr>
  </w:style>
  <w:style w:type="paragraph" w:customStyle="1" w:styleId="OutlineInd2">
    <w:name w:val="Outline Ind 2"/>
    <w:basedOn w:val="Normal"/>
    <w:rsid w:val="00882116"/>
    <w:pPr>
      <w:numPr>
        <w:ilvl w:val="5"/>
        <w:numId w:val="1"/>
      </w:numPr>
      <w:spacing w:after="240"/>
      <w:outlineLvl w:val="5"/>
    </w:pPr>
  </w:style>
  <w:style w:type="paragraph" w:customStyle="1" w:styleId="OutlineInd3">
    <w:name w:val="Outline Ind 3"/>
    <w:basedOn w:val="Normal"/>
    <w:rsid w:val="00882116"/>
    <w:pPr>
      <w:numPr>
        <w:ilvl w:val="6"/>
        <w:numId w:val="1"/>
      </w:numPr>
      <w:spacing w:after="240"/>
      <w:outlineLvl w:val="6"/>
    </w:pPr>
  </w:style>
  <w:style w:type="paragraph" w:customStyle="1" w:styleId="OutlineInd4">
    <w:name w:val="Outline Ind 4"/>
    <w:basedOn w:val="Normal"/>
    <w:rsid w:val="00882116"/>
    <w:pPr>
      <w:numPr>
        <w:ilvl w:val="7"/>
        <w:numId w:val="1"/>
      </w:numPr>
      <w:spacing w:after="240"/>
      <w:outlineLvl w:val="7"/>
    </w:pPr>
  </w:style>
  <w:style w:type="paragraph" w:customStyle="1" w:styleId="OutlineInd5">
    <w:name w:val="Outline Ind 5"/>
    <w:basedOn w:val="Normal"/>
    <w:rsid w:val="00882116"/>
    <w:pPr>
      <w:numPr>
        <w:ilvl w:val="8"/>
        <w:numId w:val="1"/>
      </w:numPr>
      <w:tabs>
        <w:tab w:val="left" w:pos="3686"/>
      </w:tabs>
      <w:spacing w:after="240"/>
      <w:outlineLvl w:val="8"/>
    </w:pPr>
  </w:style>
  <w:style w:type="paragraph" w:customStyle="1" w:styleId="OutlineIndPara">
    <w:name w:val="Outline Ind Para"/>
    <w:basedOn w:val="Normal"/>
    <w:rsid w:val="00882116"/>
    <w:pPr>
      <w:spacing w:after="240"/>
      <w:ind w:left="851"/>
    </w:pPr>
  </w:style>
  <w:style w:type="paragraph" w:styleId="Header">
    <w:name w:val="header"/>
    <w:basedOn w:val="Normal"/>
    <w:link w:val="HeaderChar"/>
    <w:rsid w:val="00882116"/>
    <w:pPr>
      <w:tabs>
        <w:tab w:val="center" w:pos="4320"/>
        <w:tab w:val="right" w:pos="8640"/>
      </w:tabs>
    </w:pPr>
  </w:style>
  <w:style w:type="character" w:customStyle="1" w:styleId="HeaderChar">
    <w:name w:val="Header Char"/>
    <w:basedOn w:val="DefaultParagraphFont"/>
    <w:link w:val="Header"/>
    <w:rsid w:val="00882116"/>
    <w:rPr>
      <w:rFonts w:ascii="Arial" w:eastAsia="Times New Roman" w:hAnsi="Arial" w:cs="Times New Roman"/>
      <w:szCs w:val="20"/>
      <w:lang w:val="en-GB" w:bidi="ar-SA"/>
    </w:rPr>
  </w:style>
  <w:style w:type="paragraph" w:styleId="Footer">
    <w:name w:val="footer"/>
    <w:basedOn w:val="Normal"/>
    <w:link w:val="FooterChar"/>
    <w:uiPriority w:val="99"/>
    <w:rsid w:val="00882116"/>
    <w:pPr>
      <w:tabs>
        <w:tab w:val="center" w:pos="4320"/>
        <w:tab w:val="right" w:pos="8640"/>
      </w:tabs>
    </w:pPr>
  </w:style>
  <w:style w:type="character" w:customStyle="1" w:styleId="FooterChar">
    <w:name w:val="Footer Char"/>
    <w:basedOn w:val="DefaultParagraphFont"/>
    <w:link w:val="Footer"/>
    <w:uiPriority w:val="99"/>
    <w:rsid w:val="00882116"/>
    <w:rPr>
      <w:rFonts w:ascii="Arial" w:eastAsia="Times New Roman" w:hAnsi="Arial" w:cs="Times New Roman"/>
      <w:szCs w:val="20"/>
      <w:lang w:val="en-GB" w:bidi="ar-SA"/>
    </w:rPr>
  </w:style>
  <w:style w:type="character" w:customStyle="1" w:styleId="Outline2Char">
    <w:name w:val="Outline 2 Char"/>
    <w:basedOn w:val="DefaultParagraphFont"/>
    <w:link w:val="Outline2"/>
    <w:rsid w:val="004D6AF3"/>
    <w:rPr>
      <w:rFonts w:ascii="Arial" w:eastAsia="Times New Roman" w:hAnsi="Arial" w:cs="Arial"/>
      <w:sz w:val="22"/>
      <w:szCs w:val="22"/>
      <w:lang w:eastAsia="en-US"/>
    </w:rPr>
  </w:style>
  <w:style w:type="paragraph" w:customStyle="1" w:styleId="PCSchedule4">
    <w:name w:val="PC Schedule 4"/>
    <w:basedOn w:val="Normal"/>
    <w:rsid w:val="00882116"/>
    <w:pPr>
      <w:numPr>
        <w:ilvl w:val="1"/>
        <w:numId w:val="2"/>
      </w:numPr>
      <w:tabs>
        <w:tab w:val="clear" w:pos="851"/>
        <w:tab w:val="num" w:pos="2268"/>
      </w:tabs>
      <w:spacing w:after="240"/>
      <w:ind w:left="2268" w:hanging="567"/>
      <w:outlineLvl w:val="3"/>
    </w:pPr>
  </w:style>
  <w:style w:type="paragraph" w:customStyle="1" w:styleId="PCSchedule5">
    <w:name w:val="PC Schedule 5"/>
    <w:basedOn w:val="Normal"/>
    <w:rsid w:val="00882116"/>
    <w:pPr>
      <w:numPr>
        <w:ilvl w:val="2"/>
        <w:numId w:val="2"/>
      </w:numPr>
      <w:tabs>
        <w:tab w:val="clear" w:pos="1701"/>
        <w:tab w:val="left" w:pos="2835"/>
        <w:tab w:val="num" w:pos="2988"/>
      </w:tabs>
      <w:spacing w:after="240"/>
      <w:ind w:left="2835" w:hanging="567"/>
      <w:outlineLvl w:val="4"/>
    </w:pPr>
  </w:style>
  <w:style w:type="paragraph" w:customStyle="1" w:styleId="PCScheduleInd2">
    <w:name w:val="PC Schedule Ind 2"/>
    <w:basedOn w:val="Normal"/>
    <w:rsid w:val="00882116"/>
    <w:pPr>
      <w:numPr>
        <w:ilvl w:val="3"/>
        <w:numId w:val="2"/>
      </w:numPr>
      <w:tabs>
        <w:tab w:val="clear" w:pos="2268"/>
        <w:tab w:val="num" w:pos="1701"/>
      </w:tabs>
      <w:spacing w:after="240"/>
      <w:ind w:left="1701" w:hanging="850"/>
      <w:outlineLvl w:val="5"/>
    </w:pPr>
  </w:style>
  <w:style w:type="paragraph" w:customStyle="1" w:styleId="PCScheduleInd3">
    <w:name w:val="PC Schedule Ind 3"/>
    <w:basedOn w:val="Normal"/>
    <w:rsid w:val="00882116"/>
    <w:pPr>
      <w:numPr>
        <w:ilvl w:val="4"/>
        <w:numId w:val="2"/>
      </w:numPr>
      <w:tabs>
        <w:tab w:val="clear" w:pos="2988"/>
        <w:tab w:val="num" w:pos="2552"/>
      </w:tabs>
      <w:spacing w:after="240"/>
      <w:ind w:left="2552" w:hanging="851"/>
      <w:outlineLvl w:val="6"/>
    </w:pPr>
  </w:style>
  <w:style w:type="paragraph" w:customStyle="1" w:styleId="PCScheduleInd4">
    <w:name w:val="PC Schedule Ind 4"/>
    <w:basedOn w:val="Normal"/>
    <w:rsid w:val="00882116"/>
    <w:pPr>
      <w:numPr>
        <w:ilvl w:val="5"/>
        <w:numId w:val="2"/>
      </w:numPr>
      <w:tabs>
        <w:tab w:val="clear" w:pos="1701"/>
        <w:tab w:val="num" w:pos="3119"/>
      </w:tabs>
      <w:spacing w:after="240"/>
      <w:ind w:left="3119" w:hanging="567"/>
      <w:outlineLvl w:val="7"/>
    </w:pPr>
  </w:style>
  <w:style w:type="paragraph" w:customStyle="1" w:styleId="PCScheduleInd5">
    <w:name w:val="PC Schedule Ind 5"/>
    <w:basedOn w:val="Normal"/>
    <w:rsid w:val="00882116"/>
    <w:pPr>
      <w:numPr>
        <w:ilvl w:val="6"/>
        <w:numId w:val="2"/>
      </w:numPr>
      <w:tabs>
        <w:tab w:val="clear" w:pos="2552"/>
        <w:tab w:val="left" w:pos="3686"/>
        <w:tab w:val="num" w:pos="3839"/>
      </w:tabs>
      <w:spacing w:after="240"/>
      <w:ind w:left="3686" w:hanging="567"/>
      <w:outlineLvl w:val="8"/>
    </w:pPr>
  </w:style>
  <w:style w:type="paragraph" w:customStyle="1" w:styleId="Heading11">
    <w:name w:val="Heading 11"/>
    <w:rsid w:val="00882116"/>
    <w:pPr>
      <w:numPr>
        <w:ilvl w:val="7"/>
        <w:numId w:val="2"/>
      </w:numPr>
      <w:tabs>
        <w:tab w:val="clear" w:pos="3119"/>
      </w:tabs>
      <w:overflowPunct w:val="0"/>
      <w:autoSpaceDE w:val="0"/>
      <w:autoSpaceDN w:val="0"/>
      <w:adjustRightInd w:val="0"/>
      <w:ind w:left="0" w:firstLine="0"/>
      <w:jc w:val="center"/>
      <w:textAlignment w:val="baseline"/>
    </w:pPr>
    <w:rPr>
      <w:rFonts w:ascii="Times" w:eastAsia="Times New Roman" w:hAnsi="Times"/>
      <w:b/>
      <w:sz w:val="24"/>
      <w:lang w:eastAsia="en-US"/>
    </w:rPr>
  </w:style>
  <w:style w:type="paragraph" w:styleId="BodyText2">
    <w:name w:val="Body Text 2"/>
    <w:basedOn w:val="Normal"/>
    <w:link w:val="BodyText2Char"/>
    <w:rsid w:val="00882116"/>
    <w:pPr>
      <w:numPr>
        <w:ilvl w:val="8"/>
        <w:numId w:val="2"/>
      </w:numPr>
      <w:tabs>
        <w:tab w:val="clear" w:pos="3839"/>
      </w:tabs>
      <w:ind w:left="0" w:firstLine="0"/>
      <w:jc w:val="left"/>
    </w:pPr>
    <w:rPr>
      <w:rFonts w:cs="Arial"/>
      <w:szCs w:val="24"/>
    </w:rPr>
  </w:style>
  <w:style w:type="character" w:customStyle="1" w:styleId="BodyText2Char">
    <w:name w:val="Body Text 2 Char"/>
    <w:basedOn w:val="DefaultParagraphFont"/>
    <w:link w:val="BodyText2"/>
    <w:rsid w:val="00882116"/>
    <w:rPr>
      <w:rFonts w:ascii="Arial" w:eastAsia="Times New Roman" w:hAnsi="Arial" w:cs="Arial"/>
      <w:sz w:val="22"/>
      <w:szCs w:val="24"/>
      <w:lang w:eastAsia="en-US"/>
    </w:rPr>
  </w:style>
  <w:style w:type="character" w:styleId="PageNumber">
    <w:name w:val="page number"/>
    <w:basedOn w:val="DefaultParagraphFont"/>
    <w:rsid w:val="00882116"/>
  </w:style>
  <w:style w:type="character" w:styleId="Hyperlink">
    <w:name w:val="Hyperlink"/>
    <w:basedOn w:val="DefaultParagraphFont"/>
    <w:rsid w:val="00882116"/>
    <w:rPr>
      <w:color w:val="0000FF"/>
      <w:u w:val="single"/>
    </w:rPr>
  </w:style>
  <w:style w:type="paragraph" w:styleId="BodyTextIndent">
    <w:name w:val="Body Text Indent"/>
    <w:basedOn w:val="Normal"/>
    <w:link w:val="BodyTextIndentChar"/>
    <w:rsid w:val="00882116"/>
    <w:pPr>
      <w:spacing w:after="120"/>
      <w:ind w:left="283"/>
    </w:pPr>
  </w:style>
  <w:style w:type="character" w:customStyle="1" w:styleId="BodyTextIndentChar">
    <w:name w:val="Body Text Indent Char"/>
    <w:basedOn w:val="DefaultParagraphFont"/>
    <w:link w:val="BodyTextIndent"/>
    <w:rsid w:val="00882116"/>
    <w:rPr>
      <w:rFonts w:ascii="Arial" w:eastAsia="Times New Roman" w:hAnsi="Arial" w:cs="Times New Roman"/>
      <w:szCs w:val="20"/>
      <w:lang w:val="en-GB" w:bidi="ar-SA"/>
    </w:rPr>
  </w:style>
  <w:style w:type="character" w:styleId="CommentReference">
    <w:name w:val="annotation reference"/>
    <w:basedOn w:val="DefaultParagraphFont"/>
    <w:rsid w:val="00882116"/>
    <w:rPr>
      <w:sz w:val="16"/>
      <w:szCs w:val="16"/>
    </w:rPr>
  </w:style>
  <w:style w:type="paragraph" w:styleId="CommentText">
    <w:name w:val="annotation text"/>
    <w:basedOn w:val="Normal"/>
    <w:link w:val="CommentTextChar"/>
    <w:rsid w:val="00882116"/>
    <w:rPr>
      <w:sz w:val="20"/>
    </w:rPr>
  </w:style>
  <w:style w:type="character" w:customStyle="1" w:styleId="CommentTextChar">
    <w:name w:val="Comment Text Char"/>
    <w:basedOn w:val="DefaultParagraphFont"/>
    <w:link w:val="CommentText"/>
    <w:rsid w:val="00882116"/>
    <w:rPr>
      <w:rFonts w:ascii="Arial" w:eastAsia="Times New Roman" w:hAnsi="Arial" w:cs="Times New Roman"/>
      <w:sz w:val="20"/>
      <w:szCs w:val="20"/>
      <w:lang w:val="en-GB" w:bidi="ar-SA"/>
    </w:rPr>
  </w:style>
  <w:style w:type="paragraph" w:styleId="BalloonText">
    <w:name w:val="Balloon Text"/>
    <w:basedOn w:val="Normal"/>
    <w:link w:val="BalloonTextChar"/>
    <w:uiPriority w:val="99"/>
    <w:semiHidden/>
    <w:unhideWhenUsed/>
    <w:rsid w:val="00882116"/>
    <w:rPr>
      <w:rFonts w:ascii="Tahoma" w:hAnsi="Tahoma" w:cs="Tahoma"/>
      <w:sz w:val="16"/>
      <w:szCs w:val="16"/>
    </w:rPr>
  </w:style>
  <w:style w:type="character" w:customStyle="1" w:styleId="BalloonTextChar">
    <w:name w:val="Balloon Text Char"/>
    <w:basedOn w:val="DefaultParagraphFont"/>
    <w:link w:val="BalloonText"/>
    <w:uiPriority w:val="99"/>
    <w:semiHidden/>
    <w:rsid w:val="00882116"/>
    <w:rPr>
      <w:rFonts w:ascii="Tahoma" w:eastAsia="Times New Roman" w:hAnsi="Tahoma" w:cs="Tahoma"/>
      <w:sz w:val="16"/>
      <w:szCs w:val="16"/>
      <w:lang w:val="en-GB" w:bidi="ar-SA"/>
    </w:rPr>
  </w:style>
  <w:style w:type="paragraph" w:styleId="Revision">
    <w:name w:val="Revision"/>
    <w:hidden/>
    <w:uiPriority w:val="99"/>
    <w:semiHidden/>
    <w:rsid w:val="0049547A"/>
    <w:rPr>
      <w:rFonts w:ascii="Arial" w:eastAsia="Times New Roman" w:hAnsi="Arial"/>
      <w:sz w:val="22"/>
      <w:lang w:eastAsia="en-US"/>
    </w:rPr>
  </w:style>
  <w:style w:type="paragraph" w:customStyle="1" w:styleId="CM16">
    <w:name w:val="CM16"/>
    <w:basedOn w:val="Normal"/>
    <w:next w:val="Normal"/>
    <w:uiPriority w:val="99"/>
    <w:rsid w:val="00915D98"/>
    <w:pPr>
      <w:widowControl w:val="0"/>
      <w:autoSpaceDE w:val="0"/>
      <w:autoSpaceDN w:val="0"/>
      <w:adjustRightInd w:val="0"/>
      <w:jc w:val="left"/>
    </w:pPr>
    <w:rPr>
      <w:rFonts w:cs="Arial"/>
      <w:sz w:val="24"/>
      <w:szCs w:val="24"/>
      <w:lang w:eastAsia="en-GB"/>
    </w:rPr>
  </w:style>
  <w:style w:type="paragraph" w:customStyle="1" w:styleId="CM3">
    <w:name w:val="CM3"/>
    <w:basedOn w:val="Normal"/>
    <w:next w:val="Normal"/>
    <w:uiPriority w:val="99"/>
    <w:rsid w:val="00915D98"/>
    <w:pPr>
      <w:widowControl w:val="0"/>
      <w:autoSpaceDE w:val="0"/>
      <w:autoSpaceDN w:val="0"/>
      <w:adjustRightInd w:val="0"/>
      <w:spacing w:line="248" w:lineRule="atLeast"/>
      <w:jc w:val="left"/>
    </w:pPr>
    <w:rPr>
      <w:rFonts w:cs="Arial"/>
      <w:sz w:val="24"/>
      <w:szCs w:val="24"/>
      <w:lang w:eastAsia="en-GB"/>
    </w:rPr>
  </w:style>
  <w:style w:type="paragraph" w:customStyle="1" w:styleId="CM18">
    <w:name w:val="CM18"/>
    <w:basedOn w:val="Normal"/>
    <w:next w:val="Normal"/>
    <w:uiPriority w:val="99"/>
    <w:rsid w:val="007B1AA4"/>
    <w:pPr>
      <w:framePr w:w="8949" w:wrap="auto" w:vAnchor="page" w:hAnchor="page" w:x="1441" w:y="9780"/>
      <w:widowControl w:val="0"/>
      <w:autoSpaceDE w:val="0"/>
      <w:autoSpaceDN w:val="0"/>
      <w:adjustRightInd w:val="0"/>
      <w:spacing w:line="248" w:lineRule="atLeast"/>
      <w:jc w:val="left"/>
    </w:pPr>
    <w:rPr>
      <w:rFonts w:cs="Arial"/>
      <w:color w:val="E36C0A"/>
      <w:szCs w:val="22"/>
      <w:lang w:eastAsia="en-GB"/>
    </w:rPr>
  </w:style>
  <w:style w:type="character" w:styleId="FollowedHyperlink">
    <w:name w:val="FollowedHyperlink"/>
    <w:basedOn w:val="DefaultParagraphFont"/>
    <w:uiPriority w:val="99"/>
    <w:semiHidden/>
    <w:unhideWhenUsed/>
    <w:rsid w:val="000B2B65"/>
    <w:rPr>
      <w:color w:val="800080"/>
      <w:u w:val="single"/>
    </w:rPr>
  </w:style>
  <w:style w:type="paragraph" w:styleId="CommentSubject">
    <w:name w:val="annotation subject"/>
    <w:basedOn w:val="CommentText"/>
    <w:next w:val="CommentText"/>
    <w:link w:val="CommentSubjectChar"/>
    <w:uiPriority w:val="99"/>
    <w:semiHidden/>
    <w:unhideWhenUsed/>
    <w:rsid w:val="003137B8"/>
    <w:rPr>
      <w:b/>
      <w:bCs/>
    </w:rPr>
  </w:style>
  <w:style w:type="character" w:customStyle="1" w:styleId="CommentSubjectChar">
    <w:name w:val="Comment Subject Char"/>
    <w:basedOn w:val="CommentTextChar"/>
    <w:link w:val="CommentSubject"/>
    <w:uiPriority w:val="99"/>
    <w:semiHidden/>
    <w:rsid w:val="003137B8"/>
    <w:rPr>
      <w:rFonts w:ascii="Arial" w:eastAsia="Times New Roman" w:hAnsi="Arial" w:cs="Times New Roman"/>
      <w:b/>
      <w:bCs/>
      <w:sz w:val="20"/>
      <w:szCs w:val="20"/>
      <w:lang w:val="en-GB" w:eastAsia="en-US" w:bidi="ar-SA"/>
    </w:rPr>
  </w:style>
  <w:style w:type="paragraph" w:styleId="NormalWeb">
    <w:name w:val="Normal (Web)"/>
    <w:basedOn w:val="Normal"/>
    <w:uiPriority w:val="99"/>
    <w:semiHidden/>
    <w:unhideWhenUsed/>
    <w:rsid w:val="00D62011"/>
    <w:pPr>
      <w:spacing w:before="100" w:beforeAutospacing="1" w:after="100" w:afterAutospacing="1"/>
      <w:jc w:val="left"/>
    </w:pPr>
    <w:rPr>
      <w:rFonts w:ascii="Times New Roman" w:eastAsia="Calibri" w:hAnsi="Times New Roman"/>
      <w:sz w:val="24"/>
      <w:szCs w:val="24"/>
      <w:lang w:eastAsia="en-GB"/>
    </w:rPr>
  </w:style>
  <w:style w:type="table" w:styleId="TableGrid">
    <w:name w:val="Table Grid"/>
    <w:basedOn w:val="TableNormal"/>
    <w:uiPriority w:val="59"/>
    <w:rsid w:val="00C3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10FB1"/>
    <w:rPr>
      <w:color w:val="605E5C"/>
      <w:shd w:val="clear" w:color="auto" w:fill="E1DFDD"/>
    </w:rPr>
  </w:style>
  <w:style w:type="paragraph" w:styleId="FootnoteText">
    <w:name w:val="footnote text"/>
    <w:basedOn w:val="Normal"/>
    <w:link w:val="FootnoteTextChar"/>
    <w:uiPriority w:val="99"/>
    <w:semiHidden/>
    <w:unhideWhenUsed/>
    <w:rsid w:val="0042572A"/>
    <w:rPr>
      <w:sz w:val="20"/>
    </w:rPr>
  </w:style>
  <w:style w:type="character" w:customStyle="1" w:styleId="FootnoteTextChar">
    <w:name w:val="Footnote Text Char"/>
    <w:basedOn w:val="DefaultParagraphFont"/>
    <w:link w:val="FootnoteText"/>
    <w:uiPriority w:val="99"/>
    <w:semiHidden/>
    <w:rsid w:val="0042572A"/>
    <w:rPr>
      <w:rFonts w:ascii="Arial" w:eastAsia="Times New Roman" w:hAnsi="Arial"/>
      <w:lang w:eastAsia="en-US"/>
    </w:rPr>
  </w:style>
  <w:style w:type="character" w:styleId="FootnoteReference">
    <w:name w:val="footnote reference"/>
    <w:basedOn w:val="DefaultParagraphFont"/>
    <w:uiPriority w:val="99"/>
    <w:semiHidden/>
    <w:unhideWhenUsed/>
    <w:rsid w:val="004257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4825">
      <w:bodyDiv w:val="1"/>
      <w:marLeft w:val="0"/>
      <w:marRight w:val="0"/>
      <w:marTop w:val="0"/>
      <w:marBottom w:val="0"/>
      <w:divBdr>
        <w:top w:val="none" w:sz="0" w:space="0" w:color="auto"/>
        <w:left w:val="none" w:sz="0" w:space="0" w:color="auto"/>
        <w:bottom w:val="none" w:sz="0" w:space="0" w:color="auto"/>
        <w:right w:val="none" w:sz="0" w:space="0" w:color="auto"/>
      </w:divBdr>
    </w:div>
    <w:div w:id="48463388">
      <w:bodyDiv w:val="1"/>
      <w:marLeft w:val="0"/>
      <w:marRight w:val="0"/>
      <w:marTop w:val="0"/>
      <w:marBottom w:val="0"/>
      <w:divBdr>
        <w:top w:val="none" w:sz="0" w:space="0" w:color="auto"/>
        <w:left w:val="none" w:sz="0" w:space="0" w:color="auto"/>
        <w:bottom w:val="none" w:sz="0" w:space="0" w:color="auto"/>
        <w:right w:val="none" w:sz="0" w:space="0" w:color="auto"/>
      </w:divBdr>
    </w:div>
    <w:div w:id="95945706">
      <w:bodyDiv w:val="1"/>
      <w:marLeft w:val="0"/>
      <w:marRight w:val="0"/>
      <w:marTop w:val="0"/>
      <w:marBottom w:val="0"/>
      <w:divBdr>
        <w:top w:val="none" w:sz="0" w:space="0" w:color="auto"/>
        <w:left w:val="none" w:sz="0" w:space="0" w:color="auto"/>
        <w:bottom w:val="none" w:sz="0" w:space="0" w:color="auto"/>
        <w:right w:val="none" w:sz="0" w:space="0" w:color="auto"/>
      </w:divBdr>
    </w:div>
    <w:div w:id="167796313">
      <w:bodyDiv w:val="1"/>
      <w:marLeft w:val="0"/>
      <w:marRight w:val="0"/>
      <w:marTop w:val="0"/>
      <w:marBottom w:val="0"/>
      <w:divBdr>
        <w:top w:val="none" w:sz="0" w:space="0" w:color="auto"/>
        <w:left w:val="none" w:sz="0" w:space="0" w:color="auto"/>
        <w:bottom w:val="none" w:sz="0" w:space="0" w:color="auto"/>
        <w:right w:val="none" w:sz="0" w:space="0" w:color="auto"/>
      </w:divBdr>
    </w:div>
    <w:div w:id="190145160">
      <w:bodyDiv w:val="1"/>
      <w:marLeft w:val="0"/>
      <w:marRight w:val="0"/>
      <w:marTop w:val="0"/>
      <w:marBottom w:val="0"/>
      <w:divBdr>
        <w:top w:val="none" w:sz="0" w:space="0" w:color="auto"/>
        <w:left w:val="none" w:sz="0" w:space="0" w:color="auto"/>
        <w:bottom w:val="none" w:sz="0" w:space="0" w:color="auto"/>
        <w:right w:val="none" w:sz="0" w:space="0" w:color="auto"/>
      </w:divBdr>
    </w:div>
    <w:div w:id="211038112">
      <w:bodyDiv w:val="1"/>
      <w:marLeft w:val="0"/>
      <w:marRight w:val="0"/>
      <w:marTop w:val="0"/>
      <w:marBottom w:val="0"/>
      <w:divBdr>
        <w:top w:val="none" w:sz="0" w:space="0" w:color="auto"/>
        <w:left w:val="none" w:sz="0" w:space="0" w:color="auto"/>
        <w:bottom w:val="none" w:sz="0" w:space="0" w:color="auto"/>
        <w:right w:val="none" w:sz="0" w:space="0" w:color="auto"/>
      </w:divBdr>
    </w:div>
    <w:div w:id="258678585">
      <w:bodyDiv w:val="1"/>
      <w:marLeft w:val="0"/>
      <w:marRight w:val="0"/>
      <w:marTop w:val="0"/>
      <w:marBottom w:val="0"/>
      <w:divBdr>
        <w:top w:val="none" w:sz="0" w:space="0" w:color="auto"/>
        <w:left w:val="none" w:sz="0" w:space="0" w:color="auto"/>
        <w:bottom w:val="none" w:sz="0" w:space="0" w:color="auto"/>
        <w:right w:val="none" w:sz="0" w:space="0" w:color="auto"/>
      </w:divBdr>
    </w:div>
    <w:div w:id="288323402">
      <w:bodyDiv w:val="1"/>
      <w:marLeft w:val="0"/>
      <w:marRight w:val="0"/>
      <w:marTop w:val="0"/>
      <w:marBottom w:val="0"/>
      <w:divBdr>
        <w:top w:val="none" w:sz="0" w:space="0" w:color="auto"/>
        <w:left w:val="none" w:sz="0" w:space="0" w:color="auto"/>
        <w:bottom w:val="none" w:sz="0" w:space="0" w:color="auto"/>
        <w:right w:val="none" w:sz="0" w:space="0" w:color="auto"/>
      </w:divBdr>
    </w:div>
    <w:div w:id="348725550">
      <w:bodyDiv w:val="1"/>
      <w:marLeft w:val="0"/>
      <w:marRight w:val="0"/>
      <w:marTop w:val="0"/>
      <w:marBottom w:val="0"/>
      <w:divBdr>
        <w:top w:val="none" w:sz="0" w:space="0" w:color="auto"/>
        <w:left w:val="none" w:sz="0" w:space="0" w:color="auto"/>
        <w:bottom w:val="none" w:sz="0" w:space="0" w:color="auto"/>
        <w:right w:val="none" w:sz="0" w:space="0" w:color="auto"/>
      </w:divBdr>
    </w:div>
    <w:div w:id="460927226">
      <w:bodyDiv w:val="1"/>
      <w:marLeft w:val="0"/>
      <w:marRight w:val="0"/>
      <w:marTop w:val="0"/>
      <w:marBottom w:val="0"/>
      <w:divBdr>
        <w:top w:val="none" w:sz="0" w:space="0" w:color="auto"/>
        <w:left w:val="none" w:sz="0" w:space="0" w:color="auto"/>
        <w:bottom w:val="none" w:sz="0" w:space="0" w:color="auto"/>
        <w:right w:val="none" w:sz="0" w:space="0" w:color="auto"/>
      </w:divBdr>
    </w:div>
    <w:div w:id="531307684">
      <w:bodyDiv w:val="1"/>
      <w:marLeft w:val="0"/>
      <w:marRight w:val="0"/>
      <w:marTop w:val="0"/>
      <w:marBottom w:val="0"/>
      <w:divBdr>
        <w:top w:val="none" w:sz="0" w:space="0" w:color="auto"/>
        <w:left w:val="none" w:sz="0" w:space="0" w:color="auto"/>
        <w:bottom w:val="none" w:sz="0" w:space="0" w:color="auto"/>
        <w:right w:val="none" w:sz="0" w:space="0" w:color="auto"/>
      </w:divBdr>
    </w:div>
    <w:div w:id="534318766">
      <w:bodyDiv w:val="1"/>
      <w:marLeft w:val="0"/>
      <w:marRight w:val="0"/>
      <w:marTop w:val="0"/>
      <w:marBottom w:val="0"/>
      <w:divBdr>
        <w:top w:val="none" w:sz="0" w:space="0" w:color="auto"/>
        <w:left w:val="none" w:sz="0" w:space="0" w:color="auto"/>
        <w:bottom w:val="none" w:sz="0" w:space="0" w:color="auto"/>
        <w:right w:val="none" w:sz="0" w:space="0" w:color="auto"/>
      </w:divBdr>
    </w:div>
    <w:div w:id="573009233">
      <w:bodyDiv w:val="1"/>
      <w:marLeft w:val="0"/>
      <w:marRight w:val="0"/>
      <w:marTop w:val="0"/>
      <w:marBottom w:val="0"/>
      <w:divBdr>
        <w:top w:val="none" w:sz="0" w:space="0" w:color="auto"/>
        <w:left w:val="none" w:sz="0" w:space="0" w:color="auto"/>
        <w:bottom w:val="none" w:sz="0" w:space="0" w:color="auto"/>
        <w:right w:val="none" w:sz="0" w:space="0" w:color="auto"/>
      </w:divBdr>
    </w:div>
    <w:div w:id="649601973">
      <w:bodyDiv w:val="1"/>
      <w:marLeft w:val="0"/>
      <w:marRight w:val="0"/>
      <w:marTop w:val="0"/>
      <w:marBottom w:val="0"/>
      <w:divBdr>
        <w:top w:val="none" w:sz="0" w:space="0" w:color="auto"/>
        <w:left w:val="none" w:sz="0" w:space="0" w:color="auto"/>
        <w:bottom w:val="none" w:sz="0" w:space="0" w:color="auto"/>
        <w:right w:val="none" w:sz="0" w:space="0" w:color="auto"/>
      </w:divBdr>
    </w:div>
    <w:div w:id="691804863">
      <w:bodyDiv w:val="1"/>
      <w:marLeft w:val="0"/>
      <w:marRight w:val="0"/>
      <w:marTop w:val="0"/>
      <w:marBottom w:val="0"/>
      <w:divBdr>
        <w:top w:val="none" w:sz="0" w:space="0" w:color="auto"/>
        <w:left w:val="none" w:sz="0" w:space="0" w:color="auto"/>
        <w:bottom w:val="none" w:sz="0" w:space="0" w:color="auto"/>
        <w:right w:val="none" w:sz="0" w:space="0" w:color="auto"/>
      </w:divBdr>
    </w:div>
    <w:div w:id="806705354">
      <w:bodyDiv w:val="1"/>
      <w:marLeft w:val="0"/>
      <w:marRight w:val="0"/>
      <w:marTop w:val="0"/>
      <w:marBottom w:val="0"/>
      <w:divBdr>
        <w:top w:val="none" w:sz="0" w:space="0" w:color="auto"/>
        <w:left w:val="none" w:sz="0" w:space="0" w:color="auto"/>
        <w:bottom w:val="none" w:sz="0" w:space="0" w:color="auto"/>
        <w:right w:val="none" w:sz="0" w:space="0" w:color="auto"/>
      </w:divBdr>
    </w:div>
    <w:div w:id="832910832">
      <w:bodyDiv w:val="1"/>
      <w:marLeft w:val="0"/>
      <w:marRight w:val="0"/>
      <w:marTop w:val="0"/>
      <w:marBottom w:val="0"/>
      <w:divBdr>
        <w:top w:val="none" w:sz="0" w:space="0" w:color="auto"/>
        <w:left w:val="none" w:sz="0" w:space="0" w:color="auto"/>
        <w:bottom w:val="none" w:sz="0" w:space="0" w:color="auto"/>
        <w:right w:val="none" w:sz="0" w:space="0" w:color="auto"/>
      </w:divBdr>
    </w:div>
    <w:div w:id="873736334">
      <w:bodyDiv w:val="1"/>
      <w:marLeft w:val="0"/>
      <w:marRight w:val="0"/>
      <w:marTop w:val="0"/>
      <w:marBottom w:val="0"/>
      <w:divBdr>
        <w:top w:val="none" w:sz="0" w:space="0" w:color="auto"/>
        <w:left w:val="none" w:sz="0" w:space="0" w:color="auto"/>
        <w:bottom w:val="none" w:sz="0" w:space="0" w:color="auto"/>
        <w:right w:val="none" w:sz="0" w:space="0" w:color="auto"/>
      </w:divBdr>
    </w:div>
    <w:div w:id="1117529591">
      <w:bodyDiv w:val="1"/>
      <w:marLeft w:val="0"/>
      <w:marRight w:val="0"/>
      <w:marTop w:val="0"/>
      <w:marBottom w:val="0"/>
      <w:divBdr>
        <w:top w:val="none" w:sz="0" w:space="0" w:color="auto"/>
        <w:left w:val="none" w:sz="0" w:space="0" w:color="auto"/>
        <w:bottom w:val="none" w:sz="0" w:space="0" w:color="auto"/>
        <w:right w:val="none" w:sz="0" w:space="0" w:color="auto"/>
      </w:divBdr>
    </w:div>
    <w:div w:id="1125268375">
      <w:bodyDiv w:val="1"/>
      <w:marLeft w:val="0"/>
      <w:marRight w:val="0"/>
      <w:marTop w:val="0"/>
      <w:marBottom w:val="0"/>
      <w:divBdr>
        <w:top w:val="none" w:sz="0" w:space="0" w:color="auto"/>
        <w:left w:val="none" w:sz="0" w:space="0" w:color="auto"/>
        <w:bottom w:val="none" w:sz="0" w:space="0" w:color="auto"/>
        <w:right w:val="none" w:sz="0" w:space="0" w:color="auto"/>
      </w:divBdr>
    </w:div>
    <w:div w:id="1141191012">
      <w:bodyDiv w:val="1"/>
      <w:marLeft w:val="0"/>
      <w:marRight w:val="0"/>
      <w:marTop w:val="0"/>
      <w:marBottom w:val="0"/>
      <w:divBdr>
        <w:top w:val="none" w:sz="0" w:space="0" w:color="auto"/>
        <w:left w:val="none" w:sz="0" w:space="0" w:color="auto"/>
        <w:bottom w:val="none" w:sz="0" w:space="0" w:color="auto"/>
        <w:right w:val="none" w:sz="0" w:space="0" w:color="auto"/>
      </w:divBdr>
    </w:div>
    <w:div w:id="1143540197">
      <w:bodyDiv w:val="1"/>
      <w:marLeft w:val="0"/>
      <w:marRight w:val="0"/>
      <w:marTop w:val="0"/>
      <w:marBottom w:val="0"/>
      <w:divBdr>
        <w:top w:val="none" w:sz="0" w:space="0" w:color="auto"/>
        <w:left w:val="none" w:sz="0" w:space="0" w:color="auto"/>
        <w:bottom w:val="none" w:sz="0" w:space="0" w:color="auto"/>
        <w:right w:val="none" w:sz="0" w:space="0" w:color="auto"/>
      </w:divBdr>
    </w:div>
    <w:div w:id="1144078548">
      <w:bodyDiv w:val="1"/>
      <w:marLeft w:val="0"/>
      <w:marRight w:val="0"/>
      <w:marTop w:val="0"/>
      <w:marBottom w:val="0"/>
      <w:divBdr>
        <w:top w:val="none" w:sz="0" w:space="0" w:color="auto"/>
        <w:left w:val="none" w:sz="0" w:space="0" w:color="auto"/>
        <w:bottom w:val="none" w:sz="0" w:space="0" w:color="auto"/>
        <w:right w:val="none" w:sz="0" w:space="0" w:color="auto"/>
      </w:divBdr>
    </w:div>
    <w:div w:id="1295404163">
      <w:bodyDiv w:val="1"/>
      <w:marLeft w:val="0"/>
      <w:marRight w:val="0"/>
      <w:marTop w:val="0"/>
      <w:marBottom w:val="0"/>
      <w:divBdr>
        <w:top w:val="none" w:sz="0" w:space="0" w:color="auto"/>
        <w:left w:val="none" w:sz="0" w:space="0" w:color="auto"/>
        <w:bottom w:val="none" w:sz="0" w:space="0" w:color="auto"/>
        <w:right w:val="none" w:sz="0" w:space="0" w:color="auto"/>
      </w:divBdr>
    </w:div>
    <w:div w:id="1366639657">
      <w:bodyDiv w:val="1"/>
      <w:marLeft w:val="0"/>
      <w:marRight w:val="0"/>
      <w:marTop w:val="0"/>
      <w:marBottom w:val="0"/>
      <w:divBdr>
        <w:top w:val="none" w:sz="0" w:space="0" w:color="auto"/>
        <w:left w:val="none" w:sz="0" w:space="0" w:color="auto"/>
        <w:bottom w:val="none" w:sz="0" w:space="0" w:color="auto"/>
        <w:right w:val="none" w:sz="0" w:space="0" w:color="auto"/>
      </w:divBdr>
    </w:div>
    <w:div w:id="1381444790">
      <w:bodyDiv w:val="1"/>
      <w:marLeft w:val="0"/>
      <w:marRight w:val="0"/>
      <w:marTop w:val="0"/>
      <w:marBottom w:val="0"/>
      <w:divBdr>
        <w:top w:val="none" w:sz="0" w:space="0" w:color="auto"/>
        <w:left w:val="none" w:sz="0" w:space="0" w:color="auto"/>
        <w:bottom w:val="none" w:sz="0" w:space="0" w:color="auto"/>
        <w:right w:val="none" w:sz="0" w:space="0" w:color="auto"/>
      </w:divBdr>
    </w:div>
    <w:div w:id="1558470441">
      <w:bodyDiv w:val="1"/>
      <w:marLeft w:val="0"/>
      <w:marRight w:val="0"/>
      <w:marTop w:val="0"/>
      <w:marBottom w:val="0"/>
      <w:divBdr>
        <w:top w:val="none" w:sz="0" w:space="0" w:color="auto"/>
        <w:left w:val="none" w:sz="0" w:space="0" w:color="auto"/>
        <w:bottom w:val="none" w:sz="0" w:space="0" w:color="auto"/>
        <w:right w:val="none" w:sz="0" w:space="0" w:color="auto"/>
      </w:divBdr>
    </w:div>
    <w:div w:id="1729264049">
      <w:bodyDiv w:val="1"/>
      <w:marLeft w:val="0"/>
      <w:marRight w:val="0"/>
      <w:marTop w:val="0"/>
      <w:marBottom w:val="0"/>
      <w:divBdr>
        <w:top w:val="none" w:sz="0" w:space="0" w:color="auto"/>
        <w:left w:val="none" w:sz="0" w:space="0" w:color="auto"/>
        <w:bottom w:val="none" w:sz="0" w:space="0" w:color="auto"/>
        <w:right w:val="none" w:sz="0" w:space="0" w:color="auto"/>
      </w:divBdr>
    </w:div>
    <w:div w:id="1835291379">
      <w:bodyDiv w:val="1"/>
      <w:marLeft w:val="0"/>
      <w:marRight w:val="0"/>
      <w:marTop w:val="0"/>
      <w:marBottom w:val="0"/>
      <w:divBdr>
        <w:top w:val="none" w:sz="0" w:space="0" w:color="auto"/>
        <w:left w:val="none" w:sz="0" w:space="0" w:color="auto"/>
        <w:bottom w:val="none" w:sz="0" w:space="0" w:color="auto"/>
        <w:right w:val="none" w:sz="0" w:space="0" w:color="auto"/>
      </w:divBdr>
    </w:div>
    <w:div w:id="1898855161">
      <w:bodyDiv w:val="1"/>
      <w:marLeft w:val="0"/>
      <w:marRight w:val="0"/>
      <w:marTop w:val="0"/>
      <w:marBottom w:val="0"/>
      <w:divBdr>
        <w:top w:val="none" w:sz="0" w:space="0" w:color="auto"/>
        <w:left w:val="none" w:sz="0" w:space="0" w:color="auto"/>
        <w:bottom w:val="none" w:sz="0" w:space="0" w:color="auto"/>
        <w:right w:val="none" w:sz="0" w:space="0" w:color="auto"/>
      </w:divBdr>
    </w:div>
    <w:div w:id="19034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package" Target="embeddings/Microsoft_Excel_Worksheet.xlsx"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1.emf"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webSettings" Target="webSettings.xml" Id="rId6" /><Relationship Type="http://schemas.openxmlformats.org/officeDocument/2006/relationships/hyperlink" Target="mailto:lynne.newell@nhs.net"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mailto:specialisedpharma@cmu.nhs.uk"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mailto:specialisedpharma@cmu.nhs.uk" TargetMode="External" Id="rId9" /><Relationship Type="http://schemas.openxmlformats.org/officeDocument/2006/relationships/header" Target="header1.xml" Id="rId14" /><Relationship Type="http://schemas.openxmlformats.org/officeDocument/2006/relationships/customXml" Target="/customXML/item4.xml" Id="R4eb68246e87b45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A2514544</value>
    </field>
    <field name="Objective-Title">
      <value order="0">Document No. 04a - Haemophilia A - Contract Specifics</value>
    </field>
    <field name="Objective-Description">
      <value order="0"/>
    </field>
    <field name="Objective-CreationStamp">
      <value order="0">2020-02-18T15:54:57Z</value>
    </field>
    <field name="Objective-IsApproved">
      <value order="0">false</value>
    </field>
    <field name="Objective-IsPublished">
      <value order="0">true</value>
    </field>
    <field name="Objective-DatePublished">
      <value order="0">2020-02-25T10:56:31Z</value>
    </field>
    <field name="Objective-ModificationStamp">
      <value order="0">2020-02-25T10:56:31Z</value>
    </field>
    <field name="Objective-Owner">
      <value order="0">Roach, Wendy</value>
    </field>
    <field name="Objective-Path">
      <value order="0">Global Folder:05 Blood Products Team Projects and Contracts:Live Projects:19 Specialised Pharmaceuticals projects and contracts 2019:CM/PHS/17/5564 - Products for the treatment of Haemophilia A:03 Tender for CM/PHS/17/5564 - Products for the treatment of Haemophilia A:04  ITO Documents:ITO Documents</value>
    </field>
    <field name="Objective-Parent">
      <value order="0">ITO Documents</value>
    </field>
    <field name="Objective-State">
      <value order="0">Published</value>
    </field>
    <field name="Objective-VersionId">
      <value order="0">vA3826751</value>
    </field>
    <field name="Objective-Version">
      <value order="0">11.0</value>
    </field>
    <field name="Objective-VersionNumber">
      <value order="0">12</value>
    </field>
    <field name="Objective-VersionComment">
      <value order="0"/>
    </field>
    <field name="Objective-FileNumber">
      <value order="0">qA18641</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60D9F5D6-0E85-4872-8660-4D6EFA09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17</Pages>
  <Words>4452</Words>
  <Characters>25380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Wendy</dc:creator>
  <cp:lastModifiedBy>Philip Grieve</cp:lastModifiedBy>
  <cp:revision>18</cp:revision>
  <cp:lastPrinted>2018-02-22T08:48:00Z</cp:lastPrinted>
  <dcterms:created xsi:type="dcterms:W3CDTF">2020-02-18T15:54:00Z</dcterms:created>
  <dcterms:modified xsi:type="dcterms:W3CDTF">2020-02-21T15:38:00Z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A2514544</vt:lpwstr>
  </property>
  <property fmtid="{D5CDD505-2E9C-101B-9397-08002B2CF9AE}" pid="3" name="Objective-Title">
    <vt:lpwstr>Document No. 04a - Haemophilia A - Contract Specifics</vt:lpwstr>
  </property>
  <property fmtid="{D5CDD505-2E9C-101B-9397-08002B2CF9AE}" pid="4" name="Objective-Comment">
    <vt:lpwstr/>
  </property>
  <property fmtid="{D5CDD505-2E9C-101B-9397-08002B2CF9AE}" pid="5" name="Objective-CreationStamp">
    <vt:filetime>2020-02-18T15:54:57Z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2020-02-25T10:56:31Z</vt:filetime>
  </property>
  <property fmtid="{D5CDD505-2E9C-101B-9397-08002B2CF9AE}" pid="9" name="Objective-ModificationStamp">
    <vt:filetime>2020-02-25T10:56:31Z</vt:filetime>
  </property>
  <property fmtid="{D5CDD505-2E9C-101B-9397-08002B2CF9AE}" pid="10" name="Objective-Owner">
    <vt:lpwstr>Roach, Wendy</vt:lpwstr>
  </property>
  <property fmtid="{D5CDD505-2E9C-101B-9397-08002B2CF9AE}" pid="11" name="Objective-Path">
    <vt:lpwstr>Global Folder:05 Blood Products Team Projects and Contracts:Live Projects:19 Specialised Pharmaceuticals projects and contracts 2019:CM/PHS/17/5564 - Products for the treatment of Haemophilia A:03 Tender for CM/PHS/17/5564 - Products for the treatment of Haemophilia A:04  ITO Documents:ITO Documents</vt:lpwstr>
  </property>
  <property fmtid="{D5CDD505-2E9C-101B-9397-08002B2CF9AE}" pid="12" name="Objective-Parent">
    <vt:lpwstr>ITO Documents</vt:lpwstr>
  </property>
  <property fmtid="{D5CDD505-2E9C-101B-9397-08002B2CF9AE}" pid="13" name="Objective-State">
    <vt:lpwstr>Published</vt:lpwstr>
  </property>
  <property fmtid="{D5CDD505-2E9C-101B-9397-08002B2CF9AE}" pid="14" name="Objective-Version">
    <vt:lpwstr>11.0</vt:lpwstr>
  </property>
  <property fmtid="{D5CDD505-2E9C-101B-9397-08002B2CF9AE}" pid="15" name="Objective-VersionNumber">
    <vt:r8>12</vt:r8>
  </property>
  <property fmtid="{D5CDD505-2E9C-101B-9397-08002B2CF9AE}" pid="16" name="Objective-VersionComment">
    <vt:lpwstr/>
  </property>
  <property fmtid="{D5CDD505-2E9C-101B-9397-08002B2CF9AE}" pid="17" name="Objective-FileNumber">
    <vt:lpwstr>qA18641</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vA3826751</vt:lpwstr>
  </property>
</Properties>
</file>