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6AFDD" w14:textId="5C65C141" w:rsidR="0057233D" w:rsidRDefault="0057233D" w:rsidP="000914B5">
      <w:pPr>
        <w:contextualSpacing/>
        <w:jc w:val="center"/>
        <w:rPr>
          <w:b/>
          <w:sz w:val="28"/>
          <w:szCs w:val="28"/>
        </w:rPr>
      </w:pPr>
    </w:p>
    <w:p w14:paraId="46B3B6ED" w14:textId="1DE1B3E2" w:rsidR="00F40AB8" w:rsidRDefault="00F40AB8" w:rsidP="000914B5">
      <w:pPr>
        <w:contextualSpacing/>
        <w:jc w:val="center"/>
        <w:rPr>
          <w:b/>
          <w:sz w:val="28"/>
          <w:szCs w:val="28"/>
        </w:rPr>
      </w:pPr>
    </w:p>
    <w:p w14:paraId="76BEB413" w14:textId="77777777" w:rsidR="00F40AB8" w:rsidRDefault="00F40AB8" w:rsidP="000914B5">
      <w:pPr>
        <w:contextualSpacing/>
        <w:jc w:val="center"/>
        <w:rPr>
          <w:b/>
          <w:sz w:val="28"/>
          <w:szCs w:val="28"/>
        </w:rPr>
      </w:pPr>
    </w:p>
    <w:p w14:paraId="7D676E10" w14:textId="77777777" w:rsidR="0057233D" w:rsidRDefault="0057233D" w:rsidP="000914B5">
      <w:pPr>
        <w:contextualSpacing/>
        <w:jc w:val="center"/>
        <w:rPr>
          <w:b/>
          <w:sz w:val="28"/>
          <w:szCs w:val="28"/>
        </w:rPr>
      </w:pPr>
    </w:p>
    <w:p w14:paraId="41CF58D8" w14:textId="25F31AD5" w:rsidR="00D60320" w:rsidRPr="006D77AD" w:rsidRDefault="006D77AD" w:rsidP="00F40AB8">
      <w:pPr>
        <w:contextualSpacing/>
        <w:jc w:val="center"/>
        <w:rPr>
          <w:b/>
          <w:sz w:val="28"/>
          <w:szCs w:val="28"/>
        </w:rPr>
      </w:pPr>
      <w:r>
        <w:rPr>
          <w:b/>
          <w:sz w:val="28"/>
          <w:szCs w:val="28"/>
        </w:rPr>
        <w:t>Specification</w:t>
      </w:r>
    </w:p>
    <w:p w14:paraId="4A903A0C" w14:textId="77777777" w:rsidR="000914B5" w:rsidRPr="006D77AD" w:rsidRDefault="000914B5" w:rsidP="00F40AB8">
      <w:pPr>
        <w:contextualSpacing/>
        <w:jc w:val="center"/>
        <w:rPr>
          <w:b/>
          <w:sz w:val="28"/>
          <w:szCs w:val="28"/>
        </w:rPr>
      </w:pPr>
    </w:p>
    <w:p w14:paraId="1A0FC790" w14:textId="77777777" w:rsidR="000914B5" w:rsidRPr="006D77AD" w:rsidRDefault="000914B5" w:rsidP="00F40AB8">
      <w:pPr>
        <w:contextualSpacing/>
        <w:jc w:val="center"/>
        <w:rPr>
          <w:b/>
          <w:sz w:val="28"/>
          <w:szCs w:val="28"/>
        </w:rPr>
      </w:pPr>
      <w:r w:rsidRPr="006D77AD">
        <w:rPr>
          <w:b/>
          <w:sz w:val="28"/>
          <w:szCs w:val="28"/>
        </w:rPr>
        <w:t>Local Plan Partial Review Integrated Impact Assessment</w:t>
      </w:r>
    </w:p>
    <w:p w14:paraId="6A6793AF" w14:textId="77777777" w:rsidR="000914B5" w:rsidRPr="006D77AD" w:rsidRDefault="000914B5" w:rsidP="00F40AB8">
      <w:pPr>
        <w:contextualSpacing/>
        <w:jc w:val="center"/>
        <w:rPr>
          <w:b/>
          <w:sz w:val="28"/>
          <w:szCs w:val="28"/>
        </w:rPr>
      </w:pPr>
      <w:r w:rsidRPr="006D77AD">
        <w:rPr>
          <w:b/>
          <w:sz w:val="28"/>
          <w:szCs w:val="28"/>
        </w:rPr>
        <w:t>(incorporating Sustainability Appraisal, Strategic Environmental Assessment, Equality Impact Assessment and Health Impact Assessment)</w:t>
      </w:r>
    </w:p>
    <w:p w14:paraId="7A88E629" w14:textId="4B3CE541" w:rsidR="001D2868" w:rsidRPr="006D77AD" w:rsidRDefault="001D2868" w:rsidP="00F40AB8">
      <w:pPr>
        <w:pStyle w:val="ListParagraph"/>
        <w:ind w:left="0" w:right="284"/>
        <w:contextualSpacing/>
        <w:jc w:val="center"/>
        <w:rPr>
          <w:b/>
        </w:rPr>
      </w:pPr>
    </w:p>
    <w:p w14:paraId="70F2ABFA" w14:textId="058B4713" w:rsidR="000914B5" w:rsidRDefault="009D58A1" w:rsidP="00F40AB8">
      <w:pPr>
        <w:pStyle w:val="ListParagraph"/>
        <w:ind w:left="0" w:right="284"/>
        <w:contextualSpacing/>
        <w:jc w:val="center"/>
        <w:rPr>
          <w:b/>
          <w:sz w:val="28"/>
          <w:szCs w:val="28"/>
        </w:rPr>
      </w:pPr>
      <w:r>
        <w:rPr>
          <w:b/>
          <w:sz w:val="28"/>
          <w:szCs w:val="28"/>
        </w:rPr>
        <w:t>Request for Quotation</w:t>
      </w:r>
    </w:p>
    <w:p w14:paraId="5CE30FDE" w14:textId="0EF418C7" w:rsidR="00F40AB8" w:rsidRDefault="00F40AB8" w:rsidP="00F40AB8">
      <w:pPr>
        <w:pStyle w:val="ListParagraph"/>
        <w:ind w:left="0" w:right="284"/>
        <w:contextualSpacing/>
        <w:jc w:val="center"/>
        <w:rPr>
          <w:b/>
          <w:sz w:val="28"/>
          <w:szCs w:val="28"/>
        </w:rPr>
      </w:pPr>
    </w:p>
    <w:p w14:paraId="4567336E" w14:textId="77777777" w:rsidR="00F40AB8" w:rsidRDefault="00F40AB8" w:rsidP="00F40AB8">
      <w:pPr>
        <w:pStyle w:val="ListParagraph"/>
        <w:ind w:left="0" w:right="284"/>
        <w:contextualSpacing/>
        <w:jc w:val="center"/>
        <w:rPr>
          <w:b/>
          <w:sz w:val="28"/>
          <w:szCs w:val="28"/>
        </w:rPr>
      </w:pPr>
    </w:p>
    <w:p w14:paraId="7C441406" w14:textId="510CD8B6" w:rsidR="00F40AB8" w:rsidRPr="00866D84" w:rsidRDefault="00F40AB8" w:rsidP="00F40AB8">
      <w:pPr>
        <w:pStyle w:val="ListParagraph"/>
        <w:ind w:left="0" w:right="284"/>
        <w:contextualSpacing/>
        <w:jc w:val="center"/>
        <w:rPr>
          <w:sz w:val="28"/>
          <w:szCs w:val="28"/>
        </w:rPr>
      </w:pPr>
      <w:r>
        <w:rPr>
          <w:sz w:val="28"/>
          <w:szCs w:val="28"/>
        </w:rPr>
        <w:t>Royal B</w:t>
      </w:r>
      <w:r w:rsidRPr="00866D84">
        <w:rPr>
          <w:sz w:val="28"/>
          <w:szCs w:val="28"/>
        </w:rPr>
        <w:t>orough of Kensington and Chelsea</w:t>
      </w:r>
    </w:p>
    <w:p w14:paraId="74B2C548" w14:textId="50C3E61F" w:rsidR="00F40AB8" w:rsidRDefault="00F40AB8" w:rsidP="00F40AB8">
      <w:pPr>
        <w:pStyle w:val="ListParagraph"/>
        <w:ind w:left="0" w:right="284"/>
        <w:contextualSpacing/>
        <w:jc w:val="center"/>
        <w:rPr>
          <w:b/>
          <w:sz w:val="28"/>
          <w:szCs w:val="28"/>
        </w:rPr>
      </w:pPr>
    </w:p>
    <w:p w14:paraId="06601D97" w14:textId="0F2CF1EE" w:rsidR="00F40AB8" w:rsidRDefault="00F40AB8" w:rsidP="00122090">
      <w:pPr>
        <w:pStyle w:val="ListParagraph"/>
        <w:ind w:left="0" w:right="284"/>
        <w:contextualSpacing/>
        <w:jc w:val="both"/>
        <w:rPr>
          <w:b/>
          <w:sz w:val="28"/>
          <w:szCs w:val="28"/>
        </w:rPr>
      </w:pPr>
    </w:p>
    <w:p w14:paraId="4A4A01A4" w14:textId="0CBBFBBB" w:rsidR="00F40AB8" w:rsidRDefault="00F40AB8" w:rsidP="00122090">
      <w:pPr>
        <w:pStyle w:val="ListParagraph"/>
        <w:ind w:left="0" w:right="284"/>
        <w:contextualSpacing/>
        <w:jc w:val="both"/>
        <w:rPr>
          <w:b/>
          <w:sz w:val="28"/>
          <w:szCs w:val="28"/>
        </w:rPr>
      </w:pPr>
    </w:p>
    <w:p w14:paraId="7F0248C5" w14:textId="14376144" w:rsidR="00F40AB8" w:rsidRDefault="00F40AB8" w:rsidP="00F40AB8">
      <w:pPr>
        <w:pStyle w:val="ListParagraph"/>
        <w:ind w:left="0" w:right="284"/>
        <w:contextualSpacing/>
        <w:rPr>
          <w:b/>
          <w:sz w:val="28"/>
          <w:szCs w:val="28"/>
        </w:rPr>
      </w:pPr>
    </w:p>
    <w:p w14:paraId="3FB10B72" w14:textId="5C690B4F" w:rsidR="00F40AB8" w:rsidRDefault="00F40AB8" w:rsidP="00F40AB8">
      <w:pPr>
        <w:pStyle w:val="ListParagraph"/>
        <w:ind w:left="0" w:right="284"/>
        <w:contextualSpacing/>
        <w:jc w:val="center"/>
        <w:rPr>
          <w:b/>
          <w:sz w:val="28"/>
          <w:szCs w:val="28"/>
        </w:rPr>
      </w:pPr>
    </w:p>
    <w:p w14:paraId="44E3B0F6" w14:textId="163F4F9E" w:rsidR="00F40AB8" w:rsidRPr="00F40AB8" w:rsidRDefault="00F40AB8" w:rsidP="00F40AB8">
      <w:pPr>
        <w:pStyle w:val="ListParagraph"/>
        <w:ind w:left="0" w:right="284"/>
        <w:contextualSpacing/>
        <w:jc w:val="center"/>
        <w:rPr>
          <w:b/>
        </w:rPr>
      </w:pPr>
      <w:r w:rsidRPr="00F40AB8">
        <w:rPr>
          <w:b/>
        </w:rPr>
        <w:t>June 2016</w:t>
      </w:r>
    </w:p>
    <w:p w14:paraId="21446A77" w14:textId="47A073F1" w:rsidR="00F40AB8" w:rsidRDefault="00F40AB8" w:rsidP="00122090">
      <w:pPr>
        <w:pStyle w:val="ListParagraph"/>
        <w:ind w:left="0" w:right="284"/>
        <w:contextualSpacing/>
        <w:jc w:val="both"/>
        <w:rPr>
          <w:b/>
          <w:sz w:val="28"/>
          <w:szCs w:val="28"/>
        </w:rPr>
      </w:pPr>
    </w:p>
    <w:p w14:paraId="718CB432" w14:textId="6E90DF9F" w:rsidR="00F40AB8" w:rsidRDefault="00F40AB8" w:rsidP="00122090">
      <w:pPr>
        <w:pStyle w:val="ListParagraph"/>
        <w:ind w:left="0" w:right="284"/>
        <w:contextualSpacing/>
        <w:jc w:val="both"/>
        <w:rPr>
          <w:b/>
          <w:sz w:val="28"/>
          <w:szCs w:val="28"/>
        </w:rPr>
      </w:pPr>
    </w:p>
    <w:p w14:paraId="46DFC355" w14:textId="02B97AA6" w:rsidR="00F40AB8" w:rsidRDefault="00F40AB8" w:rsidP="00122090">
      <w:pPr>
        <w:pStyle w:val="ListParagraph"/>
        <w:ind w:left="0" w:right="284"/>
        <w:contextualSpacing/>
        <w:jc w:val="both"/>
        <w:rPr>
          <w:b/>
          <w:sz w:val="28"/>
          <w:szCs w:val="28"/>
        </w:rPr>
      </w:pPr>
    </w:p>
    <w:p w14:paraId="20A2E243" w14:textId="16C0A90F" w:rsidR="00F40AB8" w:rsidRDefault="00F40AB8" w:rsidP="00122090">
      <w:pPr>
        <w:pStyle w:val="ListParagraph"/>
        <w:ind w:left="0" w:right="284"/>
        <w:contextualSpacing/>
        <w:jc w:val="both"/>
        <w:rPr>
          <w:b/>
          <w:sz w:val="28"/>
          <w:szCs w:val="28"/>
        </w:rPr>
      </w:pPr>
    </w:p>
    <w:p w14:paraId="78227478" w14:textId="0A601B48" w:rsidR="00F40AB8" w:rsidRDefault="00F40AB8" w:rsidP="00122090">
      <w:pPr>
        <w:pStyle w:val="ListParagraph"/>
        <w:ind w:left="0" w:right="284"/>
        <w:contextualSpacing/>
        <w:jc w:val="both"/>
        <w:rPr>
          <w:b/>
          <w:sz w:val="28"/>
          <w:szCs w:val="28"/>
        </w:rPr>
      </w:pPr>
    </w:p>
    <w:p w14:paraId="24034930" w14:textId="74E9504B" w:rsidR="00F40AB8" w:rsidRDefault="00F40AB8" w:rsidP="00122090">
      <w:pPr>
        <w:pStyle w:val="ListParagraph"/>
        <w:ind w:left="0" w:right="284"/>
        <w:contextualSpacing/>
        <w:jc w:val="both"/>
        <w:rPr>
          <w:b/>
          <w:sz w:val="28"/>
          <w:szCs w:val="28"/>
        </w:rPr>
      </w:pPr>
    </w:p>
    <w:p w14:paraId="35BA4BCD" w14:textId="3887DC49" w:rsidR="00F40AB8" w:rsidRDefault="00F40AB8" w:rsidP="00122090">
      <w:pPr>
        <w:pStyle w:val="ListParagraph"/>
        <w:ind w:left="0" w:right="284"/>
        <w:contextualSpacing/>
        <w:jc w:val="both"/>
        <w:rPr>
          <w:b/>
          <w:sz w:val="28"/>
          <w:szCs w:val="28"/>
        </w:rPr>
      </w:pPr>
    </w:p>
    <w:p w14:paraId="4F1AA01B" w14:textId="5483F69C" w:rsidR="00F40AB8" w:rsidRDefault="00F40AB8" w:rsidP="00122090">
      <w:pPr>
        <w:pStyle w:val="ListParagraph"/>
        <w:ind w:left="0" w:right="284"/>
        <w:contextualSpacing/>
        <w:jc w:val="both"/>
        <w:rPr>
          <w:b/>
          <w:sz w:val="28"/>
          <w:szCs w:val="28"/>
        </w:rPr>
      </w:pPr>
    </w:p>
    <w:p w14:paraId="659898CF" w14:textId="74E267EB" w:rsidR="00F40AB8" w:rsidRDefault="00F40AB8" w:rsidP="00122090">
      <w:pPr>
        <w:pStyle w:val="ListParagraph"/>
        <w:ind w:left="0" w:right="284"/>
        <w:contextualSpacing/>
        <w:jc w:val="both"/>
        <w:rPr>
          <w:b/>
          <w:sz w:val="28"/>
          <w:szCs w:val="28"/>
        </w:rPr>
      </w:pPr>
    </w:p>
    <w:p w14:paraId="2CB98A13" w14:textId="339EA420" w:rsidR="00F40AB8" w:rsidRDefault="00F40AB8" w:rsidP="00122090">
      <w:pPr>
        <w:pStyle w:val="ListParagraph"/>
        <w:ind w:left="0" w:right="284"/>
        <w:contextualSpacing/>
        <w:jc w:val="both"/>
        <w:rPr>
          <w:b/>
          <w:sz w:val="28"/>
          <w:szCs w:val="28"/>
        </w:rPr>
      </w:pPr>
    </w:p>
    <w:p w14:paraId="680B28FA" w14:textId="4EE1949F" w:rsidR="00F40AB8" w:rsidRDefault="00F40AB8" w:rsidP="00122090">
      <w:pPr>
        <w:pStyle w:val="ListParagraph"/>
        <w:ind w:left="0" w:right="284"/>
        <w:contextualSpacing/>
        <w:jc w:val="both"/>
        <w:rPr>
          <w:b/>
          <w:sz w:val="28"/>
          <w:szCs w:val="28"/>
        </w:rPr>
      </w:pPr>
    </w:p>
    <w:p w14:paraId="3F0F66E3" w14:textId="497A3EC7" w:rsidR="00F40AB8" w:rsidRDefault="00F40AB8" w:rsidP="00122090">
      <w:pPr>
        <w:pStyle w:val="ListParagraph"/>
        <w:ind w:left="0" w:right="284"/>
        <w:contextualSpacing/>
        <w:jc w:val="both"/>
        <w:rPr>
          <w:b/>
          <w:sz w:val="28"/>
          <w:szCs w:val="28"/>
        </w:rPr>
      </w:pPr>
    </w:p>
    <w:p w14:paraId="71C737D3" w14:textId="372A19B7" w:rsidR="00F40AB8" w:rsidRDefault="00F40AB8" w:rsidP="00122090">
      <w:pPr>
        <w:pStyle w:val="ListParagraph"/>
        <w:ind w:left="0" w:right="284"/>
        <w:contextualSpacing/>
        <w:jc w:val="both"/>
        <w:rPr>
          <w:b/>
          <w:sz w:val="28"/>
          <w:szCs w:val="28"/>
        </w:rPr>
      </w:pPr>
    </w:p>
    <w:p w14:paraId="65294B35" w14:textId="6BFA3388" w:rsidR="00F40AB8" w:rsidRDefault="00F40AB8" w:rsidP="00122090">
      <w:pPr>
        <w:pStyle w:val="ListParagraph"/>
        <w:ind w:left="0" w:right="284"/>
        <w:contextualSpacing/>
        <w:jc w:val="both"/>
        <w:rPr>
          <w:b/>
          <w:sz w:val="28"/>
          <w:szCs w:val="28"/>
        </w:rPr>
      </w:pPr>
    </w:p>
    <w:p w14:paraId="7897CF6E" w14:textId="5153692B" w:rsidR="00F40AB8" w:rsidRDefault="00F40AB8" w:rsidP="00122090">
      <w:pPr>
        <w:pStyle w:val="ListParagraph"/>
        <w:ind w:left="0" w:right="284"/>
        <w:contextualSpacing/>
        <w:jc w:val="both"/>
        <w:rPr>
          <w:b/>
          <w:sz w:val="28"/>
          <w:szCs w:val="28"/>
        </w:rPr>
      </w:pPr>
    </w:p>
    <w:p w14:paraId="07F67B67" w14:textId="01388A20" w:rsidR="00F40AB8" w:rsidRDefault="00F40AB8" w:rsidP="00122090">
      <w:pPr>
        <w:pStyle w:val="ListParagraph"/>
        <w:ind w:left="0" w:right="284"/>
        <w:contextualSpacing/>
        <w:jc w:val="both"/>
        <w:rPr>
          <w:b/>
          <w:sz w:val="28"/>
          <w:szCs w:val="28"/>
        </w:rPr>
      </w:pPr>
    </w:p>
    <w:p w14:paraId="71178B72" w14:textId="377E1289" w:rsidR="00F40AB8" w:rsidRDefault="00F40AB8" w:rsidP="00122090">
      <w:pPr>
        <w:pStyle w:val="ListParagraph"/>
        <w:ind w:left="0" w:right="284"/>
        <w:contextualSpacing/>
        <w:jc w:val="both"/>
        <w:rPr>
          <w:b/>
          <w:sz w:val="28"/>
          <w:szCs w:val="28"/>
        </w:rPr>
      </w:pPr>
    </w:p>
    <w:p w14:paraId="7A99F559" w14:textId="4E0C20E9" w:rsidR="00F40AB8" w:rsidRDefault="00F40AB8" w:rsidP="00122090">
      <w:pPr>
        <w:pStyle w:val="ListParagraph"/>
        <w:ind w:left="0" w:right="284"/>
        <w:contextualSpacing/>
        <w:jc w:val="both"/>
        <w:rPr>
          <w:b/>
          <w:sz w:val="28"/>
          <w:szCs w:val="28"/>
        </w:rPr>
      </w:pPr>
    </w:p>
    <w:p w14:paraId="42575F63" w14:textId="1BC31E53" w:rsidR="00F40AB8" w:rsidRDefault="00F40AB8" w:rsidP="00122090">
      <w:pPr>
        <w:pStyle w:val="ListParagraph"/>
        <w:ind w:left="0" w:right="284"/>
        <w:contextualSpacing/>
        <w:jc w:val="both"/>
        <w:rPr>
          <w:b/>
          <w:sz w:val="28"/>
          <w:szCs w:val="28"/>
        </w:rPr>
      </w:pPr>
    </w:p>
    <w:p w14:paraId="276F0BA7" w14:textId="6298042E" w:rsidR="00F40AB8" w:rsidRDefault="00F40AB8" w:rsidP="00122090">
      <w:pPr>
        <w:pStyle w:val="ListParagraph"/>
        <w:ind w:left="0" w:right="284"/>
        <w:contextualSpacing/>
        <w:jc w:val="both"/>
        <w:rPr>
          <w:b/>
          <w:sz w:val="28"/>
          <w:szCs w:val="28"/>
        </w:rPr>
      </w:pPr>
    </w:p>
    <w:p w14:paraId="7CE54D98" w14:textId="33C4F2EE" w:rsidR="00F40AB8" w:rsidRDefault="00F40AB8" w:rsidP="00122090">
      <w:pPr>
        <w:pStyle w:val="ListParagraph"/>
        <w:ind w:left="0" w:right="284"/>
        <w:contextualSpacing/>
        <w:jc w:val="both"/>
        <w:rPr>
          <w:b/>
          <w:sz w:val="28"/>
          <w:szCs w:val="28"/>
        </w:rPr>
      </w:pPr>
    </w:p>
    <w:p w14:paraId="25A85307" w14:textId="77777777" w:rsidR="00F40AB8" w:rsidRDefault="00F40AB8" w:rsidP="00122090">
      <w:pPr>
        <w:pStyle w:val="ListParagraph"/>
        <w:ind w:left="0" w:right="284"/>
        <w:contextualSpacing/>
        <w:jc w:val="both"/>
        <w:rPr>
          <w:b/>
          <w:sz w:val="28"/>
          <w:szCs w:val="28"/>
        </w:rPr>
      </w:pPr>
    </w:p>
    <w:p w14:paraId="65CCDADA" w14:textId="77777777" w:rsidR="00F40AB8" w:rsidRPr="006D77AD" w:rsidRDefault="00F40AB8" w:rsidP="00122090">
      <w:pPr>
        <w:pStyle w:val="ListParagraph"/>
        <w:ind w:left="0" w:right="284"/>
        <w:contextualSpacing/>
        <w:jc w:val="both"/>
        <w:rPr>
          <w:b/>
          <w:sz w:val="28"/>
          <w:szCs w:val="28"/>
        </w:rPr>
      </w:pPr>
    </w:p>
    <w:p w14:paraId="28BC840B" w14:textId="77777777" w:rsidR="000914B5" w:rsidRPr="006D77AD" w:rsidRDefault="000914B5" w:rsidP="00122090">
      <w:pPr>
        <w:pStyle w:val="ListParagraph"/>
        <w:ind w:left="0" w:right="284"/>
        <w:contextualSpacing/>
        <w:jc w:val="both"/>
        <w:rPr>
          <w:b/>
        </w:rPr>
      </w:pPr>
    </w:p>
    <w:p w14:paraId="632254F6" w14:textId="77777777" w:rsidR="00F55762" w:rsidRPr="006D77AD" w:rsidRDefault="00106174" w:rsidP="00106174">
      <w:pPr>
        <w:pStyle w:val="ListParagraph"/>
        <w:ind w:left="0" w:right="284"/>
        <w:contextualSpacing/>
        <w:jc w:val="both"/>
        <w:rPr>
          <w:b/>
        </w:rPr>
      </w:pPr>
      <w:r w:rsidRPr="006D77AD">
        <w:rPr>
          <w:b/>
        </w:rPr>
        <w:lastRenderedPageBreak/>
        <w:t>1.0</w:t>
      </w:r>
      <w:r w:rsidRPr="006D77AD">
        <w:rPr>
          <w:b/>
        </w:rPr>
        <w:tab/>
      </w:r>
      <w:r w:rsidR="006E6587" w:rsidRPr="006D77AD">
        <w:rPr>
          <w:b/>
        </w:rPr>
        <w:t>INTRODUCTION</w:t>
      </w:r>
    </w:p>
    <w:p w14:paraId="37225FB2" w14:textId="77777777" w:rsidR="0018574F" w:rsidRPr="006D77AD" w:rsidRDefault="0018574F" w:rsidP="00106174">
      <w:pPr>
        <w:pStyle w:val="ListParagraph"/>
        <w:ind w:left="0" w:right="284"/>
        <w:contextualSpacing/>
        <w:jc w:val="both"/>
        <w:rPr>
          <w:b/>
        </w:rPr>
      </w:pPr>
    </w:p>
    <w:p w14:paraId="3CBE12F2" w14:textId="01CE7438" w:rsidR="003D7F0F" w:rsidRPr="006D77AD" w:rsidRDefault="00F55762" w:rsidP="005E1F99">
      <w:pPr>
        <w:pStyle w:val="ListParagraph"/>
        <w:numPr>
          <w:ilvl w:val="1"/>
          <w:numId w:val="1"/>
        </w:numPr>
        <w:contextualSpacing/>
        <w:jc w:val="both"/>
      </w:pPr>
      <w:r w:rsidRPr="006D77AD">
        <w:t xml:space="preserve">The Royal Borough of Kensington and Chelsea is seeking to procure </w:t>
      </w:r>
      <w:r w:rsidR="001C08F9" w:rsidRPr="006D77AD">
        <w:t xml:space="preserve">consultants to undertake </w:t>
      </w:r>
      <w:r w:rsidRPr="006D77AD">
        <w:t>a</w:t>
      </w:r>
      <w:r w:rsidR="00E47029" w:rsidRPr="006D77AD">
        <w:t>n Integrated Impact Assessment (IIA)</w:t>
      </w:r>
      <w:r w:rsidRPr="006D77AD">
        <w:t xml:space="preserve"> </w:t>
      </w:r>
      <w:r w:rsidR="001C08F9" w:rsidRPr="006D77AD">
        <w:t>of the Council’s Local Plan Partial Review (LPPR)</w:t>
      </w:r>
      <w:r w:rsidR="00E47029" w:rsidRPr="006D77AD">
        <w:t>.</w:t>
      </w:r>
      <w:r w:rsidR="001C08F9" w:rsidRPr="006D77AD">
        <w:t xml:space="preserve"> </w:t>
      </w:r>
      <w:r w:rsidR="003D7F0F" w:rsidRPr="006D77AD">
        <w:t xml:space="preserve">The IIA must incorporate the </w:t>
      </w:r>
      <w:r w:rsidR="008E7BA2" w:rsidRPr="006D77AD">
        <w:t xml:space="preserve">legal </w:t>
      </w:r>
      <w:r w:rsidR="003D7F0F" w:rsidRPr="006D77AD">
        <w:t>requirements for a Sustainability Appraisal</w:t>
      </w:r>
      <w:r w:rsidR="00652BB1" w:rsidRPr="006D77AD">
        <w:t xml:space="preserve"> (SA)</w:t>
      </w:r>
      <w:r w:rsidR="003D7F0F" w:rsidRPr="006D77AD">
        <w:t xml:space="preserve"> and Strategic Environmental Assessment</w:t>
      </w:r>
      <w:r w:rsidR="00652BB1" w:rsidRPr="006D77AD">
        <w:t xml:space="preserve"> (SEA)</w:t>
      </w:r>
      <w:r w:rsidR="003D7F0F" w:rsidRPr="006D77AD">
        <w:t>, as well as an Equa</w:t>
      </w:r>
      <w:r w:rsidR="0060285D" w:rsidRPr="006D77AD">
        <w:t>lities Impact Assessment (</w:t>
      </w:r>
      <w:proofErr w:type="spellStart"/>
      <w:r w:rsidR="0060285D" w:rsidRPr="006D77AD">
        <w:t>EqIA</w:t>
      </w:r>
      <w:proofErr w:type="spellEnd"/>
      <w:r w:rsidR="0060285D" w:rsidRPr="006D77AD">
        <w:t>)</w:t>
      </w:r>
      <w:r w:rsidR="003D7F0F" w:rsidRPr="006D77AD">
        <w:t xml:space="preserve"> and a Health Impact Assessment (HIA). </w:t>
      </w:r>
    </w:p>
    <w:p w14:paraId="62E99B3D" w14:textId="77777777" w:rsidR="003D7F0F" w:rsidRPr="006D77AD" w:rsidRDefault="003D7F0F" w:rsidP="005E1F99">
      <w:pPr>
        <w:pStyle w:val="ListParagraph"/>
        <w:contextualSpacing/>
        <w:jc w:val="both"/>
      </w:pPr>
    </w:p>
    <w:p w14:paraId="36F55E62" w14:textId="77777777" w:rsidR="003D7F0F" w:rsidRPr="006D77AD" w:rsidRDefault="001C08F9" w:rsidP="005E1F99">
      <w:pPr>
        <w:pStyle w:val="ListParagraph"/>
        <w:numPr>
          <w:ilvl w:val="1"/>
          <w:numId w:val="1"/>
        </w:numPr>
        <w:contextualSpacing/>
        <w:jc w:val="both"/>
      </w:pPr>
      <w:r w:rsidRPr="006D77AD">
        <w:t xml:space="preserve">The Council has undertaken an </w:t>
      </w:r>
      <w:hyperlink r:id="rId12" w:history="1">
        <w:r w:rsidRPr="006D77AD">
          <w:rPr>
            <w:rStyle w:val="Hyperlink"/>
          </w:rPr>
          <w:t>Issues and Options Consultation</w:t>
        </w:r>
      </w:hyperlink>
      <w:r w:rsidRPr="006D77AD">
        <w:t xml:space="preserve"> on the LPPR between 15 December 2015 and 9 February 2016</w:t>
      </w:r>
      <w:r w:rsidR="00652BB1" w:rsidRPr="006D77AD">
        <w:t>, which incorporated the screening stage of the H</w:t>
      </w:r>
      <w:r w:rsidR="0060285D" w:rsidRPr="006D77AD">
        <w:t xml:space="preserve">abitats </w:t>
      </w:r>
      <w:r w:rsidR="00652BB1" w:rsidRPr="006D77AD">
        <w:t>R</w:t>
      </w:r>
      <w:r w:rsidR="0060285D" w:rsidRPr="006D77AD">
        <w:t>egulation Assessment (HRA)</w:t>
      </w:r>
      <w:r w:rsidR="00652BB1" w:rsidRPr="006D77AD">
        <w:t xml:space="preserve"> and the Scoping stage of the SA/SEA</w:t>
      </w:r>
      <w:r w:rsidRPr="006D77AD">
        <w:t>.</w:t>
      </w:r>
      <w:r w:rsidR="00493734" w:rsidRPr="006D77AD">
        <w:t xml:space="preserve"> </w:t>
      </w:r>
      <w:r w:rsidR="00652BB1" w:rsidRPr="006D77AD">
        <w:t xml:space="preserve"> The </w:t>
      </w:r>
      <w:r w:rsidR="003D7F0F" w:rsidRPr="006D77AD">
        <w:t>LPPR</w:t>
      </w:r>
      <w:r w:rsidR="009C367B" w:rsidRPr="006D77AD">
        <w:t xml:space="preserve"> </w:t>
      </w:r>
      <w:hyperlink r:id="rId13" w:history="1">
        <w:r w:rsidR="003D7F0F" w:rsidRPr="006D77AD">
          <w:rPr>
            <w:rStyle w:val="Hyperlink"/>
          </w:rPr>
          <w:t xml:space="preserve">IIA </w:t>
        </w:r>
        <w:r w:rsidR="00EF1E71" w:rsidRPr="006D77AD">
          <w:rPr>
            <w:rStyle w:val="Hyperlink"/>
          </w:rPr>
          <w:t>Scoping Report</w:t>
        </w:r>
      </w:hyperlink>
      <w:r w:rsidR="00EF1E71" w:rsidRPr="006D77AD">
        <w:t xml:space="preserve"> and </w:t>
      </w:r>
      <w:hyperlink r:id="rId14" w:history="1">
        <w:r w:rsidR="00EF1E71" w:rsidRPr="006D77AD">
          <w:rPr>
            <w:rStyle w:val="Hyperlink"/>
          </w:rPr>
          <w:t>Habitats Regulations Assessment (HRA) Screening Report</w:t>
        </w:r>
      </w:hyperlink>
      <w:r w:rsidR="00EF1E71" w:rsidRPr="006D77AD">
        <w:t xml:space="preserve"> were produced ‘in-house’</w:t>
      </w:r>
      <w:r w:rsidR="003F0BEF" w:rsidRPr="006D77AD">
        <w:t xml:space="preserve"> and were subject to consultation with the statutory SEA consultees</w:t>
      </w:r>
      <w:r w:rsidR="00652BB1" w:rsidRPr="006D77AD">
        <w:t xml:space="preserve">. </w:t>
      </w:r>
    </w:p>
    <w:p w14:paraId="7E32ACAA" w14:textId="77777777" w:rsidR="003D7F0F" w:rsidRPr="006D77AD" w:rsidRDefault="003D7F0F" w:rsidP="005E1F99">
      <w:pPr>
        <w:pStyle w:val="ListParagraph"/>
        <w:jc w:val="both"/>
      </w:pPr>
    </w:p>
    <w:p w14:paraId="7916F881" w14:textId="3F2CB06F" w:rsidR="004F7983" w:rsidRPr="006D77AD" w:rsidRDefault="00EF1E71" w:rsidP="005E1F99">
      <w:pPr>
        <w:pStyle w:val="ListParagraph"/>
        <w:numPr>
          <w:ilvl w:val="1"/>
          <w:numId w:val="1"/>
        </w:numPr>
        <w:contextualSpacing/>
        <w:jc w:val="both"/>
      </w:pPr>
      <w:r w:rsidRPr="006D77AD">
        <w:t>The Council is now seeking consultant</w:t>
      </w:r>
      <w:r w:rsidR="00A66DA4" w:rsidRPr="006D77AD">
        <w:t>s</w:t>
      </w:r>
      <w:r w:rsidRPr="006D77AD">
        <w:t xml:space="preserve"> to undertake the next stage of the IIA process. </w:t>
      </w:r>
      <w:r w:rsidR="003D7F0F" w:rsidRPr="006D77AD">
        <w:t>This work</w:t>
      </w:r>
      <w:r w:rsidR="00F27B45" w:rsidRPr="006D77AD">
        <w:t xml:space="preserve"> </w:t>
      </w:r>
      <w:r w:rsidR="008B5406" w:rsidRPr="006D77AD">
        <w:t>m</w:t>
      </w:r>
      <w:r w:rsidR="00652BB1" w:rsidRPr="006D77AD">
        <w:t>ust cover the requirements for the assessment stage</w:t>
      </w:r>
      <w:r w:rsidR="000914B5" w:rsidRPr="006D77AD">
        <w:t>s</w:t>
      </w:r>
      <w:r w:rsidR="00652BB1" w:rsidRPr="006D77AD">
        <w:t xml:space="preserve"> of the SA</w:t>
      </w:r>
      <w:r w:rsidR="008B5406" w:rsidRPr="006D77AD">
        <w:t xml:space="preserve"> (</w:t>
      </w:r>
      <w:hyperlink r:id="rId15" w:history="1">
        <w:r w:rsidR="00337C69">
          <w:rPr>
            <w:rStyle w:val="Hyperlink"/>
          </w:rPr>
          <w:t>Stages B, C and D</w:t>
        </w:r>
        <w:r w:rsidR="003F0BEF" w:rsidRPr="006D77AD">
          <w:rPr>
            <w:rStyle w:val="Hyperlink"/>
          </w:rPr>
          <w:t xml:space="preserve"> </w:t>
        </w:r>
        <w:r w:rsidR="003F0BEF" w:rsidRPr="006D77AD">
          <w:rPr>
            <w:rStyle w:val="Hyperlink"/>
            <w:shd w:val="clear" w:color="auto" w:fill="FFFFFF"/>
          </w:rPr>
          <w:t xml:space="preserve">Paragraph: 013 Reference ID: 11-013-20140306, </w:t>
        </w:r>
        <w:r w:rsidR="003F0BEF" w:rsidRPr="006D77AD">
          <w:rPr>
            <w:rStyle w:val="Hyperlink"/>
          </w:rPr>
          <w:t>NPPG</w:t>
        </w:r>
      </w:hyperlink>
      <w:r w:rsidR="008B5406" w:rsidRPr="006D77AD">
        <w:t>)</w:t>
      </w:r>
      <w:r w:rsidR="00652BB1" w:rsidRPr="006D77AD">
        <w:t xml:space="preserve"> and</w:t>
      </w:r>
      <w:r w:rsidR="00493734" w:rsidRPr="006D77AD">
        <w:t xml:space="preserve"> </w:t>
      </w:r>
      <w:r w:rsidR="00652BB1" w:rsidRPr="006D77AD">
        <w:t>SEA</w:t>
      </w:r>
      <w:r w:rsidR="00D368FA" w:rsidRPr="006D77AD">
        <w:t xml:space="preserve"> Directive</w:t>
      </w:r>
      <w:r w:rsidR="008B5406" w:rsidRPr="006D77AD">
        <w:t xml:space="preserve"> (</w:t>
      </w:r>
      <w:hyperlink r:id="rId16" w:history="1">
        <w:r w:rsidR="008B5406" w:rsidRPr="006D77AD">
          <w:rPr>
            <w:rStyle w:val="Hyperlink"/>
          </w:rPr>
          <w:t>2001/</w:t>
        </w:r>
        <w:r w:rsidR="00652BB1" w:rsidRPr="006D77AD">
          <w:rPr>
            <w:rStyle w:val="Hyperlink"/>
          </w:rPr>
          <w:t>42/EU</w:t>
        </w:r>
      </w:hyperlink>
      <w:r w:rsidR="00652BB1" w:rsidRPr="006D77AD">
        <w:t>), as well as an</w:t>
      </w:r>
      <w:r w:rsidR="00AB52EE" w:rsidRPr="006D77AD">
        <w:t xml:space="preserve"> </w:t>
      </w:r>
      <w:proofErr w:type="spellStart"/>
      <w:r w:rsidR="00AB52EE" w:rsidRPr="006D77AD">
        <w:t>EqIA</w:t>
      </w:r>
      <w:proofErr w:type="spellEnd"/>
      <w:r w:rsidR="008B5406" w:rsidRPr="006D77AD">
        <w:t xml:space="preserve"> </w:t>
      </w:r>
      <w:r w:rsidR="003F0BEF" w:rsidRPr="006D77AD">
        <w:t>(</w:t>
      </w:r>
      <w:hyperlink r:id="rId17" w:history="1">
        <w:r w:rsidR="003F0BEF" w:rsidRPr="006D77AD">
          <w:rPr>
            <w:rStyle w:val="Hyperlink"/>
          </w:rPr>
          <w:t>Section 149 Equality Act 2010</w:t>
        </w:r>
      </w:hyperlink>
      <w:r w:rsidR="003F0BEF" w:rsidRPr="006D77AD">
        <w:t xml:space="preserve">) </w:t>
      </w:r>
      <w:r w:rsidR="008B5406" w:rsidRPr="006D77AD">
        <w:t xml:space="preserve">and a </w:t>
      </w:r>
      <w:r w:rsidR="00AB52EE" w:rsidRPr="006D77AD">
        <w:t>HIA</w:t>
      </w:r>
      <w:r w:rsidR="008B5406" w:rsidRPr="006D77AD">
        <w:t xml:space="preserve">. </w:t>
      </w:r>
      <w:r w:rsidR="00C61B43" w:rsidRPr="006D77AD">
        <w:t xml:space="preserve"> (see Appendix 1)</w:t>
      </w:r>
      <w:r w:rsidR="00B00076">
        <w:t>.</w:t>
      </w:r>
    </w:p>
    <w:p w14:paraId="01486BB9" w14:textId="77777777" w:rsidR="004F7983" w:rsidRPr="006D77AD" w:rsidRDefault="004F7983" w:rsidP="005E1F99">
      <w:pPr>
        <w:pStyle w:val="ListParagraph"/>
        <w:jc w:val="both"/>
      </w:pPr>
    </w:p>
    <w:p w14:paraId="52593940" w14:textId="679F266E" w:rsidR="00F27B45" w:rsidRPr="006D77AD" w:rsidRDefault="00EF1E71" w:rsidP="005E1F99">
      <w:pPr>
        <w:pStyle w:val="ListParagraph"/>
        <w:numPr>
          <w:ilvl w:val="1"/>
          <w:numId w:val="1"/>
        </w:numPr>
        <w:contextualSpacing/>
        <w:jc w:val="both"/>
      </w:pPr>
      <w:r w:rsidRPr="006D77AD">
        <w:t>T</w:t>
      </w:r>
      <w:r w:rsidR="004F7983" w:rsidRPr="006D77AD">
        <w:t>he IIA R</w:t>
      </w:r>
      <w:r w:rsidRPr="006D77AD">
        <w:t xml:space="preserve">eport </w:t>
      </w:r>
      <w:r w:rsidR="008B5406" w:rsidRPr="006D77AD">
        <w:rPr>
          <w:i/>
        </w:rPr>
        <w:t>does not</w:t>
      </w:r>
      <w:r w:rsidR="008B5406" w:rsidRPr="006D77AD">
        <w:t xml:space="preserve"> require a Habitats Regulation Assessment as </w:t>
      </w:r>
      <w:r w:rsidRPr="006D77AD">
        <w:t>the Habitats</w:t>
      </w:r>
      <w:r w:rsidR="008B5406" w:rsidRPr="006D77AD">
        <w:t xml:space="preserve"> </w:t>
      </w:r>
      <w:r w:rsidRPr="006D77AD">
        <w:t xml:space="preserve">Screening Report </w:t>
      </w:r>
      <w:r w:rsidR="004F7983" w:rsidRPr="006D77AD">
        <w:t>concluded there would not be a</w:t>
      </w:r>
      <w:r w:rsidRPr="006D77AD">
        <w:t xml:space="preserve"> significant impact on</w:t>
      </w:r>
      <w:r w:rsidR="003D7F0F" w:rsidRPr="006D77AD">
        <w:t xml:space="preserve"> any</w:t>
      </w:r>
      <w:r w:rsidR="004F7983" w:rsidRPr="006D77AD">
        <w:t xml:space="preserve"> Special Areas of C</w:t>
      </w:r>
      <w:r w:rsidR="00854B35" w:rsidRPr="006D77AD">
        <w:t>onservation (SAC</w:t>
      </w:r>
      <w:r w:rsidR="00996E75">
        <w:t>s</w:t>
      </w:r>
      <w:r w:rsidR="00854B35" w:rsidRPr="006D77AD">
        <w:t>) or</w:t>
      </w:r>
      <w:r w:rsidR="004F7983" w:rsidRPr="006D77AD">
        <w:t xml:space="preserve"> Special Protection Areas (SPAs) designated under the Habitats Directive and Birds Directive</w:t>
      </w:r>
      <w:r w:rsidRPr="006D77AD">
        <w:t xml:space="preserve">. </w:t>
      </w:r>
    </w:p>
    <w:p w14:paraId="43F62A10" w14:textId="77777777" w:rsidR="00F27B45" w:rsidRPr="006D77AD" w:rsidRDefault="00F27B45" w:rsidP="005E1F99">
      <w:pPr>
        <w:contextualSpacing/>
        <w:jc w:val="both"/>
      </w:pPr>
    </w:p>
    <w:p w14:paraId="55B876A3" w14:textId="77777777" w:rsidR="001C08F9" w:rsidRPr="006D77AD" w:rsidRDefault="004018DC" w:rsidP="005E1F99">
      <w:pPr>
        <w:pStyle w:val="ListParagraph"/>
        <w:numPr>
          <w:ilvl w:val="0"/>
          <w:numId w:val="1"/>
        </w:numPr>
        <w:contextualSpacing/>
        <w:jc w:val="both"/>
        <w:rPr>
          <w:b/>
        </w:rPr>
      </w:pPr>
      <w:r w:rsidRPr="006D77AD">
        <w:rPr>
          <w:b/>
        </w:rPr>
        <w:t>SCOPE OF AN</w:t>
      </w:r>
      <w:r w:rsidR="001C08F9" w:rsidRPr="006D77AD">
        <w:rPr>
          <w:b/>
        </w:rPr>
        <w:t xml:space="preserve"> INTEGRATED IMPACT </w:t>
      </w:r>
      <w:r w:rsidRPr="006D77AD">
        <w:rPr>
          <w:b/>
        </w:rPr>
        <w:t>ASSESSMENT</w:t>
      </w:r>
    </w:p>
    <w:p w14:paraId="73E52E0D" w14:textId="33CEB7BA" w:rsidR="00712A7E" w:rsidRPr="006D77AD" w:rsidRDefault="00712A7E" w:rsidP="00B15B86">
      <w:pPr>
        <w:contextualSpacing/>
        <w:jc w:val="both"/>
      </w:pPr>
    </w:p>
    <w:p w14:paraId="3A24ADCC" w14:textId="66EF9648" w:rsidR="00CC5163" w:rsidRPr="006D77AD" w:rsidRDefault="001C08F9" w:rsidP="005E1F99">
      <w:pPr>
        <w:pStyle w:val="ListParagraph"/>
        <w:numPr>
          <w:ilvl w:val="1"/>
          <w:numId w:val="1"/>
        </w:numPr>
        <w:contextualSpacing/>
        <w:jc w:val="both"/>
      </w:pPr>
      <w:r w:rsidRPr="006D77AD">
        <w:t>T</w:t>
      </w:r>
      <w:r w:rsidR="00B15B86">
        <w:t>he</w:t>
      </w:r>
      <w:r w:rsidRPr="006D77AD">
        <w:t xml:space="preserve"> integrated approach enables synergies and cross-cutting impacts to be identified and avoids the need to undertake and re</w:t>
      </w:r>
      <w:r w:rsidR="005333B7">
        <w:t>port on separate assessments. This approach</w:t>
      </w:r>
      <w:r w:rsidRPr="006D77AD">
        <w:t xml:space="preserve"> seeks to reduce any duplication of assessment work. A single process can improve efficiencies in both the assessment itself, as many of the issues covered in the different forms of assessment overlap, as well as simplifying outcomes and recommendations for policy makers. Where more detail on certain issues is required or necessary, this can be undertaken and included within the IIA.</w:t>
      </w:r>
      <w:r w:rsidR="00AB52EE" w:rsidRPr="006D77AD">
        <w:t xml:space="preserve"> </w:t>
      </w:r>
      <w:r w:rsidR="00CC5163" w:rsidRPr="006D77AD">
        <w:t>Such an approach has been successfully followed by the Mayor of London for the London Plan which is also part of the Council’s development plan.</w:t>
      </w:r>
    </w:p>
    <w:p w14:paraId="2C2C355D" w14:textId="77777777" w:rsidR="00DD091D" w:rsidRPr="006D77AD" w:rsidRDefault="00DD091D" w:rsidP="005E1F99">
      <w:pPr>
        <w:jc w:val="both"/>
      </w:pPr>
    </w:p>
    <w:p w14:paraId="37080ADA" w14:textId="3BEAC711" w:rsidR="007A6C3F" w:rsidRPr="006D77AD" w:rsidRDefault="00D76097" w:rsidP="005E1F99">
      <w:pPr>
        <w:pStyle w:val="ListParagraph"/>
        <w:numPr>
          <w:ilvl w:val="1"/>
          <w:numId w:val="1"/>
        </w:numPr>
        <w:contextualSpacing/>
        <w:jc w:val="both"/>
      </w:pPr>
      <w:r w:rsidRPr="006D77AD">
        <w:t xml:space="preserve">The SA </w:t>
      </w:r>
      <w:r w:rsidR="002921F7" w:rsidRPr="006D77AD">
        <w:t>Framework</w:t>
      </w:r>
      <w:r w:rsidRPr="006D77AD">
        <w:t xml:space="preserve"> first developed for the Core Strategy in 2010 has been </w:t>
      </w:r>
      <w:r w:rsidR="00DD091D" w:rsidRPr="006D77AD">
        <w:t xml:space="preserve">reviewed and </w:t>
      </w:r>
      <w:r w:rsidRPr="006D77AD">
        <w:t>brought forwar</w:t>
      </w:r>
      <w:r w:rsidR="00CE29FE" w:rsidRPr="006D77AD">
        <w:t>d to form</w:t>
      </w:r>
      <w:r w:rsidR="001802D1" w:rsidRPr="006D77AD">
        <w:t xml:space="preserve"> the IIA objectives set out in the II</w:t>
      </w:r>
      <w:r w:rsidRPr="006D77AD">
        <w:t xml:space="preserve">A Scoping Report </w:t>
      </w:r>
      <w:r w:rsidR="00B15170" w:rsidRPr="006D77AD">
        <w:t xml:space="preserve">see </w:t>
      </w:r>
      <w:r w:rsidRPr="006D77AD">
        <w:t>(</w:t>
      </w:r>
      <w:hyperlink r:id="rId18" w:history="1">
        <w:r w:rsidRPr="006D77AD">
          <w:rPr>
            <w:rStyle w:val="Hyperlink"/>
          </w:rPr>
          <w:t>Section 9</w:t>
        </w:r>
      </w:hyperlink>
      <w:r w:rsidRPr="006D77AD">
        <w:t>).</w:t>
      </w:r>
      <w:r w:rsidR="009C367B" w:rsidRPr="006D77AD">
        <w:t xml:space="preserve"> This set of objectives balances environmental, social and economic factors. </w:t>
      </w:r>
      <w:r w:rsidR="001802D1" w:rsidRPr="006D77AD">
        <w:t>IIA</w:t>
      </w:r>
      <w:r w:rsidR="00B15170" w:rsidRPr="006D77AD">
        <w:t xml:space="preserve"> </w:t>
      </w:r>
      <w:r w:rsidR="006D37C8" w:rsidRPr="006D77AD">
        <w:t>objective 4 deals directly with the promotion of equality and respect for diversity and therefore encompasses</w:t>
      </w:r>
      <w:r w:rsidR="00CE29FE" w:rsidRPr="006D77AD">
        <w:t xml:space="preserve"> criteria for </w:t>
      </w:r>
      <w:r w:rsidR="00D65851" w:rsidRPr="006D77AD">
        <w:t>analysing the contribution policies in the LPPR will have on</w:t>
      </w:r>
      <w:r w:rsidR="00CE29FE" w:rsidRPr="006D77AD">
        <w:t xml:space="preserve"> the equality </w:t>
      </w:r>
      <w:r w:rsidR="006D37C8" w:rsidRPr="006D77AD">
        <w:t>dut</w:t>
      </w:r>
      <w:r w:rsidR="00B15170" w:rsidRPr="006D77AD">
        <w:t>y for</w:t>
      </w:r>
      <w:r w:rsidR="006D37C8" w:rsidRPr="006D77AD">
        <w:t xml:space="preserve"> publ</w:t>
      </w:r>
      <w:r w:rsidR="00B15170" w:rsidRPr="006D77AD">
        <w:t>ic bodies set out in Section 149 of Equality Act 2010. II</w:t>
      </w:r>
      <w:r w:rsidR="006D37C8" w:rsidRPr="006D77AD">
        <w:t>A objective</w:t>
      </w:r>
      <w:r w:rsidR="00FC3009" w:rsidRPr="006D77AD">
        <w:t xml:space="preserve"> 15 seeks to ensure the provision of accessible health care for all residents,</w:t>
      </w:r>
      <w:r w:rsidR="00D65851" w:rsidRPr="006D77AD">
        <w:t xml:space="preserve"> which incorporates the aims</w:t>
      </w:r>
      <w:r w:rsidR="00FC3009" w:rsidRPr="006D77AD">
        <w:t xml:space="preserve"> of a Health Impact Assessment. Further Objectives such </w:t>
      </w:r>
      <w:r w:rsidR="00D65851" w:rsidRPr="006D77AD">
        <w:t xml:space="preserve">as 5, </w:t>
      </w:r>
      <w:r w:rsidR="00FC3009" w:rsidRPr="006D77AD">
        <w:t>7</w:t>
      </w:r>
      <w:r w:rsidR="00D65851" w:rsidRPr="006D77AD">
        <w:t xml:space="preserve"> and 9</w:t>
      </w:r>
      <w:r w:rsidR="00FC3009" w:rsidRPr="006D77AD">
        <w:t xml:space="preserve"> seek to adapt to climate change and improve air quality in the Royal Borough</w:t>
      </w:r>
      <w:r w:rsidR="00DD091D" w:rsidRPr="006D77AD">
        <w:t>. These</w:t>
      </w:r>
      <w:r w:rsidR="00FC3009" w:rsidRPr="006D77AD">
        <w:t xml:space="preserve"> also have indirect benefits for human health</w:t>
      </w:r>
      <w:r w:rsidR="00D65851" w:rsidRPr="006D77AD">
        <w:t xml:space="preserve"> and will contribute to the assessment of LPPR options and alternatives impacts upon health issues.</w:t>
      </w:r>
      <w:r w:rsidR="00755997">
        <w:t xml:space="preserve"> The framework developed in 2010</w:t>
      </w:r>
      <w:r w:rsidR="005333B7">
        <w:t xml:space="preserve"> therefore adequately </w:t>
      </w:r>
      <w:r w:rsidR="00F40AB8">
        <w:t>sets a framework</w:t>
      </w:r>
      <w:r w:rsidR="0011576F">
        <w:t xml:space="preserve"> for an integrated assessment.</w:t>
      </w:r>
    </w:p>
    <w:p w14:paraId="4A950D69" w14:textId="77777777" w:rsidR="00712A7E" w:rsidRPr="006D77AD" w:rsidRDefault="00712A7E" w:rsidP="005E1F99">
      <w:pPr>
        <w:pStyle w:val="ListParagraph"/>
        <w:contextualSpacing/>
        <w:jc w:val="both"/>
      </w:pPr>
    </w:p>
    <w:p w14:paraId="5330422C" w14:textId="77777777" w:rsidR="00E47029" w:rsidRPr="006D77AD" w:rsidRDefault="00106174" w:rsidP="005E1F99">
      <w:pPr>
        <w:pStyle w:val="ListParagraph"/>
        <w:numPr>
          <w:ilvl w:val="0"/>
          <w:numId w:val="1"/>
        </w:numPr>
        <w:contextualSpacing/>
        <w:jc w:val="both"/>
        <w:rPr>
          <w:b/>
        </w:rPr>
      </w:pPr>
      <w:r w:rsidRPr="006D77AD">
        <w:rPr>
          <w:b/>
        </w:rPr>
        <w:lastRenderedPageBreak/>
        <w:t xml:space="preserve">THE ROYAL BOROUGH OF KENSINGTON AND CHELSEA’S </w:t>
      </w:r>
      <w:r w:rsidR="00E47029" w:rsidRPr="006D77AD">
        <w:rPr>
          <w:b/>
        </w:rPr>
        <w:t>CONTEXT</w:t>
      </w:r>
    </w:p>
    <w:p w14:paraId="7D676154" w14:textId="77777777" w:rsidR="00E47029" w:rsidRPr="006D77AD" w:rsidRDefault="00E47029" w:rsidP="005E1F99">
      <w:pPr>
        <w:pStyle w:val="ListParagraph"/>
        <w:contextualSpacing/>
        <w:jc w:val="both"/>
        <w:rPr>
          <w:b/>
        </w:rPr>
      </w:pPr>
    </w:p>
    <w:p w14:paraId="020DE16F" w14:textId="4B6F7D40" w:rsidR="00E47029" w:rsidRPr="006D77AD" w:rsidRDefault="00E47029" w:rsidP="005E1F99">
      <w:pPr>
        <w:pStyle w:val="ListParagraph"/>
        <w:numPr>
          <w:ilvl w:val="1"/>
          <w:numId w:val="1"/>
        </w:numPr>
        <w:contextualSpacing/>
        <w:jc w:val="both"/>
        <w:rPr>
          <w:b/>
        </w:rPr>
      </w:pPr>
      <w:r w:rsidRPr="006D77AD">
        <w:t xml:space="preserve">The Royal Borough of Kensington and Chelsea is one of the most desirable places to live in the country. The Borough has the highest property prices in the United Kingdom with the average price of a home being almost five times the national average. </w:t>
      </w:r>
      <w:r w:rsidR="00EF1767" w:rsidRPr="006D77AD">
        <w:t>The Borough is</w:t>
      </w:r>
      <w:r w:rsidRPr="006D77AD">
        <w:t xml:space="preserve"> one of the most densely populated boroughs in England and Wales and there is a significant amount of international investment.</w:t>
      </w:r>
      <w:r w:rsidR="00E869F1" w:rsidRPr="006D77AD">
        <w:t xml:space="preserve"> </w:t>
      </w:r>
      <w:r w:rsidR="00755997">
        <w:t>Kensington and Chelsea</w:t>
      </w:r>
      <w:r w:rsidRPr="006D77AD">
        <w:t xml:space="preserve"> has a rich architectural heritage: with 32 conservation areas, covering 72 per cent of the Borough. Alongside this wealth there has always been relative deprivation, most notably in the larger areas of social housing in the north of the Borough. </w:t>
      </w:r>
    </w:p>
    <w:p w14:paraId="698E13FF" w14:textId="77777777" w:rsidR="00494C14" w:rsidRPr="006D77AD" w:rsidRDefault="00494C14" w:rsidP="005E1F99">
      <w:pPr>
        <w:pStyle w:val="ListParagraph"/>
        <w:contextualSpacing/>
        <w:jc w:val="both"/>
        <w:rPr>
          <w:b/>
        </w:rPr>
      </w:pPr>
    </w:p>
    <w:p w14:paraId="0AA21215" w14:textId="77777777" w:rsidR="004D3E73" w:rsidRPr="006D77AD" w:rsidRDefault="00E47029" w:rsidP="005E1F99">
      <w:pPr>
        <w:pStyle w:val="ListParagraph"/>
        <w:numPr>
          <w:ilvl w:val="0"/>
          <w:numId w:val="1"/>
        </w:numPr>
        <w:contextualSpacing/>
        <w:jc w:val="both"/>
        <w:rPr>
          <w:b/>
        </w:rPr>
      </w:pPr>
      <w:r w:rsidRPr="006D77AD">
        <w:rPr>
          <w:b/>
        </w:rPr>
        <w:t>LOCAL PLAN PARTIAL REVIEW</w:t>
      </w:r>
    </w:p>
    <w:p w14:paraId="069C5E17" w14:textId="77777777" w:rsidR="00854B35" w:rsidRPr="006D77AD" w:rsidRDefault="00854B35" w:rsidP="005E1F99">
      <w:pPr>
        <w:pStyle w:val="ListParagraph"/>
        <w:contextualSpacing/>
        <w:jc w:val="both"/>
        <w:rPr>
          <w:b/>
        </w:rPr>
      </w:pPr>
    </w:p>
    <w:p w14:paraId="37D23D25" w14:textId="77777777" w:rsidR="003F6476" w:rsidRPr="006D77AD" w:rsidRDefault="003F6476" w:rsidP="005E1F99">
      <w:pPr>
        <w:pStyle w:val="ListParagraph"/>
        <w:contextualSpacing/>
        <w:jc w:val="both"/>
        <w:rPr>
          <w:i/>
        </w:rPr>
      </w:pPr>
      <w:r w:rsidRPr="006D77AD">
        <w:rPr>
          <w:i/>
        </w:rPr>
        <w:t>Policies</w:t>
      </w:r>
    </w:p>
    <w:p w14:paraId="17809567" w14:textId="77777777" w:rsidR="003F6476" w:rsidRPr="006D77AD" w:rsidRDefault="003F6476" w:rsidP="005E1F99">
      <w:pPr>
        <w:pStyle w:val="ListParagraph"/>
        <w:contextualSpacing/>
        <w:jc w:val="both"/>
        <w:rPr>
          <w:b/>
        </w:rPr>
      </w:pPr>
    </w:p>
    <w:p w14:paraId="3AF0458B" w14:textId="77777777" w:rsidR="00E869F1" w:rsidRPr="006D77AD" w:rsidRDefault="00E869F1" w:rsidP="005E1F99">
      <w:pPr>
        <w:pStyle w:val="ListParagraph"/>
        <w:numPr>
          <w:ilvl w:val="1"/>
          <w:numId w:val="1"/>
        </w:numPr>
        <w:contextualSpacing/>
        <w:jc w:val="both"/>
      </w:pPr>
      <w:r w:rsidRPr="006D77AD">
        <w:rPr>
          <w:color w:val="000000"/>
        </w:rPr>
        <w:t xml:space="preserve">The </w:t>
      </w:r>
      <w:r w:rsidRPr="006D77AD">
        <w:t>Council’s</w:t>
      </w:r>
      <w:r w:rsidRPr="006D77AD">
        <w:rPr>
          <w:color w:val="000000"/>
        </w:rPr>
        <w:t xml:space="preserve"> </w:t>
      </w:r>
      <w:r w:rsidRPr="006D77AD">
        <w:t xml:space="preserve">Unitary Development Plan (UDP), which set out comprehensive policies for determining planning applications in the Borough, was adopted in May 2002. Most of the policies in the UDP were subsequently replaced by the Core Strategy, which was adopted by the Council in December 2010. </w:t>
      </w:r>
    </w:p>
    <w:p w14:paraId="2EA8B705" w14:textId="77777777" w:rsidR="00E869F1" w:rsidRPr="006D77AD" w:rsidRDefault="00E869F1" w:rsidP="005E1F99">
      <w:pPr>
        <w:pStyle w:val="ListParagraph"/>
        <w:contextualSpacing/>
        <w:jc w:val="both"/>
      </w:pPr>
    </w:p>
    <w:p w14:paraId="5A6EC7FC" w14:textId="51438875" w:rsidR="00E06DBE" w:rsidRPr="009E1051" w:rsidRDefault="00E869F1" w:rsidP="00E06DBE">
      <w:pPr>
        <w:pStyle w:val="ListParagraph"/>
        <w:numPr>
          <w:ilvl w:val="1"/>
          <w:numId w:val="1"/>
        </w:numPr>
        <w:contextualSpacing/>
        <w:jc w:val="both"/>
        <w:rPr>
          <w:b/>
        </w:rPr>
      </w:pPr>
      <w:r w:rsidRPr="006D77AD">
        <w:t xml:space="preserve">The Core Strategy policies and some of the remaining ‘extant’ UDP policies have since been the subject of a number of topic-based reviews, namely: Pubs and Local Character (adopted October 2013), Miscellaneous Matters (December 2014), Conservation and Design (December 2014) and Basements (January 2015). The changes </w:t>
      </w:r>
      <w:r w:rsidR="00EF1767" w:rsidRPr="006D77AD">
        <w:t xml:space="preserve">to the Core Strategy </w:t>
      </w:r>
      <w:r w:rsidRPr="006D77AD">
        <w:t xml:space="preserve">have been consolidated into a single document and renamed the ‘Consolidated Local Plan’ </w:t>
      </w:r>
      <w:r w:rsidR="00E64114" w:rsidRPr="006D77AD">
        <w:t xml:space="preserve">(CLP) </w:t>
      </w:r>
      <w:r w:rsidRPr="006D77AD">
        <w:t xml:space="preserve">(July 2015). </w:t>
      </w:r>
    </w:p>
    <w:p w14:paraId="7DE44B31" w14:textId="77777777" w:rsidR="00E06DBE" w:rsidRPr="00E06DBE" w:rsidRDefault="00E06DBE" w:rsidP="00E06DBE">
      <w:pPr>
        <w:contextualSpacing/>
        <w:jc w:val="both"/>
        <w:rPr>
          <w:b/>
        </w:rPr>
      </w:pPr>
    </w:p>
    <w:p w14:paraId="0F31F7AE" w14:textId="77777777" w:rsidR="009A51CF" w:rsidRPr="00C709E2" w:rsidRDefault="009A51CF" w:rsidP="00C709E2">
      <w:pPr>
        <w:rPr>
          <w:b/>
        </w:rPr>
      </w:pPr>
    </w:p>
    <w:tbl>
      <w:tblPr>
        <w:tblStyle w:val="TableGrid"/>
        <w:tblW w:w="0" w:type="auto"/>
        <w:tblInd w:w="720" w:type="dxa"/>
        <w:tblLook w:val="04A0" w:firstRow="1" w:lastRow="0" w:firstColumn="1" w:lastColumn="0" w:noHBand="0" w:noVBand="1"/>
      </w:tblPr>
      <w:tblGrid>
        <w:gridCol w:w="8768"/>
      </w:tblGrid>
      <w:tr w:rsidR="00F4066C" w:rsidRPr="006D77AD" w14:paraId="6772467F" w14:textId="77777777" w:rsidTr="00B30A6C">
        <w:tc>
          <w:tcPr>
            <w:tcW w:w="8994" w:type="dxa"/>
            <w:shd w:val="clear" w:color="auto" w:fill="C6D9F1" w:themeFill="text2" w:themeFillTint="33"/>
          </w:tcPr>
          <w:p w14:paraId="6316BBF3" w14:textId="77777777" w:rsidR="00D76097" w:rsidRPr="006D77AD" w:rsidRDefault="002921F7" w:rsidP="00F46D46">
            <w:pPr>
              <w:contextualSpacing/>
              <w:rPr>
                <w:b/>
                <w:sz w:val="28"/>
                <w:szCs w:val="28"/>
              </w:rPr>
            </w:pPr>
            <w:r w:rsidRPr="006D77AD">
              <w:rPr>
                <w:b/>
                <w:sz w:val="28"/>
                <w:szCs w:val="28"/>
              </w:rPr>
              <w:t>CURRENT LOCAL DEVELOPMENT PLAN DOCUMENTS</w:t>
            </w:r>
          </w:p>
          <w:p w14:paraId="7A353D01" w14:textId="77777777" w:rsidR="00F4066C" w:rsidRPr="006D77AD" w:rsidRDefault="00F4066C" w:rsidP="00F46D46">
            <w:pPr>
              <w:contextualSpacing/>
              <w:rPr>
                <w:b/>
                <w:sz w:val="28"/>
                <w:szCs w:val="28"/>
              </w:rPr>
            </w:pPr>
            <w:r w:rsidRPr="006D77AD">
              <w:rPr>
                <w:sz w:val="28"/>
                <w:szCs w:val="28"/>
              </w:rPr>
              <w:t xml:space="preserve"> </w:t>
            </w:r>
            <w:r w:rsidRPr="006D77AD">
              <w:rPr>
                <w:b/>
                <w:sz w:val="28"/>
                <w:szCs w:val="28"/>
              </w:rPr>
              <w:t>ROYAL BOROUGH OF KENSINGTON AND CHELSEA</w:t>
            </w:r>
          </w:p>
        </w:tc>
      </w:tr>
      <w:tr w:rsidR="00F4066C" w:rsidRPr="006D77AD" w14:paraId="063FC5B2" w14:textId="77777777" w:rsidTr="00F4066C">
        <w:tc>
          <w:tcPr>
            <w:tcW w:w="8994" w:type="dxa"/>
          </w:tcPr>
          <w:p w14:paraId="26076F26" w14:textId="3A36D95A" w:rsidR="00F4066C" w:rsidRPr="006D77AD" w:rsidRDefault="008403A3" w:rsidP="00F46D46">
            <w:pPr>
              <w:contextualSpacing/>
              <w:rPr>
                <w:b/>
              </w:rPr>
            </w:pPr>
            <w:hyperlink r:id="rId19" w:history="1">
              <w:r w:rsidR="00F4066C" w:rsidRPr="006D77AD">
                <w:rPr>
                  <w:rStyle w:val="Hyperlink"/>
                  <w:b/>
                </w:rPr>
                <w:t>UDP EXTANT POLICIES</w:t>
              </w:r>
            </w:hyperlink>
          </w:p>
        </w:tc>
      </w:tr>
      <w:tr w:rsidR="00F4066C" w:rsidRPr="006D77AD" w14:paraId="49DD6FD5" w14:textId="77777777" w:rsidTr="00F4066C">
        <w:tc>
          <w:tcPr>
            <w:tcW w:w="8994" w:type="dxa"/>
          </w:tcPr>
          <w:p w14:paraId="578FFCAD" w14:textId="656BD7DA" w:rsidR="00F4066C" w:rsidRPr="006D77AD" w:rsidRDefault="008403A3" w:rsidP="00F46D46">
            <w:pPr>
              <w:contextualSpacing/>
              <w:rPr>
                <w:b/>
              </w:rPr>
            </w:pPr>
            <w:hyperlink r:id="rId20" w:history="1">
              <w:r w:rsidR="00F4066C" w:rsidRPr="009A51CF">
                <w:rPr>
                  <w:rStyle w:val="Hyperlink"/>
                  <w:b/>
                </w:rPr>
                <w:t>CONSOLIDATED LOCAL PLAN (CORE STRATEGY 2010 + PUBS, MISC MATTERS, CONSERVATION AND DESIGN, BASEMENT POLICY REVIEWS)</w:t>
              </w:r>
            </w:hyperlink>
          </w:p>
        </w:tc>
      </w:tr>
    </w:tbl>
    <w:p w14:paraId="6CF55087" w14:textId="77777777" w:rsidR="00E869F1" w:rsidRPr="006D77AD" w:rsidRDefault="00E869F1" w:rsidP="00F46D46">
      <w:pPr>
        <w:contextualSpacing/>
        <w:rPr>
          <w:b/>
        </w:rPr>
      </w:pPr>
    </w:p>
    <w:p w14:paraId="68F96F0A" w14:textId="43AEC51C" w:rsidR="009E1051" w:rsidRPr="006D77AD" w:rsidRDefault="00E21CCB" w:rsidP="009E1051">
      <w:pPr>
        <w:pStyle w:val="ListParagraph"/>
        <w:numPr>
          <w:ilvl w:val="1"/>
          <w:numId w:val="1"/>
        </w:numPr>
        <w:contextualSpacing/>
        <w:jc w:val="both"/>
      </w:pPr>
      <w:r w:rsidRPr="006D77AD">
        <w:t>The existing UDP p</w:t>
      </w:r>
      <w:r w:rsidR="00D65851" w:rsidRPr="006D77AD">
        <w:t>olicies and Core Strategy</w:t>
      </w:r>
      <w:r w:rsidR="00F90515" w:rsidRPr="006D77AD">
        <w:t xml:space="preserve"> policies</w:t>
      </w:r>
      <w:r w:rsidRPr="006D77AD">
        <w:t xml:space="preserve"> which have not been the subject of a recent policy review </w:t>
      </w:r>
      <w:r w:rsidR="00F90515" w:rsidRPr="006D77AD">
        <w:t>form the basis for the Local Plan Partial Review (LPPR).</w:t>
      </w:r>
      <w:r w:rsidRPr="006D77AD">
        <w:t xml:space="preserve"> </w:t>
      </w:r>
      <w:r w:rsidR="00F90515" w:rsidRPr="006D77AD">
        <w:t>The table below summari</w:t>
      </w:r>
      <w:r w:rsidR="00B15170" w:rsidRPr="006D77AD">
        <w:t>s</w:t>
      </w:r>
      <w:r w:rsidR="00F90515" w:rsidRPr="006D77AD">
        <w:t xml:space="preserve">es the </w:t>
      </w:r>
      <w:r w:rsidR="00F714B6" w:rsidRPr="006D77AD">
        <w:t xml:space="preserve">topics currently </w:t>
      </w:r>
      <w:r w:rsidR="00D76097" w:rsidRPr="006D77AD">
        <w:t>under review in the LPPR along with the existing CLP</w:t>
      </w:r>
      <w:r w:rsidR="004018DC" w:rsidRPr="006D77AD">
        <w:t xml:space="preserve"> or UDP policies</w:t>
      </w:r>
      <w:r w:rsidR="002921F7" w:rsidRPr="006D77AD">
        <w:t xml:space="preserve"> which will be superseded.</w:t>
      </w:r>
    </w:p>
    <w:p w14:paraId="3AB0E300" w14:textId="77777777" w:rsidR="00F90515" w:rsidRPr="006D77AD" w:rsidRDefault="00F90515" w:rsidP="00F46D46">
      <w:pPr>
        <w:pStyle w:val="ListParagraph"/>
        <w:contextualSpacing/>
      </w:pPr>
    </w:p>
    <w:tbl>
      <w:tblPr>
        <w:tblStyle w:val="TableGrid"/>
        <w:tblW w:w="0" w:type="auto"/>
        <w:tblInd w:w="720" w:type="dxa"/>
        <w:tblLook w:val="04A0" w:firstRow="1" w:lastRow="0" w:firstColumn="1" w:lastColumn="0" w:noHBand="0" w:noVBand="1"/>
      </w:tblPr>
      <w:tblGrid>
        <w:gridCol w:w="3256"/>
        <w:gridCol w:w="1017"/>
        <w:gridCol w:w="4495"/>
      </w:tblGrid>
      <w:tr w:rsidR="00D76097" w:rsidRPr="006D77AD" w14:paraId="5FDD8168" w14:textId="77777777" w:rsidTr="00B30A6C">
        <w:tc>
          <w:tcPr>
            <w:tcW w:w="8994" w:type="dxa"/>
            <w:gridSpan w:val="3"/>
            <w:shd w:val="clear" w:color="auto" w:fill="C6D9F1" w:themeFill="text2" w:themeFillTint="33"/>
          </w:tcPr>
          <w:p w14:paraId="2F014C6B" w14:textId="77777777" w:rsidR="00D76097" w:rsidRPr="006D77AD" w:rsidRDefault="00D76097" w:rsidP="00F46D46">
            <w:pPr>
              <w:pStyle w:val="ListParagraph"/>
              <w:ind w:left="0"/>
              <w:contextualSpacing/>
              <w:rPr>
                <w:b/>
                <w:sz w:val="28"/>
                <w:szCs w:val="28"/>
              </w:rPr>
            </w:pPr>
            <w:r w:rsidRPr="006D77AD">
              <w:rPr>
                <w:b/>
                <w:sz w:val="28"/>
                <w:szCs w:val="28"/>
              </w:rPr>
              <w:t>Local Plan Partial Review (2016)</w:t>
            </w:r>
            <w:r w:rsidR="0041773B" w:rsidRPr="006D77AD">
              <w:rPr>
                <w:b/>
                <w:sz w:val="28"/>
                <w:szCs w:val="28"/>
              </w:rPr>
              <w:t xml:space="preserve"> Policies</w:t>
            </w:r>
          </w:p>
        </w:tc>
      </w:tr>
      <w:tr w:rsidR="00D76097" w:rsidRPr="006D77AD" w14:paraId="32824492" w14:textId="77777777" w:rsidTr="00B30A6C">
        <w:tc>
          <w:tcPr>
            <w:tcW w:w="3357" w:type="dxa"/>
            <w:shd w:val="clear" w:color="auto" w:fill="C6D9F1" w:themeFill="text2" w:themeFillTint="33"/>
          </w:tcPr>
          <w:p w14:paraId="4FBA5922" w14:textId="77777777" w:rsidR="00D76097" w:rsidRPr="006D77AD" w:rsidRDefault="00D76097" w:rsidP="00F46D46">
            <w:pPr>
              <w:pStyle w:val="ListParagraph"/>
              <w:ind w:left="0"/>
              <w:contextualSpacing/>
            </w:pPr>
            <w:r w:rsidRPr="006D77AD">
              <w:t>Topic</w:t>
            </w:r>
          </w:p>
        </w:tc>
        <w:tc>
          <w:tcPr>
            <w:tcW w:w="993" w:type="dxa"/>
            <w:shd w:val="clear" w:color="auto" w:fill="C6D9F1" w:themeFill="text2" w:themeFillTint="33"/>
          </w:tcPr>
          <w:p w14:paraId="3AFA4BD6" w14:textId="77777777" w:rsidR="00D76097" w:rsidRPr="006D77AD" w:rsidRDefault="008403A3" w:rsidP="00F46D46">
            <w:pPr>
              <w:pStyle w:val="ListParagraph"/>
              <w:ind w:left="0"/>
              <w:contextualSpacing/>
            </w:pPr>
            <w:hyperlink r:id="rId21" w:history="1">
              <w:r w:rsidR="00D76097" w:rsidRPr="006D77AD">
                <w:rPr>
                  <w:rStyle w:val="Hyperlink"/>
                </w:rPr>
                <w:t>I and O</w:t>
              </w:r>
            </w:hyperlink>
            <w:r w:rsidR="00D76097" w:rsidRPr="006D77AD">
              <w:t xml:space="preserve"> LPPR Section </w:t>
            </w:r>
          </w:p>
        </w:tc>
        <w:tc>
          <w:tcPr>
            <w:tcW w:w="4644" w:type="dxa"/>
            <w:shd w:val="clear" w:color="auto" w:fill="C6D9F1" w:themeFill="text2" w:themeFillTint="33"/>
          </w:tcPr>
          <w:p w14:paraId="2F3C2C75" w14:textId="2D4A0025" w:rsidR="00D76097" w:rsidRPr="006D77AD" w:rsidRDefault="00D76097" w:rsidP="00F46D46">
            <w:pPr>
              <w:pStyle w:val="ListParagraph"/>
              <w:ind w:left="0"/>
              <w:contextualSpacing/>
            </w:pPr>
            <w:r w:rsidRPr="006D77AD">
              <w:t xml:space="preserve">Relevant </w:t>
            </w:r>
            <w:hyperlink r:id="rId22" w:history="1">
              <w:r w:rsidRPr="009A51CF">
                <w:rPr>
                  <w:rStyle w:val="Hyperlink"/>
                </w:rPr>
                <w:t>CLP</w:t>
              </w:r>
            </w:hyperlink>
            <w:r w:rsidR="00EB4F78" w:rsidRPr="006D77AD">
              <w:t xml:space="preserve"> Chapters/Policies</w:t>
            </w:r>
            <w:r w:rsidRPr="006D77AD">
              <w:t xml:space="preserve"> or </w:t>
            </w:r>
            <w:hyperlink r:id="rId23" w:history="1">
              <w:r w:rsidRPr="006D77AD">
                <w:rPr>
                  <w:rStyle w:val="Hyperlink"/>
                </w:rPr>
                <w:t>UDP</w:t>
              </w:r>
            </w:hyperlink>
            <w:r w:rsidRPr="006D77AD">
              <w:t xml:space="preserve"> Policies</w:t>
            </w:r>
            <w:r w:rsidR="00EB4F78" w:rsidRPr="006D77AD">
              <w:t xml:space="preserve"> to be</w:t>
            </w:r>
            <w:r w:rsidR="007505B1" w:rsidRPr="006D77AD">
              <w:t>ing reviewed/</w:t>
            </w:r>
            <w:r w:rsidR="00EB4F78" w:rsidRPr="006D77AD">
              <w:t>superseded</w:t>
            </w:r>
          </w:p>
        </w:tc>
      </w:tr>
      <w:tr w:rsidR="00D76097" w:rsidRPr="006D77AD" w14:paraId="1F97559C" w14:textId="77777777" w:rsidTr="00D76097">
        <w:tc>
          <w:tcPr>
            <w:tcW w:w="3357" w:type="dxa"/>
          </w:tcPr>
          <w:p w14:paraId="4A8D5421" w14:textId="77777777" w:rsidR="00D76097" w:rsidRPr="006D77AD" w:rsidRDefault="00D76097" w:rsidP="00F46D46">
            <w:pPr>
              <w:pStyle w:val="ListParagraph"/>
              <w:ind w:left="0"/>
              <w:contextualSpacing/>
            </w:pPr>
            <w:r w:rsidRPr="006D77AD">
              <w:t>Vision and Strategic Objectives</w:t>
            </w:r>
          </w:p>
        </w:tc>
        <w:tc>
          <w:tcPr>
            <w:tcW w:w="993" w:type="dxa"/>
          </w:tcPr>
          <w:p w14:paraId="2AE14D95" w14:textId="77777777" w:rsidR="00D76097" w:rsidRPr="006D77AD" w:rsidRDefault="00D76097" w:rsidP="00F46D46">
            <w:pPr>
              <w:pStyle w:val="ListParagraph"/>
              <w:ind w:left="0"/>
              <w:contextualSpacing/>
            </w:pPr>
            <w:r w:rsidRPr="006D77AD">
              <w:t xml:space="preserve"> 2</w:t>
            </w:r>
          </w:p>
        </w:tc>
        <w:tc>
          <w:tcPr>
            <w:tcW w:w="4644" w:type="dxa"/>
          </w:tcPr>
          <w:p w14:paraId="206A0D92" w14:textId="77777777" w:rsidR="00D76097" w:rsidRPr="006D77AD" w:rsidRDefault="00EB4F78" w:rsidP="00F46D46">
            <w:pPr>
              <w:pStyle w:val="ListParagraph"/>
              <w:ind w:left="0"/>
              <w:contextualSpacing/>
            </w:pPr>
            <w:r w:rsidRPr="006D77AD">
              <w:t xml:space="preserve">CLP  - Chapters 1,2,3,4, 44 (Policy CV1, Policy CP1)  </w:t>
            </w:r>
          </w:p>
        </w:tc>
      </w:tr>
      <w:tr w:rsidR="00D76097" w:rsidRPr="006D77AD" w14:paraId="69658F50" w14:textId="77777777" w:rsidTr="00D76097">
        <w:tc>
          <w:tcPr>
            <w:tcW w:w="3357" w:type="dxa"/>
          </w:tcPr>
          <w:p w14:paraId="0BBC04A9" w14:textId="77777777" w:rsidR="00D76097" w:rsidRPr="006D77AD" w:rsidRDefault="00D76097" w:rsidP="00F46D46">
            <w:pPr>
              <w:pStyle w:val="ListParagraph"/>
              <w:ind w:left="0"/>
              <w:contextualSpacing/>
            </w:pPr>
            <w:r w:rsidRPr="006D77AD">
              <w:t>Places</w:t>
            </w:r>
          </w:p>
        </w:tc>
        <w:tc>
          <w:tcPr>
            <w:tcW w:w="993" w:type="dxa"/>
          </w:tcPr>
          <w:p w14:paraId="470B89B5" w14:textId="77777777" w:rsidR="00D76097" w:rsidRPr="006D77AD" w:rsidRDefault="00D76097" w:rsidP="00F46D46">
            <w:pPr>
              <w:pStyle w:val="ListParagraph"/>
              <w:ind w:left="0"/>
              <w:contextualSpacing/>
            </w:pPr>
            <w:r w:rsidRPr="006D77AD">
              <w:t>3</w:t>
            </w:r>
          </w:p>
        </w:tc>
        <w:tc>
          <w:tcPr>
            <w:tcW w:w="4644" w:type="dxa"/>
          </w:tcPr>
          <w:p w14:paraId="20AEB514" w14:textId="77777777" w:rsidR="00D76097" w:rsidRPr="006D77AD" w:rsidRDefault="009A2CFC" w:rsidP="00F46D46">
            <w:pPr>
              <w:pStyle w:val="ListParagraph"/>
              <w:ind w:left="0"/>
              <w:contextualSpacing/>
            </w:pPr>
            <w:r w:rsidRPr="006D77AD">
              <w:t>CLP Chapters 5-18 (Policies</w:t>
            </w:r>
            <w:r w:rsidR="00C61B43" w:rsidRPr="006D77AD">
              <w:t>;</w:t>
            </w:r>
            <w:r w:rsidRPr="006D77AD">
              <w:t xml:space="preserve"> CV5, CP5, CV6, CP6, CV7, CP7, CV8, CP8 </w:t>
            </w:r>
            <w:r w:rsidR="00C61B43" w:rsidRPr="006D77AD">
              <w:t xml:space="preserve">, CV9 CP9, CV10, CP10, CV11, CP11, CV12, CP12, CV13, CP13, CV14, </w:t>
            </w:r>
            <w:r w:rsidR="00C61B43" w:rsidRPr="006D77AD">
              <w:lastRenderedPageBreak/>
              <w:t>CP14, CV15, CP15, CV16, CP16, CV17, CP17, CV18, CP18)</w:t>
            </w:r>
          </w:p>
        </w:tc>
      </w:tr>
      <w:tr w:rsidR="00D76097" w:rsidRPr="006D77AD" w14:paraId="2BB1B67A" w14:textId="77777777" w:rsidTr="00D76097">
        <w:tc>
          <w:tcPr>
            <w:tcW w:w="3357" w:type="dxa"/>
          </w:tcPr>
          <w:p w14:paraId="7837E21A" w14:textId="77777777" w:rsidR="00D76097" w:rsidRPr="006D77AD" w:rsidRDefault="00D76097" w:rsidP="00F46D46">
            <w:pPr>
              <w:pStyle w:val="ListParagraph"/>
              <w:ind w:left="0"/>
              <w:contextualSpacing/>
            </w:pPr>
            <w:r w:rsidRPr="006D77AD">
              <w:lastRenderedPageBreak/>
              <w:t>Site Allocations</w:t>
            </w:r>
          </w:p>
        </w:tc>
        <w:tc>
          <w:tcPr>
            <w:tcW w:w="993" w:type="dxa"/>
          </w:tcPr>
          <w:p w14:paraId="12E9EAD2" w14:textId="77777777" w:rsidR="00D76097" w:rsidRPr="006D77AD" w:rsidRDefault="00D76097" w:rsidP="00F46D46">
            <w:pPr>
              <w:pStyle w:val="ListParagraph"/>
              <w:ind w:left="0"/>
              <w:contextualSpacing/>
            </w:pPr>
            <w:r w:rsidRPr="006D77AD">
              <w:t>4</w:t>
            </w:r>
          </w:p>
        </w:tc>
        <w:tc>
          <w:tcPr>
            <w:tcW w:w="4644" w:type="dxa"/>
          </w:tcPr>
          <w:p w14:paraId="32E23901" w14:textId="77777777" w:rsidR="00D76097" w:rsidRPr="006D77AD" w:rsidRDefault="00FF3107" w:rsidP="00F46D46">
            <w:pPr>
              <w:pStyle w:val="ListParagraph"/>
              <w:ind w:left="0"/>
              <w:contextualSpacing/>
            </w:pPr>
            <w:r w:rsidRPr="006D77AD">
              <w:t xml:space="preserve">CLP </w:t>
            </w:r>
            <w:r w:rsidR="00C61B43" w:rsidRPr="006D77AD">
              <w:t>Chapters 19-27 (Policy CA1, CA2, CA3, CA4, CA5, CA6, CA7</w:t>
            </w:r>
          </w:p>
        </w:tc>
      </w:tr>
      <w:tr w:rsidR="00D76097" w:rsidRPr="006D77AD" w14:paraId="5D7F776C" w14:textId="77777777" w:rsidTr="00D76097">
        <w:tc>
          <w:tcPr>
            <w:tcW w:w="3357" w:type="dxa"/>
          </w:tcPr>
          <w:p w14:paraId="5BB23B5D" w14:textId="77777777" w:rsidR="00D76097" w:rsidRPr="006D77AD" w:rsidRDefault="00D76097" w:rsidP="00F46D46">
            <w:pPr>
              <w:pStyle w:val="ListParagraph"/>
              <w:ind w:left="0"/>
              <w:contextualSpacing/>
            </w:pPr>
            <w:r w:rsidRPr="006D77AD">
              <w:t>Infrastructure and Planning Contributions</w:t>
            </w:r>
          </w:p>
        </w:tc>
        <w:tc>
          <w:tcPr>
            <w:tcW w:w="993" w:type="dxa"/>
          </w:tcPr>
          <w:p w14:paraId="5F9C3ED7" w14:textId="77777777" w:rsidR="00D76097" w:rsidRPr="006D77AD" w:rsidRDefault="00D76097" w:rsidP="00F46D46">
            <w:pPr>
              <w:pStyle w:val="ListParagraph"/>
              <w:ind w:left="0"/>
              <w:contextualSpacing/>
            </w:pPr>
            <w:r w:rsidRPr="006D77AD">
              <w:t>5</w:t>
            </w:r>
          </w:p>
        </w:tc>
        <w:tc>
          <w:tcPr>
            <w:tcW w:w="4644" w:type="dxa"/>
          </w:tcPr>
          <w:p w14:paraId="0823B911" w14:textId="77777777" w:rsidR="00D76097" w:rsidRPr="006D77AD" w:rsidRDefault="00FF3107" w:rsidP="00F46D46">
            <w:pPr>
              <w:pStyle w:val="ListParagraph"/>
              <w:ind w:left="0"/>
              <w:contextualSpacing/>
            </w:pPr>
            <w:r w:rsidRPr="006D77AD">
              <w:t>CLP Chapter 29, 33 (Policy C1, Policy CR4, Policy CR5) UDP Policy H8</w:t>
            </w:r>
          </w:p>
        </w:tc>
      </w:tr>
      <w:tr w:rsidR="00D76097" w:rsidRPr="006D77AD" w14:paraId="42F69C6F" w14:textId="77777777" w:rsidTr="00D76097">
        <w:tc>
          <w:tcPr>
            <w:tcW w:w="3357" w:type="dxa"/>
          </w:tcPr>
          <w:p w14:paraId="7E15578D" w14:textId="77777777" w:rsidR="00D76097" w:rsidRPr="006D77AD" w:rsidRDefault="00D76097" w:rsidP="00F46D46">
            <w:pPr>
              <w:pStyle w:val="ListParagraph"/>
              <w:ind w:left="0"/>
              <w:contextualSpacing/>
            </w:pPr>
            <w:r w:rsidRPr="006D77AD">
              <w:t>Shops and centres</w:t>
            </w:r>
          </w:p>
        </w:tc>
        <w:tc>
          <w:tcPr>
            <w:tcW w:w="993" w:type="dxa"/>
          </w:tcPr>
          <w:p w14:paraId="13CCBCF4" w14:textId="77777777" w:rsidR="00D76097" w:rsidRPr="006D77AD" w:rsidRDefault="00D76097" w:rsidP="00F46D46">
            <w:pPr>
              <w:pStyle w:val="ListParagraph"/>
              <w:ind w:left="0"/>
              <w:contextualSpacing/>
            </w:pPr>
            <w:r w:rsidRPr="006D77AD">
              <w:t>6</w:t>
            </w:r>
          </w:p>
        </w:tc>
        <w:tc>
          <w:tcPr>
            <w:tcW w:w="4644" w:type="dxa"/>
          </w:tcPr>
          <w:p w14:paraId="30799284" w14:textId="77777777" w:rsidR="00D76097" w:rsidRPr="006D77AD" w:rsidRDefault="000D6208" w:rsidP="00F46D46">
            <w:pPr>
              <w:pStyle w:val="ListParagraph"/>
              <w:ind w:left="0"/>
              <w:contextualSpacing/>
            </w:pPr>
            <w:r w:rsidRPr="006D77AD">
              <w:t>CLP Chapter 31</w:t>
            </w:r>
            <w:r w:rsidR="00E64114" w:rsidRPr="006D77AD">
              <w:t xml:space="preserve"> </w:t>
            </w:r>
            <w:r w:rsidRPr="006D77AD">
              <w:t>(</w:t>
            </w:r>
            <w:r w:rsidR="00E64114" w:rsidRPr="006D77AD">
              <w:t>Policies CP1, CK2, CF1, CF2, CF3, CF4</w:t>
            </w:r>
            <w:r w:rsidRPr="006D77AD">
              <w:t>)</w:t>
            </w:r>
          </w:p>
        </w:tc>
      </w:tr>
      <w:tr w:rsidR="00D76097" w:rsidRPr="006D77AD" w14:paraId="56F8801E" w14:textId="77777777" w:rsidTr="00D76097">
        <w:tc>
          <w:tcPr>
            <w:tcW w:w="3357" w:type="dxa"/>
          </w:tcPr>
          <w:p w14:paraId="09DC16EF" w14:textId="77777777" w:rsidR="00D76097" w:rsidRPr="006D77AD" w:rsidRDefault="00D76097" w:rsidP="00F46D46">
            <w:pPr>
              <w:pStyle w:val="ListParagraph"/>
              <w:ind w:left="0"/>
              <w:contextualSpacing/>
            </w:pPr>
            <w:r w:rsidRPr="006D77AD">
              <w:t>Business Uses and Hotels</w:t>
            </w:r>
          </w:p>
        </w:tc>
        <w:tc>
          <w:tcPr>
            <w:tcW w:w="993" w:type="dxa"/>
          </w:tcPr>
          <w:p w14:paraId="5B6882AC" w14:textId="77777777" w:rsidR="00D76097" w:rsidRPr="006D77AD" w:rsidRDefault="00D76097" w:rsidP="00F46D46">
            <w:pPr>
              <w:pStyle w:val="ListParagraph"/>
              <w:ind w:left="0"/>
              <w:contextualSpacing/>
            </w:pPr>
            <w:r w:rsidRPr="006D77AD">
              <w:t>7</w:t>
            </w:r>
          </w:p>
        </w:tc>
        <w:tc>
          <w:tcPr>
            <w:tcW w:w="4644" w:type="dxa"/>
          </w:tcPr>
          <w:p w14:paraId="5369F4FF" w14:textId="77777777" w:rsidR="002155F7" w:rsidRPr="006D77AD" w:rsidRDefault="002155F7" w:rsidP="00F46D46">
            <w:pPr>
              <w:pStyle w:val="ListParagraph"/>
              <w:ind w:left="0"/>
              <w:contextualSpacing/>
            </w:pPr>
            <w:r w:rsidRPr="006D77AD">
              <w:t>CLP Chapter 31 (Policies CF5, CF6, CF8)</w:t>
            </w:r>
          </w:p>
          <w:p w14:paraId="22E8C5C9" w14:textId="77777777" w:rsidR="00D76097" w:rsidRPr="006D77AD" w:rsidRDefault="002155F7" w:rsidP="00F46D46">
            <w:pPr>
              <w:pStyle w:val="ListParagraph"/>
              <w:ind w:left="0"/>
              <w:contextualSpacing/>
            </w:pPr>
            <w:r w:rsidRPr="006D77AD">
              <w:t>UDP Policies E8,E11, E12, E13, E15, E19, E22</w:t>
            </w:r>
          </w:p>
        </w:tc>
      </w:tr>
      <w:tr w:rsidR="00D76097" w:rsidRPr="006D77AD" w14:paraId="0C870157" w14:textId="77777777" w:rsidTr="00D76097">
        <w:tc>
          <w:tcPr>
            <w:tcW w:w="3357" w:type="dxa"/>
          </w:tcPr>
          <w:p w14:paraId="1657DF69" w14:textId="77777777" w:rsidR="00D76097" w:rsidRPr="006D77AD" w:rsidRDefault="00D76097" w:rsidP="00F46D46">
            <w:pPr>
              <w:pStyle w:val="ListParagraph"/>
              <w:ind w:left="0"/>
              <w:contextualSpacing/>
            </w:pPr>
            <w:r w:rsidRPr="006D77AD">
              <w:t>Arts and Cultural Uses</w:t>
            </w:r>
          </w:p>
        </w:tc>
        <w:tc>
          <w:tcPr>
            <w:tcW w:w="993" w:type="dxa"/>
          </w:tcPr>
          <w:p w14:paraId="442270D2" w14:textId="77777777" w:rsidR="00D76097" w:rsidRPr="006D77AD" w:rsidRDefault="00D76097" w:rsidP="00F46D46">
            <w:pPr>
              <w:pStyle w:val="ListParagraph"/>
              <w:ind w:left="0"/>
              <w:contextualSpacing/>
            </w:pPr>
            <w:r w:rsidRPr="006D77AD">
              <w:t>8</w:t>
            </w:r>
          </w:p>
        </w:tc>
        <w:tc>
          <w:tcPr>
            <w:tcW w:w="4644" w:type="dxa"/>
          </w:tcPr>
          <w:p w14:paraId="784F1289" w14:textId="77777777" w:rsidR="00D76097" w:rsidRPr="006D77AD" w:rsidRDefault="007505B1" w:rsidP="00F46D46">
            <w:pPr>
              <w:pStyle w:val="ListParagraph"/>
              <w:ind w:left="0"/>
              <w:contextualSpacing/>
            </w:pPr>
            <w:r w:rsidRPr="006D77AD">
              <w:t>CLP Policy CF7, CF11</w:t>
            </w:r>
          </w:p>
        </w:tc>
      </w:tr>
      <w:tr w:rsidR="00D76097" w:rsidRPr="006D77AD" w14:paraId="0A46B646" w14:textId="77777777" w:rsidTr="00D76097">
        <w:tc>
          <w:tcPr>
            <w:tcW w:w="3357" w:type="dxa"/>
          </w:tcPr>
          <w:p w14:paraId="324B2BEA" w14:textId="77777777" w:rsidR="00D76097" w:rsidRPr="006D77AD" w:rsidRDefault="00D76097" w:rsidP="00F46D46">
            <w:pPr>
              <w:pStyle w:val="ListParagraph"/>
              <w:ind w:left="0"/>
              <w:contextualSpacing/>
            </w:pPr>
            <w:r w:rsidRPr="006D77AD">
              <w:t>Rail Infrastructure</w:t>
            </w:r>
          </w:p>
        </w:tc>
        <w:tc>
          <w:tcPr>
            <w:tcW w:w="993" w:type="dxa"/>
          </w:tcPr>
          <w:p w14:paraId="08E08A86" w14:textId="77777777" w:rsidR="00D76097" w:rsidRPr="006D77AD" w:rsidRDefault="00D76097" w:rsidP="00F46D46">
            <w:pPr>
              <w:pStyle w:val="ListParagraph"/>
              <w:ind w:left="0"/>
              <w:contextualSpacing/>
            </w:pPr>
            <w:r w:rsidRPr="006D77AD">
              <w:t>9</w:t>
            </w:r>
          </w:p>
        </w:tc>
        <w:tc>
          <w:tcPr>
            <w:tcW w:w="4644" w:type="dxa"/>
          </w:tcPr>
          <w:p w14:paraId="292EFA57" w14:textId="77777777" w:rsidR="00D76097" w:rsidRPr="006D77AD" w:rsidRDefault="007505B1" w:rsidP="00F46D46">
            <w:pPr>
              <w:pStyle w:val="ListParagraph"/>
              <w:ind w:left="0"/>
              <w:contextualSpacing/>
            </w:pPr>
            <w:r w:rsidRPr="006D77AD">
              <w:t>CLP Policy CY2</w:t>
            </w:r>
          </w:p>
        </w:tc>
      </w:tr>
      <w:tr w:rsidR="00D76097" w:rsidRPr="006D77AD" w14:paraId="2FF56763" w14:textId="77777777" w:rsidTr="00D76097">
        <w:tc>
          <w:tcPr>
            <w:tcW w:w="3357" w:type="dxa"/>
          </w:tcPr>
          <w:p w14:paraId="55CB46AA" w14:textId="77777777" w:rsidR="00D76097" w:rsidRPr="006D77AD" w:rsidRDefault="00D76097" w:rsidP="00F46D46">
            <w:pPr>
              <w:pStyle w:val="ListParagraph"/>
              <w:ind w:left="0"/>
              <w:contextualSpacing/>
            </w:pPr>
            <w:r w:rsidRPr="006D77AD">
              <w:t>Housing</w:t>
            </w:r>
          </w:p>
        </w:tc>
        <w:tc>
          <w:tcPr>
            <w:tcW w:w="993" w:type="dxa"/>
          </w:tcPr>
          <w:p w14:paraId="7262BA2D" w14:textId="77777777" w:rsidR="00D76097" w:rsidRPr="006D77AD" w:rsidRDefault="00D76097" w:rsidP="00F46D46">
            <w:pPr>
              <w:pStyle w:val="ListParagraph"/>
              <w:ind w:left="0"/>
              <w:contextualSpacing/>
            </w:pPr>
            <w:r w:rsidRPr="006D77AD">
              <w:t>10</w:t>
            </w:r>
          </w:p>
        </w:tc>
        <w:tc>
          <w:tcPr>
            <w:tcW w:w="4644" w:type="dxa"/>
          </w:tcPr>
          <w:p w14:paraId="508D490E" w14:textId="77777777" w:rsidR="007505B1" w:rsidRPr="006D77AD" w:rsidRDefault="007505B1" w:rsidP="00F46D46">
            <w:pPr>
              <w:pStyle w:val="ListParagraph"/>
              <w:ind w:left="0"/>
              <w:contextualSpacing/>
            </w:pPr>
            <w:r w:rsidRPr="006D77AD">
              <w:t>CLP Policy CH1, CH2, CH3, CH4</w:t>
            </w:r>
          </w:p>
          <w:p w14:paraId="57388FE7" w14:textId="77777777" w:rsidR="00D76097" w:rsidRPr="006D77AD" w:rsidRDefault="00521138" w:rsidP="00F46D46">
            <w:pPr>
              <w:pStyle w:val="ListParagraph"/>
              <w:ind w:left="0"/>
              <w:contextualSpacing/>
            </w:pPr>
            <w:r w:rsidRPr="006D77AD">
              <w:t>UDP Policies H4, H8, H17</w:t>
            </w:r>
          </w:p>
        </w:tc>
      </w:tr>
      <w:tr w:rsidR="00D76097" w:rsidRPr="006D77AD" w14:paraId="449EA97A" w14:textId="77777777" w:rsidTr="00D76097">
        <w:tc>
          <w:tcPr>
            <w:tcW w:w="3357" w:type="dxa"/>
          </w:tcPr>
          <w:p w14:paraId="748C0BF7" w14:textId="77777777" w:rsidR="00D76097" w:rsidRPr="006D77AD" w:rsidRDefault="00D76097" w:rsidP="00F46D46">
            <w:pPr>
              <w:pStyle w:val="ListParagraph"/>
              <w:ind w:left="0"/>
              <w:contextualSpacing/>
            </w:pPr>
            <w:r w:rsidRPr="006D77AD">
              <w:t>Gypsy and Traveller accommodation</w:t>
            </w:r>
          </w:p>
        </w:tc>
        <w:tc>
          <w:tcPr>
            <w:tcW w:w="993" w:type="dxa"/>
          </w:tcPr>
          <w:p w14:paraId="3BB3FC1D" w14:textId="77777777" w:rsidR="00D76097" w:rsidRPr="006D77AD" w:rsidRDefault="00D76097" w:rsidP="00F46D46">
            <w:pPr>
              <w:pStyle w:val="ListParagraph"/>
              <w:ind w:left="0"/>
              <w:contextualSpacing/>
            </w:pPr>
            <w:r w:rsidRPr="006D77AD">
              <w:t>11</w:t>
            </w:r>
          </w:p>
        </w:tc>
        <w:tc>
          <w:tcPr>
            <w:tcW w:w="4644" w:type="dxa"/>
          </w:tcPr>
          <w:p w14:paraId="02DBC845" w14:textId="77777777" w:rsidR="00D76097" w:rsidRPr="006D77AD" w:rsidRDefault="00C43B96" w:rsidP="00F46D46">
            <w:pPr>
              <w:pStyle w:val="ListParagraph"/>
              <w:ind w:left="0"/>
              <w:contextualSpacing/>
            </w:pPr>
            <w:r w:rsidRPr="006D77AD">
              <w:t>CLP Policy CH2(s)</w:t>
            </w:r>
          </w:p>
        </w:tc>
      </w:tr>
      <w:tr w:rsidR="00D76097" w:rsidRPr="006D77AD" w14:paraId="3B052FF7" w14:textId="77777777" w:rsidTr="00D76097">
        <w:tc>
          <w:tcPr>
            <w:tcW w:w="3357" w:type="dxa"/>
          </w:tcPr>
          <w:p w14:paraId="15D87FD2" w14:textId="77777777" w:rsidR="00D76097" w:rsidRPr="006D77AD" w:rsidRDefault="00D76097" w:rsidP="00F46D46">
            <w:pPr>
              <w:pStyle w:val="ListParagraph"/>
              <w:ind w:left="0"/>
              <w:contextualSpacing/>
            </w:pPr>
            <w:r w:rsidRPr="006D77AD">
              <w:t>Access and Space Standards</w:t>
            </w:r>
          </w:p>
        </w:tc>
        <w:tc>
          <w:tcPr>
            <w:tcW w:w="993" w:type="dxa"/>
          </w:tcPr>
          <w:p w14:paraId="2DAC653F" w14:textId="77777777" w:rsidR="00D76097" w:rsidRPr="006D77AD" w:rsidRDefault="00D76097" w:rsidP="00F46D46">
            <w:pPr>
              <w:pStyle w:val="ListParagraph"/>
              <w:ind w:left="0"/>
              <w:contextualSpacing/>
            </w:pPr>
            <w:r w:rsidRPr="006D77AD">
              <w:t>12</w:t>
            </w:r>
          </w:p>
        </w:tc>
        <w:tc>
          <w:tcPr>
            <w:tcW w:w="4644" w:type="dxa"/>
          </w:tcPr>
          <w:p w14:paraId="49B4E014" w14:textId="77777777" w:rsidR="00D76097" w:rsidRPr="006D77AD" w:rsidRDefault="00C43B96" w:rsidP="00F46D46">
            <w:pPr>
              <w:pStyle w:val="ListParagraph"/>
              <w:ind w:left="0"/>
              <w:contextualSpacing/>
            </w:pPr>
            <w:r w:rsidRPr="006D77AD">
              <w:t>CLP Policy CH2(b)</w:t>
            </w:r>
          </w:p>
        </w:tc>
      </w:tr>
      <w:tr w:rsidR="00D76097" w:rsidRPr="006D77AD" w14:paraId="79CB27B8" w14:textId="77777777" w:rsidTr="00D76097">
        <w:tc>
          <w:tcPr>
            <w:tcW w:w="3357" w:type="dxa"/>
          </w:tcPr>
          <w:p w14:paraId="510DE242" w14:textId="77777777" w:rsidR="00D76097" w:rsidRPr="006D77AD" w:rsidRDefault="00D76097" w:rsidP="00F46D46">
            <w:pPr>
              <w:pStyle w:val="ListParagraph"/>
              <w:ind w:left="0"/>
              <w:contextualSpacing/>
            </w:pPr>
            <w:r w:rsidRPr="006D77AD">
              <w:t>Climate Change; Energy and Water housing standards</w:t>
            </w:r>
          </w:p>
        </w:tc>
        <w:tc>
          <w:tcPr>
            <w:tcW w:w="993" w:type="dxa"/>
          </w:tcPr>
          <w:p w14:paraId="1CADDB6A" w14:textId="77777777" w:rsidR="00D76097" w:rsidRPr="006D77AD" w:rsidRDefault="00D76097" w:rsidP="00F46D46">
            <w:pPr>
              <w:pStyle w:val="ListParagraph"/>
              <w:ind w:left="0"/>
              <w:contextualSpacing/>
            </w:pPr>
            <w:r w:rsidRPr="006D77AD">
              <w:t>13</w:t>
            </w:r>
          </w:p>
        </w:tc>
        <w:tc>
          <w:tcPr>
            <w:tcW w:w="4644" w:type="dxa"/>
          </w:tcPr>
          <w:p w14:paraId="54C73864" w14:textId="77777777" w:rsidR="00D76097" w:rsidRPr="006D77AD" w:rsidRDefault="00C43B96" w:rsidP="00F46D46">
            <w:pPr>
              <w:pStyle w:val="ListParagraph"/>
              <w:ind w:left="0"/>
              <w:contextualSpacing/>
            </w:pPr>
            <w:r w:rsidRPr="006D77AD">
              <w:t>CLP Policy CE1</w:t>
            </w:r>
          </w:p>
        </w:tc>
      </w:tr>
      <w:tr w:rsidR="00D76097" w:rsidRPr="006D77AD" w14:paraId="77A00A12" w14:textId="77777777" w:rsidTr="00D76097">
        <w:tc>
          <w:tcPr>
            <w:tcW w:w="3357" w:type="dxa"/>
          </w:tcPr>
          <w:p w14:paraId="01BFC46B" w14:textId="77777777" w:rsidR="00D76097" w:rsidRPr="006D77AD" w:rsidRDefault="00D76097" w:rsidP="00F46D46">
            <w:pPr>
              <w:pStyle w:val="ListParagraph"/>
              <w:ind w:left="0"/>
              <w:contextualSpacing/>
            </w:pPr>
            <w:r w:rsidRPr="006D77AD">
              <w:t>Flooding and Drainage</w:t>
            </w:r>
          </w:p>
        </w:tc>
        <w:tc>
          <w:tcPr>
            <w:tcW w:w="993" w:type="dxa"/>
          </w:tcPr>
          <w:p w14:paraId="34DEF90A" w14:textId="77777777" w:rsidR="00D76097" w:rsidRPr="006D77AD" w:rsidRDefault="00D76097" w:rsidP="00F46D46">
            <w:pPr>
              <w:pStyle w:val="ListParagraph"/>
              <w:ind w:left="0"/>
              <w:contextualSpacing/>
            </w:pPr>
            <w:r w:rsidRPr="006D77AD">
              <w:t>14</w:t>
            </w:r>
          </w:p>
        </w:tc>
        <w:tc>
          <w:tcPr>
            <w:tcW w:w="4644" w:type="dxa"/>
          </w:tcPr>
          <w:p w14:paraId="6904C901" w14:textId="77777777" w:rsidR="00D76097" w:rsidRPr="006D77AD" w:rsidRDefault="00C43B96" w:rsidP="00F46D46">
            <w:pPr>
              <w:pStyle w:val="ListParagraph"/>
              <w:ind w:left="0"/>
              <w:contextualSpacing/>
            </w:pPr>
            <w:r w:rsidRPr="006D77AD">
              <w:t>CLP Policy CE2</w:t>
            </w:r>
          </w:p>
        </w:tc>
      </w:tr>
      <w:tr w:rsidR="00D76097" w:rsidRPr="006D77AD" w14:paraId="69AD9306" w14:textId="77777777" w:rsidTr="00D76097">
        <w:tc>
          <w:tcPr>
            <w:tcW w:w="3357" w:type="dxa"/>
          </w:tcPr>
          <w:p w14:paraId="51AF4528" w14:textId="77777777" w:rsidR="00D76097" w:rsidRPr="006D77AD" w:rsidRDefault="00D76097" w:rsidP="00F46D46">
            <w:pPr>
              <w:pStyle w:val="ListParagraph"/>
              <w:ind w:left="0"/>
              <w:contextualSpacing/>
            </w:pPr>
            <w:r w:rsidRPr="006D77AD">
              <w:t>Waste</w:t>
            </w:r>
          </w:p>
        </w:tc>
        <w:tc>
          <w:tcPr>
            <w:tcW w:w="993" w:type="dxa"/>
          </w:tcPr>
          <w:p w14:paraId="4BFCE9AB" w14:textId="77777777" w:rsidR="00D76097" w:rsidRPr="006D77AD" w:rsidRDefault="00D76097" w:rsidP="00F46D46">
            <w:pPr>
              <w:pStyle w:val="ListParagraph"/>
              <w:ind w:left="0"/>
              <w:contextualSpacing/>
            </w:pPr>
            <w:r w:rsidRPr="006D77AD">
              <w:t>15</w:t>
            </w:r>
          </w:p>
        </w:tc>
        <w:tc>
          <w:tcPr>
            <w:tcW w:w="4644" w:type="dxa"/>
          </w:tcPr>
          <w:p w14:paraId="409D32AB" w14:textId="77777777" w:rsidR="00D76097" w:rsidRPr="006D77AD" w:rsidRDefault="00C43B96" w:rsidP="00F46D46">
            <w:pPr>
              <w:pStyle w:val="ListParagraph"/>
              <w:ind w:left="0"/>
              <w:contextualSpacing/>
            </w:pPr>
            <w:r w:rsidRPr="006D77AD">
              <w:t>CLP Policy CE3</w:t>
            </w:r>
          </w:p>
        </w:tc>
      </w:tr>
    </w:tbl>
    <w:p w14:paraId="35754573" w14:textId="324D8DB9" w:rsidR="00CE6633" w:rsidRDefault="00CE6633" w:rsidP="00E06DBE">
      <w:pPr>
        <w:autoSpaceDE w:val="0"/>
        <w:autoSpaceDN w:val="0"/>
        <w:adjustRightInd w:val="0"/>
        <w:contextualSpacing/>
        <w:jc w:val="both"/>
        <w:rPr>
          <w:i/>
        </w:rPr>
      </w:pPr>
    </w:p>
    <w:p w14:paraId="49976BBB" w14:textId="40126A33" w:rsidR="00070EEA" w:rsidRPr="006D77AD" w:rsidRDefault="003F6476" w:rsidP="005E1F99">
      <w:pPr>
        <w:autoSpaceDE w:val="0"/>
        <w:autoSpaceDN w:val="0"/>
        <w:adjustRightInd w:val="0"/>
        <w:ind w:firstLine="720"/>
        <w:contextualSpacing/>
        <w:jc w:val="both"/>
        <w:rPr>
          <w:i/>
        </w:rPr>
      </w:pPr>
      <w:r w:rsidRPr="006D77AD">
        <w:rPr>
          <w:i/>
        </w:rPr>
        <w:t>Sites</w:t>
      </w:r>
      <w:r w:rsidR="001470C5" w:rsidRPr="006D77AD">
        <w:rPr>
          <w:i/>
        </w:rPr>
        <w:t xml:space="preserve"> Allocations</w:t>
      </w:r>
    </w:p>
    <w:p w14:paraId="510CD194" w14:textId="77777777" w:rsidR="003F6476" w:rsidRPr="006D77AD" w:rsidRDefault="003F6476" w:rsidP="005E1F99">
      <w:pPr>
        <w:autoSpaceDE w:val="0"/>
        <w:autoSpaceDN w:val="0"/>
        <w:adjustRightInd w:val="0"/>
        <w:contextualSpacing/>
        <w:jc w:val="both"/>
      </w:pPr>
    </w:p>
    <w:p w14:paraId="73D10323" w14:textId="358B5E32" w:rsidR="00D81091" w:rsidRPr="006D77AD" w:rsidRDefault="00EF1767" w:rsidP="005E1F99">
      <w:pPr>
        <w:pStyle w:val="ListParagraph"/>
        <w:numPr>
          <w:ilvl w:val="1"/>
          <w:numId w:val="1"/>
        </w:numPr>
        <w:autoSpaceDE w:val="0"/>
        <w:autoSpaceDN w:val="0"/>
        <w:adjustRightInd w:val="0"/>
        <w:contextualSpacing/>
        <w:jc w:val="both"/>
      </w:pPr>
      <w:r w:rsidRPr="006D77AD">
        <w:t>As part of</w:t>
      </w:r>
      <w:r w:rsidR="007640A3" w:rsidRPr="006D77AD">
        <w:t xml:space="preserve"> the above</w:t>
      </w:r>
      <w:r w:rsidR="00B16F43" w:rsidRPr="006D77AD">
        <w:t xml:space="preserve"> </w:t>
      </w:r>
      <w:r w:rsidRPr="006D77AD">
        <w:t>section on ‘Site Allocations’</w:t>
      </w:r>
      <w:r w:rsidR="007640A3" w:rsidRPr="006D77AD">
        <w:t xml:space="preserve">, </w:t>
      </w:r>
      <w:r w:rsidR="00D81091" w:rsidRPr="006D77AD">
        <w:t xml:space="preserve">the Council is </w:t>
      </w:r>
      <w:r w:rsidRPr="006D77AD">
        <w:t>looking to designate further</w:t>
      </w:r>
      <w:r w:rsidR="00D81091" w:rsidRPr="006D77AD">
        <w:t xml:space="preserve"> site allocation</w:t>
      </w:r>
      <w:r w:rsidR="00427A02" w:rsidRPr="006D77AD">
        <w:t>s</w:t>
      </w:r>
      <w:r w:rsidRPr="006D77AD">
        <w:t>, particularly for housing</w:t>
      </w:r>
      <w:r w:rsidR="00D81091" w:rsidRPr="006D77AD">
        <w:t>. The Co</w:t>
      </w:r>
      <w:r w:rsidR="003F6476" w:rsidRPr="006D77AD">
        <w:t>re Strategy (</w:t>
      </w:r>
      <w:r w:rsidR="00D81091" w:rsidRPr="006D77AD">
        <w:t>2</w:t>
      </w:r>
      <w:r w:rsidR="00DD4339" w:rsidRPr="006D77AD">
        <w:t>010</w:t>
      </w:r>
      <w:r w:rsidR="003F6476" w:rsidRPr="006D77AD">
        <w:t>)</w:t>
      </w:r>
      <w:r w:rsidR="00DD4339" w:rsidRPr="006D77AD">
        <w:t xml:space="preserve"> identified eight strategic s</w:t>
      </w:r>
      <w:r w:rsidR="00D81091" w:rsidRPr="006D77AD">
        <w:t xml:space="preserve">ites (see </w:t>
      </w:r>
      <w:hyperlink r:id="rId24" w:history="1">
        <w:r w:rsidR="00D81091" w:rsidRPr="006D77AD">
          <w:rPr>
            <w:rStyle w:val="Hyperlink"/>
          </w:rPr>
          <w:t>Section 2a, CLP, pp</w:t>
        </w:r>
        <w:r w:rsidR="00DD4339" w:rsidRPr="006D77AD">
          <w:rPr>
            <w:rStyle w:val="Hyperlink"/>
          </w:rPr>
          <w:t xml:space="preserve">. </w:t>
        </w:r>
        <w:r w:rsidR="00D81091" w:rsidRPr="006D77AD">
          <w:rPr>
            <w:rStyle w:val="Hyperlink"/>
          </w:rPr>
          <w:t>116-144</w:t>
        </w:r>
      </w:hyperlink>
      <w:r w:rsidR="00D81091" w:rsidRPr="006D77AD">
        <w:t xml:space="preserve">). In the intervening period a number of these sites have come forward for development, while others remain largely undeveloped.  </w:t>
      </w:r>
    </w:p>
    <w:p w14:paraId="347256E4" w14:textId="77777777" w:rsidR="00D81091" w:rsidRPr="006D77AD" w:rsidRDefault="00D81091" w:rsidP="005E1F99">
      <w:pPr>
        <w:pStyle w:val="ListParagraph"/>
        <w:autoSpaceDE w:val="0"/>
        <w:autoSpaceDN w:val="0"/>
        <w:adjustRightInd w:val="0"/>
        <w:contextualSpacing/>
        <w:jc w:val="both"/>
      </w:pPr>
    </w:p>
    <w:p w14:paraId="217C485D" w14:textId="3EA9673A" w:rsidR="00452DE1" w:rsidRPr="006D77AD" w:rsidRDefault="003F6476" w:rsidP="005E1F99">
      <w:pPr>
        <w:pStyle w:val="ListParagraph"/>
        <w:numPr>
          <w:ilvl w:val="1"/>
          <w:numId w:val="1"/>
        </w:numPr>
        <w:autoSpaceDE w:val="0"/>
        <w:autoSpaceDN w:val="0"/>
        <w:adjustRightInd w:val="0"/>
        <w:contextualSpacing/>
        <w:jc w:val="both"/>
      </w:pPr>
      <w:r w:rsidRPr="006D77AD">
        <w:t>Th</w:t>
      </w:r>
      <w:r w:rsidR="002921F7" w:rsidRPr="006D77AD">
        <w:t>e LPPR seeks to update the Strategic Site A</w:t>
      </w:r>
      <w:r w:rsidR="00427A02" w:rsidRPr="006D77AD">
        <w:t>llocation</w:t>
      </w:r>
      <w:r w:rsidRPr="006D77AD">
        <w:t xml:space="preserve"> section </w:t>
      </w:r>
      <w:r w:rsidR="00EF1767" w:rsidRPr="006D77AD">
        <w:t xml:space="preserve">in the CLP </w:t>
      </w:r>
      <w:r w:rsidR="00427A02" w:rsidRPr="006D77AD">
        <w:t>to reflect the</w:t>
      </w:r>
      <w:r w:rsidRPr="006D77AD">
        <w:t xml:space="preserve"> development that has occurred in th</w:t>
      </w:r>
      <w:r w:rsidR="00452DE1" w:rsidRPr="006D77AD">
        <w:t>e</w:t>
      </w:r>
      <w:r w:rsidRPr="006D77AD">
        <w:t xml:space="preserve"> six years</w:t>
      </w:r>
      <w:r w:rsidR="00452DE1" w:rsidRPr="006D77AD">
        <w:t xml:space="preserve"> since the adoption of the Core Strategy</w:t>
      </w:r>
      <w:r w:rsidR="00427A02" w:rsidRPr="006D77AD">
        <w:t xml:space="preserve">. This would mean the removal of those sites where development has been completed but, more crucially, </w:t>
      </w:r>
      <w:r w:rsidR="00452DE1" w:rsidRPr="006D77AD">
        <w:t xml:space="preserve">will </w:t>
      </w:r>
      <w:r w:rsidR="00CE1BC0" w:rsidRPr="006D77AD">
        <w:t>lead to</w:t>
      </w:r>
      <w:r w:rsidR="00427A02" w:rsidRPr="006D77AD">
        <w:t xml:space="preserve"> the identification of new s</w:t>
      </w:r>
      <w:r w:rsidR="00452DE1" w:rsidRPr="006D77AD">
        <w:t>ite allocations</w:t>
      </w:r>
      <w:r w:rsidR="00427A02" w:rsidRPr="006D77AD">
        <w:t>.</w:t>
      </w:r>
    </w:p>
    <w:p w14:paraId="37F0E1F7" w14:textId="77777777" w:rsidR="00452DE1" w:rsidRPr="006D77AD" w:rsidRDefault="00452DE1" w:rsidP="005E1F99">
      <w:pPr>
        <w:pStyle w:val="ListParagraph"/>
        <w:jc w:val="both"/>
      </w:pPr>
    </w:p>
    <w:p w14:paraId="2F1993D4" w14:textId="03E9E55B" w:rsidR="00427A02" w:rsidRPr="006D77AD" w:rsidRDefault="00CE12F2" w:rsidP="005E1F99">
      <w:pPr>
        <w:pStyle w:val="ListParagraph"/>
        <w:numPr>
          <w:ilvl w:val="1"/>
          <w:numId w:val="1"/>
        </w:numPr>
        <w:autoSpaceDE w:val="0"/>
        <w:autoSpaceDN w:val="0"/>
        <w:adjustRightInd w:val="0"/>
        <w:contextualSpacing/>
        <w:jc w:val="both"/>
      </w:pPr>
      <w:r w:rsidRPr="006D77AD">
        <w:t>The Issues and O</w:t>
      </w:r>
      <w:r w:rsidR="00427A02" w:rsidRPr="006D77AD">
        <w:t xml:space="preserve">ptions consultation set out five potential new site allocations. These were; Royal Brompton Hospital/Chelsea, </w:t>
      </w:r>
      <w:r w:rsidR="00E33C4B" w:rsidRPr="006D77AD">
        <w:t xml:space="preserve">37 </w:t>
      </w:r>
      <w:r w:rsidR="00427A02" w:rsidRPr="006D77AD">
        <w:t xml:space="preserve">Pembroke Road, Barlby and </w:t>
      </w:r>
      <w:proofErr w:type="spellStart"/>
      <w:r w:rsidR="00427A02" w:rsidRPr="006D77AD">
        <w:t>Treverton</w:t>
      </w:r>
      <w:proofErr w:type="spellEnd"/>
      <w:r w:rsidR="00427A02" w:rsidRPr="006D77AD">
        <w:t xml:space="preserve"> Estates, </w:t>
      </w:r>
      <w:proofErr w:type="spellStart"/>
      <w:r w:rsidR="00427A02" w:rsidRPr="006D77AD">
        <w:t>Silchester</w:t>
      </w:r>
      <w:proofErr w:type="spellEnd"/>
      <w:r w:rsidR="00427A02" w:rsidRPr="006D77AD">
        <w:t xml:space="preserve"> East and West and 39-49 Harrington Road (see pp, 66-70 </w:t>
      </w:r>
      <w:hyperlink r:id="rId25" w:history="1">
        <w:r w:rsidR="00427A02" w:rsidRPr="006D77AD">
          <w:rPr>
            <w:rStyle w:val="Hyperlink"/>
          </w:rPr>
          <w:t>LPPR I&amp;O Consultation</w:t>
        </w:r>
      </w:hyperlink>
      <w:r w:rsidR="00427A02" w:rsidRPr="006D77AD">
        <w:t xml:space="preserve">). </w:t>
      </w:r>
    </w:p>
    <w:p w14:paraId="0348F05B" w14:textId="77777777" w:rsidR="00427A02" w:rsidRPr="006D77AD" w:rsidRDefault="00427A02" w:rsidP="005E1F99">
      <w:pPr>
        <w:pStyle w:val="ListParagraph"/>
        <w:jc w:val="both"/>
      </w:pPr>
    </w:p>
    <w:p w14:paraId="20397959" w14:textId="3F1079E6" w:rsidR="00452DE1" w:rsidRPr="006D77AD" w:rsidRDefault="00427A02" w:rsidP="005E1F99">
      <w:pPr>
        <w:pStyle w:val="ListParagraph"/>
        <w:numPr>
          <w:ilvl w:val="1"/>
          <w:numId w:val="1"/>
        </w:numPr>
        <w:autoSpaceDE w:val="0"/>
        <w:autoSpaceDN w:val="0"/>
        <w:adjustRightInd w:val="0"/>
        <w:contextualSpacing/>
        <w:jc w:val="both"/>
      </w:pPr>
      <w:r w:rsidRPr="006D77AD">
        <w:t xml:space="preserve"> </w:t>
      </w:r>
      <w:r w:rsidR="001470C5" w:rsidRPr="006D77AD">
        <w:t>In addition to the</w:t>
      </w:r>
      <w:r w:rsidRPr="006D77AD">
        <w:t xml:space="preserve"> potential new site allocations</w:t>
      </w:r>
      <w:r w:rsidR="001470C5" w:rsidRPr="006D77AD">
        <w:t xml:space="preserve"> identified by the Council,</w:t>
      </w:r>
      <w:r w:rsidR="007640A3" w:rsidRPr="006D77AD">
        <w:t xml:space="preserve"> a ‘call for sites</w:t>
      </w:r>
      <w:r w:rsidRPr="006D77AD">
        <w:t>’</w:t>
      </w:r>
      <w:r w:rsidR="001470C5" w:rsidRPr="006D77AD">
        <w:t xml:space="preserve"> was undertaken as part of the Issues and Options consultation</w:t>
      </w:r>
      <w:r w:rsidR="00D65851" w:rsidRPr="006D77AD">
        <w:t>,</w:t>
      </w:r>
      <w:r w:rsidR="00CE1BC0" w:rsidRPr="006D77AD">
        <w:t xml:space="preserve"> with a view to </w:t>
      </w:r>
      <w:r w:rsidR="001470C5" w:rsidRPr="006D77AD">
        <w:t>identify other potential</w:t>
      </w:r>
      <w:r w:rsidR="00452DE1" w:rsidRPr="006D77AD">
        <w:t xml:space="preserve"> new</w:t>
      </w:r>
      <w:r w:rsidR="001470C5" w:rsidRPr="006D77AD">
        <w:t xml:space="preserve"> site allocations</w:t>
      </w:r>
      <w:r w:rsidR="00B16F43" w:rsidRPr="006D77AD">
        <w:t xml:space="preserve"> that may </w:t>
      </w:r>
      <w:r w:rsidR="00D65851" w:rsidRPr="006D77AD">
        <w:t>come forward from</w:t>
      </w:r>
      <w:r w:rsidR="00B16F43" w:rsidRPr="006D77AD">
        <w:t xml:space="preserve"> landowners, developers, residents or other stakeholders</w:t>
      </w:r>
      <w:r w:rsidR="007640A3" w:rsidRPr="006D77AD">
        <w:t xml:space="preserve">. </w:t>
      </w:r>
      <w:r w:rsidR="00452DE1" w:rsidRPr="006D77AD">
        <w:t xml:space="preserve"> </w:t>
      </w:r>
    </w:p>
    <w:p w14:paraId="57F11E34" w14:textId="77777777" w:rsidR="00B16F43" w:rsidRPr="006D77AD" w:rsidRDefault="00B16F43" w:rsidP="005E1F99">
      <w:pPr>
        <w:autoSpaceDE w:val="0"/>
        <w:autoSpaceDN w:val="0"/>
        <w:adjustRightInd w:val="0"/>
        <w:contextualSpacing/>
        <w:jc w:val="both"/>
      </w:pPr>
    </w:p>
    <w:p w14:paraId="58209DAF" w14:textId="31BE5B0B" w:rsidR="00FD6E98" w:rsidRPr="006D77AD" w:rsidRDefault="00452DE1" w:rsidP="005E1F99">
      <w:pPr>
        <w:pStyle w:val="ListParagraph"/>
        <w:numPr>
          <w:ilvl w:val="1"/>
          <w:numId w:val="1"/>
        </w:numPr>
        <w:autoSpaceDE w:val="0"/>
        <w:autoSpaceDN w:val="0"/>
        <w:adjustRightInd w:val="0"/>
        <w:contextualSpacing/>
        <w:jc w:val="both"/>
      </w:pPr>
      <w:r w:rsidRPr="006D77AD">
        <w:t>Kensington and Chelsea is a highly developed urban borough with very little available land available for new development. The number of available</w:t>
      </w:r>
      <w:r w:rsidR="00B16F43" w:rsidRPr="006D77AD">
        <w:t xml:space="preserve"> sites is </w:t>
      </w:r>
      <w:r w:rsidR="00B16F43" w:rsidRPr="006D77AD">
        <w:lastRenderedPageBreak/>
        <w:t>therefore</w:t>
      </w:r>
      <w:r w:rsidRPr="006D77AD">
        <w:t xml:space="preserve"> small and the alternative options</w:t>
      </w:r>
      <w:r w:rsidR="00705C20">
        <w:t xml:space="preserve"> very</w:t>
      </w:r>
      <w:r w:rsidRPr="006D77AD">
        <w:t xml:space="preserve"> limited.</w:t>
      </w:r>
      <w:r w:rsidR="00CE1BC0" w:rsidRPr="006D77AD">
        <w:t xml:space="preserve">  All potential site allocations identified by the Council or submitted as part of the ‘call for sites’</w:t>
      </w:r>
      <w:r w:rsidR="00D65851" w:rsidRPr="006D77AD">
        <w:t>,</w:t>
      </w:r>
      <w:r w:rsidR="00CE1BC0" w:rsidRPr="006D77AD">
        <w:t xml:space="preserve"> </w:t>
      </w:r>
      <w:r w:rsidR="00D65851" w:rsidRPr="006D77AD">
        <w:t>which are suitable for development</w:t>
      </w:r>
      <w:r w:rsidR="00705C20">
        <w:t>, meet a minimum size threshold,</w:t>
      </w:r>
      <w:r w:rsidR="00D65851" w:rsidRPr="006D77AD">
        <w:t xml:space="preserve"> and have a reasonable likelihood of being delivered within the plan period </w:t>
      </w:r>
      <w:r w:rsidR="00CE1BC0" w:rsidRPr="006D77AD">
        <w:t>must be assessed as part of the IIA</w:t>
      </w:r>
      <w:r w:rsidR="00B16F43" w:rsidRPr="006D77AD">
        <w:t xml:space="preserve"> process</w:t>
      </w:r>
      <w:r w:rsidR="00CE1BC0" w:rsidRPr="006D77AD">
        <w:t xml:space="preserve">. </w:t>
      </w:r>
      <w:r w:rsidR="00CE6633">
        <w:t>Where appropriate, site allocations and any reasonable alternatives may be assessed via a more location specific criteria to be determined by the successful consultant.</w:t>
      </w:r>
    </w:p>
    <w:p w14:paraId="764E38E2" w14:textId="77777777" w:rsidR="002D152A" w:rsidRPr="006D77AD" w:rsidRDefault="002D152A" w:rsidP="005E1F99">
      <w:pPr>
        <w:ind w:right="284"/>
        <w:contextualSpacing/>
        <w:jc w:val="both"/>
      </w:pPr>
    </w:p>
    <w:p w14:paraId="31E92F09" w14:textId="77777777" w:rsidR="00094DF6" w:rsidRPr="006D77AD" w:rsidRDefault="00E47029" w:rsidP="005E1F99">
      <w:pPr>
        <w:pStyle w:val="ListParagraph"/>
        <w:numPr>
          <w:ilvl w:val="0"/>
          <w:numId w:val="1"/>
        </w:numPr>
        <w:ind w:right="284"/>
        <w:contextualSpacing/>
        <w:jc w:val="both"/>
      </w:pPr>
      <w:r w:rsidRPr="006D77AD">
        <w:rPr>
          <w:b/>
        </w:rPr>
        <w:t xml:space="preserve">PREVIOUS SA/SEA </w:t>
      </w:r>
      <w:r w:rsidR="007505B1" w:rsidRPr="006D77AD">
        <w:rPr>
          <w:b/>
        </w:rPr>
        <w:t>REPORTS FOR</w:t>
      </w:r>
      <w:r w:rsidRPr="006D77AD">
        <w:rPr>
          <w:b/>
        </w:rPr>
        <w:t xml:space="preserve"> THE CORE STRATEGY</w:t>
      </w:r>
      <w:r w:rsidR="007505B1" w:rsidRPr="006D77AD">
        <w:rPr>
          <w:b/>
        </w:rPr>
        <w:t xml:space="preserve"> AND SUBSEQUENT REVIEWS</w:t>
      </w:r>
    </w:p>
    <w:p w14:paraId="59BE4CB3" w14:textId="77777777" w:rsidR="0018574F" w:rsidRPr="006D77AD" w:rsidRDefault="0018574F" w:rsidP="005E1F99">
      <w:pPr>
        <w:pStyle w:val="ListParagraph"/>
        <w:ind w:right="284"/>
        <w:contextualSpacing/>
        <w:jc w:val="both"/>
      </w:pPr>
    </w:p>
    <w:p w14:paraId="74916676" w14:textId="23E126D0" w:rsidR="00B16F43" w:rsidRDefault="00094DF6" w:rsidP="005E1F99">
      <w:pPr>
        <w:pStyle w:val="ListParagraph"/>
        <w:numPr>
          <w:ilvl w:val="1"/>
          <w:numId w:val="1"/>
        </w:numPr>
        <w:autoSpaceDE w:val="0"/>
        <w:autoSpaceDN w:val="0"/>
        <w:adjustRightInd w:val="0"/>
        <w:contextualSpacing/>
        <w:jc w:val="both"/>
      </w:pPr>
      <w:r w:rsidRPr="006D77AD">
        <w:t xml:space="preserve">Consultants should be aware of the </w:t>
      </w:r>
      <w:r w:rsidR="00CC5163" w:rsidRPr="006D77AD">
        <w:t>SA/SEA work previously undertaken by consultancy Scott Wilson for the Core Strategy 2010</w:t>
      </w:r>
      <w:r w:rsidRPr="006D77AD">
        <w:t xml:space="preserve">. </w:t>
      </w:r>
      <w:r w:rsidR="00CC5163" w:rsidRPr="006D77AD">
        <w:t>A full SA</w:t>
      </w:r>
      <w:r w:rsidR="00B15170" w:rsidRPr="006D77AD">
        <w:t>/SEA</w:t>
      </w:r>
      <w:r w:rsidR="00CC5163" w:rsidRPr="006D77AD">
        <w:t xml:space="preserve"> of the Core Strategy 2010 was undertaken during its preparation. This included the production of the following documents: </w:t>
      </w:r>
    </w:p>
    <w:p w14:paraId="0F9AAEB1" w14:textId="77777777" w:rsidR="00E06DBE" w:rsidRPr="006D77AD" w:rsidRDefault="00E06DBE" w:rsidP="00E06DBE">
      <w:pPr>
        <w:pStyle w:val="ListParagraph"/>
        <w:autoSpaceDE w:val="0"/>
        <w:autoSpaceDN w:val="0"/>
        <w:adjustRightInd w:val="0"/>
        <w:contextualSpacing/>
        <w:jc w:val="both"/>
      </w:pPr>
    </w:p>
    <w:tbl>
      <w:tblPr>
        <w:tblStyle w:val="TableGrid"/>
        <w:tblpPr w:leftFromText="180" w:rightFromText="180" w:vertAnchor="text" w:horzAnchor="margin" w:tblpX="108" w:tblpY="129"/>
        <w:tblW w:w="9747" w:type="dxa"/>
        <w:tblLayout w:type="fixed"/>
        <w:tblLook w:val="04A0" w:firstRow="1" w:lastRow="0" w:firstColumn="1" w:lastColumn="0" w:noHBand="0" w:noVBand="1"/>
      </w:tblPr>
      <w:tblGrid>
        <w:gridCol w:w="9747"/>
      </w:tblGrid>
      <w:tr w:rsidR="005C4624" w:rsidRPr="006D77AD" w14:paraId="78FA0C10" w14:textId="77777777" w:rsidTr="005C4624">
        <w:trPr>
          <w:trHeight w:val="430"/>
        </w:trPr>
        <w:tc>
          <w:tcPr>
            <w:tcW w:w="9747" w:type="dxa"/>
            <w:shd w:val="clear" w:color="auto" w:fill="9BBB59" w:themeFill="accent3"/>
            <w:vAlign w:val="center"/>
          </w:tcPr>
          <w:p w14:paraId="0914AB3E" w14:textId="69B49E01" w:rsidR="005C4624" w:rsidRPr="006D77AD" w:rsidRDefault="005C4624" w:rsidP="00F46D46">
            <w:pPr>
              <w:rPr>
                <w:b/>
                <w:color w:val="FFFFFF" w:themeColor="background1"/>
                <w:sz w:val="28"/>
                <w:szCs w:val="28"/>
              </w:rPr>
            </w:pPr>
            <w:r w:rsidRPr="006D77AD">
              <w:rPr>
                <w:b/>
                <w:color w:val="FFFFFF" w:themeColor="background1"/>
                <w:sz w:val="28"/>
                <w:szCs w:val="28"/>
              </w:rPr>
              <w:t>CORE STRATEGY (2010) SEA/SA DOCUMENTS</w:t>
            </w:r>
          </w:p>
        </w:tc>
      </w:tr>
      <w:tr w:rsidR="005C4624" w:rsidRPr="006D77AD" w14:paraId="1758FEC7" w14:textId="77777777" w:rsidTr="005C4624">
        <w:trPr>
          <w:trHeight w:val="1261"/>
        </w:trPr>
        <w:tc>
          <w:tcPr>
            <w:tcW w:w="9747" w:type="dxa"/>
            <w:shd w:val="clear" w:color="auto" w:fill="DBE5F1" w:themeFill="accent1" w:themeFillTint="33"/>
          </w:tcPr>
          <w:p w14:paraId="2BADB7E7" w14:textId="77777777" w:rsidR="005C4624" w:rsidRPr="006D77AD" w:rsidRDefault="008403A3" w:rsidP="00F46D46">
            <w:hyperlink r:id="rId26" w:history="1">
              <w:r w:rsidR="005C4624" w:rsidRPr="006D77AD">
                <w:rPr>
                  <w:rStyle w:val="Hyperlink"/>
                  <w:b/>
                </w:rPr>
                <w:t>SEA Scoping report (2005)</w:t>
              </w:r>
            </w:hyperlink>
          </w:p>
          <w:p w14:paraId="4274D696" w14:textId="77777777" w:rsidR="005C4624" w:rsidRPr="006D77AD" w:rsidRDefault="005C4624" w:rsidP="00F46D46">
            <w:pPr>
              <w:rPr>
                <w:sz w:val="22"/>
                <w:szCs w:val="22"/>
              </w:rPr>
            </w:pPr>
            <w:r w:rsidRPr="006D77AD">
              <w:rPr>
                <w:sz w:val="22"/>
                <w:szCs w:val="22"/>
              </w:rPr>
              <w:t xml:space="preserve"> This considered the appropriate content for the appraisals that had to be carried out; the Policy Context, the Borough’s environmental context and the Council’s Sustainability Appraisal objectives and SA framework against which the draft and the final policies were assessed. This was used as the basis of carrying out the sustainability appraisal of the various options outlined within the initial Issues and Options document.</w:t>
            </w:r>
          </w:p>
        </w:tc>
      </w:tr>
      <w:tr w:rsidR="005C4624" w:rsidRPr="006D77AD" w14:paraId="186BFA3C" w14:textId="77777777" w:rsidTr="00B16F43">
        <w:trPr>
          <w:trHeight w:val="416"/>
        </w:trPr>
        <w:tc>
          <w:tcPr>
            <w:tcW w:w="9747" w:type="dxa"/>
            <w:shd w:val="clear" w:color="auto" w:fill="DBE5F1" w:themeFill="accent1" w:themeFillTint="33"/>
          </w:tcPr>
          <w:p w14:paraId="3190E5C9" w14:textId="77777777" w:rsidR="005C4624" w:rsidRPr="006D77AD" w:rsidRDefault="008403A3" w:rsidP="00F46D46">
            <w:pPr>
              <w:rPr>
                <w:b/>
              </w:rPr>
            </w:pPr>
            <w:hyperlink r:id="rId27" w:history="1">
              <w:r w:rsidR="005C4624" w:rsidRPr="006D77AD">
                <w:rPr>
                  <w:rStyle w:val="Hyperlink"/>
                  <w:b/>
                </w:rPr>
                <w:t>Sustainability Appraisal Update Report (July 2009)</w:t>
              </w:r>
            </w:hyperlink>
          </w:p>
          <w:p w14:paraId="1ECC231E" w14:textId="77777777" w:rsidR="005C4624" w:rsidRPr="006D77AD" w:rsidRDefault="005C4624" w:rsidP="00F46D46">
            <w:pPr>
              <w:rPr>
                <w:sz w:val="22"/>
                <w:szCs w:val="22"/>
              </w:rPr>
            </w:pPr>
            <w:r w:rsidRPr="006D77AD">
              <w:rPr>
                <w:sz w:val="22"/>
                <w:szCs w:val="22"/>
              </w:rPr>
              <w:t>Given the length of time between the publishing of the initial scoping report and the draft policies, an additional report was produced. This provided a summary of all the stages of the SA process, including information on how the SA Reports influenced the Core Strategy; an update review of other policies, plans, programmes and sustainability objectives; the evidence base; new key sustainability issues and changes proposed to the original SA framework.</w:t>
            </w:r>
          </w:p>
        </w:tc>
      </w:tr>
      <w:tr w:rsidR="005C4624" w:rsidRPr="006D77AD" w14:paraId="185DBAA7" w14:textId="77777777" w:rsidTr="005C4624">
        <w:trPr>
          <w:trHeight w:val="416"/>
        </w:trPr>
        <w:tc>
          <w:tcPr>
            <w:tcW w:w="9747" w:type="dxa"/>
            <w:shd w:val="clear" w:color="auto" w:fill="DBE5F1" w:themeFill="accent1" w:themeFillTint="33"/>
          </w:tcPr>
          <w:p w14:paraId="016B9C74" w14:textId="77777777" w:rsidR="005C4624" w:rsidRPr="005333B7" w:rsidRDefault="008403A3" w:rsidP="00F46D46">
            <w:pPr>
              <w:rPr>
                <w:b/>
              </w:rPr>
            </w:pPr>
            <w:hyperlink r:id="rId28" w:history="1">
              <w:r w:rsidR="005C4624" w:rsidRPr="005333B7">
                <w:rPr>
                  <w:rStyle w:val="Hyperlink"/>
                  <w:b/>
                </w:rPr>
                <w:t>Final SA Core Strategy Submission (October 2009)</w:t>
              </w:r>
            </w:hyperlink>
          </w:p>
        </w:tc>
      </w:tr>
    </w:tbl>
    <w:p w14:paraId="5ECE4819" w14:textId="253BFA66" w:rsidR="005C4624" w:rsidRDefault="005C4624" w:rsidP="00E06DBE">
      <w:pPr>
        <w:autoSpaceDE w:val="0"/>
        <w:autoSpaceDN w:val="0"/>
        <w:adjustRightInd w:val="0"/>
        <w:contextualSpacing/>
      </w:pPr>
    </w:p>
    <w:p w14:paraId="40EC93F1" w14:textId="73D30DAE" w:rsidR="009E1051" w:rsidRPr="006D77AD" w:rsidRDefault="00BF34B2" w:rsidP="009E1051">
      <w:pPr>
        <w:pStyle w:val="ListParagraph"/>
        <w:numPr>
          <w:ilvl w:val="1"/>
          <w:numId w:val="1"/>
        </w:numPr>
        <w:autoSpaceDE w:val="0"/>
        <w:autoSpaceDN w:val="0"/>
        <w:adjustRightInd w:val="0"/>
        <w:contextualSpacing/>
        <w:jc w:val="both"/>
      </w:pPr>
      <w:r w:rsidRPr="006D77AD">
        <w:t xml:space="preserve">Following the adoption of the Core Strategy </w:t>
      </w:r>
      <w:r w:rsidR="0074623E" w:rsidRPr="006D77AD">
        <w:t>the Council undertook a number of partial reviews. Each of these reviews ha</w:t>
      </w:r>
      <w:r w:rsidR="004460D1" w:rsidRPr="006D77AD">
        <w:t>s</w:t>
      </w:r>
      <w:r w:rsidR="0074623E" w:rsidRPr="006D77AD">
        <w:t xml:space="preserve"> been subject to a sustainability appraisal. The following table provides a summary of the SA/SEA reports that have been undertaken since the adoption of the Core Strategy in 2010.</w:t>
      </w:r>
    </w:p>
    <w:tbl>
      <w:tblPr>
        <w:tblStyle w:val="TableGrid"/>
        <w:tblpPr w:leftFromText="180" w:rightFromText="180" w:vertAnchor="text" w:horzAnchor="margin" w:tblpY="306"/>
        <w:tblW w:w="9938" w:type="dxa"/>
        <w:tblLayout w:type="fixed"/>
        <w:tblLook w:val="04A0" w:firstRow="1" w:lastRow="0" w:firstColumn="1" w:lastColumn="0" w:noHBand="0" w:noVBand="1"/>
      </w:tblPr>
      <w:tblGrid>
        <w:gridCol w:w="675"/>
        <w:gridCol w:w="1418"/>
        <w:gridCol w:w="7845"/>
      </w:tblGrid>
      <w:tr w:rsidR="0074623E" w:rsidRPr="006D77AD" w14:paraId="33B4D029" w14:textId="77777777" w:rsidTr="001D39AF">
        <w:trPr>
          <w:trHeight w:val="557"/>
        </w:trPr>
        <w:tc>
          <w:tcPr>
            <w:tcW w:w="2093" w:type="dxa"/>
            <w:gridSpan w:val="2"/>
            <w:shd w:val="clear" w:color="auto" w:fill="9BBB59" w:themeFill="accent3"/>
            <w:vAlign w:val="center"/>
          </w:tcPr>
          <w:p w14:paraId="5B7F8CF0" w14:textId="77777777" w:rsidR="0074623E" w:rsidRPr="006D77AD" w:rsidRDefault="0074623E" w:rsidP="00F46D46">
            <w:pPr>
              <w:rPr>
                <w:b/>
                <w:color w:val="FFFFFF" w:themeColor="background1"/>
                <w:sz w:val="22"/>
                <w:szCs w:val="22"/>
              </w:rPr>
            </w:pPr>
            <w:r w:rsidRPr="006D77AD">
              <w:rPr>
                <w:b/>
                <w:color w:val="FFFFFF" w:themeColor="background1"/>
                <w:sz w:val="22"/>
                <w:szCs w:val="22"/>
              </w:rPr>
              <w:t>Planning Document</w:t>
            </w:r>
          </w:p>
        </w:tc>
        <w:tc>
          <w:tcPr>
            <w:tcW w:w="7845" w:type="dxa"/>
            <w:shd w:val="clear" w:color="auto" w:fill="9BBB59" w:themeFill="accent3"/>
            <w:vAlign w:val="center"/>
          </w:tcPr>
          <w:p w14:paraId="474EC3A8" w14:textId="77777777" w:rsidR="0074623E" w:rsidRPr="006D77AD" w:rsidRDefault="0074623E" w:rsidP="00F46D46">
            <w:pPr>
              <w:rPr>
                <w:b/>
                <w:sz w:val="20"/>
                <w:szCs w:val="20"/>
              </w:rPr>
            </w:pPr>
            <w:r w:rsidRPr="006D77AD">
              <w:rPr>
                <w:b/>
                <w:color w:val="FFFFFF" w:themeColor="background1"/>
                <w:sz w:val="28"/>
                <w:szCs w:val="28"/>
              </w:rPr>
              <w:t>PARTIAL REVIEW OF THE CORE STRATEGY SEA/SA DOCUMENTS</w:t>
            </w:r>
          </w:p>
        </w:tc>
      </w:tr>
      <w:tr w:rsidR="0074623E" w:rsidRPr="006D77AD" w14:paraId="3A354C93" w14:textId="77777777" w:rsidTr="001D39AF">
        <w:trPr>
          <w:trHeight w:val="549"/>
        </w:trPr>
        <w:tc>
          <w:tcPr>
            <w:tcW w:w="675" w:type="dxa"/>
            <w:vMerge w:val="restart"/>
            <w:shd w:val="clear" w:color="auto" w:fill="8DB3E2" w:themeFill="text2" w:themeFillTint="66"/>
            <w:textDirection w:val="btLr"/>
            <w:vAlign w:val="center"/>
          </w:tcPr>
          <w:p w14:paraId="3AA27D5A" w14:textId="77777777" w:rsidR="0074623E" w:rsidRPr="006D77AD" w:rsidRDefault="0074623E" w:rsidP="00F46D46">
            <w:pPr>
              <w:ind w:left="113" w:right="113"/>
              <w:rPr>
                <w:sz w:val="20"/>
                <w:szCs w:val="20"/>
              </w:rPr>
            </w:pPr>
            <w:r w:rsidRPr="006D77AD">
              <w:rPr>
                <w:sz w:val="20"/>
                <w:szCs w:val="20"/>
              </w:rPr>
              <w:t>Partial Reviews of the Core Strategy</w:t>
            </w:r>
          </w:p>
        </w:tc>
        <w:tc>
          <w:tcPr>
            <w:tcW w:w="1418" w:type="dxa"/>
            <w:shd w:val="clear" w:color="auto" w:fill="8DB3E2" w:themeFill="text2" w:themeFillTint="66"/>
          </w:tcPr>
          <w:p w14:paraId="06AFB1FA" w14:textId="77777777" w:rsidR="0074623E" w:rsidRPr="006D77AD" w:rsidRDefault="0074623E" w:rsidP="00F46D46">
            <w:pPr>
              <w:rPr>
                <w:sz w:val="20"/>
                <w:szCs w:val="20"/>
              </w:rPr>
            </w:pPr>
            <w:r w:rsidRPr="006D77AD">
              <w:rPr>
                <w:sz w:val="20"/>
                <w:szCs w:val="20"/>
              </w:rPr>
              <w:t>Pubs</w:t>
            </w:r>
            <w:r w:rsidR="001D39AF" w:rsidRPr="006D77AD">
              <w:rPr>
                <w:sz w:val="20"/>
                <w:szCs w:val="20"/>
              </w:rPr>
              <w:t xml:space="preserve"> </w:t>
            </w:r>
            <w:r w:rsidRPr="006D77AD">
              <w:rPr>
                <w:sz w:val="20"/>
                <w:szCs w:val="20"/>
              </w:rPr>
              <w:t>Policy</w:t>
            </w:r>
          </w:p>
          <w:p w14:paraId="1D4B73DA" w14:textId="77777777" w:rsidR="0074623E" w:rsidRPr="006D77AD" w:rsidRDefault="0074623E" w:rsidP="00F46D46">
            <w:pPr>
              <w:rPr>
                <w:sz w:val="20"/>
                <w:szCs w:val="20"/>
              </w:rPr>
            </w:pPr>
            <w:r w:rsidRPr="006D77AD">
              <w:rPr>
                <w:sz w:val="20"/>
                <w:szCs w:val="20"/>
              </w:rPr>
              <w:t>(2012)</w:t>
            </w:r>
          </w:p>
        </w:tc>
        <w:tc>
          <w:tcPr>
            <w:tcW w:w="7845" w:type="dxa"/>
            <w:shd w:val="clear" w:color="auto" w:fill="DBE5F1" w:themeFill="accent1" w:themeFillTint="33"/>
          </w:tcPr>
          <w:p w14:paraId="72A8363A" w14:textId="77777777" w:rsidR="0074623E" w:rsidRPr="006D77AD" w:rsidRDefault="008403A3" w:rsidP="00F46D46">
            <w:hyperlink r:id="rId29" w:history="1">
              <w:r w:rsidR="0074623E" w:rsidRPr="006D77AD">
                <w:rPr>
                  <w:rStyle w:val="Hyperlink"/>
                </w:rPr>
                <w:t>Strategic Environmental Assessment, Pubs Policy (2012)</w:t>
              </w:r>
            </w:hyperlink>
          </w:p>
        </w:tc>
      </w:tr>
      <w:tr w:rsidR="0074623E" w:rsidRPr="006D77AD" w14:paraId="492D37C4" w14:textId="77777777" w:rsidTr="001D39AF">
        <w:trPr>
          <w:trHeight w:val="198"/>
        </w:trPr>
        <w:tc>
          <w:tcPr>
            <w:tcW w:w="675" w:type="dxa"/>
            <w:vMerge/>
            <w:shd w:val="clear" w:color="auto" w:fill="8DB3E2" w:themeFill="text2" w:themeFillTint="66"/>
          </w:tcPr>
          <w:p w14:paraId="29C786D5" w14:textId="77777777" w:rsidR="0074623E" w:rsidRPr="006D77AD" w:rsidRDefault="0074623E" w:rsidP="00F46D46">
            <w:pPr>
              <w:rPr>
                <w:sz w:val="20"/>
                <w:szCs w:val="20"/>
              </w:rPr>
            </w:pPr>
          </w:p>
        </w:tc>
        <w:tc>
          <w:tcPr>
            <w:tcW w:w="1418" w:type="dxa"/>
            <w:vMerge w:val="restart"/>
            <w:shd w:val="clear" w:color="auto" w:fill="8DB3E2" w:themeFill="text2" w:themeFillTint="66"/>
          </w:tcPr>
          <w:p w14:paraId="668C74A4" w14:textId="77777777" w:rsidR="0074623E" w:rsidRPr="006D77AD" w:rsidRDefault="0074623E" w:rsidP="00F46D46">
            <w:pPr>
              <w:rPr>
                <w:sz w:val="20"/>
                <w:szCs w:val="20"/>
              </w:rPr>
            </w:pPr>
            <w:r w:rsidRPr="006D77AD">
              <w:rPr>
                <w:sz w:val="20"/>
                <w:szCs w:val="20"/>
              </w:rPr>
              <w:t>Conservation and Design, Miscellaneous Matters, Basements  (2014)</w:t>
            </w:r>
          </w:p>
        </w:tc>
        <w:tc>
          <w:tcPr>
            <w:tcW w:w="7845" w:type="dxa"/>
            <w:shd w:val="clear" w:color="auto" w:fill="DBE5F1" w:themeFill="accent1" w:themeFillTint="33"/>
          </w:tcPr>
          <w:p w14:paraId="35639A8F" w14:textId="77777777" w:rsidR="0074623E" w:rsidRPr="006D77AD" w:rsidRDefault="008403A3" w:rsidP="00F46D46">
            <w:hyperlink r:id="rId30" w:history="1">
              <w:r w:rsidR="0074623E" w:rsidRPr="006D77AD">
                <w:rPr>
                  <w:rStyle w:val="Hyperlink"/>
                </w:rPr>
                <w:t>Scoping Report (October 2012), Conservation and Design SA (April 2014)</w:t>
              </w:r>
            </w:hyperlink>
          </w:p>
        </w:tc>
      </w:tr>
      <w:tr w:rsidR="0074623E" w:rsidRPr="006D77AD" w14:paraId="6BCA0BA6" w14:textId="77777777" w:rsidTr="001D39AF">
        <w:trPr>
          <w:trHeight w:val="229"/>
        </w:trPr>
        <w:tc>
          <w:tcPr>
            <w:tcW w:w="675" w:type="dxa"/>
            <w:vMerge/>
            <w:shd w:val="clear" w:color="auto" w:fill="8DB3E2" w:themeFill="text2" w:themeFillTint="66"/>
          </w:tcPr>
          <w:p w14:paraId="66C12F8B" w14:textId="77777777" w:rsidR="0074623E" w:rsidRPr="006D77AD" w:rsidRDefault="0074623E" w:rsidP="00F46D46">
            <w:pPr>
              <w:rPr>
                <w:sz w:val="20"/>
                <w:szCs w:val="20"/>
              </w:rPr>
            </w:pPr>
          </w:p>
        </w:tc>
        <w:tc>
          <w:tcPr>
            <w:tcW w:w="1418" w:type="dxa"/>
            <w:vMerge/>
            <w:shd w:val="clear" w:color="auto" w:fill="8DB3E2" w:themeFill="text2" w:themeFillTint="66"/>
          </w:tcPr>
          <w:p w14:paraId="1C49E36E" w14:textId="77777777" w:rsidR="0074623E" w:rsidRPr="006D77AD" w:rsidRDefault="0074623E" w:rsidP="00F46D46">
            <w:pPr>
              <w:rPr>
                <w:sz w:val="20"/>
                <w:szCs w:val="20"/>
              </w:rPr>
            </w:pPr>
          </w:p>
        </w:tc>
        <w:tc>
          <w:tcPr>
            <w:tcW w:w="7845" w:type="dxa"/>
            <w:shd w:val="clear" w:color="auto" w:fill="DBE5F1" w:themeFill="accent1" w:themeFillTint="33"/>
          </w:tcPr>
          <w:p w14:paraId="59A6B712" w14:textId="77777777" w:rsidR="0074623E" w:rsidRPr="006D77AD" w:rsidRDefault="008403A3" w:rsidP="00F46D46">
            <w:hyperlink r:id="rId31" w:history="1">
              <w:r w:rsidR="0074623E" w:rsidRPr="006D77AD">
                <w:rPr>
                  <w:rStyle w:val="Hyperlink"/>
                </w:rPr>
                <w:t>Scoping Report (December 2012), Miscellaneous Matters SA (April 2014)</w:t>
              </w:r>
            </w:hyperlink>
            <w:r w:rsidR="0074623E" w:rsidRPr="006D77AD">
              <w:t xml:space="preserve"> </w:t>
            </w:r>
          </w:p>
        </w:tc>
      </w:tr>
      <w:tr w:rsidR="0074623E" w:rsidRPr="006D77AD" w14:paraId="05F2B9D1" w14:textId="77777777" w:rsidTr="001D39AF">
        <w:trPr>
          <w:trHeight w:val="629"/>
        </w:trPr>
        <w:tc>
          <w:tcPr>
            <w:tcW w:w="675" w:type="dxa"/>
            <w:vMerge/>
            <w:shd w:val="clear" w:color="auto" w:fill="8DB3E2" w:themeFill="text2" w:themeFillTint="66"/>
          </w:tcPr>
          <w:p w14:paraId="412DBE8A" w14:textId="77777777" w:rsidR="0074623E" w:rsidRPr="006D77AD" w:rsidRDefault="0074623E" w:rsidP="00F46D46">
            <w:pPr>
              <w:rPr>
                <w:sz w:val="20"/>
                <w:szCs w:val="20"/>
              </w:rPr>
            </w:pPr>
          </w:p>
        </w:tc>
        <w:tc>
          <w:tcPr>
            <w:tcW w:w="1418" w:type="dxa"/>
            <w:vMerge/>
            <w:shd w:val="clear" w:color="auto" w:fill="8DB3E2" w:themeFill="text2" w:themeFillTint="66"/>
          </w:tcPr>
          <w:p w14:paraId="12F388E1" w14:textId="77777777" w:rsidR="0074623E" w:rsidRPr="006D77AD" w:rsidRDefault="0074623E" w:rsidP="00F46D46">
            <w:pPr>
              <w:rPr>
                <w:sz w:val="20"/>
                <w:szCs w:val="20"/>
              </w:rPr>
            </w:pPr>
          </w:p>
        </w:tc>
        <w:tc>
          <w:tcPr>
            <w:tcW w:w="7845" w:type="dxa"/>
            <w:shd w:val="clear" w:color="auto" w:fill="DBE5F1" w:themeFill="accent1" w:themeFillTint="33"/>
          </w:tcPr>
          <w:p w14:paraId="23D6E3ED" w14:textId="77777777" w:rsidR="0074623E" w:rsidRPr="006D77AD" w:rsidRDefault="008403A3" w:rsidP="00F46D46">
            <w:hyperlink r:id="rId32" w:history="1">
              <w:r w:rsidR="0074623E" w:rsidRPr="006D77AD">
                <w:rPr>
                  <w:rStyle w:val="Hyperlink"/>
                </w:rPr>
                <w:t>Sustainability Appraisal Scoping Report (</w:t>
              </w:r>
              <w:proofErr w:type="spellStart"/>
              <w:r w:rsidR="0074623E" w:rsidRPr="006D77AD">
                <w:rPr>
                  <w:rStyle w:val="Hyperlink"/>
                </w:rPr>
                <w:t>ref:BAS</w:t>
              </w:r>
              <w:proofErr w:type="spellEnd"/>
              <w:r w:rsidR="0074623E" w:rsidRPr="006D77AD">
                <w:rPr>
                  <w:rStyle w:val="Hyperlink"/>
                </w:rPr>
                <w:t xml:space="preserve"> 59, April 2012), Sustainability Appraisal Draft Policy (</w:t>
              </w:r>
              <w:proofErr w:type="spellStart"/>
              <w:r w:rsidR="0074623E" w:rsidRPr="006D77AD">
                <w:rPr>
                  <w:rStyle w:val="Hyperlink"/>
                </w:rPr>
                <w:t>ref:BAS</w:t>
              </w:r>
              <w:proofErr w:type="spellEnd"/>
              <w:r w:rsidR="0074623E" w:rsidRPr="006D77AD">
                <w:rPr>
                  <w:rStyle w:val="Hyperlink"/>
                </w:rPr>
                <w:t xml:space="preserve"> 55,  December 2012), Draft Policy 2</w:t>
              </w:r>
              <w:r w:rsidR="0074623E" w:rsidRPr="006D77AD">
                <w:rPr>
                  <w:rStyle w:val="Hyperlink"/>
                  <w:vertAlign w:val="superscript"/>
                </w:rPr>
                <w:t>nd</w:t>
              </w:r>
              <w:r w:rsidR="0074623E" w:rsidRPr="006D77AD">
                <w:rPr>
                  <w:rStyle w:val="Hyperlink"/>
                </w:rPr>
                <w:t xml:space="preserve"> draft (</w:t>
              </w:r>
              <w:proofErr w:type="spellStart"/>
              <w:r w:rsidR="0074623E" w:rsidRPr="006D77AD">
                <w:rPr>
                  <w:rStyle w:val="Hyperlink"/>
                </w:rPr>
                <w:t>ref:BAS</w:t>
              </w:r>
              <w:proofErr w:type="spellEnd"/>
              <w:r w:rsidR="0074623E" w:rsidRPr="006D77AD">
                <w:rPr>
                  <w:rStyle w:val="Hyperlink"/>
                </w:rPr>
                <w:t xml:space="preserve"> 52, March 2013), Basements Publication Planning Policy SA (</w:t>
              </w:r>
              <w:proofErr w:type="spellStart"/>
              <w:r w:rsidR="0074623E" w:rsidRPr="006D77AD">
                <w:rPr>
                  <w:rStyle w:val="Hyperlink"/>
                </w:rPr>
                <w:t>ref:BAS</w:t>
              </w:r>
              <w:proofErr w:type="spellEnd"/>
              <w:r w:rsidR="0074623E" w:rsidRPr="006D77AD">
                <w:rPr>
                  <w:rStyle w:val="Hyperlink"/>
                </w:rPr>
                <w:t xml:space="preserve"> 45 July 2013),  Basement Publication Policy SA (</w:t>
              </w:r>
              <w:proofErr w:type="spellStart"/>
              <w:r w:rsidR="0074623E" w:rsidRPr="006D77AD">
                <w:rPr>
                  <w:rStyle w:val="Hyperlink"/>
                </w:rPr>
                <w:t>ref:BAS</w:t>
              </w:r>
              <w:proofErr w:type="spellEnd"/>
              <w:r w:rsidR="0074623E" w:rsidRPr="006D77AD">
                <w:rPr>
                  <w:rStyle w:val="Hyperlink"/>
                </w:rPr>
                <w:t xml:space="preserve"> 21, Feb 2014)</w:t>
              </w:r>
            </w:hyperlink>
          </w:p>
        </w:tc>
      </w:tr>
      <w:tr w:rsidR="0074623E" w:rsidRPr="006D77AD" w14:paraId="7E10BB0F" w14:textId="77777777" w:rsidTr="001D39AF">
        <w:trPr>
          <w:cantSplit/>
          <w:trHeight w:val="837"/>
        </w:trPr>
        <w:tc>
          <w:tcPr>
            <w:tcW w:w="675" w:type="dxa"/>
            <w:vMerge/>
            <w:shd w:val="clear" w:color="auto" w:fill="8DB3E2" w:themeFill="text2" w:themeFillTint="66"/>
          </w:tcPr>
          <w:p w14:paraId="4BCF3BAD" w14:textId="77777777" w:rsidR="0074623E" w:rsidRPr="006D77AD" w:rsidRDefault="0074623E" w:rsidP="00F46D46">
            <w:pPr>
              <w:rPr>
                <w:sz w:val="20"/>
                <w:szCs w:val="20"/>
              </w:rPr>
            </w:pPr>
          </w:p>
        </w:tc>
        <w:tc>
          <w:tcPr>
            <w:tcW w:w="1418" w:type="dxa"/>
            <w:shd w:val="clear" w:color="auto" w:fill="8DB3E2" w:themeFill="text2" w:themeFillTint="66"/>
          </w:tcPr>
          <w:p w14:paraId="683130E4" w14:textId="77777777" w:rsidR="0074623E" w:rsidRPr="006D77AD" w:rsidRDefault="0074623E" w:rsidP="00F46D46">
            <w:pPr>
              <w:rPr>
                <w:sz w:val="20"/>
                <w:szCs w:val="20"/>
              </w:rPr>
            </w:pPr>
            <w:r w:rsidRPr="006D77AD">
              <w:rPr>
                <w:sz w:val="20"/>
                <w:szCs w:val="20"/>
              </w:rPr>
              <w:t xml:space="preserve">Corrections during </w:t>
            </w:r>
          </w:p>
          <w:p w14:paraId="422D7AE3" w14:textId="77777777" w:rsidR="0074623E" w:rsidRPr="006D77AD" w:rsidRDefault="0074623E" w:rsidP="00F46D46">
            <w:pPr>
              <w:rPr>
                <w:sz w:val="20"/>
                <w:szCs w:val="20"/>
              </w:rPr>
            </w:pPr>
            <w:r w:rsidRPr="006D77AD">
              <w:rPr>
                <w:sz w:val="20"/>
                <w:szCs w:val="20"/>
              </w:rPr>
              <w:t xml:space="preserve">examination </w:t>
            </w:r>
          </w:p>
        </w:tc>
        <w:tc>
          <w:tcPr>
            <w:tcW w:w="7845" w:type="dxa"/>
            <w:shd w:val="clear" w:color="auto" w:fill="DBE5F1" w:themeFill="accent1" w:themeFillTint="33"/>
          </w:tcPr>
          <w:p w14:paraId="65D02B0F" w14:textId="77777777" w:rsidR="0074623E" w:rsidRPr="006D77AD" w:rsidRDefault="008403A3" w:rsidP="00F46D46">
            <w:hyperlink r:id="rId33" w:history="1">
              <w:r w:rsidR="0074623E" w:rsidRPr="006D77AD">
                <w:rPr>
                  <w:rStyle w:val="Hyperlink"/>
                </w:rPr>
                <w:t>Correcting Addition to Sustainability Appraisal/ Strategic Environmental Assessment   Basements Publication Planning Policy</w:t>
              </w:r>
              <w:r w:rsidR="00B16F43" w:rsidRPr="006D77AD">
                <w:rPr>
                  <w:rStyle w:val="Hyperlink"/>
                </w:rPr>
                <w:t xml:space="preserve"> </w:t>
              </w:r>
              <w:r w:rsidR="0074623E" w:rsidRPr="006D77AD">
                <w:rPr>
                  <w:rStyle w:val="Hyperlink"/>
                </w:rPr>
                <w:t>(September 2014)</w:t>
              </w:r>
            </w:hyperlink>
          </w:p>
        </w:tc>
      </w:tr>
    </w:tbl>
    <w:p w14:paraId="62E51BC5" w14:textId="77777777" w:rsidR="0074623E" w:rsidRPr="006D77AD" w:rsidRDefault="0074623E" w:rsidP="00F46D46">
      <w:pPr>
        <w:autoSpaceDE w:val="0"/>
        <w:autoSpaceDN w:val="0"/>
        <w:adjustRightInd w:val="0"/>
        <w:contextualSpacing/>
      </w:pPr>
    </w:p>
    <w:p w14:paraId="0A672F02" w14:textId="77777777" w:rsidR="00307AB8" w:rsidRPr="006D77AD" w:rsidRDefault="00307AB8" w:rsidP="00F46D46">
      <w:pPr>
        <w:autoSpaceDE w:val="0"/>
        <w:autoSpaceDN w:val="0"/>
        <w:adjustRightInd w:val="0"/>
        <w:contextualSpacing/>
      </w:pPr>
    </w:p>
    <w:p w14:paraId="33831C6B" w14:textId="77777777" w:rsidR="00F45826" w:rsidRPr="006D77AD" w:rsidRDefault="00C82CC2" w:rsidP="005E1F99">
      <w:pPr>
        <w:pStyle w:val="ListParagraph"/>
        <w:numPr>
          <w:ilvl w:val="0"/>
          <w:numId w:val="1"/>
        </w:numPr>
        <w:ind w:right="284"/>
        <w:contextualSpacing/>
        <w:jc w:val="both"/>
        <w:rPr>
          <w:b/>
        </w:rPr>
      </w:pPr>
      <w:r w:rsidRPr="006D77AD">
        <w:rPr>
          <w:b/>
        </w:rPr>
        <w:t>THE OUTPUTS</w:t>
      </w:r>
    </w:p>
    <w:p w14:paraId="47E613A8" w14:textId="77777777" w:rsidR="00F45826" w:rsidRPr="006D77AD" w:rsidRDefault="00F45826" w:rsidP="005E1F99">
      <w:pPr>
        <w:ind w:right="284"/>
        <w:contextualSpacing/>
        <w:jc w:val="both"/>
        <w:rPr>
          <w:b/>
        </w:rPr>
      </w:pPr>
    </w:p>
    <w:p w14:paraId="608CE540" w14:textId="3ECEDD68" w:rsidR="00D577EC" w:rsidRPr="006D77AD" w:rsidRDefault="00815D0C" w:rsidP="005E1F99">
      <w:pPr>
        <w:pStyle w:val="ListParagraph"/>
        <w:numPr>
          <w:ilvl w:val="1"/>
          <w:numId w:val="1"/>
        </w:numPr>
        <w:contextualSpacing/>
        <w:jc w:val="both"/>
      </w:pPr>
      <w:r w:rsidRPr="006D77AD">
        <w:t xml:space="preserve">The Council is seeking a comprehensive assessment of </w:t>
      </w:r>
      <w:r w:rsidR="00C03E56" w:rsidRPr="006D77AD">
        <w:t xml:space="preserve">the </w:t>
      </w:r>
      <w:r w:rsidR="00C35735">
        <w:t>proposed policy</w:t>
      </w:r>
      <w:r w:rsidRPr="006D77AD">
        <w:t xml:space="preserve"> </w:t>
      </w:r>
      <w:r w:rsidR="00987627" w:rsidRPr="006D77AD">
        <w:t>and sites</w:t>
      </w:r>
      <w:r w:rsidR="00C35735">
        <w:t xml:space="preserve"> allocation options</w:t>
      </w:r>
      <w:r w:rsidR="00987627" w:rsidRPr="006D77AD">
        <w:t xml:space="preserve"> </w:t>
      </w:r>
      <w:r w:rsidR="00F14961" w:rsidRPr="006D77AD">
        <w:t>as part</w:t>
      </w:r>
      <w:r w:rsidR="00987627" w:rsidRPr="006D77AD">
        <w:t xml:space="preserve"> of the LPPR. This assessment must</w:t>
      </w:r>
      <w:r w:rsidR="008E7BA2" w:rsidRPr="006D77AD">
        <w:t xml:space="preserve"> include an assessment </w:t>
      </w:r>
      <w:r w:rsidR="008E7BA2" w:rsidRPr="00C35735">
        <w:t>of reasonable alternatives</w:t>
      </w:r>
      <w:r w:rsidR="000A43C7" w:rsidRPr="006D77AD">
        <w:t xml:space="preserve"> to be</w:t>
      </w:r>
      <w:r w:rsidR="008E7BA2" w:rsidRPr="006D77AD">
        <w:t xml:space="preserve"> </w:t>
      </w:r>
      <w:r w:rsidR="00CE12F2" w:rsidRPr="006D77AD">
        <w:t>set out in a final IIA</w:t>
      </w:r>
      <w:r w:rsidRPr="006D77AD">
        <w:t xml:space="preserve"> Re</w:t>
      </w:r>
      <w:r w:rsidR="000F55AE" w:rsidRPr="006D77AD">
        <w:t>port. This report must</w:t>
      </w:r>
      <w:r w:rsidRPr="006D77AD">
        <w:t xml:space="preserve"> provide a clear audit trail </w:t>
      </w:r>
      <w:r w:rsidR="000F55AE" w:rsidRPr="006D77AD">
        <w:t>of decision making,</w:t>
      </w:r>
      <w:r w:rsidRPr="006D77AD">
        <w:t xml:space="preserve"> demonstrating how the </w:t>
      </w:r>
      <w:r w:rsidR="00F14961" w:rsidRPr="006D77AD">
        <w:t>I</w:t>
      </w:r>
      <w:r w:rsidR="00CE12F2" w:rsidRPr="006D77AD">
        <w:t>ntegrated Impact Assessment</w:t>
      </w:r>
      <w:r w:rsidRPr="006D77AD">
        <w:t xml:space="preserve"> has influenced the</w:t>
      </w:r>
      <w:r w:rsidR="000F55AE" w:rsidRPr="006D77AD">
        <w:t xml:space="preserve"> evolution of the</w:t>
      </w:r>
      <w:r w:rsidRPr="006D77AD">
        <w:t xml:space="preserve"> Local Plan</w:t>
      </w:r>
      <w:r w:rsidR="000F55AE" w:rsidRPr="006D77AD">
        <w:t xml:space="preserve"> Partial Review</w:t>
      </w:r>
      <w:r w:rsidRPr="006D77AD">
        <w:t xml:space="preserve">. </w:t>
      </w:r>
    </w:p>
    <w:p w14:paraId="1843C48F" w14:textId="77777777" w:rsidR="00D577EC" w:rsidRPr="006D77AD" w:rsidRDefault="00D577EC" w:rsidP="005E1F99">
      <w:pPr>
        <w:pStyle w:val="ListParagraph"/>
        <w:contextualSpacing/>
        <w:jc w:val="both"/>
      </w:pPr>
    </w:p>
    <w:p w14:paraId="7AD86289" w14:textId="77777777" w:rsidR="00815D0C" w:rsidRPr="006D77AD" w:rsidRDefault="00815D0C" w:rsidP="005E1F99">
      <w:pPr>
        <w:pStyle w:val="ListParagraph"/>
        <w:numPr>
          <w:ilvl w:val="1"/>
          <w:numId w:val="1"/>
        </w:numPr>
        <w:contextualSpacing/>
        <w:jc w:val="both"/>
      </w:pPr>
      <w:r w:rsidRPr="006D77AD">
        <w:t>Sustainability Appraisals have been the focus of legal challenge</w:t>
      </w:r>
      <w:r w:rsidR="0068481B" w:rsidRPr="006D77AD">
        <w:t xml:space="preserve"> in recent years</w:t>
      </w:r>
      <w:r w:rsidRPr="006D77AD">
        <w:t xml:space="preserve">, especially in relation to the assessment of reasonable alternatives. The </w:t>
      </w:r>
      <w:r w:rsidR="008E7BA2" w:rsidRPr="006D77AD">
        <w:t xml:space="preserve">final </w:t>
      </w:r>
      <w:r w:rsidR="00CE12F2" w:rsidRPr="006D77AD">
        <w:t>IIA</w:t>
      </w:r>
      <w:r w:rsidRPr="006D77AD">
        <w:t xml:space="preserve"> </w:t>
      </w:r>
      <w:r w:rsidR="008E7BA2" w:rsidRPr="006D77AD">
        <w:t>R</w:t>
      </w:r>
      <w:r w:rsidRPr="006D77AD">
        <w:t xml:space="preserve">eport must </w:t>
      </w:r>
      <w:r w:rsidR="008E7BA2" w:rsidRPr="006D77AD">
        <w:t>demonstrate that</w:t>
      </w:r>
      <w:r w:rsidRPr="006D77AD">
        <w:t xml:space="preserve"> all the requirements of the </w:t>
      </w:r>
      <w:r w:rsidR="00D577EC" w:rsidRPr="006D77AD">
        <w:t>SEA</w:t>
      </w:r>
      <w:r w:rsidR="00D51B8C" w:rsidRPr="006D77AD">
        <w:t xml:space="preserve"> Directive (2001/42/EU)</w:t>
      </w:r>
      <w:r w:rsidR="008E7BA2" w:rsidRPr="006D77AD">
        <w:t xml:space="preserve"> have been met.</w:t>
      </w:r>
    </w:p>
    <w:p w14:paraId="5A4911A3" w14:textId="77777777" w:rsidR="00815D0C" w:rsidRPr="006D77AD" w:rsidRDefault="00815D0C" w:rsidP="005E1F99">
      <w:pPr>
        <w:pStyle w:val="ListParagraph"/>
        <w:contextualSpacing/>
        <w:jc w:val="both"/>
      </w:pPr>
    </w:p>
    <w:p w14:paraId="40367B66" w14:textId="77777777" w:rsidR="00B22581" w:rsidRPr="006D77AD" w:rsidRDefault="005A16E3" w:rsidP="005E1F99">
      <w:pPr>
        <w:pStyle w:val="ListParagraph"/>
        <w:numPr>
          <w:ilvl w:val="1"/>
          <w:numId w:val="1"/>
        </w:numPr>
        <w:contextualSpacing/>
        <w:jc w:val="both"/>
      </w:pPr>
      <w:r w:rsidRPr="006D77AD">
        <w:t>With this in mind consultant</w:t>
      </w:r>
      <w:r w:rsidR="000A43C7" w:rsidRPr="006D77AD">
        <w:t>s</w:t>
      </w:r>
      <w:r w:rsidRPr="006D77AD">
        <w:t xml:space="preserve"> are asked to qu</w:t>
      </w:r>
      <w:r w:rsidR="000A43C7" w:rsidRPr="006D77AD">
        <w:t>ote</w:t>
      </w:r>
      <w:r w:rsidRPr="006D77AD">
        <w:t xml:space="preserve"> on the following outputs:</w:t>
      </w:r>
    </w:p>
    <w:p w14:paraId="0528C216" w14:textId="77777777" w:rsidR="00D51B8C" w:rsidRPr="006D77AD" w:rsidRDefault="00D51B8C" w:rsidP="005E1F99">
      <w:pPr>
        <w:pStyle w:val="ListParagraph"/>
        <w:jc w:val="both"/>
      </w:pPr>
    </w:p>
    <w:p w14:paraId="57CD224A" w14:textId="4C91FFD4" w:rsidR="00D51B8C" w:rsidRPr="006D77AD" w:rsidRDefault="000A43C7" w:rsidP="005E1F99">
      <w:pPr>
        <w:pStyle w:val="ListParagraph"/>
        <w:numPr>
          <w:ilvl w:val="0"/>
          <w:numId w:val="13"/>
        </w:numPr>
        <w:contextualSpacing/>
        <w:jc w:val="both"/>
      </w:pPr>
      <w:r w:rsidRPr="006D77AD">
        <w:t xml:space="preserve"> A </w:t>
      </w:r>
      <w:r w:rsidRPr="005E1F99">
        <w:rPr>
          <w:b/>
        </w:rPr>
        <w:t>review of IIA</w:t>
      </w:r>
      <w:r w:rsidR="00D51B8C" w:rsidRPr="005E1F99">
        <w:rPr>
          <w:b/>
        </w:rPr>
        <w:t xml:space="preserve"> work carried out so </w:t>
      </w:r>
      <w:r w:rsidR="00A11E10" w:rsidRPr="005E1F99">
        <w:rPr>
          <w:b/>
        </w:rPr>
        <w:t>far</w:t>
      </w:r>
      <w:r w:rsidRPr="006D77AD">
        <w:t xml:space="preserve"> (</w:t>
      </w:r>
      <w:r w:rsidR="00554004" w:rsidRPr="005E1F99">
        <w:rPr>
          <w:b/>
        </w:rPr>
        <w:t>Stage A</w:t>
      </w:r>
      <w:r w:rsidR="00554004">
        <w:t xml:space="preserve"> – </w:t>
      </w:r>
      <w:r w:rsidRPr="006D77AD">
        <w:t>the IIA Scoping Report</w:t>
      </w:r>
      <w:r w:rsidR="00E70DC3">
        <w:t xml:space="preserve"> and consultation responses</w:t>
      </w:r>
      <w:r w:rsidRPr="006D77AD">
        <w:t>)</w:t>
      </w:r>
      <w:r w:rsidR="00D51B8C" w:rsidRPr="006D77AD">
        <w:t xml:space="preserve"> </w:t>
      </w:r>
      <w:r w:rsidR="0068481B" w:rsidRPr="006D77AD">
        <w:t>particularly in relation to</w:t>
      </w:r>
      <w:r w:rsidR="00D51B8C" w:rsidRPr="006D77AD">
        <w:t xml:space="preserve"> legal compliance with the</w:t>
      </w:r>
      <w:r w:rsidR="00A11E10" w:rsidRPr="006D77AD">
        <w:t xml:space="preserve"> SEA D</w:t>
      </w:r>
      <w:r w:rsidR="00D51B8C" w:rsidRPr="006D77AD">
        <w:t>irective</w:t>
      </w:r>
      <w:r w:rsidR="00CE12F2" w:rsidRPr="006D77AD">
        <w:t xml:space="preserve"> and associated UK </w:t>
      </w:r>
      <w:r w:rsidR="00F14961" w:rsidRPr="006D77AD">
        <w:t>legislation</w:t>
      </w:r>
      <w:r w:rsidR="00BD1F60">
        <w:t xml:space="preserve"> and</w:t>
      </w:r>
      <w:r w:rsidR="00554004">
        <w:t xml:space="preserve"> </w:t>
      </w:r>
      <w:r w:rsidR="00BD1F60">
        <w:t>p</w:t>
      </w:r>
      <w:r w:rsidR="00987627" w:rsidRPr="006D77AD">
        <w:t>rovide</w:t>
      </w:r>
      <w:r w:rsidR="00D51B8C" w:rsidRPr="006D77AD">
        <w:t xml:space="preserve"> suggested improvements</w:t>
      </w:r>
      <w:r w:rsidRPr="006D77AD">
        <w:t>/updates</w:t>
      </w:r>
      <w:r w:rsidR="004511E7" w:rsidRPr="006D77AD">
        <w:t xml:space="preserve"> if necessary</w:t>
      </w:r>
      <w:r w:rsidR="000F55AE" w:rsidRPr="006D77AD">
        <w:t>.</w:t>
      </w:r>
    </w:p>
    <w:p w14:paraId="73A94ACB" w14:textId="77777777" w:rsidR="000F55AE" w:rsidRPr="006D77AD" w:rsidRDefault="000F55AE" w:rsidP="005E1F99">
      <w:pPr>
        <w:contextualSpacing/>
        <w:jc w:val="both"/>
      </w:pPr>
    </w:p>
    <w:p w14:paraId="40A74CC0" w14:textId="1BDFB9D9" w:rsidR="001B7797" w:rsidRPr="006D77AD" w:rsidRDefault="001B7797" w:rsidP="005E1F99">
      <w:pPr>
        <w:pStyle w:val="ListParagraph"/>
        <w:numPr>
          <w:ilvl w:val="0"/>
          <w:numId w:val="13"/>
        </w:numPr>
        <w:contextualSpacing/>
        <w:jc w:val="both"/>
      </w:pPr>
      <w:r w:rsidRPr="006D77AD">
        <w:t>Develop</w:t>
      </w:r>
      <w:r w:rsidR="00CE29FE" w:rsidRPr="006D77AD">
        <w:t>ment</w:t>
      </w:r>
      <w:r w:rsidRPr="006D77AD">
        <w:t xml:space="preserve"> and </w:t>
      </w:r>
      <w:r w:rsidR="00BD1F60">
        <w:t>r</w:t>
      </w:r>
      <w:r w:rsidRPr="006D77AD">
        <w:t>efine</w:t>
      </w:r>
      <w:r w:rsidR="00CE29FE" w:rsidRPr="006D77AD">
        <w:t>ment of</w:t>
      </w:r>
      <w:r w:rsidRPr="006D77AD">
        <w:t xml:space="preserve"> </w:t>
      </w:r>
      <w:r w:rsidRPr="005E1F99">
        <w:rPr>
          <w:b/>
        </w:rPr>
        <w:t xml:space="preserve">LPPR </w:t>
      </w:r>
      <w:r w:rsidR="00BD1F60" w:rsidRPr="005E1F99">
        <w:rPr>
          <w:b/>
        </w:rPr>
        <w:t>reasonable alternatives and assessment of effects</w:t>
      </w:r>
      <w:r w:rsidR="00BD1F60" w:rsidRPr="006D77AD">
        <w:t xml:space="preserve"> </w:t>
      </w:r>
      <w:r w:rsidRPr="006D77AD">
        <w:t>(</w:t>
      </w:r>
      <w:r w:rsidRPr="005E1F99">
        <w:rPr>
          <w:b/>
        </w:rPr>
        <w:t>Stage B</w:t>
      </w:r>
      <w:r w:rsidR="00BD1F60">
        <w:t xml:space="preserve"> – to be published alongside Regulation 18 Draft Polic</w:t>
      </w:r>
      <w:r w:rsidR="00A64E0A">
        <w:t>ies in October</w:t>
      </w:r>
      <w:r w:rsidR="00BD1F60">
        <w:t xml:space="preserve"> 2016</w:t>
      </w:r>
      <w:r w:rsidRPr="006D77AD">
        <w:t>)</w:t>
      </w:r>
    </w:p>
    <w:p w14:paraId="6D383717" w14:textId="77777777" w:rsidR="001B7797" w:rsidRPr="006D77AD" w:rsidRDefault="001B7797" w:rsidP="005E1F99">
      <w:pPr>
        <w:pStyle w:val="ListParagraph"/>
        <w:jc w:val="both"/>
      </w:pPr>
    </w:p>
    <w:p w14:paraId="20A6694A" w14:textId="6161FA8B" w:rsidR="001B7797" w:rsidRPr="006D77AD" w:rsidRDefault="00AD6FC8" w:rsidP="005E1F99">
      <w:pPr>
        <w:pStyle w:val="ListParagraph"/>
        <w:numPr>
          <w:ilvl w:val="0"/>
          <w:numId w:val="15"/>
        </w:numPr>
        <w:contextualSpacing/>
        <w:jc w:val="both"/>
      </w:pPr>
      <w:r w:rsidRPr="006D77AD">
        <w:t>Test</w:t>
      </w:r>
      <w:r w:rsidR="001B7797" w:rsidRPr="006D77AD">
        <w:t xml:space="preserve"> the LPPR </w:t>
      </w:r>
      <w:r w:rsidR="00E70DC3">
        <w:t>v</w:t>
      </w:r>
      <w:r w:rsidR="004511E7" w:rsidRPr="006D77AD">
        <w:t>ision</w:t>
      </w:r>
      <w:r w:rsidR="00E70DC3">
        <w:t>,</w:t>
      </w:r>
      <w:r w:rsidR="004511E7" w:rsidRPr="006D77AD">
        <w:t xml:space="preserve"> </w:t>
      </w:r>
      <w:r w:rsidR="00E70DC3">
        <w:t>o</w:t>
      </w:r>
      <w:r w:rsidR="001B7797" w:rsidRPr="006D77AD">
        <w:t>bjectives</w:t>
      </w:r>
      <w:r w:rsidR="00E70DC3">
        <w:t>, site allocations and policy</w:t>
      </w:r>
      <w:r w:rsidR="00F46D46" w:rsidRPr="006D77AD">
        <w:t xml:space="preserve"> options</w:t>
      </w:r>
      <w:r w:rsidR="001B7797" w:rsidRPr="006D77AD">
        <w:t xml:space="preserve"> against the IIA Framework</w:t>
      </w:r>
    </w:p>
    <w:p w14:paraId="2B220025" w14:textId="37F609F8" w:rsidR="001B7797" w:rsidRPr="006D77AD" w:rsidRDefault="00AD6FC8" w:rsidP="005E1F99">
      <w:pPr>
        <w:pStyle w:val="ListParagraph"/>
        <w:numPr>
          <w:ilvl w:val="0"/>
          <w:numId w:val="15"/>
        </w:numPr>
        <w:contextualSpacing/>
        <w:jc w:val="both"/>
      </w:pPr>
      <w:r w:rsidRPr="006D77AD">
        <w:t>Develop</w:t>
      </w:r>
      <w:r w:rsidR="001B7797" w:rsidRPr="006D77AD">
        <w:t xml:space="preserve"> the LPPR options and reasonable alternatives</w:t>
      </w:r>
      <w:r w:rsidR="00987627" w:rsidRPr="006D77AD">
        <w:t xml:space="preserve"> in conjunction</w:t>
      </w:r>
      <w:r w:rsidR="00FC3927" w:rsidRPr="006D77AD">
        <w:t xml:space="preserve"> with policy planners</w:t>
      </w:r>
      <w:r w:rsidR="00987627" w:rsidRPr="006D77AD">
        <w:t xml:space="preserve"> at </w:t>
      </w:r>
      <w:r w:rsidR="00F14961" w:rsidRPr="006D77AD">
        <w:t>the Council</w:t>
      </w:r>
    </w:p>
    <w:p w14:paraId="526C5120" w14:textId="4298A31E" w:rsidR="001B7797" w:rsidRPr="006D77AD" w:rsidRDefault="001B7797" w:rsidP="005E1F99">
      <w:pPr>
        <w:pStyle w:val="ListParagraph"/>
        <w:numPr>
          <w:ilvl w:val="0"/>
          <w:numId w:val="15"/>
        </w:numPr>
        <w:contextualSpacing/>
        <w:jc w:val="both"/>
      </w:pPr>
      <w:r w:rsidRPr="006D77AD">
        <w:t>P</w:t>
      </w:r>
      <w:r w:rsidR="00AD6FC8" w:rsidRPr="006D77AD">
        <w:t>redict</w:t>
      </w:r>
      <w:r w:rsidRPr="006D77AD">
        <w:t xml:space="preserve"> the effects</w:t>
      </w:r>
      <w:r w:rsidR="00E555C0">
        <w:rPr>
          <w:rStyle w:val="FootnoteReference"/>
        </w:rPr>
        <w:footnoteReference w:id="1"/>
      </w:r>
      <w:r w:rsidRPr="006D77AD">
        <w:t xml:space="preserve"> of the LPPR options and reasonable alternatives</w:t>
      </w:r>
      <w:r w:rsidR="00A64E0A">
        <w:t xml:space="preserve"> </w:t>
      </w:r>
    </w:p>
    <w:p w14:paraId="20710F9E" w14:textId="77777777" w:rsidR="001B7797" w:rsidRPr="006D77AD" w:rsidRDefault="001B7797" w:rsidP="005E1F99">
      <w:pPr>
        <w:pStyle w:val="ListParagraph"/>
        <w:numPr>
          <w:ilvl w:val="0"/>
          <w:numId w:val="15"/>
        </w:numPr>
        <w:contextualSpacing/>
        <w:jc w:val="both"/>
      </w:pPr>
      <w:r w:rsidRPr="006D77AD">
        <w:t>E</w:t>
      </w:r>
      <w:r w:rsidR="00AD6FC8" w:rsidRPr="006D77AD">
        <w:t>valuate</w:t>
      </w:r>
      <w:r w:rsidRPr="006D77AD">
        <w:t xml:space="preserve"> the effects of the LPPR options and reasonable alternatives</w:t>
      </w:r>
    </w:p>
    <w:p w14:paraId="2C70F5D1" w14:textId="77777777" w:rsidR="001B7797" w:rsidRPr="006D77AD" w:rsidRDefault="00AD6FC8" w:rsidP="005E1F99">
      <w:pPr>
        <w:pStyle w:val="ListParagraph"/>
        <w:numPr>
          <w:ilvl w:val="0"/>
          <w:numId w:val="15"/>
        </w:numPr>
        <w:contextualSpacing/>
        <w:jc w:val="both"/>
      </w:pPr>
      <w:r w:rsidRPr="006D77AD">
        <w:t>Consider</w:t>
      </w:r>
      <w:r w:rsidR="001B7797" w:rsidRPr="006D77AD">
        <w:t xml:space="preserve"> ways of mitigating adverse effects and maximising beneficial effects</w:t>
      </w:r>
    </w:p>
    <w:p w14:paraId="04932F77" w14:textId="480085F9" w:rsidR="000F55AE" w:rsidRDefault="00AD6FC8" w:rsidP="005E1F99">
      <w:pPr>
        <w:pStyle w:val="ListParagraph"/>
        <w:numPr>
          <w:ilvl w:val="0"/>
          <w:numId w:val="15"/>
        </w:numPr>
        <w:contextualSpacing/>
        <w:jc w:val="both"/>
      </w:pPr>
      <w:r w:rsidRPr="006D77AD">
        <w:t>Propose</w:t>
      </w:r>
      <w:r w:rsidR="001B7797" w:rsidRPr="006D77AD">
        <w:t xml:space="preserve"> measures to monitor the significant effects of implementing the LPPR</w:t>
      </w:r>
      <w:r w:rsidR="00ED754C">
        <w:t xml:space="preserve"> </w:t>
      </w:r>
    </w:p>
    <w:p w14:paraId="1D90A839" w14:textId="77777777" w:rsidR="001B7797" w:rsidRPr="006D77AD" w:rsidRDefault="001B7797" w:rsidP="005E1F99">
      <w:pPr>
        <w:ind w:firstLine="720"/>
        <w:contextualSpacing/>
        <w:jc w:val="both"/>
      </w:pPr>
    </w:p>
    <w:p w14:paraId="51924AD4" w14:textId="3E052E74" w:rsidR="001B7797" w:rsidRPr="006D77AD" w:rsidRDefault="00CE29FE" w:rsidP="005E1F99">
      <w:pPr>
        <w:pStyle w:val="ListParagraph"/>
        <w:numPr>
          <w:ilvl w:val="0"/>
          <w:numId w:val="13"/>
        </w:numPr>
        <w:contextualSpacing/>
        <w:jc w:val="both"/>
      </w:pPr>
      <w:r w:rsidRPr="006D77AD">
        <w:t>Preparation of</w:t>
      </w:r>
      <w:r w:rsidR="00A95356" w:rsidRPr="006D77AD">
        <w:t xml:space="preserve"> the </w:t>
      </w:r>
      <w:r w:rsidR="00BD1F60" w:rsidRPr="005E1F99">
        <w:rPr>
          <w:b/>
        </w:rPr>
        <w:t xml:space="preserve">LPPR </w:t>
      </w:r>
      <w:r w:rsidR="00A95356" w:rsidRPr="005E1F99">
        <w:rPr>
          <w:b/>
        </w:rPr>
        <w:t>Integrated Impact Assessment Report</w:t>
      </w:r>
      <w:r w:rsidR="00A95356" w:rsidRPr="006D77AD">
        <w:t xml:space="preserve"> (</w:t>
      </w:r>
      <w:r w:rsidR="00A95356" w:rsidRPr="005E1F99">
        <w:rPr>
          <w:b/>
        </w:rPr>
        <w:t>Stage C</w:t>
      </w:r>
      <w:r w:rsidR="00BD1F60">
        <w:t xml:space="preserve"> – to be published alongside Regulation 19 Public</w:t>
      </w:r>
      <w:r w:rsidR="00A64E0A">
        <w:t xml:space="preserve">ation Policies in January </w:t>
      </w:r>
      <w:r w:rsidR="00BD1F60">
        <w:t>2016</w:t>
      </w:r>
      <w:r w:rsidR="00A95356" w:rsidRPr="006D77AD">
        <w:t>)</w:t>
      </w:r>
    </w:p>
    <w:p w14:paraId="744D82BA" w14:textId="77777777" w:rsidR="00A95356" w:rsidRPr="006D77AD" w:rsidRDefault="00A95356" w:rsidP="005E1F99">
      <w:pPr>
        <w:ind w:left="720"/>
        <w:contextualSpacing/>
        <w:jc w:val="both"/>
      </w:pPr>
    </w:p>
    <w:p w14:paraId="647BAB03" w14:textId="704A97A4" w:rsidR="00BA00E7" w:rsidRDefault="00BA00E7" w:rsidP="005E1F99">
      <w:pPr>
        <w:pStyle w:val="ListParagraph"/>
        <w:numPr>
          <w:ilvl w:val="0"/>
          <w:numId w:val="16"/>
        </w:numPr>
        <w:contextualSpacing/>
        <w:jc w:val="both"/>
      </w:pPr>
      <w:r>
        <w:t>Respond to consultation responses on IIA Draft Policy Report</w:t>
      </w:r>
    </w:p>
    <w:p w14:paraId="78A855D4" w14:textId="01BBD314" w:rsidR="00BA00E7" w:rsidRDefault="00BA00E7" w:rsidP="00BA00E7">
      <w:pPr>
        <w:pStyle w:val="ListParagraph"/>
        <w:numPr>
          <w:ilvl w:val="0"/>
          <w:numId w:val="16"/>
        </w:numPr>
        <w:contextualSpacing/>
        <w:jc w:val="both"/>
      </w:pPr>
      <w:r w:rsidRPr="006D77AD">
        <w:t xml:space="preserve">Appraise any significant </w:t>
      </w:r>
      <w:r>
        <w:t xml:space="preserve">policy </w:t>
      </w:r>
      <w:r w:rsidRPr="006D77AD">
        <w:t xml:space="preserve">changes resulting from the LPPR </w:t>
      </w:r>
      <w:r>
        <w:t>Draft Policies</w:t>
      </w:r>
      <w:r w:rsidRPr="006D77AD">
        <w:t xml:space="preserve"> consultation</w:t>
      </w:r>
      <w:r w:rsidR="003D78D0">
        <w:t xml:space="preserve"> (if any)</w:t>
      </w:r>
      <w:r w:rsidRPr="006D77AD">
        <w:t>.</w:t>
      </w:r>
    </w:p>
    <w:p w14:paraId="5C9CFFFF" w14:textId="54B5FB6F" w:rsidR="00A95356" w:rsidRDefault="00A95356" w:rsidP="005E1F99">
      <w:pPr>
        <w:pStyle w:val="ListParagraph"/>
        <w:numPr>
          <w:ilvl w:val="0"/>
          <w:numId w:val="16"/>
        </w:numPr>
        <w:contextualSpacing/>
        <w:jc w:val="both"/>
      </w:pPr>
      <w:r w:rsidRPr="006D77AD">
        <w:t>P</w:t>
      </w:r>
      <w:r w:rsidR="00987627" w:rsidRPr="006D77AD">
        <w:t>repare</w:t>
      </w:r>
      <w:r w:rsidR="00CE29FE" w:rsidRPr="006D77AD">
        <w:t xml:space="preserve"> an</w:t>
      </w:r>
      <w:r w:rsidRPr="006D77AD">
        <w:t xml:space="preserve"> IIA Report</w:t>
      </w:r>
      <w:r w:rsidR="007037BD" w:rsidRPr="006D77AD">
        <w:t xml:space="preserve"> to go out with </w:t>
      </w:r>
      <w:r w:rsidR="00692122" w:rsidRPr="006D77AD">
        <w:t xml:space="preserve">the LPPR </w:t>
      </w:r>
      <w:r w:rsidR="00BD1F60">
        <w:t>Publication Policies</w:t>
      </w:r>
      <w:r w:rsidR="007037BD" w:rsidRPr="006D77AD">
        <w:t xml:space="preserve"> consultation </w:t>
      </w:r>
    </w:p>
    <w:p w14:paraId="0E15BF2B" w14:textId="77777777" w:rsidR="00A95356" w:rsidRPr="006D77AD" w:rsidRDefault="00A95356" w:rsidP="005E1F99">
      <w:pPr>
        <w:ind w:left="1080"/>
        <w:contextualSpacing/>
        <w:jc w:val="both"/>
      </w:pPr>
    </w:p>
    <w:p w14:paraId="73538CD1" w14:textId="73CBE0E9" w:rsidR="00A95356" w:rsidRPr="006D77AD" w:rsidRDefault="00A95356" w:rsidP="005E1F99">
      <w:pPr>
        <w:ind w:left="1080"/>
        <w:contextualSpacing/>
        <w:jc w:val="both"/>
      </w:pPr>
      <w:r w:rsidRPr="006D77AD">
        <w:lastRenderedPageBreak/>
        <w:t>This report must meet the full requirements of the SEA Directive and</w:t>
      </w:r>
      <w:r w:rsidR="00692122" w:rsidRPr="006D77AD">
        <w:t xml:space="preserve"> associated</w:t>
      </w:r>
      <w:r w:rsidRPr="006D77AD">
        <w:t xml:space="preserve"> UK </w:t>
      </w:r>
      <w:r w:rsidR="006D77AD" w:rsidRPr="006D77AD">
        <w:t>legislation</w:t>
      </w:r>
      <w:r w:rsidRPr="006D77AD">
        <w:t xml:space="preserve">. </w:t>
      </w:r>
    </w:p>
    <w:p w14:paraId="674E109B" w14:textId="77777777" w:rsidR="00A95356" w:rsidRPr="006D77AD" w:rsidRDefault="00A95356" w:rsidP="005E1F99">
      <w:pPr>
        <w:ind w:left="1080"/>
        <w:contextualSpacing/>
        <w:jc w:val="both"/>
      </w:pPr>
    </w:p>
    <w:p w14:paraId="38DFECB1" w14:textId="695B0C03" w:rsidR="00A95356" w:rsidRPr="006D77AD" w:rsidRDefault="00A95356" w:rsidP="005E1F99">
      <w:pPr>
        <w:pStyle w:val="ListParagraph"/>
        <w:numPr>
          <w:ilvl w:val="0"/>
          <w:numId w:val="13"/>
        </w:numPr>
        <w:contextualSpacing/>
        <w:jc w:val="both"/>
      </w:pPr>
      <w:r w:rsidRPr="005E1F99">
        <w:rPr>
          <w:b/>
        </w:rPr>
        <w:t>Consult</w:t>
      </w:r>
      <w:r w:rsidR="00BD1F60" w:rsidRPr="005E1F99">
        <w:rPr>
          <w:b/>
        </w:rPr>
        <w:t>ation responses</w:t>
      </w:r>
      <w:r w:rsidRPr="005E1F99">
        <w:rPr>
          <w:b/>
        </w:rPr>
        <w:t xml:space="preserve"> on the </w:t>
      </w:r>
      <w:r w:rsidR="004511E7" w:rsidRPr="005E1F99">
        <w:rPr>
          <w:b/>
        </w:rPr>
        <w:t>LP</w:t>
      </w:r>
      <w:r w:rsidRPr="005E1F99">
        <w:rPr>
          <w:b/>
        </w:rPr>
        <w:t>PR IIA Report</w:t>
      </w:r>
      <w:r w:rsidRPr="006D77AD">
        <w:t xml:space="preserve"> (</w:t>
      </w:r>
      <w:r w:rsidRPr="005E1F99">
        <w:rPr>
          <w:b/>
        </w:rPr>
        <w:t>Stage D</w:t>
      </w:r>
      <w:r w:rsidR="00BD1F60">
        <w:t xml:space="preserve"> to be p</w:t>
      </w:r>
      <w:r w:rsidR="00264E97">
        <w:t>repared for Regulations 22-25 Submission and Examination i</w:t>
      </w:r>
      <w:r w:rsidR="00BA00E7">
        <w:t>n March</w:t>
      </w:r>
      <w:r w:rsidR="00264E97">
        <w:t xml:space="preserve"> 2017</w:t>
      </w:r>
      <w:r w:rsidRPr="006D77AD">
        <w:t>)</w:t>
      </w:r>
    </w:p>
    <w:p w14:paraId="018808BD" w14:textId="77777777" w:rsidR="00AD6FC8" w:rsidRPr="006D77AD" w:rsidRDefault="00AD6FC8" w:rsidP="005E1F99">
      <w:pPr>
        <w:ind w:left="720"/>
        <w:contextualSpacing/>
        <w:jc w:val="both"/>
      </w:pPr>
    </w:p>
    <w:p w14:paraId="5AC3E43E" w14:textId="055B90C6" w:rsidR="00FC3927" w:rsidRPr="006D77AD" w:rsidRDefault="00A95356" w:rsidP="005E1F99">
      <w:pPr>
        <w:pStyle w:val="ListParagraph"/>
        <w:numPr>
          <w:ilvl w:val="0"/>
          <w:numId w:val="16"/>
        </w:numPr>
        <w:contextualSpacing/>
        <w:jc w:val="both"/>
      </w:pPr>
      <w:r w:rsidRPr="006D77AD">
        <w:t>Appraise any significant changes</w:t>
      </w:r>
      <w:r w:rsidR="00AD6FC8" w:rsidRPr="006D77AD">
        <w:t xml:space="preserve"> resulting from</w:t>
      </w:r>
      <w:r w:rsidR="00FC3927" w:rsidRPr="006D77AD">
        <w:t xml:space="preserve"> the LPPR </w:t>
      </w:r>
      <w:r w:rsidR="00BD1F60">
        <w:t>Publication Policies</w:t>
      </w:r>
      <w:r w:rsidR="00FC3927" w:rsidRPr="006D77AD">
        <w:t xml:space="preserve"> consultation</w:t>
      </w:r>
      <w:r w:rsidR="004511E7" w:rsidRPr="006D77AD">
        <w:t>.</w:t>
      </w:r>
    </w:p>
    <w:p w14:paraId="28181776" w14:textId="5962FC5A" w:rsidR="004018DC" w:rsidRDefault="00FC3927" w:rsidP="005E1F99">
      <w:pPr>
        <w:pStyle w:val="ListParagraph"/>
        <w:numPr>
          <w:ilvl w:val="0"/>
          <w:numId w:val="16"/>
        </w:numPr>
        <w:contextualSpacing/>
        <w:jc w:val="both"/>
      </w:pPr>
      <w:r w:rsidRPr="006D77AD">
        <w:t>Produc</w:t>
      </w:r>
      <w:r w:rsidR="00D92F3B" w:rsidRPr="006D77AD">
        <w:t>e</w:t>
      </w:r>
      <w:r w:rsidR="00A95356" w:rsidRPr="006D77AD">
        <w:t xml:space="preserve"> a final version of the IIA for submissio</w:t>
      </w:r>
      <w:r w:rsidRPr="006D77AD">
        <w:t xml:space="preserve">n to the </w:t>
      </w:r>
      <w:r w:rsidR="00F46D46" w:rsidRPr="006D77AD">
        <w:t>Planning Inspectorate</w:t>
      </w:r>
      <w:r w:rsidRPr="006D77AD">
        <w:t xml:space="preserve"> along with the LPPR </w:t>
      </w:r>
      <w:r w:rsidR="00A95356" w:rsidRPr="006D77AD">
        <w:t xml:space="preserve">submission </w:t>
      </w:r>
      <w:r w:rsidR="004511E7" w:rsidRPr="006D77AD">
        <w:t>version</w:t>
      </w:r>
      <w:r w:rsidRPr="006D77AD">
        <w:t>.</w:t>
      </w:r>
      <w:r w:rsidR="004511E7" w:rsidRPr="006D77AD">
        <w:t xml:space="preserve"> The Final IIA Report must incorporate</w:t>
      </w:r>
      <w:r w:rsidR="009E0735" w:rsidRPr="006D77AD">
        <w:t xml:space="preserve"> all</w:t>
      </w:r>
      <w:r w:rsidR="0068481B" w:rsidRPr="006D77AD">
        <w:t xml:space="preserve"> the req</w:t>
      </w:r>
      <w:r w:rsidR="00D577EC" w:rsidRPr="006D77AD">
        <w:t>uirements</w:t>
      </w:r>
      <w:r w:rsidR="0068481B" w:rsidRPr="006D77AD">
        <w:t xml:space="preserve"> of the </w:t>
      </w:r>
      <w:r w:rsidR="00D577EC" w:rsidRPr="006D77AD">
        <w:t>‘</w:t>
      </w:r>
      <w:r w:rsidR="0068481B" w:rsidRPr="006D77AD">
        <w:t>environmental report</w:t>
      </w:r>
      <w:r w:rsidR="00D577EC" w:rsidRPr="006D77AD">
        <w:t>’</w:t>
      </w:r>
      <w:r w:rsidR="0068481B" w:rsidRPr="006D77AD">
        <w:t xml:space="preserve"> under the SEA Direction</w:t>
      </w:r>
      <w:r w:rsidR="00D577EC" w:rsidRPr="006D77AD">
        <w:t>. The report must</w:t>
      </w:r>
      <w:r w:rsidR="0068481B" w:rsidRPr="006D77AD">
        <w:t xml:space="preserve"> demonstrate how</w:t>
      </w:r>
      <w:r w:rsidR="00F66307" w:rsidRPr="006D77AD">
        <w:t xml:space="preserve"> th</w:t>
      </w:r>
      <w:r w:rsidR="000A43C7" w:rsidRPr="006D77AD">
        <w:t>e II</w:t>
      </w:r>
      <w:r w:rsidR="00F66307" w:rsidRPr="006D77AD">
        <w:t xml:space="preserve">A </w:t>
      </w:r>
      <w:r w:rsidR="00987627" w:rsidRPr="006D77AD">
        <w:t>analysis</w:t>
      </w:r>
      <w:r w:rsidR="00F66307" w:rsidRPr="006D77AD">
        <w:t xml:space="preserve"> and</w:t>
      </w:r>
      <w:r w:rsidR="005A0ACB" w:rsidRPr="006D77AD">
        <w:t xml:space="preserve"> associated</w:t>
      </w:r>
      <w:r w:rsidR="00F66307" w:rsidRPr="006D77AD">
        <w:t xml:space="preserve"> documentation</w:t>
      </w:r>
      <w:r w:rsidR="005A0ACB" w:rsidRPr="006D77AD">
        <w:t xml:space="preserve"> has</w:t>
      </w:r>
      <w:r w:rsidR="00F66307" w:rsidRPr="006D77AD">
        <w:t xml:space="preserve"> compli</w:t>
      </w:r>
      <w:r w:rsidR="005A0ACB" w:rsidRPr="006D77AD">
        <w:t>ed</w:t>
      </w:r>
      <w:r w:rsidR="0068481B" w:rsidRPr="006D77AD">
        <w:t xml:space="preserve"> with</w:t>
      </w:r>
      <w:r w:rsidR="000A43C7" w:rsidRPr="006D77AD">
        <w:t xml:space="preserve"> all the requirement</w:t>
      </w:r>
      <w:r w:rsidR="005A0ACB" w:rsidRPr="006D77AD">
        <w:t>s</w:t>
      </w:r>
      <w:r w:rsidR="000A43C7" w:rsidRPr="006D77AD">
        <w:t xml:space="preserve"> of </w:t>
      </w:r>
      <w:r w:rsidR="005A0ACB" w:rsidRPr="006D77AD">
        <w:t>the</w:t>
      </w:r>
      <w:r w:rsidR="000A43C7" w:rsidRPr="006D77AD">
        <w:t xml:space="preserve"> SEA Directive.</w:t>
      </w:r>
    </w:p>
    <w:p w14:paraId="4577EAC7" w14:textId="160F6917" w:rsidR="00A64E0A" w:rsidRPr="006D77AD" w:rsidRDefault="00A64E0A" w:rsidP="00A64E0A">
      <w:pPr>
        <w:pStyle w:val="ListParagraph"/>
        <w:numPr>
          <w:ilvl w:val="0"/>
          <w:numId w:val="16"/>
        </w:numPr>
        <w:contextualSpacing/>
        <w:jc w:val="both"/>
      </w:pPr>
      <w:r>
        <w:t xml:space="preserve">The IIA Report must include information for an SEA Statement </w:t>
      </w:r>
    </w:p>
    <w:p w14:paraId="3F48CF40" w14:textId="77777777" w:rsidR="00D577EC" w:rsidRPr="006D77AD" w:rsidRDefault="00D577EC" w:rsidP="005E1F99">
      <w:pPr>
        <w:pStyle w:val="ListParagraph"/>
        <w:jc w:val="both"/>
      </w:pPr>
    </w:p>
    <w:p w14:paraId="6743ABBB" w14:textId="77777777" w:rsidR="00D577EC" w:rsidRPr="006D77AD" w:rsidRDefault="000A43C7" w:rsidP="005E1F99">
      <w:pPr>
        <w:pStyle w:val="ListParagraph"/>
        <w:numPr>
          <w:ilvl w:val="0"/>
          <w:numId w:val="13"/>
        </w:numPr>
        <w:contextualSpacing/>
        <w:jc w:val="both"/>
      </w:pPr>
      <w:r w:rsidRPr="006D77AD">
        <w:t>The Final II</w:t>
      </w:r>
      <w:r w:rsidR="00DD091D" w:rsidRPr="006D77AD">
        <w:t>A R</w:t>
      </w:r>
      <w:r w:rsidR="00D577EC" w:rsidRPr="006D77AD">
        <w:t xml:space="preserve">eport must </w:t>
      </w:r>
      <w:r w:rsidR="00F46D46" w:rsidRPr="006D77AD">
        <w:t xml:space="preserve">fulfil the requirements of an </w:t>
      </w:r>
      <w:r w:rsidR="00F46D46" w:rsidRPr="005E1F99">
        <w:rPr>
          <w:b/>
        </w:rPr>
        <w:t xml:space="preserve">Equality Impact Assessment </w:t>
      </w:r>
    </w:p>
    <w:p w14:paraId="2A200AD6" w14:textId="77777777" w:rsidR="00F46D46" w:rsidRPr="006D77AD" w:rsidRDefault="00F46D46" w:rsidP="005E1F99">
      <w:pPr>
        <w:pStyle w:val="ListParagraph"/>
        <w:ind w:left="1080"/>
        <w:contextualSpacing/>
        <w:jc w:val="both"/>
      </w:pPr>
    </w:p>
    <w:p w14:paraId="2A4C8EC8" w14:textId="77777777" w:rsidR="001D2868" w:rsidRPr="006D77AD" w:rsidRDefault="000A43C7" w:rsidP="005E1F99">
      <w:pPr>
        <w:pStyle w:val="ListParagraph"/>
        <w:numPr>
          <w:ilvl w:val="0"/>
          <w:numId w:val="13"/>
        </w:numPr>
        <w:contextualSpacing/>
        <w:jc w:val="both"/>
      </w:pPr>
      <w:r w:rsidRPr="006D77AD">
        <w:t>The Final II</w:t>
      </w:r>
      <w:r w:rsidR="00D577EC" w:rsidRPr="006D77AD">
        <w:t xml:space="preserve">A Report must demonstrate how the assessments of health impacts meet best practice in relation to </w:t>
      </w:r>
      <w:r w:rsidR="00D577EC" w:rsidRPr="005E1F99">
        <w:rPr>
          <w:b/>
        </w:rPr>
        <w:t>Health Impact Assessments</w:t>
      </w:r>
      <w:r w:rsidR="00D577EC" w:rsidRPr="006D77AD">
        <w:t>.</w:t>
      </w:r>
    </w:p>
    <w:p w14:paraId="560E5CBB" w14:textId="77777777" w:rsidR="00F27B45" w:rsidRPr="006D77AD" w:rsidRDefault="00F27B45" w:rsidP="005E1F99">
      <w:pPr>
        <w:contextualSpacing/>
        <w:jc w:val="both"/>
        <w:textAlignment w:val="center"/>
        <w:rPr>
          <w:lang w:eastAsia="en-US"/>
        </w:rPr>
      </w:pPr>
    </w:p>
    <w:p w14:paraId="595D011C" w14:textId="61169E50" w:rsidR="005E56CC" w:rsidRPr="005E56CC" w:rsidRDefault="005E56CC" w:rsidP="005E56CC"/>
    <w:p w14:paraId="0ED9F222" w14:textId="77777777" w:rsidR="00ED754C" w:rsidRPr="006D77AD" w:rsidRDefault="00ED754C" w:rsidP="00F46D46">
      <w:pPr>
        <w:pStyle w:val="ListParagraph"/>
        <w:ind w:left="0" w:right="284"/>
        <w:contextualSpacing/>
        <w:rPr>
          <w:b/>
          <w:sz w:val="22"/>
          <w:szCs w:val="22"/>
        </w:rPr>
      </w:pPr>
    </w:p>
    <w:p w14:paraId="1E5818D2" w14:textId="11AB99DA" w:rsidR="00DE26CC" w:rsidRPr="0011576F" w:rsidRDefault="00682C75" w:rsidP="00F40AB8">
      <w:pPr>
        <w:ind w:right="284"/>
        <w:contextualSpacing/>
        <w:jc w:val="both"/>
        <w:rPr>
          <w:u w:val="single"/>
        </w:rPr>
      </w:pPr>
      <w:r>
        <w:rPr>
          <w:b/>
        </w:rPr>
        <w:t>7</w:t>
      </w:r>
      <w:r w:rsidR="0011576F">
        <w:rPr>
          <w:b/>
        </w:rPr>
        <w:t>.0</w:t>
      </w:r>
      <w:r w:rsidR="0011576F">
        <w:rPr>
          <w:b/>
        </w:rPr>
        <w:tab/>
      </w:r>
      <w:r w:rsidR="009A525E" w:rsidRPr="00F40AB8">
        <w:rPr>
          <w:b/>
        </w:rPr>
        <w:t>KEY CONTACTS</w:t>
      </w:r>
    </w:p>
    <w:p w14:paraId="34BCE2DE" w14:textId="77777777" w:rsidR="00DE26CC" w:rsidRPr="006D77AD" w:rsidRDefault="00DE26CC" w:rsidP="005E1F99">
      <w:pPr>
        <w:ind w:hanging="720"/>
        <w:contextualSpacing/>
        <w:jc w:val="both"/>
      </w:pPr>
    </w:p>
    <w:p w14:paraId="4D58296D" w14:textId="660449D1" w:rsidR="00DE26CC" w:rsidRPr="006D77AD" w:rsidRDefault="00682C75" w:rsidP="009E1051">
      <w:pPr>
        <w:ind w:left="720" w:hanging="720"/>
        <w:contextualSpacing/>
        <w:jc w:val="both"/>
        <w:textAlignment w:val="center"/>
        <w:rPr>
          <w:lang w:eastAsia="en-US"/>
        </w:rPr>
      </w:pPr>
      <w:r>
        <w:t>7</w:t>
      </w:r>
      <w:r w:rsidR="009E1051">
        <w:t>.1</w:t>
      </w:r>
      <w:r w:rsidR="009E1051">
        <w:tab/>
      </w:r>
      <w:r w:rsidR="00DE26CC" w:rsidRPr="006D77AD">
        <w:t xml:space="preserve">All communication between the potential suppliers and the Council for the procurement should take place via the </w:t>
      </w:r>
      <w:r w:rsidR="00C82285">
        <w:t xml:space="preserve">messaging function of the </w:t>
      </w:r>
      <w:r w:rsidR="00DE26CC" w:rsidRPr="006D77AD">
        <w:t>CapitalEsourcing portal (www.capitalesourcing.com). However, if required otherwise, the key contacts for the study are:</w:t>
      </w:r>
    </w:p>
    <w:p w14:paraId="4A3A1F14" w14:textId="77777777" w:rsidR="00DE26CC" w:rsidRPr="006D77AD" w:rsidRDefault="00DE26CC" w:rsidP="005E1F99">
      <w:pPr>
        <w:pStyle w:val="ListParagraph"/>
        <w:ind w:left="709"/>
        <w:contextualSpacing/>
        <w:jc w:val="both"/>
        <w:textAlignment w:val="center"/>
        <w:rPr>
          <w:lang w:eastAsia="en-US"/>
        </w:rPr>
      </w:pPr>
    </w:p>
    <w:p w14:paraId="32C70BFF" w14:textId="77777777" w:rsidR="00DE26CC" w:rsidRPr="006D77AD" w:rsidRDefault="00DE26CC" w:rsidP="005E1F99">
      <w:pPr>
        <w:numPr>
          <w:ilvl w:val="0"/>
          <w:numId w:val="2"/>
        </w:numPr>
        <w:ind w:right="284"/>
        <w:jc w:val="both"/>
        <w:rPr>
          <w:spacing w:val="6"/>
        </w:rPr>
      </w:pPr>
      <w:r w:rsidRPr="006D77AD">
        <w:rPr>
          <w:spacing w:val="6"/>
        </w:rPr>
        <w:t xml:space="preserve">Rob </w:t>
      </w:r>
      <w:proofErr w:type="spellStart"/>
      <w:r w:rsidRPr="006D77AD">
        <w:rPr>
          <w:spacing w:val="6"/>
        </w:rPr>
        <w:t>Krzyszowski</w:t>
      </w:r>
      <w:proofErr w:type="spellEnd"/>
      <w:r w:rsidRPr="006D77AD">
        <w:rPr>
          <w:spacing w:val="6"/>
        </w:rPr>
        <w:t>, Planning Policy Team Leader</w:t>
      </w:r>
    </w:p>
    <w:p w14:paraId="1924054A" w14:textId="77777777" w:rsidR="00DE26CC" w:rsidRPr="006D77AD" w:rsidRDefault="008403A3" w:rsidP="005E1F99">
      <w:pPr>
        <w:ind w:left="1080" w:right="284"/>
        <w:jc w:val="both"/>
        <w:rPr>
          <w:spacing w:val="6"/>
        </w:rPr>
      </w:pPr>
      <w:hyperlink r:id="rId34" w:history="1">
        <w:r w:rsidR="00DE26CC" w:rsidRPr="006D77AD">
          <w:rPr>
            <w:rStyle w:val="Hyperlink"/>
            <w:spacing w:val="6"/>
          </w:rPr>
          <w:t>robert.krzyszowski@rbkc.gov.uk</w:t>
        </w:r>
      </w:hyperlink>
    </w:p>
    <w:p w14:paraId="15EB9E95" w14:textId="77777777" w:rsidR="00DE26CC" w:rsidRPr="006D77AD" w:rsidRDefault="00DE26CC" w:rsidP="005E1F99">
      <w:pPr>
        <w:ind w:left="1080" w:right="284"/>
        <w:jc w:val="both"/>
        <w:rPr>
          <w:spacing w:val="6"/>
        </w:rPr>
      </w:pPr>
      <w:r w:rsidRPr="006D77AD">
        <w:rPr>
          <w:spacing w:val="6"/>
        </w:rPr>
        <w:t>020 7361 2588</w:t>
      </w:r>
    </w:p>
    <w:p w14:paraId="0B2F8489" w14:textId="77777777" w:rsidR="00DE26CC" w:rsidRPr="006D77AD" w:rsidRDefault="00DE26CC" w:rsidP="005E1F99">
      <w:pPr>
        <w:ind w:left="1080" w:right="284"/>
        <w:jc w:val="both"/>
        <w:rPr>
          <w:spacing w:val="6"/>
        </w:rPr>
      </w:pPr>
    </w:p>
    <w:p w14:paraId="38FC3D68" w14:textId="77777777" w:rsidR="00F27B45" w:rsidRPr="006D77AD" w:rsidRDefault="00F94D0B" w:rsidP="005E1F99">
      <w:pPr>
        <w:numPr>
          <w:ilvl w:val="0"/>
          <w:numId w:val="2"/>
        </w:numPr>
        <w:ind w:right="284"/>
        <w:jc w:val="both"/>
        <w:rPr>
          <w:spacing w:val="6"/>
        </w:rPr>
      </w:pPr>
      <w:r w:rsidRPr="006D77AD">
        <w:rPr>
          <w:spacing w:val="6"/>
        </w:rPr>
        <w:t>James Preece, Planning Policy Officer</w:t>
      </w:r>
    </w:p>
    <w:p w14:paraId="3FCC9D1E" w14:textId="77777777" w:rsidR="00DE26CC" w:rsidRPr="006D77AD" w:rsidRDefault="008403A3" w:rsidP="005E1F99">
      <w:pPr>
        <w:ind w:left="1080" w:right="284"/>
        <w:jc w:val="both"/>
      </w:pPr>
      <w:hyperlink r:id="rId35" w:history="1">
        <w:r w:rsidR="00F94D0B" w:rsidRPr="006D77AD">
          <w:rPr>
            <w:rStyle w:val="Hyperlink"/>
          </w:rPr>
          <w:t>james.preece@rbkc.gov.uk</w:t>
        </w:r>
      </w:hyperlink>
    </w:p>
    <w:p w14:paraId="60D75BA5" w14:textId="7C599415" w:rsidR="00F71E45" w:rsidRPr="00B15B86" w:rsidRDefault="00F94D0B" w:rsidP="00B15B86">
      <w:pPr>
        <w:ind w:left="1080" w:right="284"/>
        <w:jc w:val="both"/>
        <w:rPr>
          <w:spacing w:val="6"/>
        </w:rPr>
      </w:pPr>
      <w:r w:rsidRPr="006D77AD">
        <w:t>020 7361 2232</w:t>
      </w:r>
    </w:p>
    <w:p w14:paraId="57019FF7" w14:textId="77777777" w:rsidR="00705C20" w:rsidRDefault="00705C20" w:rsidP="00030614">
      <w:pPr>
        <w:ind w:left="709"/>
        <w:contextualSpacing/>
        <w:jc w:val="both"/>
        <w:textAlignment w:val="center"/>
        <w:rPr>
          <w:b/>
          <w:sz w:val="28"/>
          <w:szCs w:val="28"/>
          <w:lang w:eastAsia="en-US"/>
        </w:rPr>
      </w:pPr>
    </w:p>
    <w:p w14:paraId="09454E8C" w14:textId="77777777" w:rsidR="00705C20" w:rsidRDefault="00705C20" w:rsidP="00030614">
      <w:pPr>
        <w:ind w:left="709"/>
        <w:contextualSpacing/>
        <w:jc w:val="both"/>
        <w:textAlignment w:val="center"/>
        <w:rPr>
          <w:b/>
          <w:sz w:val="28"/>
          <w:szCs w:val="28"/>
          <w:lang w:eastAsia="en-US"/>
        </w:rPr>
      </w:pPr>
    </w:p>
    <w:p w14:paraId="06AB8DA5" w14:textId="77777777" w:rsidR="00705C20" w:rsidRDefault="00705C20" w:rsidP="00030614">
      <w:pPr>
        <w:ind w:left="709"/>
        <w:contextualSpacing/>
        <w:jc w:val="both"/>
        <w:textAlignment w:val="center"/>
        <w:rPr>
          <w:b/>
          <w:sz w:val="28"/>
          <w:szCs w:val="28"/>
          <w:lang w:eastAsia="en-US"/>
        </w:rPr>
      </w:pPr>
    </w:p>
    <w:p w14:paraId="4D6F91B2" w14:textId="77777777" w:rsidR="00705C20" w:rsidRDefault="00705C20" w:rsidP="00030614">
      <w:pPr>
        <w:ind w:left="709"/>
        <w:contextualSpacing/>
        <w:jc w:val="both"/>
        <w:textAlignment w:val="center"/>
        <w:rPr>
          <w:b/>
          <w:sz w:val="28"/>
          <w:szCs w:val="28"/>
          <w:lang w:eastAsia="en-US"/>
        </w:rPr>
      </w:pPr>
    </w:p>
    <w:p w14:paraId="4895FD1C" w14:textId="77777777" w:rsidR="00705C20" w:rsidRDefault="00705C20" w:rsidP="00030614">
      <w:pPr>
        <w:ind w:left="709"/>
        <w:contextualSpacing/>
        <w:jc w:val="both"/>
        <w:textAlignment w:val="center"/>
        <w:rPr>
          <w:b/>
          <w:sz w:val="28"/>
          <w:szCs w:val="28"/>
          <w:lang w:eastAsia="en-US"/>
        </w:rPr>
      </w:pPr>
    </w:p>
    <w:p w14:paraId="643D01D9" w14:textId="77777777" w:rsidR="00705C20" w:rsidRDefault="00705C20" w:rsidP="00030614">
      <w:pPr>
        <w:ind w:left="709"/>
        <w:contextualSpacing/>
        <w:jc w:val="both"/>
        <w:textAlignment w:val="center"/>
        <w:rPr>
          <w:b/>
          <w:sz w:val="28"/>
          <w:szCs w:val="28"/>
          <w:lang w:eastAsia="en-US"/>
        </w:rPr>
      </w:pPr>
    </w:p>
    <w:p w14:paraId="4A39A5D4" w14:textId="77777777" w:rsidR="00705C20" w:rsidRDefault="00705C20" w:rsidP="00030614">
      <w:pPr>
        <w:ind w:left="709"/>
        <w:contextualSpacing/>
        <w:jc w:val="both"/>
        <w:textAlignment w:val="center"/>
        <w:rPr>
          <w:b/>
          <w:sz w:val="28"/>
          <w:szCs w:val="28"/>
          <w:lang w:eastAsia="en-US"/>
        </w:rPr>
      </w:pPr>
    </w:p>
    <w:p w14:paraId="22B7CDE6" w14:textId="77777777" w:rsidR="00705C20" w:rsidRDefault="00705C20" w:rsidP="00030614">
      <w:pPr>
        <w:ind w:left="709"/>
        <w:contextualSpacing/>
        <w:jc w:val="both"/>
        <w:textAlignment w:val="center"/>
        <w:rPr>
          <w:b/>
          <w:sz w:val="28"/>
          <w:szCs w:val="28"/>
          <w:lang w:eastAsia="en-US"/>
        </w:rPr>
      </w:pPr>
    </w:p>
    <w:p w14:paraId="6674BAA7" w14:textId="77777777" w:rsidR="00705C20" w:rsidRDefault="00705C20" w:rsidP="00030614">
      <w:pPr>
        <w:ind w:left="709"/>
        <w:contextualSpacing/>
        <w:jc w:val="both"/>
        <w:textAlignment w:val="center"/>
        <w:rPr>
          <w:b/>
          <w:sz w:val="28"/>
          <w:szCs w:val="28"/>
          <w:lang w:eastAsia="en-US"/>
        </w:rPr>
      </w:pPr>
    </w:p>
    <w:p w14:paraId="25290214" w14:textId="77777777" w:rsidR="00705C20" w:rsidRDefault="00705C20" w:rsidP="00030614">
      <w:pPr>
        <w:ind w:left="709"/>
        <w:contextualSpacing/>
        <w:jc w:val="both"/>
        <w:textAlignment w:val="center"/>
        <w:rPr>
          <w:b/>
          <w:sz w:val="28"/>
          <w:szCs w:val="28"/>
          <w:lang w:eastAsia="en-US"/>
        </w:rPr>
      </w:pPr>
    </w:p>
    <w:p w14:paraId="6310A89E" w14:textId="77777777" w:rsidR="00705C20" w:rsidRDefault="00705C20" w:rsidP="00030614">
      <w:pPr>
        <w:ind w:left="709"/>
        <w:contextualSpacing/>
        <w:jc w:val="both"/>
        <w:textAlignment w:val="center"/>
        <w:rPr>
          <w:b/>
          <w:sz w:val="28"/>
          <w:szCs w:val="28"/>
          <w:lang w:eastAsia="en-US"/>
        </w:rPr>
      </w:pPr>
    </w:p>
    <w:p w14:paraId="11669C45" w14:textId="77777777" w:rsidR="00705C20" w:rsidRDefault="00705C20" w:rsidP="00030614">
      <w:pPr>
        <w:ind w:left="709"/>
        <w:contextualSpacing/>
        <w:jc w:val="both"/>
        <w:textAlignment w:val="center"/>
        <w:rPr>
          <w:b/>
          <w:sz w:val="28"/>
          <w:szCs w:val="28"/>
          <w:lang w:eastAsia="en-US"/>
        </w:rPr>
      </w:pPr>
    </w:p>
    <w:p w14:paraId="38E4E45B" w14:textId="77777777" w:rsidR="00705C20" w:rsidRDefault="00705C20" w:rsidP="00030614">
      <w:pPr>
        <w:ind w:left="709"/>
        <w:contextualSpacing/>
        <w:jc w:val="both"/>
        <w:textAlignment w:val="center"/>
        <w:rPr>
          <w:b/>
          <w:sz w:val="28"/>
          <w:szCs w:val="28"/>
          <w:lang w:eastAsia="en-US"/>
        </w:rPr>
      </w:pPr>
    </w:p>
    <w:p w14:paraId="73DCAB6C" w14:textId="77777777" w:rsidR="00520F6E" w:rsidRPr="006D77AD" w:rsidRDefault="00520F6E" w:rsidP="00520F6E">
      <w:pPr>
        <w:ind w:left="709"/>
        <w:contextualSpacing/>
        <w:jc w:val="both"/>
        <w:textAlignment w:val="center"/>
        <w:rPr>
          <w:b/>
          <w:sz w:val="28"/>
          <w:szCs w:val="28"/>
          <w:lang w:eastAsia="en-US"/>
        </w:rPr>
      </w:pPr>
      <w:r w:rsidRPr="006D77AD">
        <w:rPr>
          <w:b/>
          <w:sz w:val="28"/>
          <w:szCs w:val="28"/>
          <w:lang w:eastAsia="en-US"/>
        </w:rPr>
        <w:lastRenderedPageBreak/>
        <w:t>APPENDIX 1</w:t>
      </w:r>
    </w:p>
    <w:p w14:paraId="73A940CC" w14:textId="77777777" w:rsidR="00520F6E" w:rsidRPr="006D77AD" w:rsidRDefault="00520F6E" w:rsidP="00520F6E">
      <w:pPr>
        <w:contextualSpacing/>
        <w:jc w:val="both"/>
        <w:textAlignment w:val="center"/>
        <w:rPr>
          <w:b/>
          <w:lang w:eastAsia="en-US"/>
        </w:rPr>
      </w:pPr>
    </w:p>
    <w:p w14:paraId="3F27C7F9" w14:textId="77777777" w:rsidR="00520F6E" w:rsidRPr="006D77AD" w:rsidRDefault="00520F6E" w:rsidP="00520F6E">
      <w:pPr>
        <w:autoSpaceDE w:val="0"/>
        <w:autoSpaceDN w:val="0"/>
        <w:adjustRightInd w:val="0"/>
        <w:contextualSpacing/>
        <w:jc w:val="both"/>
      </w:pPr>
      <w:r>
        <w:rPr>
          <w:noProof/>
        </w:rPr>
        <mc:AlternateContent>
          <mc:Choice Requires="wps">
            <w:drawing>
              <wp:anchor distT="0" distB="0" distL="114300" distR="114300" simplePos="0" relativeHeight="251667456" behindDoc="0" locked="0" layoutInCell="1" allowOverlap="1" wp14:anchorId="413FAC72" wp14:editId="42C76A21">
                <wp:simplePos x="0" y="0"/>
                <wp:positionH relativeFrom="column">
                  <wp:posOffset>364490</wp:posOffset>
                </wp:positionH>
                <wp:positionV relativeFrom="paragraph">
                  <wp:posOffset>95885</wp:posOffset>
                </wp:positionV>
                <wp:extent cx="5311140" cy="1414145"/>
                <wp:effectExtent l="17780" t="18415" r="14605" b="1524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1414145"/>
                        </a:xfrm>
                        <a:prstGeom prst="rect">
                          <a:avLst/>
                        </a:prstGeom>
                        <a:noFill/>
                        <a:ln w="28575">
                          <a:solidFill>
                            <a:srgbClr val="9BBB59">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824A2" id="Rectangle 4" o:spid="_x0000_s1026" style="position:absolute;margin-left:28.7pt;margin-top:7.55pt;width:418.2pt;height:1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" filled="f" strokecolor="#9bbb59" strokeweight="2.25pt"/>
            </w:pict>
          </mc:Fallback>
        </mc:AlternateContent>
      </w:r>
    </w:p>
    <w:p w14:paraId="742F6AA7" w14:textId="77777777" w:rsidR="00520F6E" w:rsidRPr="006D77AD" w:rsidRDefault="00520F6E" w:rsidP="00520F6E">
      <w:pPr>
        <w:autoSpaceDE w:val="0"/>
        <w:autoSpaceDN w:val="0"/>
        <w:adjustRightInd w:val="0"/>
        <w:contextualSpacing/>
        <w:jc w:val="center"/>
      </w:pPr>
      <w:r>
        <w:rPr>
          <w:noProof/>
        </w:rPr>
        <mc:AlternateContent>
          <mc:Choice Requires="wps">
            <w:drawing>
              <wp:anchor distT="0" distB="0" distL="114300" distR="114300" simplePos="0" relativeHeight="251666432" behindDoc="0" locked="0" layoutInCell="1" allowOverlap="1" wp14:anchorId="773F5039" wp14:editId="52F58B8C">
                <wp:simplePos x="0" y="0"/>
                <wp:positionH relativeFrom="column">
                  <wp:posOffset>364490</wp:posOffset>
                </wp:positionH>
                <wp:positionV relativeFrom="paragraph">
                  <wp:posOffset>1430020</wp:posOffset>
                </wp:positionV>
                <wp:extent cx="5305425" cy="2892425"/>
                <wp:effectExtent l="17780" t="22860" r="20320" b="1841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8924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308C1" id="Rectangle 2" o:spid="_x0000_s1026" style="position:absolute;margin-left:28.7pt;margin-top:112.6pt;width:417.75pt;height:2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" filled="f" strokecolor="red" strokeweight="2.25pt"/>
            </w:pict>
          </mc:Fallback>
        </mc:AlternateContent>
      </w:r>
      <w:r w:rsidRPr="006D77AD">
        <w:rPr>
          <w:noProof/>
        </w:rPr>
        <w:drawing>
          <wp:inline distT="0" distB="0" distL="0" distR="0" wp14:anchorId="30F768FB" wp14:editId="1E8326F9">
            <wp:extent cx="4805916" cy="6692087"/>
            <wp:effectExtent l="0" t="0" r="0" b="0"/>
            <wp:docPr id="14" name="Picture 14" descr="http://planningguidance.communities.gov.uk/wp-content/uploads/2014/02/sea1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nningguidance.communities.gov.uk/wp-content/uploads/2014/02/sea1_013.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813101" cy="6702092"/>
                    </a:xfrm>
                    <a:prstGeom prst="rect">
                      <a:avLst/>
                    </a:prstGeom>
                    <a:noFill/>
                    <a:ln>
                      <a:noFill/>
                    </a:ln>
                  </pic:spPr>
                </pic:pic>
              </a:graphicData>
            </a:graphic>
          </wp:inline>
        </w:drawing>
      </w:r>
    </w:p>
    <w:p w14:paraId="5A1B88A5" w14:textId="77777777" w:rsidR="00520F6E" w:rsidRPr="006D77AD" w:rsidRDefault="00520F6E" w:rsidP="00520F6E">
      <w:pPr>
        <w:autoSpaceDE w:val="0"/>
        <w:autoSpaceDN w:val="0"/>
        <w:adjustRightInd w:val="0"/>
        <w:contextualSpacing/>
        <w:jc w:val="both"/>
      </w:pPr>
    </w:p>
    <w:p w14:paraId="6D560512" w14:textId="77777777" w:rsidR="00520F6E" w:rsidRPr="006D77AD" w:rsidRDefault="00520F6E" w:rsidP="00520F6E">
      <w:pPr>
        <w:autoSpaceDE w:val="0"/>
        <w:autoSpaceDN w:val="0"/>
        <w:adjustRightInd w:val="0"/>
        <w:contextualSpacing/>
        <w:jc w:val="both"/>
      </w:pPr>
    </w:p>
    <w:p w14:paraId="180D694B" w14:textId="77777777" w:rsidR="00520F6E" w:rsidRPr="006D77AD" w:rsidRDefault="00520F6E" w:rsidP="00520F6E">
      <w:pPr>
        <w:autoSpaceDE w:val="0"/>
        <w:autoSpaceDN w:val="0"/>
        <w:adjustRightInd w:val="0"/>
        <w:contextualSpacing/>
        <w:jc w:val="both"/>
      </w:pPr>
      <w:r>
        <w:rPr>
          <w:noProof/>
        </w:rPr>
        <mc:AlternateContent>
          <mc:Choice Requires="wps">
            <w:drawing>
              <wp:anchor distT="45720" distB="45720" distL="114300" distR="114300" simplePos="0" relativeHeight="251670528" behindDoc="0" locked="0" layoutInCell="1" allowOverlap="1" wp14:anchorId="287AE45E" wp14:editId="0D97AFAF">
                <wp:simplePos x="0" y="0"/>
                <wp:positionH relativeFrom="column">
                  <wp:posOffset>737235</wp:posOffset>
                </wp:positionH>
                <wp:positionV relativeFrom="paragraph">
                  <wp:posOffset>5080</wp:posOffset>
                </wp:positionV>
                <wp:extent cx="5276215" cy="539115"/>
                <wp:effectExtent l="13335" t="6350" r="6350" b="698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539115"/>
                        </a:xfrm>
                        <a:prstGeom prst="rect">
                          <a:avLst/>
                        </a:prstGeom>
                        <a:solidFill>
                          <a:srgbClr val="FFFFFF"/>
                        </a:solidFill>
                        <a:ln w="9525">
                          <a:solidFill>
                            <a:srgbClr val="000000"/>
                          </a:solidFill>
                          <a:miter lim="800000"/>
                          <a:headEnd/>
                          <a:tailEnd/>
                        </a:ln>
                      </wps:spPr>
                      <wps:txbx>
                        <w:txbxContent>
                          <w:p w14:paraId="075903A8" w14:textId="77777777" w:rsidR="00520F6E" w:rsidRPr="005E1F99" w:rsidRDefault="00520F6E" w:rsidP="00520F6E">
                            <w:pPr>
                              <w:rPr>
                                <w:sz w:val="20"/>
                                <w:szCs w:val="20"/>
                              </w:rPr>
                            </w:pPr>
                            <w:r w:rsidRPr="005E1F99">
                              <w:rPr>
                                <w:sz w:val="20"/>
                                <w:szCs w:val="20"/>
                              </w:rPr>
                              <w:t>SA/SEA work completed ‘in house’ via the IIA Scoping Report. This was consulted upon at the Issues and Options stage.  The winner of the tender will review this work for legal compliance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7AE45E" id="_x0000_t202" coordsize="21600,21600" o:spt="202" path="m,l,21600r21600,l21600,xe">
                <v:stroke joinstyle="miter"/>
                <v:path gradientshapeok="t" o:connecttype="rect"/>
              </v:shapetype>
              <v:shape id="Text Box 2" o:spid="_x0000_s1026" type="#_x0000_t202" style="position:absolute;left:0;text-align:left;margin-left:58.05pt;margin-top:.4pt;width:415.45pt;height:42.4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">
                <v:textbox style="mso-fit-shape-to-text:t">
                  <w:txbxContent>
                    <w:p w14:paraId="075903A8" w14:textId="77777777" w:rsidR="00520F6E" w:rsidRPr="005E1F99" w:rsidRDefault="00520F6E" w:rsidP="00520F6E">
                      <w:pPr>
                        <w:rPr>
                          <w:sz w:val="20"/>
                          <w:szCs w:val="20"/>
                        </w:rPr>
                      </w:pPr>
                      <w:r w:rsidRPr="005E1F99">
                        <w:rPr>
                          <w:sz w:val="20"/>
                          <w:szCs w:val="20"/>
                        </w:rPr>
                        <w:t>SA/SEA work completed ‘in house’ via the IIA Scoping Report. This was consulted upon at the Issues and Options stage.  The winner of the tender will review this work for legal compliance</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0F3B95A2" wp14:editId="7BE81F25">
                <wp:simplePos x="0" y="0"/>
                <wp:positionH relativeFrom="column">
                  <wp:posOffset>18415</wp:posOffset>
                </wp:positionH>
                <wp:positionV relativeFrom="paragraph">
                  <wp:posOffset>55880</wp:posOffset>
                </wp:positionV>
                <wp:extent cx="565785" cy="314325"/>
                <wp:effectExtent l="14605" t="23495" r="19685" b="1460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14325"/>
                        </a:xfrm>
                        <a:prstGeom prst="rect">
                          <a:avLst/>
                        </a:prstGeom>
                        <a:noFill/>
                        <a:ln w="28575">
                          <a:solidFill>
                            <a:srgbClr val="9BBB59">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647E" id="Rectangle 6" o:spid="_x0000_s1026" style="position:absolute;margin-left:1.45pt;margin-top:4.4pt;width:44.5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" filled="f" strokecolor="#9bbb59" strokeweight="2.25pt"/>
            </w:pict>
          </mc:Fallback>
        </mc:AlternateContent>
      </w:r>
    </w:p>
    <w:p w14:paraId="558D2F7F" w14:textId="77777777" w:rsidR="00520F6E" w:rsidRPr="006D77AD" w:rsidRDefault="00520F6E" w:rsidP="00520F6E">
      <w:pPr>
        <w:autoSpaceDE w:val="0"/>
        <w:autoSpaceDN w:val="0"/>
        <w:adjustRightInd w:val="0"/>
        <w:contextualSpacing/>
        <w:jc w:val="both"/>
      </w:pPr>
    </w:p>
    <w:p w14:paraId="2463FF65" w14:textId="77777777" w:rsidR="00520F6E" w:rsidRPr="006D77AD" w:rsidRDefault="00520F6E" w:rsidP="00520F6E">
      <w:pPr>
        <w:autoSpaceDE w:val="0"/>
        <w:autoSpaceDN w:val="0"/>
        <w:adjustRightInd w:val="0"/>
        <w:contextualSpacing/>
        <w:jc w:val="both"/>
      </w:pPr>
    </w:p>
    <w:p w14:paraId="2B497A84" w14:textId="77777777" w:rsidR="00520F6E" w:rsidRPr="006D77AD" w:rsidRDefault="00520F6E" w:rsidP="00520F6E">
      <w:pPr>
        <w:autoSpaceDE w:val="0"/>
        <w:autoSpaceDN w:val="0"/>
        <w:adjustRightInd w:val="0"/>
        <w:contextualSpacing/>
        <w:jc w:val="both"/>
      </w:pPr>
      <w:r>
        <w:rPr>
          <w:noProof/>
        </w:rPr>
        <mc:AlternateContent>
          <mc:Choice Requires="wps">
            <w:drawing>
              <wp:anchor distT="45720" distB="45720" distL="114300" distR="114300" simplePos="0" relativeHeight="251671552" behindDoc="0" locked="0" layoutInCell="1" allowOverlap="1" wp14:anchorId="12FFD098" wp14:editId="7AF21E53">
                <wp:simplePos x="0" y="0"/>
                <wp:positionH relativeFrom="column">
                  <wp:posOffset>726440</wp:posOffset>
                </wp:positionH>
                <wp:positionV relativeFrom="paragraph">
                  <wp:posOffset>71755</wp:posOffset>
                </wp:positionV>
                <wp:extent cx="5294630" cy="448945"/>
                <wp:effectExtent l="8255" t="12700" r="12065" b="508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448945"/>
                        </a:xfrm>
                        <a:prstGeom prst="rect">
                          <a:avLst/>
                        </a:prstGeom>
                        <a:solidFill>
                          <a:srgbClr val="FFFFFF"/>
                        </a:solidFill>
                        <a:ln w="9525">
                          <a:solidFill>
                            <a:srgbClr val="000000"/>
                          </a:solidFill>
                          <a:miter lim="800000"/>
                          <a:headEnd/>
                          <a:tailEnd/>
                        </a:ln>
                      </wps:spPr>
                      <wps:txbx>
                        <w:txbxContent>
                          <w:p w14:paraId="50D2812C" w14:textId="77777777" w:rsidR="00520F6E" w:rsidRPr="005E1F99" w:rsidRDefault="00520F6E" w:rsidP="00520F6E">
                            <w:pPr>
                              <w:rPr>
                                <w:sz w:val="20"/>
                                <w:szCs w:val="20"/>
                              </w:rPr>
                            </w:pPr>
                            <w:r w:rsidRPr="005E1F99">
                              <w:rPr>
                                <w:sz w:val="20"/>
                                <w:szCs w:val="20"/>
                              </w:rPr>
                              <w:t>SA/SEA stages to be completed by winner of this tender via the outputs outlined in Section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FD098" id="Text Box 9" o:spid="_x0000_s1027" type="#_x0000_t202" style="position:absolute;left:0;text-align:left;margin-left:57.2pt;margin-top:5.65pt;width:416.9pt;height:35.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">
                <v:textbox>
                  <w:txbxContent>
                    <w:p w14:paraId="50D2812C" w14:textId="77777777" w:rsidR="00520F6E" w:rsidRPr="005E1F99" w:rsidRDefault="00520F6E" w:rsidP="00520F6E">
                      <w:pPr>
                        <w:rPr>
                          <w:sz w:val="20"/>
                          <w:szCs w:val="20"/>
                        </w:rPr>
                      </w:pPr>
                      <w:r w:rsidRPr="005E1F99">
                        <w:rPr>
                          <w:sz w:val="20"/>
                          <w:szCs w:val="20"/>
                        </w:rPr>
                        <w:t>SA/SEA stages to be completed by winner of this tender via the outputs outlined in Section 6</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35823E74" wp14:editId="60A2BBFC">
                <wp:simplePos x="0" y="0"/>
                <wp:positionH relativeFrom="column">
                  <wp:posOffset>18415</wp:posOffset>
                </wp:positionH>
                <wp:positionV relativeFrom="paragraph">
                  <wp:posOffset>60960</wp:posOffset>
                </wp:positionV>
                <wp:extent cx="565785" cy="308610"/>
                <wp:effectExtent l="14605" t="20955" r="19685" b="2286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0861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CED92" id="Rectangle 5" o:spid="_x0000_s1026" style="position:absolute;margin-left:1.45pt;margin-top:4.8pt;width:44.5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" filled="f" strokecolor="red" strokeweight="2.25pt"/>
            </w:pict>
          </mc:Fallback>
        </mc:AlternateContent>
      </w:r>
    </w:p>
    <w:p w14:paraId="3CEDF5F7" w14:textId="77777777" w:rsidR="00520F6E" w:rsidRPr="006D77AD" w:rsidRDefault="00520F6E" w:rsidP="00520F6E">
      <w:pPr>
        <w:autoSpaceDE w:val="0"/>
        <w:autoSpaceDN w:val="0"/>
        <w:adjustRightInd w:val="0"/>
        <w:contextualSpacing/>
        <w:jc w:val="both"/>
      </w:pPr>
    </w:p>
    <w:p w14:paraId="1001E0AC" w14:textId="77777777" w:rsidR="00520F6E" w:rsidRPr="006D77AD" w:rsidRDefault="00520F6E" w:rsidP="00520F6E">
      <w:pPr>
        <w:autoSpaceDE w:val="0"/>
        <w:autoSpaceDN w:val="0"/>
        <w:adjustRightInd w:val="0"/>
        <w:contextualSpacing/>
        <w:jc w:val="both"/>
      </w:pPr>
      <w:bookmarkStart w:id="0" w:name="_GoBack"/>
      <w:bookmarkEnd w:id="0"/>
    </w:p>
    <w:sectPr w:rsidR="00520F6E" w:rsidRPr="006D77AD" w:rsidSect="00B9658E">
      <w:footerReference w:type="default" r:id="rId37"/>
      <w:pgSz w:w="11906" w:h="16838"/>
      <w:pgMar w:top="1440" w:right="127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9915" w14:textId="77777777" w:rsidR="008403A3" w:rsidRDefault="008403A3">
      <w:r>
        <w:separator/>
      </w:r>
    </w:p>
  </w:endnote>
  <w:endnote w:type="continuationSeparator" w:id="0">
    <w:p w14:paraId="0E782BA7" w14:textId="77777777" w:rsidR="008403A3" w:rsidRDefault="0084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nsport Heavy">
    <w:altName w:val="Times New Roman"/>
    <w:charset w:val="00"/>
    <w:family w:val="auto"/>
    <w:pitch w:val="default"/>
  </w:font>
  <w:font w:name="Foundry Form Sans">
    <w:altName w:val="Bell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09514"/>
      <w:docPartObj>
        <w:docPartGallery w:val="Page Numbers (Bottom of Page)"/>
        <w:docPartUnique/>
      </w:docPartObj>
    </w:sdtPr>
    <w:sdtEndPr>
      <w:rPr>
        <w:sz w:val="22"/>
        <w:szCs w:val="22"/>
      </w:rPr>
    </w:sdtEndPr>
    <w:sdtContent>
      <w:p w14:paraId="6FD75306" w14:textId="3C2FD548" w:rsidR="00B00076" w:rsidRPr="006D5C60" w:rsidRDefault="00B00076" w:rsidP="006D5C60">
        <w:pPr>
          <w:pStyle w:val="Footer"/>
          <w:jc w:val="right"/>
          <w:rPr>
            <w:sz w:val="22"/>
            <w:szCs w:val="22"/>
          </w:rPr>
        </w:pPr>
        <w:r>
          <w:fldChar w:fldCharType="begin"/>
        </w:r>
        <w:r>
          <w:instrText xml:space="preserve"> PAGE   \* MERGEFORMAT </w:instrText>
        </w:r>
        <w:r>
          <w:fldChar w:fldCharType="separate"/>
        </w:r>
        <w:r w:rsidR="00520F6E" w:rsidRPr="00520F6E">
          <w:rPr>
            <w:noProof/>
            <w:sz w:val="22"/>
            <w:szCs w:val="22"/>
          </w:rPr>
          <w:t>8</w:t>
        </w:r>
        <w:r>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5FCB4" w14:textId="77777777" w:rsidR="008403A3" w:rsidRDefault="008403A3">
      <w:r>
        <w:separator/>
      </w:r>
    </w:p>
  </w:footnote>
  <w:footnote w:type="continuationSeparator" w:id="0">
    <w:p w14:paraId="73D60F05" w14:textId="77777777" w:rsidR="008403A3" w:rsidRDefault="008403A3">
      <w:r>
        <w:continuationSeparator/>
      </w:r>
    </w:p>
  </w:footnote>
  <w:footnote w:id="1">
    <w:p w14:paraId="74B6919C" w14:textId="7669BC85" w:rsidR="00E555C0" w:rsidRDefault="00E555C0">
      <w:pPr>
        <w:pStyle w:val="FootnoteText"/>
      </w:pPr>
      <w:r>
        <w:rPr>
          <w:rStyle w:val="FootnoteReference"/>
        </w:rPr>
        <w:footnoteRef/>
      </w:r>
      <w:r>
        <w:t xml:space="preserve"> including secondary, cumulative, synergistic, short, medium and long-term permanent and temporary, positive and negative effects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F01"/>
    <w:multiLevelType w:val="hybridMultilevel"/>
    <w:tmpl w:val="A2366B5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2E2B2B"/>
    <w:multiLevelType w:val="hybridMultilevel"/>
    <w:tmpl w:val="834EA736"/>
    <w:lvl w:ilvl="0" w:tplc="ED76497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550078"/>
    <w:multiLevelType w:val="hybridMultilevel"/>
    <w:tmpl w:val="C5BA2554"/>
    <w:lvl w:ilvl="0" w:tplc="A99E7C5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7A7B6A"/>
    <w:multiLevelType w:val="hybridMultilevel"/>
    <w:tmpl w:val="9984CEFA"/>
    <w:lvl w:ilvl="0" w:tplc="2B8C0156">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9403929"/>
    <w:multiLevelType w:val="hybridMultilevel"/>
    <w:tmpl w:val="9E38490A"/>
    <w:lvl w:ilvl="0" w:tplc="9E9654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0E04768"/>
    <w:multiLevelType w:val="hybridMultilevel"/>
    <w:tmpl w:val="0810CD86"/>
    <w:lvl w:ilvl="0" w:tplc="D7FEC3A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3C219C"/>
    <w:multiLevelType w:val="hybridMultilevel"/>
    <w:tmpl w:val="9FC6E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254F03"/>
    <w:multiLevelType w:val="hybridMultilevel"/>
    <w:tmpl w:val="E28CB2B2"/>
    <w:lvl w:ilvl="0" w:tplc="E50A444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E5161B"/>
    <w:multiLevelType w:val="hybridMultilevel"/>
    <w:tmpl w:val="8B86FF1C"/>
    <w:lvl w:ilvl="0" w:tplc="2EDAEDC6">
      <w:start w:val="4"/>
      <w:numFmt w:val="bullet"/>
      <w:lvlText w:val="-"/>
      <w:lvlJc w:val="left"/>
      <w:pPr>
        <w:ind w:left="1440" w:hanging="360"/>
      </w:pPr>
      <w:rPr>
        <w:rFonts w:ascii="Calibri" w:eastAsia="Times New Roman" w:hAnsi="Calibri"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07B7CE4"/>
    <w:multiLevelType w:val="hybridMultilevel"/>
    <w:tmpl w:val="8B2C775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84613A"/>
    <w:multiLevelType w:val="hybridMultilevel"/>
    <w:tmpl w:val="D2EC39F0"/>
    <w:lvl w:ilvl="0" w:tplc="ED76497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7E378F"/>
    <w:multiLevelType w:val="multilevel"/>
    <w:tmpl w:val="6A22156E"/>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635E4E68"/>
    <w:multiLevelType w:val="hybridMultilevel"/>
    <w:tmpl w:val="07523B7A"/>
    <w:lvl w:ilvl="0" w:tplc="6DFCEACC">
      <w:start w:val="1"/>
      <w:numFmt w:val="bullet"/>
      <w:lvlText w:val=""/>
      <w:lvlJc w:val="left"/>
      <w:pPr>
        <w:ind w:left="1440" w:hanging="360"/>
      </w:pPr>
      <w:rPr>
        <w:rFonts w:ascii="Symbol" w:hAnsi="Symbol" w:hint="default"/>
      </w:rPr>
    </w:lvl>
    <w:lvl w:ilvl="1" w:tplc="08090019">
      <w:start w:val="1"/>
      <w:numFmt w:val="bullet"/>
      <w:lvlText w:val="o"/>
      <w:lvlJc w:val="left"/>
      <w:pPr>
        <w:ind w:left="2160" w:hanging="360"/>
      </w:pPr>
      <w:rPr>
        <w:rFonts w:ascii="Courier New" w:hAnsi="Courier New" w:cs="Courier New" w:hint="default"/>
      </w:rPr>
    </w:lvl>
    <w:lvl w:ilvl="2" w:tplc="0809001B" w:tentative="1">
      <w:start w:val="1"/>
      <w:numFmt w:val="bullet"/>
      <w:lvlText w:val=""/>
      <w:lvlJc w:val="left"/>
      <w:pPr>
        <w:ind w:left="2880" w:hanging="360"/>
      </w:pPr>
      <w:rPr>
        <w:rFonts w:ascii="Wingdings" w:hAnsi="Wingdings" w:hint="default"/>
      </w:rPr>
    </w:lvl>
    <w:lvl w:ilvl="3" w:tplc="0809000F" w:tentative="1">
      <w:start w:val="1"/>
      <w:numFmt w:val="bullet"/>
      <w:lvlText w:val=""/>
      <w:lvlJc w:val="left"/>
      <w:pPr>
        <w:ind w:left="3600" w:hanging="360"/>
      </w:pPr>
      <w:rPr>
        <w:rFonts w:ascii="Symbol" w:hAnsi="Symbol" w:hint="default"/>
      </w:rPr>
    </w:lvl>
    <w:lvl w:ilvl="4" w:tplc="08090019" w:tentative="1">
      <w:start w:val="1"/>
      <w:numFmt w:val="bullet"/>
      <w:lvlText w:val="o"/>
      <w:lvlJc w:val="left"/>
      <w:pPr>
        <w:ind w:left="4320" w:hanging="360"/>
      </w:pPr>
      <w:rPr>
        <w:rFonts w:ascii="Courier New" w:hAnsi="Courier New" w:cs="Courier New" w:hint="default"/>
      </w:rPr>
    </w:lvl>
    <w:lvl w:ilvl="5" w:tplc="0809001B" w:tentative="1">
      <w:start w:val="1"/>
      <w:numFmt w:val="bullet"/>
      <w:lvlText w:val=""/>
      <w:lvlJc w:val="left"/>
      <w:pPr>
        <w:ind w:left="5040" w:hanging="360"/>
      </w:pPr>
      <w:rPr>
        <w:rFonts w:ascii="Wingdings" w:hAnsi="Wingdings" w:hint="default"/>
      </w:rPr>
    </w:lvl>
    <w:lvl w:ilvl="6" w:tplc="0809000F" w:tentative="1">
      <w:start w:val="1"/>
      <w:numFmt w:val="bullet"/>
      <w:lvlText w:val=""/>
      <w:lvlJc w:val="left"/>
      <w:pPr>
        <w:ind w:left="5760" w:hanging="360"/>
      </w:pPr>
      <w:rPr>
        <w:rFonts w:ascii="Symbol" w:hAnsi="Symbol" w:hint="default"/>
      </w:rPr>
    </w:lvl>
    <w:lvl w:ilvl="7" w:tplc="08090019" w:tentative="1">
      <w:start w:val="1"/>
      <w:numFmt w:val="bullet"/>
      <w:lvlText w:val="o"/>
      <w:lvlJc w:val="left"/>
      <w:pPr>
        <w:ind w:left="6480" w:hanging="360"/>
      </w:pPr>
      <w:rPr>
        <w:rFonts w:ascii="Courier New" w:hAnsi="Courier New" w:cs="Courier New" w:hint="default"/>
      </w:rPr>
    </w:lvl>
    <w:lvl w:ilvl="8" w:tplc="0809001B" w:tentative="1">
      <w:start w:val="1"/>
      <w:numFmt w:val="bullet"/>
      <w:lvlText w:val=""/>
      <w:lvlJc w:val="left"/>
      <w:pPr>
        <w:ind w:left="7200" w:hanging="360"/>
      </w:pPr>
      <w:rPr>
        <w:rFonts w:ascii="Wingdings" w:hAnsi="Wingdings" w:hint="default"/>
      </w:rPr>
    </w:lvl>
  </w:abstractNum>
  <w:abstractNum w:abstractNumId="13" w15:restartNumberingAfterBreak="0">
    <w:nsid w:val="6EFE578E"/>
    <w:multiLevelType w:val="hybridMultilevel"/>
    <w:tmpl w:val="7A660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238EA"/>
    <w:multiLevelType w:val="hybridMultilevel"/>
    <w:tmpl w:val="324620F8"/>
    <w:lvl w:ilvl="0" w:tplc="F2C29BCE">
      <w:start w:val="1"/>
      <w:numFmt w:val="bullet"/>
      <w:pStyle w:val="Bullets"/>
      <w:lvlText w:val=""/>
      <w:lvlJc w:val="left"/>
      <w:pPr>
        <w:ind w:left="1069" w:hanging="360"/>
      </w:pPr>
      <w:rPr>
        <w:rFonts w:ascii="Symbol" w:hAnsi="Symbol" w:hint="default"/>
      </w:rPr>
    </w:lvl>
    <w:lvl w:ilvl="1" w:tplc="A9220032">
      <w:start w:val="1"/>
      <w:numFmt w:val="bullet"/>
      <w:lvlText w:val="o"/>
      <w:lvlJc w:val="left"/>
      <w:pPr>
        <w:ind w:left="1789" w:hanging="360"/>
      </w:pPr>
      <w:rPr>
        <w:rFonts w:ascii="Courier New" w:hAnsi="Courier New" w:cs="Courier New" w:hint="default"/>
      </w:rPr>
    </w:lvl>
    <w:lvl w:ilvl="2" w:tplc="C722DB88" w:tentative="1">
      <w:start w:val="1"/>
      <w:numFmt w:val="bullet"/>
      <w:lvlText w:val=""/>
      <w:lvlJc w:val="left"/>
      <w:pPr>
        <w:ind w:left="2509" w:hanging="360"/>
      </w:pPr>
      <w:rPr>
        <w:rFonts w:ascii="Wingdings" w:hAnsi="Wingdings" w:hint="default"/>
      </w:rPr>
    </w:lvl>
    <w:lvl w:ilvl="3" w:tplc="7AB628A0" w:tentative="1">
      <w:start w:val="1"/>
      <w:numFmt w:val="bullet"/>
      <w:lvlText w:val=""/>
      <w:lvlJc w:val="left"/>
      <w:pPr>
        <w:ind w:left="3229" w:hanging="360"/>
      </w:pPr>
      <w:rPr>
        <w:rFonts w:ascii="Symbol" w:hAnsi="Symbol" w:hint="default"/>
      </w:rPr>
    </w:lvl>
    <w:lvl w:ilvl="4" w:tplc="08EC9522" w:tentative="1">
      <w:start w:val="1"/>
      <w:numFmt w:val="bullet"/>
      <w:lvlText w:val="o"/>
      <w:lvlJc w:val="left"/>
      <w:pPr>
        <w:ind w:left="3949" w:hanging="360"/>
      </w:pPr>
      <w:rPr>
        <w:rFonts w:ascii="Courier New" w:hAnsi="Courier New" w:cs="Courier New" w:hint="default"/>
      </w:rPr>
    </w:lvl>
    <w:lvl w:ilvl="5" w:tplc="9E7C937E" w:tentative="1">
      <w:start w:val="1"/>
      <w:numFmt w:val="bullet"/>
      <w:lvlText w:val=""/>
      <w:lvlJc w:val="left"/>
      <w:pPr>
        <w:ind w:left="4669" w:hanging="360"/>
      </w:pPr>
      <w:rPr>
        <w:rFonts w:ascii="Wingdings" w:hAnsi="Wingdings" w:hint="default"/>
      </w:rPr>
    </w:lvl>
    <w:lvl w:ilvl="6" w:tplc="CE2C03FA" w:tentative="1">
      <w:start w:val="1"/>
      <w:numFmt w:val="bullet"/>
      <w:lvlText w:val=""/>
      <w:lvlJc w:val="left"/>
      <w:pPr>
        <w:ind w:left="5389" w:hanging="360"/>
      </w:pPr>
      <w:rPr>
        <w:rFonts w:ascii="Symbol" w:hAnsi="Symbol" w:hint="default"/>
      </w:rPr>
    </w:lvl>
    <w:lvl w:ilvl="7" w:tplc="E89C256E" w:tentative="1">
      <w:start w:val="1"/>
      <w:numFmt w:val="bullet"/>
      <w:lvlText w:val="o"/>
      <w:lvlJc w:val="left"/>
      <w:pPr>
        <w:ind w:left="6109" w:hanging="360"/>
      </w:pPr>
      <w:rPr>
        <w:rFonts w:ascii="Courier New" w:hAnsi="Courier New" w:cs="Courier New" w:hint="default"/>
      </w:rPr>
    </w:lvl>
    <w:lvl w:ilvl="8" w:tplc="3FC8572E" w:tentative="1">
      <w:start w:val="1"/>
      <w:numFmt w:val="bullet"/>
      <w:lvlText w:val=""/>
      <w:lvlJc w:val="left"/>
      <w:pPr>
        <w:ind w:left="6829" w:hanging="360"/>
      </w:pPr>
      <w:rPr>
        <w:rFonts w:ascii="Wingdings" w:hAnsi="Wingdings" w:hint="default"/>
      </w:rPr>
    </w:lvl>
  </w:abstractNum>
  <w:abstractNum w:abstractNumId="15" w15:restartNumberingAfterBreak="0">
    <w:nsid w:val="763D4374"/>
    <w:multiLevelType w:val="hybridMultilevel"/>
    <w:tmpl w:val="1334F4E4"/>
    <w:lvl w:ilvl="0" w:tplc="76F6393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0D1462"/>
    <w:multiLevelType w:val="multilevel"/>
    <w:tmpl w:val="B0BCAB3C"/>
    <w:lvl w:ilvl="0">
      <w:start w:val="1"/>
      <w:numFmt w:val="decimal"/>
      <w:lvlText w:val="%1.0"/>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6"/>
  </w:num>
  <w:num w:numId="2">
    <w:abstractNumId w:val="6"/>
  </w:num>
  <w:num w:numId="3">
    <w:abstractNumId w:val="12"/>
  </w:num>
  <w:num w:numId="4">
    <w:abstractNumId w:val="13"/>
  </w:num>
  <w:num w:numId="5">
    <w:abstractNumId w:val="14"/>
  </w:num>
  <w:num w:numId="6">
    <w:abstractNumId w:val="7"/>
  </w:num>
  <w:num w:numId="7">
    <w:abstractNumId w:val="2"/>
  </w:num>
  <w:num w:numId="8">
    <w:abstractNumId w:val="3"/>
  </w:num>
  <w:num w:numId="9">
    <w:abstractNumId w:val="10"/>
  </w:num>
  <w:num w:numId="10">
    <w:abstractNumId w:val="15"/>
  </w:num>
  <w:num w:numId="11">
    <w:abstractNumId w:val="4"/>
  </w:num>
  <w:num w:numId="12">
    <w:abstractNumId w:val="5"/>
  </w:num>
  <w:num w:numId="13">
    <w:abstractNumId w:val="9"/>
  </w:num>
  <w:num w:numId="14">
    <w:abstractNumId w:val="0"/>
  </w:num>
  <w:num w:numId="15">
    <w:abstractNumId w:val="1"/>
  </w:num>
  <w:num w:numId="16">
    <w:abstractNumId w:val="8"/>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3A"/>
    <w:rsid w:val="00000694"/>
    <w:rsid w:val="00001689"/>
    <w:rsid w:val="00003546"/>
    <w:rsid w:val="00005350"/>
    <w:rsid w:val="000103EB"/>
    <w:rsid w:val="00016816"/>
    <w:rsid w:val="00016EA5"/>
    <w:rsid w:val="00021958"/>
    <w:rsid w:val="00024CA4"/>
    <w:rsid w:val="00030614"/>
    <w:rsid w:val="00034FA6"/>
    <w:rsid w:val="00042277"/>
    <w:rsid w:val="00042AED"/>
    <w:rsid w:val="000447AD"/>
    <w:rsid w:val="00045361"/>
    <w:rsid w:val="00046F66"/>
    <w:rsid w:val="000506DC"/>
    <w:rsid w:val="0005091F"/>
    <w:rsid w:val="0005136C"/>
    <w:rsid w:val="00051732"/>
    <w:rsid w:val="00056105"/>
    <w:rsid w:val="000570C2"/>
    <w:rsid w:val="00060AD0"/>
    <w:rsid w:val="00060E3E"/>
    <w:rsid w:val="0006284A"/>
    <w:rsid w:val="00063481"/>
    <w:rsid w:val="00070EEA"/>
    <w:rsid w:val="00075819"/>
    <w:rsid w:val="00075CD9"/>
    <w:rsid w:val="000765F2"/>
    <w:rsid w:val="000777CD"/>
    <w:rsid w:val="00082C5C"/>
    <w:rsid w:val="00086FF9"/>
    <w:rsid w:val="000914B5"/>
    <w:rsid w:val="00091523"/>
    <w:rsid w:val="000916BA"/>
    <w:rsid w:val="00093870"/>
    <w:rsid w:val="00094DF6"/>
    <w:rsid w:val="00095E62"/>
    <w:rsid w:val="000A165A"/>
    <w:rsid w:val="000A389F"/>
    <w:rsid w:val="000A43C7"/>
    <w:rsid w:val="000A4BBF"/>
    <w:rsid w:val="000A7095"/>
    <w:rsid w:val="000A77B8"/>
    <w:rsid w:val="000B00E8"/>
    <w:rsid w:val="000B0842"/>
    <w:rsid w:val="000B2278"/>
    <w:rsid w:val="000B2F6E"/>
    <w:rsid w:val="000B5F7B"/>
    <w:rsid w:val="000B7FDA"/>
    <w:rsid w:val="000C0D87"/>
    <w:rsid w:val="000C3CAE"/>
    <w:rsid w:val="000C5646"/>
    <w:rsid w:val="000D05B2"/>
    <w:rsid w:val="000D09DF"/>
    <w:rsid w:val="000D32DE"/>
    <w:rsid w:val="000D3CE2"/>
    <w:rsid w:val="000D56A9"/>
    <w:rsid w:val="000D6208"/>
    <w:rsid w:val="000D7668"/>
    <w:rsid w:val="000E095D"/>
    <w:rsid w:val="000E12E4"/>
    <w:rsid w:val="000E1C1E"/>
    <w:rsid w:val="000E1FE7"/>
    <w:rsid w:val="000E238D"/>
    <w:rsid w:val="000E67CC"/>
    <w:rsid w:val="000F0AD7"/>
    <w:rsid w:val="000F2235"/>
    <w:rsid w:val="000F55AE"/>
    <w:rsid w:val="000F6D33"/>
    <w:rsid w:val="000F761B"/>
    <w:rsid w:val="00100422"/>
    <w:rsid w:val="00101013"/>
    <w:rsid w:val="00103141"/>
    <w:rsid w:val="00103620"/>
    <w:rsid w:val="001044D0"/>
    <w:rsid w:val="00106174"/>
    <w:rsid w:val="00113F32"/>
    <w:rsid w:val="0011525C"/>
    <w:rsid w:val="001154E9"/>
    <w:rsid w:val="0011574C"/>
    <w:rsid w:val="0011576F"/>
    <w:rsid w:val="00117695"/>
    <w:rsid w:val="00122090"/>
    <w:rsid w:val="001273B9"/>
    <w:rsid w:val="00130158"/>
    <w:rsid w:val="00130C83"/>
    <w:rsid w:val="00132C58"/>
    <w:rsid w:val="001357ED"/>
    <w:rsid w:val="001361D7"/>
    <w:rsid w:val="001378DE"/>
    <w:rsid w:val="0013792B"/>
    <w:rsid w:val="00141770"/>
    <w:rsid w:val="001422D2"/>
    <w:rsid w:val="00143002"/>
    <w:rsid w:val="001470C5"/>
    <w:rsid w:val="00147C42"/>
    <w:rsid w:val="00152F17"/>
    <w:rsid w:val="0015409F"/>
    <w:rsid w:val="00154B29"/>
    <w:rsid w:val="00154E7D"/>
    <w:rsid w:val="00155636"/>
    <w:rsid w:val="00155976"/>
    <w:rsid w:val="00156A54"/>
    <w:rsid w:val="00157B47"/>
    <w:rsid w:val="001616C3"/>
    <w:rsid w:val="00161819"/>
    <w:rsid w:val="00164081"/>
    <w:rsid w:val="00170EF1"/>
    <w:rsid w:val="00170F5E"/>
    <w:rsid w:val="001717B6"/>
    <w:rsid w:val="00173F5C"/>
    <w:rsid w:val="001802D1"/>
    <w:rsid w:val="00182EDC"/>
    <w:rsid w:val="0018574F"/>
    <w:rsid w:val="00185D3F"/>
    <w:rsid w:val="00187AAA"/>
    <w:rsid w:val="00190DA9"/>
    <w:rsid w:val="00191BAB"/>
    <w:rsid w:val="00192066"/>
    <w:rsid w:val="00193047"/>
    <w:rsid w:val="00195F3E"/>
    <w:rsid w:val="00197435"/>
    <w:rsid w:val="001A0390"/>
    <w:rsid w:val="001A404F"/>
    <w:rsid w:val="001A4488"/>
    <w:rsid w:val="001A4B2E"/>
    <w:rsid w:val="001A7893"/>
    <w:rsid w:val="001B00A9"/>
    <w:rsid w:val="001B6788"/>
    <w:rsid w:val="001B766F"/>
    <w:rsid w:val="001B7797"/>
    <w:rsid w:val="001C052C"/>
    <w:rsid w:val="001C0735"/>
    <w:rsid w:val="001C08F9"/>
    <w:rsid w:val="001C23B9"/>
    <w:rsid w:val="001C36AC"/>
    <w:rsid w:val="001D255F"/>
    <w:rsid w:val="001D2868"/>
    <w:rsid w:val="001D39AF"/>
    <w:rsid w:val="001E0178"/>
    <w:rsid w:val="001E2197"/>
    <w:rsid w:val="001E414B"/>
    <w:rsid w:val="001E63CB"/>
    <w:rsid w:val="001E75DA"/>
    <w:rsid w:val="001F230C"/>
    <w:rsid w:val="001F2BA9"/>
    <w:rsid w:val="00200DA2"/>
    <w:rsid w:val="002012F6"/>
    <w:rsid w:val="00201729"/>
    <w:rsid w:val="00203322"/>
    <w:rsid w:val="0020698F"/>
    <w:rsid w:val="00206C7B"/>
    <w:rsid w:val="0021249F"/>
    <w:rsid w:val="0021390B"/>
    <w:rsid w:val="00214734"/>
    <w:rsid w:val="002155F7"/>
    <w:rsid w:val="00215612"/>
    <w:rsid w:val="0021636F"/>
    <w:rsid w:val="002201AE"/>
    <w:rsid w:val="00220A40"/>
    <w:rsid w:val="00224B79"/>
    <w:rsid w:val="002306F3"/>
    <w:rsid w:val="002317E2"/>
    <w:rsid w:val="002339B8"/>
    <w:rsid w:val="002345EE"/>
    <w:rsid w:val="00236E7B"/>
    <w:rsid w:val="00237A54"/>
    <w:rsid w:val="00237B05"/>
    <w:rsid w:val="002411D2"/>
    <w:rsid w:val="00243139"/>
    <w:rsid w:val="002441AE"/>
    <w:rsid w:val="00244730"/>
    <w:rsid w:val="002514E9"/>
    <w:rsid w:val="0025226E"/>
    <w:rsid w:val="002525B3"/>
    <w:rsid w:val="002551FC"/>
    <w:rsid w:val="002567B8"/>
    <w:rsid w:val="00260967"/>
    <w:rsid w:val="00262075"/>
    <w:rsid w:val="00262232"/>
    <w:rsid w:val="00262F7B"/>
    <w:rsid w:val="0026367B"/>
    <w:rsid w:val="00264E97"/>
    <w:rsid w:val="0026580D"/>
    <w:rsid w:val="00265CF6"/>
    <w:rsid w:val="00265EDE"/>
    <w:rsid w:val="00267B5B"/>
    <w:rsid w:val="00267E1C"/>
    <w:rsid w:val="00281072"/>
    <w:rsid w:val="0028364B"/>
    <w:rsid w:val="00291570"/>
    <w:rsid w:val="00291959"/>
    <w:rsid w:val="002921F7"/>
    <w:rsid w:val="00296680"/>
    <w:rsid w:val="00297221"/>
    <w:rsid w:val="002A159A"/>
    <w:rsid w:val="002A18A0"/>
    <w:rsid w:val="002A1B9E"/>
    <w:rsid w:val="002A303B"/>
    <w:rsid w:val="002A5C53"/>
    <w:rsid w:val="002A73CF"/>
    <w:rsid w:val="002B0C84"/>
    <w:rsid w:val="002B38C5"/>
    <w:rsid w:val="002B6ED3"/>
    <w:rsid w:val="002C0CCC"/>
    <w:rsid w:val="002C1A40"/>
    <w:rsid w:val="002D0314"/>
    <w:rsid w:val="002D0A07"/>
    <w:rsid w:val="002D0D3A"/>
    <w:rsid w:val="002D152A"/>
    <w:rsid w:val="002D178E"/>
    <w:rsid w:val="002D23A8"/>
    <w:rsid w:val="002D2733"/>
    <w:rsid w:val="002D3715"/>
    <w:rsid w:val="002D3BC2"/>
    <w:rsid w:val="002E2877"/>
    <w:rsid w:val="002E5C1B"/>
    <w:rsid w:val="002E66E4"/>
    <w:rsid w:val="002E7999"/>
    <w:rsid w:val="002E7CEF"/>
    <w:rsid w:val="002F17BF"/>
    <w:rsid w:val="002F5B2C"/>
    <w:rsid w:val="0030378B"/>
    <w:rsid w:val="00303A7E"/>
    <w:rsid w:val="00304C03"/>
    <w:rsid w:val="00306D49"/>
    <w:rsid w:val="00307AB8"/>
    <w:rsid w:val="00313CE6"/>
    <w:rsid w:val="00320555"/>
    <w:rsid w:val="0032556E"/>
    <w:rsid w:val="003265B9"/>
    <w:rsid w:val="00326FD4"/>
    <w:rsid w:val="003278B4"/>
    <w:rsid w:val="00330373"/>
    <w:rsid w:val="00330E93"/>
    <w:rsid w:val="00331E7C"/>
    <w:rsid w:val="00332225"/>
    <w:rsid w:val="003336D7"/>
    <w:rsid w:val="00336953"/>
    <w:rsid w:val="00337C69"/>
    <w:rsid w:val="0034289E"/>
    <w:rsid w:val="0034465B"/>
    <w:rsid w:val="00352F54"/>
    <w:rsid w:val="0035331A"/>
    <w:rsid w:val="00354264"/>
    <w:rsid w:val="00357A82"/>
    <w:rsid w:val="00365660"/>
    <w:rsid w:val="003677E3"/>
    <w:rsid w:val="00370E18"/>
    <w:rsid w:val="00374DA1"/>
    <w:rsid w:val="0038267F"/>
    <w:rsid w:val="003826AD"/>
    <w:rsid w:val="003834B6"/>
    <w:rsid w:val="00383A47"/>
    <w:rsid w:val="003851BC"/>
    <w:rsid w:val="0038645F"/>
    <w:rsid w:val="00387882"/>
    <w:rsid w:val="00390620"/>
    <w:rsid w:val="00391479"/>
    <w:rsid w:val="00396126"/>
    <w:rsid w:val="003969AF"/>
    <w:rsid w:val="003A0705"/>
    <w:rsid w:val="003A316A"/>
    <w:rsid w:val="003B7ACC"/>
    <w:rsid w:val="003C0A34"/>
    <w:rsid w:val="003C25D8"/>
    <w:rsid w:val="003C7A58"/>
    <w:rsid w:val="003D0BA7"/>
    <w:rsid w:val="003D0E6E"/>
    <w:rsid w:val="003D236B"/>
    <w:rsid w:val="003D3C97"/>
    <w:rsid w:val="003D440D"/>
    <w:rsid w:val="003D78D0"/>
    <w:rsid w:val="003D7ED6"/>
    <w:rsid w:val="003D7F0F"/>
    <w:rsid w:val="003E43E4"/>
    <w:rsid w:val="003E54FF"/>
    <w:rsid w:val="003E677D"/>
    <w:rsid w:val="003E6E76"/>
    <w:rsid w:val="003F0BEF"/>
    <w:rsid w:val="003F1496"/>
    <w:rsid w:val="003F2270"/>
    <w:rsid w:val="003F2BA3"/>
    <w:rsid w:val="003F3894"/>
    <w:rsid w:val="003F4FF7"/>
    <w:rsid w:val="003F52F0"/>
    <w:rsid w:val="003F6476"/>
    <w:rsid w:val="004018DC"/>
    <w:rsid w:val="00402439"/>
    <w:rsid w:val="004067CD"/>
    <w:rsid w:val="00411932"/>
    <w:rsid w:val="0041773B"/>
    <w:rsid w:val="004226A0"/>
    <w:rsid w:val="0042273F"/>
    <w:rsid w:val="00422951"/>
    <w:rsid w:val="00422993"/>
    <w:rsid w:val="00424E38"/>
    <w:rsid w:val="004257A3"/>
    <w:rsid w:val="00426629"/>
    <w:rsid w:val="004266B7"/>
    <w:rsid w:val="00427A02"/>
    <w:rsid w:val="0043350B"/>
    <w:rsid w:val="004346B9"/>
    <w:rsid w:val="00434CF3"/>
    <w:rsid w:val="00437403"/>
    <w:rsid w:val="00437C5A"/>
    <w:rsid w:val="00443512"/>
    <w:rsid w:val="004450AA"/>
    <w:rsid w:val="0044584C"/>
    <w:rsid w:val="004460D1"/>
    <w:rsid w:val="00447267"/>
    <w:rsid w:val="00450B18"/>
    <w:rsid w:val="004511E7"/>
    <w:rsid w:val="00451A63"/>
    <w:rsid w:val="00452DE1"/>
    <w:rsid w:val="00460FBE"/>
    <w:rsid w:val="0046151F"/>
    <w:rsid w:val="00465BD4"/>
    <w:rsid w:val="00481C22"/>
    <w:rsid w:val="00484B7A"/>
    <w:rsid w:val="00486366"/>
    <w:rsid w:val="00492DE5"/>
    <w:rsid w:val="004933FC"/>
    <w:rsid w:val="00493734"/>
    <w:rsid w:val="00494C14"/>
    <w:rsid w:val="004A3CC3"/>
    <w:rsid w:val="004A4857"/>
    <w:rsid w:val="004A6F42"/>
    <w:rsid w:val="004B55C0"/>
    <w:rsid w:val="004B55D5"/>
    <w:rsid w:val="004B65C2"/>
    <w:rsid w:val="004C1782"/>
    <w:rsid w:val="004C1D3B"/>
    <w:rsid w:val="004C26FE"/>
    <w:rsid w:val="004C2C94"/>
    <w:rsid w:val="004C3677"/>
    <w:rsid w:val="004C6CB0"/>
    <w:rsid w:val="004C7817"/>
    <w:rsid w:val="004D1C8E"/>
    <w:rsid w:val="004D3858"/>
    <w:rsid w:val="004D3D02"/>
    <w:rsid w:val="004D3E73"/>
    <w:rsid w:val="004D42DC"/>
    <w:rsid w:val="004E1946"/>
    <w:rsid w:val="004E2773"/>
    <w:rsid w:val="004E2E0F"/>
    <w:rsid w:val="004E3322"/>
    <w:rsid w:val="004F1AC1"/>
    <w:rsid w:val="004F4332"/>
    <w:rsid w:val="004F4489"/>
    <w:rsid w:val="004F7983"/>
    <w:rsid w:val="0050018E"/>
    <w:rsid w:val="0050112D"/>
    <w:rsid w:val="00504243"/>
    <w:rsid w:val="00505B6F"/>
    <w:rsid w:val="00506868"/>
    <w:rsid w:val="0051068F"/>
    <w:rsid w:val="00515633"/>
    <w:rsid w:val="0051599D"/>
    <w:rsid w:val="005176C0"/>
    <w:rsid w:val="00517DF1"/>
    <w:rsid w:val="00520F6E"/>
    <w:rsid w:val="00520F8A"/>
    <w:rsid w:val="00521138"/>
    <w:rsid w:val="00521413"/>
    <w:rsid w:val="00522EE9"/>
    <w:rsid w:val="0052543C"/>
    <w:rsid w:val="005261AC"/>
    <w:rsid w:val="00527F45"/>
    <w:rsid w:val="00532717"/>
    <w:rsid w:val="005333B7"/>
    <w:rsid w:val="00533CDB"/>
    <w:rsid w:val="0054264B"/>
    <w:rsid w:val="005428BF"/>
    <w:rsid w:val="00546428"/>
    <w:rsid w:val="005477E5"/>
    <w:rsid w:val="00550E6D"/>
    <w:rsid w:val="0055211B"/>
    <w:rsid w:val="0055313F"/>
    <w:rsid w:val="005535AF"/>
    <w:rsid w:val="00554004"/>
    <w:rsid w:val="005542D6"/>
    <w:rsid w:val="00554892"/>
    <w:rsid w:val="005564D6"/>
    <w:rsid w:val="005616CC"/>
    <w:rsid w:val="00565E95"/>
    <w:rsid w:val="00567D0B"/>
    <w:rsid w:val="0057233D"/>
    <w:rsid w:val="0057555A"/>
    <w:rsid w:val="0058318D"/>
    <w:rsid w:val="005860A7"/>
    <w:rsid w:val="005933B0"/>
    <w:rsid w:val="00593FCB"/>
    <w:rsid w:val="00594BB7"/>
    <w:rsid w:val="005A0ACB"/>
    <w:rsid w:val="005A16E3"/>
    <w:rsid w:val="005A750D"/>
    <w:rsid w:val="005B376E"/>
    <w:rsid w:val="005B4B03"/>
    <w:rsid w:val="005C2B52"/>
    <w:rsid w:val="005C42B7"/>
    <w:rsid w:val="005C4624"/>
    <w:rsid w:val="005C6516"/>
    <w:rsid w:val="005C6DFE"/>
    <w:rsid w:val="005C6F9D"/>
    <w:rsid w:val="005D1CB0"/>
    <w:rsid w:val="005D2AAD"/>
    <w:rsid w:val="005D2D76"/>
    <w:rsid w:val="005D720E"/>
    <w:rsid w:val="005D795B"/>
    <w:rsid w:val="005E1C89"/>
    <w:rsid w:val="005E1F99"/>
    <w:rsid w:val="005E2EA3"/>
    <w:rsid w:val="005E4F27"/>
    <w:rsid w:val="005E56CC"/>
    <w:rsid w:val="005E6447"/>
    <w:rsid w:val="005F52C5"/>
    <w:rsid w:val="0060285D"/>
    <w:rsid w:val="00603339"/>
    <w:rsid w:val="00605F82"/>
    <w:rsid w:val="006061DA"/>
    <w:rsid w:val="00606352"/>
    <w:rsid w:val="00607893"/>
    <w:rsid w:val="006114E1"/>
    <w:rsid w:val="00612F3E"/>
    <w:rsid w:val="006157C1"/>
    <w:rsid w:val="00615F79"/>
    <w:rsid w:val="0061697C"/>
    <w:rsid w:val="00616C8A"/>
    <w:rsid w:val="00621378"/>
    <w:rsid w:val="00621887"/>
    <w:rsid w:val="00621F9D"/>
    <w:rsid w:val="00625814"/>
    <w:rsid w:val="00626AF2"/>
    <w:rsid w:val="00630FF5"/>
    <w:rsid w:val="00631D5E"/>
    <w:rsid w:val="0063468D"/>
    <w:rsid w:val="00635788"/>
    <w:rsid w:val="006360E0"/>
    <w:rsid w:val="00636F9C"/>
    <w:rsid w:val="00642AEB"/>
    <w:rsid w:val="00644152"/>
    <w:rsid w:val="00644BC3"/>
    <w:rsid w:val="006528CA"/>
    <w:rsid w:val="00652BB1"/>
    <w:rsid w:val="00653AC0"/>
    <w:rsid w:val="00653E72"/>
    <w:rsid w:val="0065716E"/>
    <w:rsid w:val="00660E48"/>
    <w:rsid w:val="006624DF"/>
    <w:rsid w:val="00664D3B"/>
    <w:rsid w:val="006708E0"/>
    <w:rsid w:val="00670D53"/>
    <w:rsid w:val="00676EE4"/>
    <w:rsid w:val="00677DEA"/>
    <w:rsid w:val="00681C78"/>
    <w:rsid w:val="00682C75"/>
    <w:rsid w:val="0068481B"/>
    <w:rsid w:val="0068783B"/>
    <w:rsid w:val="00691DB9"/>
    <w:rsid w:val="00692122"/>
    <w:rsid w:val="006942F3"/>
    <w:rsid w:val="006A02B6"/>
    <w:rsid w:val="006A04C6"/>
    <w:rsid w:val="006A1147"/>
    <w:rsid w:val="006A5400"/>
    <w:rsid w:val="006B0A22"/>
    <w:rsid w:val="006B32C2"/>
    <w:rsid w:val="006B34A1"/>
    <w:rsid w:val="006B6BE4"/>
    <w:rsid w:val="006B7071"/>
    <w:rsid w:val="006B7268"/>
    <w:rsid w:val="006C0ABB"/>
    <w:rsid w:val="006C1E45"/>
    <w:rsid w:val="006C77E1"/>
    <w:rsid w:val="006D008E"/>
    <w:rsid w:val="006D2A11"/>
    <w:rsid w:val="006D37C8"/>
    <w:rsid w:val="006D59AA"/>
    <w:rsid w:val="006D5C60"/>
    <w:rsid w:val="006D62B4"/>
    <w:rsid w:val="006D77AD"/>
    <w:rsid w:val="006D7B74"/>
    <w:rsid w:val="006D7DEB"/>
    <w:rsid w:val="006D7E48"/>
    <w:rsid w:val="006E0EC5"/>
    <w:rsid w:val="006E2691"/>
    <w:rsid w:val="006E4E94"/>
    <w:rsid w:val="006E6587"/>
    <w:rsid w:val="006F069D"/>
    <w:rsid w:val="006F5510"/>
    <w:rsid w:val="00700924"/>
    <w:rsid w:val="00701A1F"/>
    <w:rsid w:val="007037BD"/>
    <w:rsid w:val="00704E3C"/>
    <w:rsid w:val="00705C20"/>
    <w:rsid w:val="00706A46"/>
    <w:rsid w:val="00707ACA"/>
    <w:rsid w:val="0071037D"/>
    <w:rsid w:val="00712A7E"/>
    <w:rsid w:val="00714872"/>
    <w:rsid w:val="0071535A"/>
    <w:rsid w:val="00715BD0"/>
    <w:rsid w:val="00717589"/>
    <w:rsid w:val="00722F13"/>
    <w:rsid w:val="00725AF1"/>
    <w:rsid w:val="007316DC"/>
    <w:rsid w:val="00731866"/>
    <w:rsid w:val="0073208F"/>
    <w:rsid w:val="0073386A"/>
    <w:rsid w:val="00733931"/>
    <w:rsid w:val="00733D96"/>
    <w:rsid w:val="00734CD7"/>
    <w:rsid w:val="00734D81"/>
    <w:rsid w:val="00740804"/>
    <w:rsid w:val="007434D1"/>
    <w:rsid w:val="00744A5D"/>
    <w:rsid w:val="0074623E"/>
    <w:rsid w:val="007505B1"/>
    <w:rsid w:val="00753B10"/>
    <w:rsid w:val="00754294"/>
    <w:rsid w:val="00754803"/>
    <w:rsid w:val="00755997"/>
    <w:rsid w:val="00756B5C"/>
    <w:rsid w:val="00756B97"/>
    <w:rsid w:val="00757BD1"/>
    <w:rsid w:val="00763D7D"/>
    <w:rsid w:val="007640A3"/>
    <w:rsid w:val="007650E7"/>
    <w:rsid w:val="00765867"/>
    <w:rsid w:val="00767755"/>
    <w:rsid w:val="00770E96"/>
    <w:rsid w:val="00773CF4"/>
    <w:rsid w:val="00777BE1"/>
    <w:rsid w:val="00784140"/>
    <w:rsid w:val="00784A91"/>
    <w:rsid w:val="00786DC6"/>
    <w:rsid w:val="00787C0B"/>
    <w:rsid w:val="0079038A"/>
    <w:rsid w:val="00791904"/>
    <w:rsid w:val="00793480"/>
    <w:rsid w:val="007952FF"/>
    <w:rsid w:val="007A184F"/>
    <w:rsid w:val="007A1BC9"/>
    <w:rsid w:val="007A20DF"/>
    <w:rsid w:val="007A23DF"/>
    <w:rsid w:val="007A54FC"/>
    <w:rsid w:val="007A5FAB"/>
    <w:rsid w:val="007A6C3F"/>
    <w:rsid w:val="007B07EC"/>
    <w:rsid w:val="007B7FE7"/>
    <w:rsid w:val="007C2100"/>
    <w:rsid w:val="007D3C24"/>
    <w:rsid w:val="007D69A1"/>
    <w:rsid w:val="007D753A"/>
    <w:rsid w:val="007D7692"/>
    <w:rsid w:val="007E4D07"/>
    <w:rsid w:val="007E5125"/>
    <w:rsid w:val="007E55C2"/>
    <w:rsid w:val="007E6572"/>
    <w:rsid w:val="007F0519"/>
    <w:rsid w:val="007F36FC"/>
    <w:rsid w:val="007F46E8"/>
    <w:rsid w:val="007F77D1"/>
    <w:rsid w:val="00800598"/>
    <w:rsid w:val="00800E7E"/>
    <w:rsid w:val="00801229"/>
    <w:rsid w:val="00812F60"/>
    <w:rsid w:val="00815D0C"/>
    <w:rsid w:val="00821EC1"/>
    <w:rsid w:val="00824A96"/>
    <w:rsid w:val="0082788F"/>
    <w:rsid w:val="0083172A"/>
    <w:rsid w:val="008358AA"/>
    <w:rsid w:val="008403A3"/>
    <w:rsid w:val="00842195"/>
    <w:rsid w:val="0084464D"/>
    <w:rsid w:val="008448E5"/>
    <w:rsid w:val="00847150"/>
    <w:rsid w:val="0084737C"/>
    <w:rsid w:val="00847806"/>
    <w:rsid w:val="00850544"/>
    <w:rsid w:val="0085202F"/>
    <w:rsid w:val="00853122"/>
    <w:rsid w:val="00854B35"/>
    <w:rsid w:val="00856CAC"/>
    <w:rsid w:val="00861859"/>
    <w:rsid w:val="00862112"/>
    <w:rsid w:val="0086472D"/>
    <w:rsid w:val="00865243"/>
    <w:rsid w:val="00866888"/>
    <w:rsid w:val="00866D84"/>
    <w:rsid w:val="008717AF"/>
    <w:rsid w:val="00871A4E"/>
    <w:rsid w:val="0087256D"/>
    <w:rsid w:val="00872F4C"/>
    <w:rsid w:val="008735BD"/>
    <w:rsid w:val="00873B6C"/>
    <w:rsid w:val="00876B28"/>
    <w:rsid w:val="008777EB"/>
    <w:rsid w:val="008808AD"/>
    <w:rsid w:val="00880FF6"/>
    <w:rsid w:val="00881485"/>
    <w:rsid w:val="00882111"/>
    <w:rsid w:val="00885CD9"/>
    <w:rsid w:val="00886094"/>
    <w:rsid w:val="008901B0"/>
    <w:rsid w:val="008928B8"/>
    <w:rsid w:val="00894D22"/>
    <w:rsid w:val="008A1664"/>
    <w:rsid w:val="008A1FCD"/>
    <w:rsid w:val="008A2E8C"/>
    <w:rsid w:val="008A3A8E"/>
    <w:rsid w:val="008A4868"/>
    <w:rsid w:val="008A52E7"/>
    <w:rsid w:val="008A74D7"/>
    <w:rsid w:val="008B0F3E"/>
    <w:rsid w:val="008B2000"/>
    <w:rsid w:val="008B2545"/>
    <w:rsid w:val="008B2BB8"/>
    <w:rsid w:val="008B446B"/>
    <w:rsid w:val="008B5406"/>
    <w:rsid w:val="008B5F45"/>
    <w:rsid w:val="008C5B99"/>
    <w:rsid w:val="008C6413"/>
    <w:rsid w:val="008C673E"/>
    <w:rsid w:val="008D266E"/>
    <w:rsid w:val="008D3DC4"/>
    <w:rsid w:val="008D5062"/>
    <w:rsid w:val="008E31F4"/>
    <w:rsid w:val="008E3DFA"/>
    <w:rsid w:val="008E4A62"/>
    <w:rsid w:val="008E6255"/>
    <w:rsid w:val="008E7BA2"/>
    <w:rsid w:val="008F4738"/>
    <w:rsid w:val="008F55AC"/>
    <w:rsid w:val="00902984"/>
    <w:rsid w:val="00906179"/>
    <w:rsid w:val="00907D8A"/>
    <w:rsid w:val="0091095A"/>
    <w:rsid w:val="009114D5"/>
    <w:rsid w:val="00915372"/>
    <w:rsid w:val="00917FDB"/>
    <w:rsid w:val="009208EC"/>
    <w:rsid w:val="00921746"/>
    <w:rsid w:val="00921ED8"/>
    <w:rsid w:val="009256B2"/>
    <w:rsid w:val="00933185"/>
    <w:rsid w:val="00937FEA"/>
    <w:rsid w:val="00940C5E"/>
    <w:rsid w:val="00944C92"/>
    <w:rsid w:val="00946580"/>
    <w:rsid w:val="00951518"/>
    <w:rsid w:val="00951D2A"/>
    <w:rsid w:val="00952A17"/>
    <w:rsid w:val="00954261"/>
    <w:rsid w:val="009650BC"/>
    <w:rsid w:val="00970628"/>
    <w:rsid w:val="00971903"/>
    <w:rsid w:val="00972474"/>
    <w:rsid w:val="00975118"/>
    <w:rsid w:val="009759CE"/>
    <w:rsid w:val="00977B5F"/>
    <w:rsid w:val="00980DDD"/>
    <w:rsid w:val="00982AF3"/>
    <w:rsid w:val="00985E82"/>
    <w:rsid w:val="009862B2"/>
    <w:rsid w:val="0098753B"/>
    <w:rsid w:val="00987627"/>
    <w:rsid w:val="009967EC"/>
    <w:rsid w:val="00996E75"/>
    <w:rsid w:val="009A08D8"/>
    <w:rsid w:val="009A1050"/>
    <w:rsid w:val="009A2CFC"/>
    <w:rsid w:val="009A3665"/>
    <w:rsid w:val="009A3751"/>
    <w:rsid w:val="009A51CF"/>
    <w:rsid w:val="009A525E"/>
    <w:rsid w:val="009B4CCF"/>
    <w:rsid w:val="009C315D"/>
    <w:rsid w:val="009C367B"/>
    <w:rsid w:val="009C4B6B"/>
    <w:rsid w:val="009D21F7"/>
    <w:rsid w:val="009D46EC"/>
    <w:rsid w:val="009D50BE"/>
    <w:rsid w:val="009D5291"/>
    <w:rsid w:val="009D58A1"/>
    <w:rsid w:val="009D787E"/>
    <w:rsid w:val="009E0735"/>
    <w:rsid w:val="009E1051"/>
    <w:rsid w:val="009F2564"/>
    <w:rsid w:val="009F2C27"/>
    <w:rsid w:val="009F4F8A"/>
    <w:rsid w:val="009F75C8"/>
    <w:rsid w:val="00A04AD6"/>
    <w:rsid w:val="00A11E10"/>
    <w:rsid w:val="00A12337"/>
    <w:rsid w:val="00A20C5B"/>
    <w:rsid w:val="00A21853"/>
    <w:rsid w:val="00A23C8E"/>
    <w:rsid w:val="00A26761"/>
    <w:rsid w:val="00A276AB"/>
    <w:rsid w:val="00A30AA4"/>
    <w:rsid w:val="00A32688"/>
    <w:rsid w:val="00A345D2"/>
    <w:rsid w:val="00A45CC5"/>
    <w:rsid w:val="00A5002B"/>
    <w:rsid w:val="00A50B96"/>
    <w:rsid w:val="00A50DF4"/>
    <w:rsid w:val="00A62A9A"/>
    <w:rsid w:val="00A62B18"/>
    <w:rsid w:val="00A632D6"/>
    <w:rsid w:val="00A639AD"/>
    <w:rsid w:val="00A64E0A"/>
    <w:rsid w:val="00A6592C"/>
    <w:rsid w:val="00A65C26"/>
    <w:rsid w:val="00A65D91"/>
    <w:rsid w:val="00A66249"/>
    <w:rsid w:val="00A66DA4"/>
    <w:rsid w:val="00A66EB9"/>
    <w:rsid w:val="00A7005D"/>
    <w:rsid w:val="00A740F0"/>
    <w:rsid w:val="00A7489C"/>
    <w:rsid w:val="00A774D6"/>
    <w:rsid w:val="00A82A2C"/>
    <w:rsid w:val="00A83EFD"/>
    <w:rsid w:val="00A85601"/>
    <w:rsid w:val="00A8651C"/>
    <w:rsid w:val="00A86B25"/>
    <w:rsid w:val="00A86C47"/>
    <w:rsid w:val="00A94EB8"/>
    <w:rsid w:val="00A95356"/>
    <w:rsid w:val="00A954A6"/>
    <w:rsid w:val="00A954AD"/>
    <w:rsid w:val="00A9692A"/>
    <w:rsid w:val="00A96C4F"/>
    <w:rsid w:val="00A973D5"/>
    <w:rsid w:val="00AA118F"/>
    <w:rsid w:val="00AA1DF7"/>
    <w:rsid w:val="00AA4F79"/>
    <w:rsid w:val="00AB0CE9"/>
    <w:rsid w:val="00AB14B2"/>
    <w:rsid w:val="00AB1B69"/>
    <w:rsid w:val="00AB1F2D"/>
    <w:rsid w:val="00AB3C66"/>
    <w:rsid w:val="00AB3DE1"/>
    <w:rsid w:val="00AB52EE"/>
    <w:rsid w:val="00AC2007"/>
    <w:rsid w:val="00AC330B"/>
    <w:rsid w:val="00AC721B"/>
    <w:rsid w:val="00AD2B88"/>
    <w:rsid w:val="00AD425C"/>
    <w:rsid w:val="00AD6FC8"/>
    <w:rsid w:val="00AE260B"/>
    <w:rsid w:val="00AE292C"/>
    <w:rsid w:val="00AE2B0D"/>
    <w:rsid w:val="00AE47EA"/>
    <w:rsid w:val="00AE4A0D"/>
    <w:rsid w:val="00AE4F28"/>
    <w:rsid w:val="00AE57A0"/>
    <w:rsid w:val="00AE5E86"/>
    <w:rsid w:val="00AE71E3"/>
    <w:rsid w:val="00AF1F82"/>
    <w:rsid w:val="00AF3246"/>
    <w:rsid w:val="00AF7C50"/>
    <w:rsid w:val="00B00076"/>
    <w:rsid w:val="00B00ABB"/>
    <w:rsid w:val="00B01C48"/>
    <w:rsid w:val="00B01E16"/>
    <w:rsid w:val="00B04474"/>
    <w:rsid w:val="00B1422A"/>
    <w:rsid w:val="00B1506F"/>
    <w:rsid w:val="00B15170"/>
    <w:rsid w:val="00B1580A"/>
    <w:rsid w:val="00B159FF"/>
    <w:rsid w:val="00B15B86"/>
    <w:rsid w:val="00B16364"/>
    <w:rsid w:val="00B16821"/>
    <w:rsid w:val="00B16F43"/>
    <w:rsid w:val="00B2011E"/>
    <w:rsid w:val="00B20E19"/>
    <w:rsid w:val="00B22581"/>
    <w:rsid w:val="00B22E51"/>
    <w:rsid w:val="00B233A1"/>
    <w:rsid w:val="00B253A3"/>
    <w:rsid w:val="00B30094"/>
    <w:rsid w:val="00B303F4"/>
    <w:rsid w:val="00B3053A"/>
    <w:rsid w:val="00B30A6C"/>
    <w:rsid w:val="00B3706D"/>
    <w:rsid w:val="00B4304A"/>
    <w:rsid w:val="00B43B6E"/>
    <w:rsid w:val="00B45882"/>
    <w:rsid w:val="00B46020"/>
    <w:rsid w:val="00B464AF"/>
    <w:rsid w:val="00B46E5E"/>
    <w:rsid w:val="00B47522"/>
    <w:rsid w:val="00B47A5F"/>
    <w:rsid w:val="00B50154"/>
    <w:rsid w:val="00B516F4"/>
    <w:rsid w:val="00B5523D"/>
    <w:rsid w:val="00B55913"/>
    <w:rsid w:val="00B55944"/>
    <w:rsid w:val="00B712BC"/>
    <w:rsid w:val="00B71EDE"/>
    <w:rsid w:val="00B7441A"/>
    <w:rsid w:val="00B74822"/>
    <w:rsid w:val="00B748E3"/>
    <w:rsid w:val="00B7627B"/>
    <w:rsid w:val="00B80268"/>
    <w:rsid w:val="00B80A9C"/>
    <w:rsid w:val="00B825D0"/>
    <w:rsid w:val="00B91763"/>
    <w:rsid w:val="00B91BE0"/>
    <w:rsid w:val="00B9228C"/>
    <w:rsid w:val="00B9465E"/>
    <w:rsid w:val="00B9585D"/>
    <w:rsid w:val="00B9658E"/>
    <w:rsid w:val="00B96B77"/>
    <w:rsid w:val="00B977C6"/>
    <w:rsid w:val="00BA00E7"/>
    <w:rsid w:val="00BA01B2"/>
    <w:rsid w:val="00BA25C9"/>
    <w:rsid w:val="00BA5C59"/>
    <w:rsid w:val="00BA5D6A"/>
    <w:rsid w:val="00BB2F45"/>
    <w:rsid w:val="00BB3239"/>
    <w:rsid w:val="00BB58DE"/>
    <w:rsid w:val="00BC2C2B"/>
    <w:rsid w:val="00BC6B11"/>
    <w:rsid w:val="00BD1ACE"/>
    <w:rsid w:val="00BD1F07"/>
    <w:rsid w:val="00BD1F60"/>
    <w:rsid w:val="00BD27C7"/>
    <w:rsid w:val="00BD3A83"/>
    <w:rsid w:val="00BD4024"/>
    <w:rsid w:val="00BD519F"/>
    <w:rsid w:val="00BD5FBB"/>
    <w:rsid w:val="00BE0378"/>
    <w:rsid w:val="00BE098D"/>
    <w:rsid w:val="00BE0EDF"/>
    <w:rsid w:val="00BE226D"/>
    <w:rsid w:val="00BE3379"/>
    <w:rsid w:val="00BE6396"/>
    <w:rsid w:val="00BF30E2"/>
    <w:rsid w:val="00BF34B2"/>
    <w:rsid w:val="00BF45C4"/>
    <w:rsid w:val="00BF6637"/>
    <w:rsid w:val="00C001C4"/>
    <w:rsid w:val="00C03BC1"/>
    <w:rsid w:val="00C03E56"/>
    <w:rsid w:val="00C13C9F"/>
    <w:rsid w:val="00C1433B"/>
    <w:rsid w:val="00C1530F"/>
    <w:rsid w:val="00C248B1"/>
    <w:rsid w:val="00C2522B"/>
    <w:rsid w:val="00C26DFE"/>
    <w:rsid w:val="00C2795A"/>
    <w:rsid w:val="00C30006"/>
    <w:rsid w:val="00C33AF0"/>
    <w:rsid w:val="00C35735"/>
    <w:rsid w:val="00C35761"/>
    <w:rsid w:val="00C40811"/>
    <w:rsid w:val="00C41B9B"/>
    <w:rsid w:val="00C43B96"/>
    <w:rsid w:val="00C52342"/>
    <w:rsid w:val="00C52570"/>
    <w:rsid w:val="00C56211"/>
    <w:rsid w:val="00C56AB0"/>
    <w:rsid w:val="00C5709A"/>
    <w:rsid w:val="00C5723C"/>
    <w:rsid w:val="00C57EEC"/>
    <w:rsid w:val="00C60038"/>
    <w:rsid w:val="00C602BB"/>
    <w:rsid w:val="00C61B43"/>
    <w:rsid w:val="00C65BB8"/>
    <w:rsid w:val="00C65D93"/>
    <w:rsid w:val="00C709E2"/>
    <w:rsid w:val="00C72EB2"/>
    <w:rsid w:val="00C82285"/>
    <w:rsid w:val="00C82CC2"/>
    <w:rsid w:val="00C83896"/>
    <w:rsid w:val="00C90CF9"/>
    <w:rsid w:val="00C92B24"/>
    <w:rsid w:val="00CA1827"/>
    <w:rsid w:val="00CA1BD6"/>
    <w:rsid w:val="00CA5257"/>
    <w:rsid w:val="00CA600D"/>
    <w:rsid w:val="00CA624B"/>
    <w:rsid w:val="00CB1A29"/>
    <w:rsid w:val="00CB26E7"/>
    <w:rsid w:val="00CB2DC3"/>
    <w:rsid w:val="00CB309F"/>
    <w:rsid w:val="00CB43E8"/>
    <w:rsid w:val="00CB4B81"/>
    <w:rsid w:val="00CB646B"/>
    <w:rsid w:val="00CB74D8"/>
    <w:rsid w:val="00CB7D2F"/>
    <w:rsid w:val="00CC069D"/>
    <w:rsid w:val="00CC4F6D"/>
    <w:rsid w:val="00CC5163"/>
    <w:rsid w:val="00CC61D9"/>
    <w:rsid w:val="00CC7779"/>
    <w:rsid w:val="00CC77B1"/>
    <w:rsid w:val="00CD1166"/>
    <w:rsid w:val="00CD28E2"/>
    <w:rsid w:val="00CD4994"/>
    <w:rsid w:val="00CD4A8C"/>
    <w:rsid w:val="00CD6F2F"/>
    <w:rsid w:val="00CE12F2"/>
    <w:rsid w:val="00CE15C3"/>
    <w:rsid w:val="00CE1BC0"/>
    <w:rsid w:val="00CE29FE"/>
    <w:rsid w:val="00CE50BB"/>
    <w:rsid w:val="00CE64E5"/>
    <w:rsid w:val="00CE6633"/>
    <w:rsid w:val="00CE7B7A"/>
    <w:rsid w:val="00CE7F36"/>
    <w:rsid w:val="00CF4B20"/>
    <w:rsid w:val="00D0231F"/>
    <w:rsid w:val="00D03324"/>
    <w:rsid w:val="00D033A7"/>
    <w:rsid w:val="00D0669D"/>
    <w:rsid w:val="00D06CE6"/>
    <w:rsid w:val="00D07317"/>
    <w:rsid w:val="00D10013"/>
    <w:rsid w:val="00D1271B"/>
    <w:rsid w:val="00D147C2"/>
    <w:rsid w:val="00D1636E"/>
    <w:rsid w:val="00D17147"/>
    <w:rsid w:val="00D21E11"/>
    <w:rsid w:val="00D23C5C"/>
    <w:rsid w:val="00D24925"/>
    <w:rsid w:val="00D25986"/>
    <w:rsid w:val="00D26B18"/>
    <w:rsid w:val="00D27625"/>
    <w:rsid w:val="00D2765E"/>
    <w:rsid w:val="00D3375A"/>
    <w:rsid w:val="00D368FA"/>
    <w:rsid w:val="00D3721A"/>
    <w:rsid w:val="00D41C8A"/>
    <w:rsid w:val="00D44934"/>
    <w:rsid w:val="00D449E3"/>
    <w:rsid w:val="00D44E1F"/>
    <w:rsid w:val="00D45E33"/>
    <w:rsid w:val="00D51B8C"/>
    <w:rsid w:val="00D52CFE"/>
    <w:rsid w:val="00D52D07"/>
    <w:rsid w:val="00D542B4"/>
    <w:rsid w:val="00D55098"/>
    <w:rsid w:val="00D55932"/>
    <w:rsid w:val="00D572DD"/>
    <w:rsid w:val="00D577EC"/>
    <w:rsid w:val="00D60320"/>
    <w:rsid w:val="00D6457C"/>
    <w:rsid w:val="00D65851"/>
    <w:rsid w:val="00D736EA"/>
    <w:rsid w:val="00D76097"/>
    <w:rsid w:val="00D80E10"/>
    <w:rsid w:val="00D81091"/>
    <w:rsid w:val="00D819F1"/>
    <w:rsid w:val="00D84869"/>
    <w:rsid w:val="00D85B6E"/>
    <w:rsid w:val="00D872A4"/>
    <w:rsid w:val="00D87AE4"/>
    <w:rsid w:val="00D907D0"/>
    <w:rsid w:val="00D927F2"/>
    <w:rsid w:val="00D92F3B"/>
    <w:rsid w:val="00D95339"/>
    <w:rsid w:val="00D965DE"/>
    <w:rsid w:val="00D97F58"/>
    <w:rsid w:val="00DA3244"/>
    <w:rsid w:val="00DA5806"/>
    <w:rsid w:val="00DA6059"/>
    <w:rsid w:val="00DA6C82"/>
    <w:rsid w:val="00DA7689"/>
    <w:rsid w:val="00DB20EE"/>
    <w:rsid w:val="00DB2D18"/>
    <w:rsid w:val="00DB2DCC"/>
    <w:rsid w:val="00DB6692"/>
    <w:rsid w:val="00DC0122"/>
    <w:rsid w:val="00DC17C0"/>
    <w:rsid w:val="00DC1BA8"/>
    <w:rsid w:val="00DC48A8"/>
    <w:rsid w:val="00DD091D"/>
    <w:rsid w:val="00DD2861"/>
    <w:rsid w:val="00DD4339"/>
    <w:rsid w:val="00DE1232"/>
    <w:rsid w:val="00DE1737"/>
    <w:rsid w:val="00DE26CC"/>
    <w:rsid w:val="00DF6599"/>
    <w:rsid w:val="00E00FB6"/>
    <w:rsid w:val="00E0283B"/>
    <w:rsid w:val="00E04685"/>
    <w:rsid w:val="00E05078"/>
    <w:rsid w:val="00E06DBE"/>
    <w:rsid w:val="00E10C62"/>
    <w:rsid w:val="00E11109"/>
    <w:rsid w:val="00E12188"/>
    <w:rsid w:val="00E1271B"/>
    <w:rsid w:val="00E153A7"/>
    <w:rsid w:val="00E1725F"/>
    <w:rsid w:val="00E20034"/>
    <w:rsid w:val="00E21CCB"/>
    <w:rsid w:val="00E24BF9"/>
    <w:rsid w:val="00E2671B"/>
    <w:rsid w:val="00E26E04"/>
    <w:rsid w:val="00E271F7"/>
    <w:rsid w:val="00E330CE"/>
    <w:rsid w:val="00E332B8"/>
    <w:rsid w:val="00E33C4B"/>
    <w:rsid w:val="00E3453B"/>
    <w:rsid w:val="00E3469F"/>
    <w:rsid w:val="00E371CD"/>
    <w:rsid w:val="00E40BE3"/>
    <w:rsid w:val="00E410F2"/>
    <w:rsid w:val="00E4168E"/>
    <w:rsid w:val="00E42EA7"/>
    <w:rsid w:val="00E47029"/>
    <w:rsid w:val="00E51805"/>
    <w:rsid w:val="00E51B03"/>
    <w:rsid w:val="00E53FD2"/>
    <w:rsid w:val="00E555C0"/>
    <w:rsid w:val="00E56602"/>
    <w:rsid w:val="00E572AE"/>
    <w:rsid w:val="00E62A20"/>
    <w:rsid w:val="00E64114"/>
    <w:rsid w:val="00E6651D"/>
    <w:rsid w:val="00E70DC3"/>
    <w:rsid w:val="00E753C3"/>
    <w:rsid w:val="00E75A2F"/>
    <w:rsid w:val="00E80ED8"/>
    <w:rsid w:val="00E83E87"/>
    <w:rsid w:val="00E84457"/>
    <w:rsid w:val="00E84678"/>
    <w:rsid w:val="00E85C0B"/>
    <w:rsid w:val="00E869F1"/>
    <w:rsid w:val="00E876FC"/>
    <w:rsid w:val="00E903FF"/>
    <w:rsid w:val="00EA0A39"/>
    <w:rsid w:val="00EA2F45"/>
    <w:rsid w:val="00EA53CA"/>
    <w:rsid w:val="00EA5851"/>
    <w:rsid w:val="00EA61D4"/>
    <w:rsid w:val="00EA7431"/>
    <w:rsid w:val="00EB098D"/>
    <w:rsid w:val="00EB2311"/>
    <w:rsid w:val="00EB2841"/>
    <w:rsid w:val="00EB2CF5"/>
    <w:rsid w:val="00EB41B4"/>
    <w:rsid w:val="00EB4F78"/>
    <w:rsid w:val="00EB67E1"/>
    <w:rsid w:val="00EB6C49"/>
    <w:rsid w:val="00EB7757"/>
    <w:rsid w:val="00EC0BC7"/>
    <w:rsid w:val="00EC1C09"/>
    <w:rsid w:val="00EC1FC2"/>
    <w:rsid w:val="00EC20F0"/>
    <w:rsid w:val="00EC2D9C"/>
    <w:rsid w:val="00EC70D1"/>
    <w:rsid w:val="00ED5FB8"/>
    <w:rsid w:val="00ED633B"/>
    <w:rsid w:val="00ED754C"/>
    <w:rsid w:val="00EE2C81"/>
    <w:rsid w:val="00EE3CD3"/>
    <w:rsid w:val="00EE436B"/>
    <w:rsid w:val="00EF1767"/>
    <w:rsid w:val="00EF19D6"/>
    <w:rsid w:val="00EF1BB0"/>
    <w:rsid w:val="00EF1E71"/>
    <w:rsid w:val="00EF3529"/>
    <w:rsid w:val="00EF3A2B"/>
    <w:rsid w:val="00EF53B8"/>
    <w:rsid w:val="00EF7F96"/>
    <w:rsid w:val="00F02E03"/>
    <w:rsid w:val="00F06A0F"/>
    <w:rsid w:val="00F1415B"/>
    <w:rsid w:val="00F14961"/>
    <w:rsid w:val="00F17B8D"/>
    <w:rsid w:val="00F2216E"/>
    <w:rsid w:val="00F23674"/>
    <w:rsid w:val="00F27B45"/>
    <w:rsid w:val="00F31797"/>
    <w:rsid w:val="00F36799"/>
    <w:rsid w:val="00F4066C"/>
    <w:rsid w:val="00F40AB8"/>
    <w:rsid w:val="00F40D8D"/>
    <w:rsid w:val="00F438F8"/>
    <w:rsid w:val="00F44147"/>
    <w:rsid w:val="00F44964"/>
    <w:rsid w:val="00F4549F"/>
    <w:rsid w:val="00F45826"/>
    <w:rsid w:val="00F458D1"/>
    <w:rsid w:val="00F459BC"/>
    <w:rsid w:val="00F46D46"/>
    <w:rsid w:val="00F47DE2"/>
    <w:rsid w:val="00F5008B"/>
    <w:rsid w:val="00F516C9"/>
    <w:rsid w:val="00F5258F"/>
    <w:rsid w:val="00F541E9"/>
    <w:rsid w:val="00F55762"/>
    <w:rsid w:val="00F5598B"/>
    <w:rsid w:val="00F66307"/>
    <w:rsid w:val="00F66D98"/>
    <w:rsid w:val="00F672E9"/>
    <w:rsid w:val="00F6799D"/>
    <w:rsid w:val="00F709B7"/>
    <w:rsid w:val="00F714B6"/>
    <w:rsid w:val="00F71E15"/>
    <w:rsid w:val="00F71E45"/>
    <w:rsid w:val="00F72B56"/>
    <w:rsid w:val="00F8218F"/>
    <w:rsid w:val="00F82DAE"/>
    <w:rsid w:val="00F85172"/>
    <w:rsid w:val="00F87EFE"/>
    <w:rsid w:val="00F90098"/>
    <w:rsid w:val="00F90515"/>
    <w:rsid w:val="00F94385"/>
    <w:rsid w:val="00F94D0B"/>
    <w:rsid w:val="00F957E0"/>
    <w:rsid w:val="00F95811"/>
    <w:rsid w:val="00FA025A"/>
    <w:rsid w:val="00FA1A5F"/>
    <w:rsid w:val="00FA4177"/>
    <w:rsid w:val="00FA46FC"/>
    <w:rsid w:val="00FA6529"/>
    <w:rsid w:val="00FB0655"/>
    <w:rsid w:val="00FB44E7"/>
    <w:rsid w:val="00FC1D71"/>
    <w:rsid w:val="00FC25B3"/>
    <w:rsid w:val="00FC2DC6"/>
    <w:rsid w:val="00FC3009"/>
    <w:rsid w:val="00FC3927"/>
    <w:rsid w:val="00FC4C18"/>
    <w:rsid w:val="00FC74BB"/>
    <w:rsid w:val="00FD4573"/>
    <w:rsid w:val="00FD46B1"/>
    <w:rsid w:val="00FD5F25"/>
    <w:rsid w:val="00FD6E98"/>
    <w:rsid w:val="00FD7793"/>
    <w:rsid w:val="00FE3249"/>
    <w:rsid w:val="00FE6535"/>
    <w:rsid w:val="00FF21C4"/>
    <w:rsid w:val="00FF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5B97"/>
  <w15:docId w15:val="{E213607B-E247-437D-A65F-6A1C478E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291"/>
    <w:rPr>
      <w:rFonts w:ascii="Arial" w:hAnsi="Arial" w:cs="Arial"/>
      <w:sz w:val="24"/>
      <w:szCs w:val="24"/>
    </w:rPr>
  </w:style>
  <w:style w:type="paragraph" w:styleId="Heading1">
    <w:name w:val="heading 1"/>
    <w:basedOn w:val="Normal"/>
    <w:next w:val="Normal"/>
    <w:link w:val="Heading1Char"/>
    <w:qFormat/>
    <w:rsid w:val="00B22E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22E51"/>
    <w:pPr>
      <w:keepNext/>
      <w:jc w:val="both"/>
      <w:outlineLvl w:val="1"/>
    </w:pPr>
    <w:rPr>
      <w:rFonts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21ED8"/>
    <w:rPr>
      <w:sz w:val="20"/>
      <w:szCs w:val="20"/>
    </w:rPr>
  </w:style>
  <w:style w:type="character" w:styleId="FootnoteReference">
    <w:name w:val="footnote reference"/>
    <w:basedOn w:val="DefaultParagraphFont"/>
    <w:uiPriority w:val="99"/>
    <w:semiHidden/>
    <w:rsid w:val="00921ED8"/>
    <w:rPr>
      <w:vertAlign w:val="superscript"/>
    </w:rPr>
  </w:style>
  <w:style w:type="table" w:styleId="TableGrid">
    <w:name w:val="Table Grid"/>
    <w:basedOn w:val="TableNormal"/>
    <w:uiPriority w:val="39"/>
    <w:rsid w:val="004D4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1887"/>
    <w:pPr>
      <w:tabs>
        <w:tab w:val="center" w:pos="4153"/>
        <w:tab w:val="right" w:pos="8306"/>
      </w:tabs>
    </w:pPr>
  </w:style>
  <w:style w:type="paragraph" w:styleId="Footer">
    <w:name w:val="footer"/>
    <w:basedOn w:val="Normal"/>
    <w:link w:val="FooterChar"/>
    <w:uiPriority w:val="99"/>
    <w:rsid w:val="00621887"/>
    <w:pPr>
      <w:tabs>
        <w:tab w:val="center" w:pos="4153"/>
        <w:tab w:val="right" w:pos="8306"/>
      </w:tabs>
    </w:pPr>
  </w:style>
  <w:style w:type="paragraph" w:styleId="BalloonText">
    <w:name w:val="Balloon Text"/>
    <w:basedOn w:val="Normal"/>
    <w:semiHidden/>
    <w:rsid w:val="00594BB7"/>
    <w:rPr>
      <w:rFonts w:ascii="Tahoma" w:hAnsi="Tahoma" w:cs="Tahoma"/>
      <w:sz w:val="16"/>
      <w:szCs w:val="16"/>
    </w:rPr>
  </w:style>
  <w:style w:type="paragraph" w:styleId="ListParagraph">
    <w:name w:val="List Paragraph"/>
    <w:basedOn w:val="Normal"/>
    <w:uiPriority w:val="34"/>
    <w:qFormat/>
    <w:rsid w:val="00BA5D6A"/>
    <w:pPr>
      <w:ind w:left="720"/>
    </w:pPr>
  </w:style>
  <w:style w:type="character" w:styleId="Hyperlink">
    <w:name w:val="Hyperlink"/>
    <w:basedOn w:val="DefaultParagraphFont"/>
    <w:uiPriority w:val="99"/>
    <w:rsid w:val="00DB2DCC"/>
    <w:rPr>
      <w:color w:val="0000FF"/>
      <w:u w:val="single"/>
    </w:rPr>
  </w:style>
  <w:style w:type="character" w:styleId="FollowedHyperlink">
    <w:name w:val="FollowedHyperlink"/>
    <w:basedOn w:val="DefaultParagraphFont"/>
    <w:rsid w:val="00DB2DCC"/>
    <w:rPr>
      <w:color w:val="800080"/>
      <w:u w:val="single"/>
    </w:rPr>
  </w:style>
  <w:style w:type="character" w:styleId="CommentReference">
    <w:name w:val="annotation reference"/>
    <w:basedOn w:val="DefaultParagraphFont"/>
    <w:uiPriority w:val="99"/>
    <w:rsid w:val="00191BAB"/>
    <w:rPr>
      <w:sz w:val="16"/>
      <w:szCs w:val="16"/>
    </w:rPr>
  </w:style>
  <w:style w:type="paragraph" w:styleId="CommentText">
    <w:name w:val="annotation text"/>
    <w:basedOn w:val="Normal"/>
    <w:link w:val="CommentTextChar"/>
    <w:uiPriority w:val="99"/>
    <w:rsid w:val="00191BAB"/>
    <w:rPr>
      <w:sz w:val="20"/>
      <w:szCs w:val="20"/>
    </w:rPr>
  </w:style>
  <w:style w:type="character" w:customStyle="1" w:styleId="CommentTextChar">
    <w:name w:val="Comment Text Char"/>
    <w:basedOn w:val="DefaultParagraphFont"/>
    <w:link w:val="CommentText"/>
    <w:uiPriority w:val="99"/>
    <w:rsid w:val="00191BAB"/>
    <w:rPr>
      <w:rFonts w:ascii="Arial" w:hAnsi="Arial" w:cs="Arial"/>
    </w:rPr>
  </w:style>
  <w:style w:type="paragraph" w:styleId="CommentSubject">
    <w:name w:val="annotation subject"/>
    <w:basedOn w:val="CommentText"/>
    <w:next w:val="CommentText"/>
    <w:link w:val="CommentSubjectChar"/>
    <w:rsid w:val="00191BAB"/>
    <w:rPr>
      <w:b/>
      <w:bCs/>
    </w:rPr>
  </w:style>
  <w:style w:type="character" w:customStyle="1" w:styleId="CommentSubjectChar">
    <w:name w:val="Comment Subject Char"/>
    <w:basedOn w:val="CommentTextChar"/>
    <w:link w:val="CommentSubject"/>
    <w:rsid w:val="00191BAB"/>
    <w:rPr>
      <w:rFonts w:ascii="Arial" w:hAnsi="Arial" w:cs="Arial"/>
      <w:b/>
      <w:bCs/>
    </w:rPr>
  </w:style>
  <w:style w:type="character" w:customStyle="1" w:styleId="Heading2Char">
    <w:name w:val="Heading 2 Char"/>
    <w:basedOn w:val="DefaultParagraphFont"/>
    <w:link w:val="Heading2"/>
    <w:rsid w:val="00B22E51"/>
    <w:rPr>
      <w:rFonts w:ascii="Arial" w:hAnsi="Arial"/>
      <w:b/>
      <w:sz w:val="22"/>
      <w:u w:val="single"/>
    </w:rPr>
  </w:style>
  <w:style w:type="character" w:customStyle="1" w:styleId="Heading1Char">
    <w:name w:val="Heading 1 Char"/>
    <w:basedOn w:val="DefaultParagraphFont"/>
    <w:link w:val="Heading1"/>
    <w:rsid w:val="00B22E51"/>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rsid w:val="00B22E51"/>
    <w:rPr>
      <w:rFonts w:ascii="Arial" w:hAnsi="Arial" w:cs="Arial"/>
      <w:sz w:val="24"/>
      <w:szCs w:val="24"/>
    </w:rPr>
  </w:style>
  <w:style w:type="paragraph" w:styleId="Title">
    <w:name w:val="Title"/>
    <w:basedOn w:val="Normal"/>
    <w:link w:val="TitleChar"/>
    <w:qFormat/>
    <w:rsid w:val="00A9692A"/>
    <w:pPr>
      <w:overflowPunct w:val="0"/>
      <w:autoSpaceDE w:val="0"/>
      <w:autoSpaceDN w:val="0"/>
      <w:adjustRightInd w:val="0"/>
      <w:jc w:val="center"/>
    </w:pPr>
    <w:rPr>
      <w:rFonts w:ascii="Times New Roman" w:hAnsi="Times New Roman" w:cs="Times New Roman"/>
      <w:b/>
      <w:bCs/>
      <w:u w:val="single"/>
      <w:lang w:eastAsia="en-US"/>
    </w:rPr>
  </w:style>
  <w:style w:type="character" w:customStyle="1" w:styleId="TitleChar">
    <w:name w:val="Title Char"/>
    <w:basedOn w:val="DefaultParagraphFont"/>
    <w:link w:val="Title"/>
    <w:rsid w:val="00A9692A"/>
    <w:rPr>
      <w:b/>
      <w:bCs/>
      <w:sz w:val="24"/>
      <w:szCs w:val="24"/>
      <w:u w:val="single"/>
      <w:lang w:eastAsia="en-US"/>
    </w:rPr>
  </w:style>
  <w:style w:type="paragraph" w:customStyle="1" w:styleId="Default">
    <w:name w:val="Default"/>
    <w:rsid w:val="001717B6"/>
    <w:pPr>
      <w:autoSpaceDE w:val="0"/>
      <w:autoSpaceDN w:val="0"/>
      <w:adjustRightInd w:val="0"/>
    </w:pPr>
    <w:rPr>
      <w:rFonts w:ascii="Verdana" w:eastAsiaTheme="minorHAnsi" w:hAnsi="Verdana" w:cs="Verdana"/>
      <w:color w:val="000000"/>
      <w:sz w:val="24"/>
      <w:szCs w:val="24"/>
      <w:lang w:eastAsia="en-US"/>
    </w:rPr>
  </w:style>
  <w:style w:type="paragraph" w:styleId="NormalWeb">
    <w:name w:val="Normal (Web)"/>
    <w:basedOn w:val="Normal"/>
    <w:uiPriority w:val="99"/>
    <w:unhideWhenUsed/>
    <w:rsid w:val="0024473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977C6"/>
    <w:rPr>
      <w:rFonts w:ascii="Transport Heavy" w:hAnsi="Transport Heavy" w:hint="default"/>
      <w:b w:val="0"/>
      <w:bCs w:val="0"/>
    </w:rPr>
  </w:style>
  <w:style w:type="character" w:customStyle="1" w:styleId="A12">
    <w:name w:val="A12"/>
    <w:uiPriority w:val="99"/>
    <w:rsid w:val="00B977C6"/>
    <w:rPr>
      <w:rFonts w:ascii="Foundry Form Sans" w:hAnsi="Foundry Form Sans" w:cs="Foundry Form Sans" w:hint="default"/>
      <w:color w:val="000000"/>
      <w:sz w:val="14"/>
      <w:szCs w:val="14"/>
    </w:rPr>
  </w:style>
  <w:style w:type="character" w:customStyle="1" w:styleId="FooterChar">
    <w:name w:val="Footer Char"/>
    <w:basedOn w:val="DefaultParagraphFont"/>
    <w:link w:val="Footer"/>
    <w:uiPriority w:val="99"/>
    <w:rsid w:val="006D5C60"/>
    <w:rPr>
      <w:rFonts w:ascii="Arial" w:hAnsi="Arial" w:cs="Arial"/>
      <w:sz w:val="24"/>
      <w:szCs w:val="24"/>
    </w:rPr>
  </w:style>
  <w:style w:type="paragraph" w:styleId="Revision">
    <w:name w:val="Revision"/>
    <w:hidden/>
    <w:uiPriority w:val="99"/>
    <w:semiHidden/>
    <w:rsid w:val="007F0519"/>
    <w:rPr>
      <w:rFonts w:ascii="Arial" w:hAnsi="Arial" w:cs="Arial"/>
      <w:sz w:val="24"/>
      <w:szCs w:val="24"/>
    </w:rPr>
  </w:style>
  <w:style w:type="paragraph" w:customStyle="1" w:styleId="Subsection">
    <w:name w:val="Subsection"/>
    <w:basedOn w:val="ListParagraph"/>
    <w:qFormat/>
    <w:rsid w:val="00E869F1"/>
    <w:pPr>
      <w:widowControl w:val="0"/>
      <w:suppressAutoHyphens/>
      <w:spacing w:before="240"/>
      <w:ind w:left="993" w:rightChars="6" w:right="14" w:hanging="993"/>
      <w:jc w:val="both"/>
    </w:pPr>
    <w:rPr>
      <w:rFonts w:eastAsia="Arial"/>
      <w:bCs/>
      <w:color w:val="002395"/>
      <w:sz w:val="32"/>
    </w:rPr>
  </w:style>
  <w:style w:type="paragraph" w:customStyle="1" w:styleId="Paragraph">
    <w:name w:val="Paragraph"/>
    <w:basedOn w:val="Subsection"/>
    <w:link w:val="ParagraphChar"/>
    <w:qFormat/>
    <w:rsid w:val="00E869F1"/>
    <w:rPr>
      <w:color w:val="auto"/>
      <w:sz w:val="24"/>
    </w:rPr>
  </w:style>
  <w:style w:type="character" w:customStyle="1" w:styleId="ParagraphChar">
    <w:name w:val="Paragraph Char"/>
    <w:basedOn w:val="DefaultParagraphFont"/>
    <w:link w:val="Paragraph"/>
    <w:rsid w:val="00E869F1"/>
    <w:rPr>
      <w:rFonts w:ascii="Arial" w:eastAsia="Arial" w:hAnsi="Arial" w:cs="Arial"/>
      <w:bCs/>
      <w:sz w:val="24"/>
      <w:szCs w:val="24"/>
    </w:rPr>
  </w:style>
  <w:style w:type="paragraph" w:customStyle="1" w:styleId="Basic">
    <w:name w:val="Basic"/>
    <w:basedOn w:val="Paragraph"/>
    <w:link w:val="BasicChar"/>
    <w:qFormat/>
    <w:rsid w:val="007640A3"/>
    <w:pPr>
      <w:spacing w:before="0"/>
      <w:ind w:firstLine="0"/>
    </w:pPr>
  </w:style>
  <w:style w:type="character" w:customStyle="1" w:styleId="BasicChar">
    <w:name w:val="Basic Char"/>
    <w:basedOn w:val="ParagraphChar"/>
    <w:link w:val="Basic"/>
    <w:rsid w:val="007640A3"/>
    <w:rPr>
      <w:rFonts w:ascii="Arial" w:eastAsia="Arial" w:hAnsi="Arial" w:cs="Arial"/>
      <w:bCs/>
      <w:sz w:val="24"/>
      <w:szCs w:val="24"/>
    </w:rPr>
  </w:style>
  <w:style w:type="paragraph" w:customStyle="1" w:styleId="BodyTextSPD">
    <w:name w:val="Body Text SPD"/>
    <w:basedOn w:val="Normal"/>
    <w:qFormat/>
    <w:rsid w:val="00CC5163"/>
    <w:pPr>
      <w:autoSpaceDE w:val="0"/>
      <w:autoSpaceDN w:val="0"/>
      <w:adjustRightInd w:val="0"/>
      <w:spacing w:after="200" w:line="276" w:lineRule="auto"/>
      <w:ind w:left="709" w:hanging="709"/>
    </w:pPr>
    <w:rPr>
      <w:rFonts w:asciiTheme="minorHAnsi" w:eastAsiaTheme="minorHAnsi" w:hAnsiTheme="minorHAnsi" w:cstheme="minorHAnsi"/>
      <w:sz w:val="22"/>
      <w:szCs w:val="22"/>
      <w:lang w:eastAsia="en-US"/>
    </w:rPr>
  </w:style>
  <w:style w:type="paragraph" w:customStyle="1" w:styleId="Bullets">
    <w:name w:val="Bullets"/>
    <w:basedOn w:val="ListParagraph"/>
    <w:qFormat/>
    <w:rsid w:val="00CC5163"/>
    <w:pPr>
      <w:numPr>
        <w:numId w:val="5"/>
      </w:numPr>
      <w:autoSpaceDE w:val="0"/>
      <w:autoSpaceDN w:val="0"/>
      <w:adjustRightInd w:val="0"/>
      <w:spacing w:after="200" w:line="276" w:lineRule="auto"/>
      <w:contextualSpacing/>
    </w:pPr>
    <w:rPr>
      <w:rFonts w:eastAsiaTheme="minorHAnsi"/>
      <w:lang w:eastAsia="en-US"/>
    </w:rPr>
  </w:style>
  <w:style w:type="character" w:customStyle="1" w:styleId="FootnoteTextChar">
    <w:name w:val="Footnote Text Char"/>
    <w:basedOn w:val="DefaultParagraphFont"/>
    <w:link w:val="FootnoteText"/>
    <w:uiPriority w:val="99"/>
    <w:rsid w:val="00CC5163"/>
    <w:rPr>
      <w:rFonts w:ascii="Arial" w:hAnsi="Arial" w:cs="Arial"/>
    </w:rPr>
  </w:style>
  <w:style w:type="character" w:customStyle="1" w:styleId="apple-converted-space">
    <w:name w:val="apple-converted-space"/>
    <w:basedOn w:val="DefaultParagraphFont"/>
    <w:rsid w:val="003F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6715">
      <w:bodyDiv w:val="1"/>
      <w:marLeft w:val="0"/>
      <w:marRight w:val="0"/>
      <w:marTop w:val="0"/>
      <w:marBottom w:val="0"/>
      <w:divBdr>
        <w:top w:val="none" w:sz="0" w:space="0" w:color="auto"/>
        <w:left w:val="none" w:sz="0" w:space="0" w:color="auto"/>
        <w:bottom w:val="none" w:sz="0" w:space="0" w:color="auto"/>
        <w:right w:val="none" w:sz="0" w:space="0" w:color="auto"/>
      </w:divBdr>
    </w:div>
    <w:div w:id="342706270">
      <w:bodyDiv w:val="1"/>
      <w:marLeft w:val="0"/>
      <w:marRight w:val="0"/>
      <w:marTop w:val="0"/>
      <w:marBottom w:val="0"/>
      <w:divBdr>
        <w:top w:val="none" w:sz="0" w:space="0" w:color="auto"/>
        <w:left w:val="none" w:sz="0" w:space="0" w:color="auto"/>
        <w:bottom w:val="none" w:sz="0" w:space="0" w:color="auto"/>
        <w:right w:val="none" w:sz="0" w:space="0" w:color="auto"/>
      </w:divBdr>
    </w:div>
    <w:div w:id="743114042">
      <w:bodyDiv w:val="1"/>
      <w:marLeft w:val="0"/>
      <w:marRight w:val="0"/>
      <w:marTop w:val="0"/>
      <w:marBottom w:val="0"/>
      <w:divBdr>
        <w:top w:val="none" w:sz="0" w:space="0" w:color="auto"/>
        <w:left w:val="none" w:sz="0" w:space="0" w:color="auto"/>
        <w:bottom w:val="none" w:sz="0" w:space="0" w:color="auto"/>
        <w:right w:val="none" w:sz="0" w:space="0" w:color="auto"/>
      </w:divBdr>
    </w:div>
    <w:div w:id="833225769">
      <w:bodyDiv w:val="1"/>
      <w:marLeft w:val="0"/>
      <w:marRight w:val="0"/>
      <w:marTop w:val="0"/>
      <w:marBottom w:val="0"/>
      <w:divBdr>
        <w:top w:val="none" w:sz="0" w:space="0" w:color="auto"/>
        <w:left w:val="none" w:sz="0" w:space="0" w:color="auto"/>
        <w:bottom w:val="none" w:sz="0" w:space="0" w:color="auto"/>
        <w:right w:val="none" w:sz="0" w:space="0" w:color="auto"/>
      </w:divBdr>
    </w:div>
    <w:div w:id="956448686">
      <w:bodyDiv w:val="1"/>
      <w:marLeft w:val="0"/>
      <w:marRight w:val="0"/>
      <w:marTop w:val="0"/>
      <w:marBottom w:val="0"/>
      <w:divBdr>
        <w:top w:val="none" w:sz="0" w:space="0" w:color="auto"/>
        <w:left w:val="none" w:sz="0" w:space="0" w:color="auto"/>
        <w:bottom w:val="none" w:sz="0" w:space="0" w:color="auto"/>
        <w:right w:val="none" w:sz="0" w:space="0" w:color="auto"/>
      </w:divBdr>
    </w:div>
    <w:div w:id="1223059996">
      <w:bodyDiv w:val="1"/>
      <w:marLeft w:val="0"/>
      <w:marRight w:val="0"/>
      <w:marTop w:val="0"/>
      <w:marBottom w:val="0"/>
      <w:divBdr>
        <w:top w:val="none" w:sz="0" w:space="0" w:color="auto"/>
        <w:left w:val="none" w:sz="0" w:space="0" w:color="auto"/>
        <w:bottom w:val="none" w:sz="0" w:space="0" w:color="auto"/>
        <w:right w:val="none" w:sz="0" w:space="0" w:color="auto"/>
      </w:divBdr>
      <w:divsChild>
        <w:div w:id="889078587">
          <w:marLeft w:val="0"/>
          <w:marRight w:val="0"/>
          <w:marTop w:val="0"/>
          <w:marBottom w:val="0"/>
          <w:divBdr>
            <w:top w:val="none" w:sz="0" w:space="0" w:color="auto"/>
            <w:left w:val="none" w:sz="0" w:space="0" w:color="auto"/>
            <w:bottom w:val="none" w:sz="0" w:space="0" w:color="auto"/>
            <w:right w:val="none" w:sz="0" w:space="0" w:color="auto"/>
          </w:divBdr>
          <w:divsChild>
            <w:div w:id="563028132">
              <w:marLeft w:val="0"/>
              <w:marRight w:val="0"/>
              <w:marTop w:val="0"/>
              <w:marBottom w:val="0"/>
              <w:divBdr>
                <w:top w:val="none" w:sz="0" w:space="0" w:color="auto"/>
                <w:left w:val="none" w:sz="0" w:space="0" w:color="auto"/>
                <w:bottom w:val="none" w:sz="0" w:space="0" w:color="auto"/>
                <w:right w:val="none" w:sz="0" w:space="0" w:color="auto"/>
              </w:divBdr>
              <w:divsChild>
                <w:div w:id="707677817">
                  <w:marLeft w:val="0"/>
                  <w:marRight w:val="0"/>
                  <w:marTop w:val="0"/>
                  <w:marBottom w:val="0"/>
                  <w:divBdr>
                    <w:top w:val="none" w:sz="0" w:space="0" w:color="auto"/>
                    <w:left w:val="none" w:sz="0" w:space="0" w:color="auto"/>
                    <w:bottom w:val="none" w:sz="0" w:space="0" w:color="auto"/>
                    <w:right w:val="none" w:sz="0" w:space="0" w:color="auto"/>
                  </w:divBdr>
                  <w:divsChild>
                    <w:div w:id="217784213">
                      <w:marLeft w:val="0"/>
                      <w:marRight w:val="0"/>
                      <w:marTop w:val="0"/>
                      <w:marBottom w:val="0"/>
                      <w:divBdr>
                        <w:top w:val="none" w:sz="0" w:space="0" w:color="auto"/>
                        <w:left w:val="none" w:sz="0" w:space="0" w:color="auto"/>
                        <w:bottom w:val="none" w:sz="0" w:space="0" w:color="auto"/>
                        <w:right w:val="none" w:sz="0" w:space="0" w:color="auto"/>
                      </w:divBdr>
                      <w:divsChild>
                        <w:div w:id="806362825">
                          <w:marLeft w:val="0"/>
                          <w:marRight w:val="0"/>
                          <w:marTop w:val="0"/>
                          <w:marBottom w:val="0"/>
                          <w:divBdr>
                            <w:top w:val="none" w:sz="0" w:space="0" w:color="auto"/>
                            <w:left w:val="none" w:sz="0" w:space="0" w:color="auto"/>
                            <w:bottom w:val="none" w:sz="0" w:space="0" w:color="auto"/>
                            <w:right w:val="none" w:sz="0" w:space="0" w:color="auto"/>
                          </w:divBdr>
                          <w:divsChild>
                            <w:div w:id="1863854851">
                              <w:marLeft w:val="0"/>
                              <w:marRight w:val="0"/>
                              <w:marTop w:val="0"/>
                              <w:marBottom w:val="0"/>
                              <w:divBdr>
                                <w:top w:val="none" w:sz="0" w:space="0" w:color="auto"/>
                                <w:left w:val="none" w:sz="0" w:space="0" w:color="auto"/>
                                <w:bottom w:val="none" w:sz="0" w:space="0" w:color="auto"/>
                                <w:right w:val="none" w:sz="0" w:space="0" w:color="auto"/>
                              </w:divBdr>
                              <w:divsChild>
                                <w:div w:id="1104882707">
                                  <w:marLeft w:val="0"/>
                                  <w:marRight w:val="0"/>
                                  <w:marTop w:val="0"/>
                                  <w:marBottom w:val="0"/>
                                  <w:divBdr>
                                    <w:top w:val="none" w:sz="0" w:space="0" w:color="auto"/>
                                    <w:left w:val="none" w:sz="0" w:space="0" w:color="auto"/>
                                    <w:bottom w:val="none" w:sz="0" w:space="0" w:color="auto"/>
                                    <w:right w:val="none" w:sz="0" w:space="0" w:color="auto"/>
                                  </w:divBdr>
                                  <w:divsChild>
                                    <w:div w:id="1050543109">
                                      <w:marLeft w:val="0"/>
                                      <w:marRight w:val="0"/>
                                      <w:marTop w:val="0"/>
                                      <w:marBottom w:val="0"/>
                                      <w:divBdr>
                                        <w:top w:val="none" w:sz="0" w:space="0" w:color="auto"/>
                                        <w:left w:val="none" w:sz="0" w:space="0" w:color="auto"/>
                                        <w:bottom w:val="none" w:sz="0" w:space="0" w:color="auto"/>
                                        <w:right w:val="none" w:sz="0" w:space="0" w:color="auto"/>
                                      </w:divBdr>
                                      <w:divsChild>
                                        <w:div w:id="666054187">
                                          <w:marLeft w:val="0"/>
                                          <w:marRight w:val="-4395"/>
                                          <w:marTop w:val="0"/>
                                          <w:marBottom w:val="0"/>
                                          <w:divBdr>
                                            <w:top w:val="none" w:sz="0" w:space="0" w:color="auto"/>
                                            <w:left w:val="none" w:sz="0" w:space="0" w:color="auto"/>
                                            <w:bottom w:val="none" w:sz="0" w:space="0" w:color="auto"/>
                                            <w:right w:val="none" w:sz="0" w:space="0" w:color="auto"/>
                                          </w:divBdr>
                                          <w:divsChild>
                                            <w:div w:id="699084627">
                                              <w:marLeft w:val="0"/>
                                              <w:marRight w:val="0"/>
                                              <w:marTop w:val="0"/>
                                              <w:marBottom w:val="0"/>
                                              <w:divBdr>
                                                <w:top w:val="none" w:sz="0" w:space="0" w:color="auto"/>
                                                <w:left w:val="none" w:sz="0" w:space="0" w:color="auto"/>
                                                <w:bottom w:val="none" w:sz="0" w:space="0" w:color="auto"/>
                                                <w:right w:val="none" w:sz="0" w:space="0" w:color="auto"/>
                                              </w:divBdr>
                                              <w:divsChild>
                                                <w:div w:id="1390877832">
                                                  <w:marLeft w:val="19"/>
                                                  <w:marRight w:val="19"/>
                                                  <w:marTop w:val="19"/>
                                                  <w:marBottom w:val="19"/>
                                                  <w:divBdr>
                                                    <w:top w:val="none" w:sz="0" w:space="0" w:color="auto"/>
                                                    <w:left w:val="none" w:sz="0" w:space="0" w:color="auto"/>
                                                    <w:bottom w:val="none" w:sz="0" w:space="0" w:color="auto"/>
                                                    <w:right w:val="none" w:sz="0" w:space="0" w:color="auto"/>
                                                  </w:divBdr>
                                                  <w:divsChild>
                                                    <w:div w:id="1716199225">
                                                      <w:marLeft w:val="0"/>
                                                      <w:marRight w:val="0"/>
                                                      <w:marTop w:val="0"/>
                                                      <w:marBottom w:val="0"/>
                                                      <w:divBdr>
                                                        <w:top w:val="none" w:sz="0" w:space="0" w:color="auto"/>
                                                        <w:left w:val="none" w:sz="0" w:space="0" w:color="auto"/>
                                                        <w:bottom w:val="none" w:sz="0" w:space="0" w:color="auto"/>
                                                        <w:right w:val="none" w:sz="0" w:space="0" w:color="auto"/>
                                                      </w:divBdr>
                                                      <w:divsChild>
                                                        <w:div w:id="644702307">
                                                          <w:marLeft w:val="0"/>
                                                          <w:marRight w:val="0"/>
                                                          <w:marTop w:val="0"/>
                                                          <w:marBottom w:val="0"/>
                                                          <w:divBdr>
                                                            <w:top w:val="none" w:sz="0" w:space="0" w:color="auto"/>
                                                            <w:left w:val="none" w:sz="0" w:space="0" w:color="auto"/>
                                                            <w:bottom w:val="none" w:sz="0" w:space="0" w:color="auto"/>
                                                            <w:right w:val="none" w:sz="0" w:space="0" w:color="auto"/>
                                                          </w:divBdr>
                                                          <w:divsChild>
                                                            <w:div w:id="905728198">
                                                              <w:marLeft w:val="0"/>
                                                              <w:marRight w:val="0"/>
                                                              <w:marTop w:val="0"/>
                                                              <w:marBottom w:val="0"/>
                                                              <w:divBdr>
                                                                <w:top w:val="none" w:sz="0" w:space="0" w:color="auto"/>
                                                                <w:left w:val="none" w:sz="0" w:space="0" w:color="auto"/>
                                                                <w:bottom w:val="none" w:sz="0" w:space="0" w:color="auto"/>
                                                                <w:right w:val="none" w:sz="0" w:space="0" w:color="auto"/>
                                                              </w:divBdr>
                                                            </w:div>
                                                            <w:div w:id="1498031803">
                                                              <w:marLeft w:val="0"/>
                                                              <w:marRight w:val="0"/>
                                                              <w:marTop w:val="0"/>
                                                              <w:marBottom w:val="0"/>
                                                              <w:divBdr>
                                                                <w:top w:val="none" w:sz="0" w:space="0" w:color="auto"/>
                                                                <w:left w:val="none" w:sz="0" w:space="0" w:color="auto"/>
                                                                <w:bottom w:val="none" w:sz="0" w:space="0" w:color="auto"/>
                                                                <w:right w:val="none" w:sz="0" w:space="0" w:color="auto"/>
                                                              </w:divBdr>
                                                            </w:div>
                                                            <w:div w:id="1938559946">
                                                              <w:marLeft w:val="0"/>
                                                              <w:marRight w:val="0"/>
                                                              <w:marTop w:val="0"/>
                                                              <w:marBottom w:val="0"/>
                                                              <w:divBdr>
                                                                <w:top w:val="none" w:sz="0" w:space="0" w:color="auto"/>
                                                                <w:left w:val="none" w:sz="0" w:space="0" w:color="auto"/>
                                                                <w:bottom w:val="none" w:sz="0" w:space="0" w:color="auto"/>
                                                                <w:right w:val="none" w:sz="0" w:space="0" w:color="auto"/>
                                                              </w:divBdr>
                                                            </w:div>
                                                            <w:div w:id="1154250780">
                                                              <w:marLeft w:val="0"/>
                                                              <w:marRight w:val="0"/>
                                                              <w:marTop w:val="0"/>
                                                              <w:marBottom w:val="0"/>
                                                              <w:divBdr>
                                                                <w:top w:val="none" w:sz="0" w:space="0" w:color="auto"/>
                                                                <w:left w:val="none" w:sz="0" w:space="0" w:color="auto"/>
                                                                <w:bottom w:val="none" w:sz="0" w:space="0" w:color="auto"/>
                                                                <w:right w:val="none" w:sz="0" w:space="0" w:color="auto"/>
                                                              </w:divBdr>
                                                            </w:div>
                                                            <w:div w:id="1780026841">
                                                              <w:marLeft w:val="0"/>
                                                              <w:marRight w:val="0"/>
                                                              <w:marTop w:val="0"/>
                                                              <w:marBottom w:val="0"/>
                                                              <w:divBdr>
                                                                <w:top w:val="none" w:sz="0" w:space="0" w:color="auto"/>
                                                                <w:left w:val="none" w:sz="0" w:space="0" w:color="auto"/>
                                                                <w:bottom w:val="none" w:sz="0" w:space="0" w:color="auto"/>
                                                                <w:right w:val="none" w:sz="0" w:space="0" w:color="auto"/>
                                                              </w:divBdr>
                                                            </w:div>
                                                            <w:div w:id="1223640883">
                                                              <w:marLeft w:val="0"/>
                                                              <w:marRight w:val="0"/>
                                                              <w:marTop w:val="0"/>
                                                              <w:marBottom w:val="0"/>
                                                              <w:divBdr>
                                                                <w:top w:val="none" w:sz="0" w:space="0" w:color="auto"/>
                                                                <w:left w:val="none" w:sz="0" w:space="0" w:color="auto"/>
                                                                <w:bottom w:val="none" w:sz="0" w:space="0" w:color="auto"/>
                                                                <w:right w:val="none" w:sz="0" w:space="0" w:color="auto"/>
                                                              </w:divBdr>
                                                            </w:div>
                                                            <w:div w:id="124468829">
                                                              <w:marLeft w:val="0"/>
                                                              <w:marRight w:val="0"/>
                                                              <w:marTop w:val="0"/>
                                                              <w:marBottom w:val="0"/>
                                                              <w:divBdr>
                                                                <w:top w:val="none" w:sz="0" w:space="0" w:color="auto"/>
                                                                <w:left w:val="none" w:sz="0" w:space="0" w:color="auto"/>
                                                                <w:bottom w:val="none" w:sz="0" w:space="0" w:color="auto"/>
                                                                <w:right w:val="none" w:sz="0" w:space="0" w:color="auto"/>
                                                              </w:divBdr>
                                                            </w:div>
                                                            <w:div w:id="522742363">
                                                              <w:marLeft w:val="0"/>
                                                              <w:marRight w:val="0"/>
                                                              <w:marTop w:val="0"/>
                                                              <w:marBottom w:val="0"/>
                                                              <w:divBdr>
                                                                <w:top w:val="none" w:sz="0" w:space="0" w:color="auto"/>
                                                                <w:left w:val="none" w:sz="0" w:space="0" w:color="auto"/>
                                                                <w:bottom w:val="none" w:sz="0" w:space="0" w:color="auto"/>
                                                                <w:right w:val="none" w:sz="0" w:space="0" w:color="auto"/>
                                                              </w:divBdr>
                                                            </w:div>
                                                            <w:div w:id="1313216843">
                                                              <w:marLeft w:val="0"/>
                                                              <w:marRight w:val="0"/>
                                                              <w:marTop w:val="0"/>
                                                              <w:marBottom w:val="0"/>
                                                              <w:divBdr>
                                                                <w:top w:val="none" w:sz="0" w:space="0" w:color="auto"/>
                                                                <w:left w:val="none" w:sz="0" w:space="0" w:color="auto"/>
                                                                <w:bottom w:val="none" w:sz="0" w:space="0" w:color="auto"/>
                                                                <w:right w:val="none" w:sz="0" w:space="0" w:color="auto"/>
                                                              </w:divBdr>
                                                            </w:div>
                                                            <w:div w:id="1738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4042846">
      <w:bodyDiv w:val="1"/>
      <w:marLeft w:val="0"/>
      <w:marRight w:val="0"/>
      <w:marTop w:val="0"/>
      <w:marBottom w:val="0"/>
      <w:divBdr>
        <w:top w:val="none" w:sz="0" w:space="0" w:color="auto"/>
        <w:left w:val="none" w:sz="0" w:space="0" w:color="auto"/>
        <w:bottom w:val="none" w:sz="0" w:space="0" w:color="auto"/>
        <w:right w:val="none" w:sz="0" w:space="0" w:color="auto"/>
      </w:divBdr>
    </w:div>
    <w:div w:id="1332220213">
      <w:bodyDiv w:val="1"/>
      <w:marLeft w:val="0"/>
      <w:marRight w:val="0"/>
      <w:marTop w:val="0"/>
      <w:marBottom w:val="0"/>
      <w:divBdr>
        <w:top w:val="none" w:sz="0" w:space="0" w:color="auto"/>
        <w:left w:val="none" w:sz="0" w:space="0" w:color="auto"/>
        <w:bottom w:val="none" w:sz="0" w:space="0" w:color="auto"/>
        <w:right w:val="none" w:sz="0" w:space="0" w:color="auto"/>
      </w:divBdr>
    </w:div>
    <w:div w:id="1500803857">
      <w:bodyDiv w:val="1"/>
      <w:marLeft w:val="0"/>
      <w:marRight w:val="0"/>
      <w:marTop w:val="0"/>
      <w:marBottom w:val="0"/>
      <w:divBdr>
        <w:top w:val="none" w:sz="0" w:space="0" w:color="auto"/>
        <w:left w:val="none" w:sz="0" w:space="0" w:color="auto"/>
        <w:bottom w:val="none" w:sz="0" w:space="0" w:color="auto"/>
        <w:right w:val="none" w:sz="0" w:space="0" w:color="auto"/>
      </w:divBdr>
    </w:div>
    <w:div w:id="1520050069">
      <w:bodyDiv w:val="1"/>
      <w:marLeft w:val="0"/>
      <w:marRight w:val="0"/>
      <w:marTop w:val="0"/>
      <w:marBottom w:val="0"/>
      <w:divBdr>
        <w:top w:val="none" w:sz="0" w:space="0" w:color="auto"/>
        <w:left w:val="none" w:sz="0" w:space="0" w:color="auto"/>
        <w:bottom w:val="none" w:sz="0" w:space="0" w:color="auto"/>
        <w:right w:val="none" w:sz="0" w:space="0" w:color="auto"/>
      </w:divBdr>
    </w:div>
    <w:div w:id="1569654220">
      <w:bodyDiv w:val="1"/>
      <w:marLeft w:val="0"/>
      <w:marRight w:val="0"/>
      <w:marTop w:val="0"/>
      <w:marBottom w:val="0"/>
      <w:divBdr>
        <w:top w:val="none" w:sz="0" w:space="0" w:color="auto"/>
        <w:left w:val="none" w:sz="0" w:space="0" w:color="auto"/>
        <w:bottom w:val="none" w:sz="0" w:space="0" w:color="auto"/>
        <w:right w:val="none" w:sz="0" w:space="0" w:color="auto"/>
      </w:divBdr>
      <w:divsChild>
        <w:div w:id="1932162352">
          <w:marLeft w:val="0"/>
          <w:marRight w:val="0"/>
          <w:marTop w:val="0"/>
          <w:marBottom w:val="0"/>
          <w:divBdr>
            <w:top w:val="none" w:sz="0" w:space="0" w:color="auto"/>
            <w:left w:val="none" w:sz="0" w:space="0" w:color="auto"/>
            <w:bottom w:val="none" w:sz="0" w:space="0" w:color="auto"/>
            <w:right w:val="none" w:sz="0" w:space="0" w:color="auto"/>
          </w:divBdr>
          <w:divsChild>
            <w:div w:id="1555433279">
              <w:marLeft w:val="0"/>
              <w:marRight w:val="0"/>
              <w:marTop w:val="0"/>
              <w:marBottom w:val="0"/>
              <w:divBdr>
                <w:top w:val="none" w:sz="0" w:space="0" w:color="auto"/>
                <w:left w:val="none" w:sz="0" w:space="0" w:color="auto"/>
                <w:bottom w:val="none" w:sz="0" w:space="0" w:color="auto"/>
                <w:right w:val="none" w:sz="0" w:space="0" w:color="auto"/>
              </w:divBdr>
              <w:divsChild>
                <w:div w:id="493835569">
                  <w:marLeft w:val="-285"/>
                  <w:marRight w:val="0"/>
                  <w:marTop w:val="0"/>
                  <w:marBottom w:val="0"/>
                  <w:divBdr>
                    <w:top w:val="none" w:sz="0" w:space="0" w:color="auto"/>
                    <w:left w:val="none" w:sz="0" w:space="0" w:color="auto"/>
                    <w:bottom w:val="none" w:sz="0" w:space="0" w:color="auto"/>
                    <w:right w:val="none" w:sz="0" w:space="0" w:color="auto"/>
                  </w:divBdr>
                  <w:divsChild>
                    <w:div w:id="1915580458">
                      <w:marLeft w:val="0"/>
                      <w:marRight w:val="0"/>
                      <w:marTop w:val="0"/>
                      <w:marBottom w:val="0"/>
                      <w:divBdr>
                        <w:top w:val="none" w:sz="0" w:space="0" w:color="auto"/>
                        <w:left w:val="none" w:sz="0" w:space="0" w:color="auto"/>
                        <w:bottom w:val="none" w:sz="0" w:space="0" w:color="auto"/>
                        <w:right w:val="none" w:sz="0" w:space="0" w:color="auto"/>
                      </w:divBdr>
                      <w:divsChild>
                        <w:div w:id="24405259">
                          <w:marLeft w:val="0"/>
                          <w:marRight w:val="0"/>
                          <w:marTop w:val="0"/>
                          <w:marBottom w:val="0"/>
                          <w:divBdr>
                            <w:top w:val="none" w:sz="0" w:space="0" w:color="auto"/>
                            <w:left w:val="none" w:sz="0" w:space="0" w:color="auto"/>
                            <w:bottom w:val="none" w:sz="0" w:space="0" w:color="auto"/>
                            <w:right w:val="none" w:sz="0" w:space="0" w:color="auto"/>
                          </w:divBdr>
                          <w:divsChild>
                            <w:div w:id="41174688">
                              <w:marLeft w:val="0"/>
                              <w:marRight w:val="0"/>
                              <w:marTop w:val="0"/>
                              <w:marBottom w:val="0"/>
                              <w:divBdr>
                                <w:top w:val="none" w:sz="0" w:space="0" w:color="auto"/>
                                <w:left w:val="none" w:sz="0" w:space="0" w:color="auto"/>
                                <w:bottom w:val="none" w:sz="0" w:space="0" w:color="auto"/>
                                <w:right w:val="none" w:sz="0" w:space="0" w:color="auto"/>
                              </w:divBdr>
                              <w:divsChild>
                                <w:div w:id="5249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1309">
      <w:bodyDiv w:val="1"/>
      <w:marLeft w:val="0"/>
      <w:marRight w:val="0"/>
      <w:marTop w:val="0"/>
      <w:marBottom w:val="0"/>
      <w:divBdr>
        <w:top w:val="none" w:sz="0" w:space="0" w:color="auto"/>
        <w:left w:val="none" w:sz="0" w:space="0" w:color="auto"/>
        <w:bottom w:val="none" w:sz="0" w:space="0" w:color="auto"/>
        <w:right w:val="none" w:sz="0" w:space="0" w:color="auto"/>
      </w:divBdr>
    </w:div>
    <w:div w:id="1876230926">
      <w:bodyDiv w:val="1"/>
      <w:marLeft w:val="0"/>
      <w:marRight w:val="0"/>
      <w:marTop w:val="0"/>
      <w:marBottom w:val="0"/>
      <w:divBdr>
        <w:top w:val="none" w:sz="0" w:space="0" w:color="auto"/>
        <w:left w:val="none" w:sz="0" w:space="0" w:color="auto"/>
        <w:bottom w:val="none" w:sz="0" w:space="0" w:color="auto"/>
        <w:right w:val="none" w:sz="0" w:space="0" w:color="auto"/>
      </w:divBdr>
    </w:div>
    <w:div w:id="1882325425">
      <w:bodyDiv w:val="1"/>
      <w:marLeft w:val="0"/>
      <w:marRight w:val="0"/>
      <w:marTop w:val="0"/>
      <w:marBottom w:val="0"/>
      <w:divBdr>
        <w:top w:val="none" w:sz="0" w:space="0" w:color="auto"/>
        <w:left w:val="none" w:sz="0" w:space="0" w:color="auto"/>
        <w:bottom w:val="none" w:sz="0" w:space="0" w:color="auto"/>
        <w:right w:val="none" w:sz="0" w:space="0" w:color="auto"/>
      </w:divBdr>
    </w:div>
    <w:div w:id="19630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lanningconsult.rbkc.gov.uk/gf2.ti/f/650050/18214821.1/PDF/-/1512RBKC_IIA_Scoping.pdf" TargetMode="External"/><Relationship Id="rId18" Type="http://schemas.openxmlformats.org/officeDocument/2006/relationships/hyperlink" Target="file:///C:/Users/PLNJAPR/Downloads/1512RBKC_IIA_Scoping%20(7).pdf" TargetMode="External"/><Relationship Id="rId26" Type="http://schemas.openxmlformats.org/officeDocument/2006/relationships/hyperlink" Target="https://www.rbkc.gov.uk/planning-and-building-control/planning-policy/local-development-framework/sustainability-appraisa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lanningconsult.rbkc.gov.uk/consult.ti/LPPR/consultationHome" TargetMode="External"/><Relationship Id="rId34" Type="http://schemas.openxmlformats.org/officeDocument/2006/relationships/hyperlink" Target="http://cheshireeast-consult.limehouse.co.uk/portal/planning/cs/sub1" TargetMode="External"/><Relationship Id="rId7" Type="http://schemas.openxmlformats.org/officeDocument/2006/relationships/styles" Target="styles.xml"/><Relationship Id="rId12" Type="http://schemas.openxmlformats.org/officeDocument/2006/relationships/hyperlink" Target="https://planningconsult.rbkc.gov.uk/consult.ti/LPPR/consultationHome" TargetMode="External"/><Relationship Id="rId17" Type="http://schemas.openxmlformats.org/officeDocument/2006/relationships/hyperlink" Target="http://www.legislation.gov.uk/ukpga/2010/15/section/149" TargetMode="External"/><Relationship Id="rId25" Type="http://schemas.openxmlformats.org/officeDocument/2006/relationships/hyperlink" Target="https://planningconsult.rbkc.gov.uk/gf2.ti/f/650050/18224389.1/PDF/-/RBKC_LPPR_IandO_Section_4__Site_allocations.pdf" TargetMode="External"/><Relationship Id="rId33" Type="http://schemas.openxmlformats.org/officeDocument/2006/relationships/hyperlink" Target="https://www.rbkc.gov.uk/pdf/Basements%20SA%20SEA%20Correcting%20Addition%20140912.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gal-content/EN/TXT/PDF/?uri=CELEX:32001L0042&amp;from=EN" TargetMode="External"/><Relationship Id="rId20" Type="http://schemas.openxmlformats.org/officeDocument/2006/relationships/hyperlink" Target="https://www.rbkc.gov.uk/planning-and-building-control/planning-policy/local-plan/local-plan" TargetMode="External"/><Relationship Id="rId29" Type="http://schemas.openxmlformats.org/officeDocument/2006/relationships/hyperlink" Target="https://planningconsult.rbkc.gov.uk/consult.ti/CSReview/consultationHo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bkc.gov.uk/sites/default/files/atoms/files/Consolidated%20Local%20Plan%20-%20Section%202%20-%20Delivery%20Strategy.pdf" TargetMode="External"/><Relationship Id="rId32" Type="http://schemas.openxmlformats.org/officeDocument/2006/relationships/hyperlink" Target="https://www.rbkc.gov.uk/council/consultation/basements/basements-review-submission"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planningguidance.communities.gov.uk/blog/guidance/strategic-environmental-assessment-and-sustainability-appraisal/sustainability-appraisal-requirements-for-local-plans/" TargetMode="External"/><Relationship Id="rId23" Type="http://schemas.openxmlformats.org/officeDocument/2006/relationships/hyperlink" Target="https://www.rbkc.gov.uk/planning-and-building-control/planning-policy/unitary-development-plan" TargetMode="External"/><Relationship Id="rId28" Type="http://schemas.openxmlformats.org/officeDocument/2006/relationships/hyperlink" Target="https://www.rbkc.gov.uk/planning-and-building-control/planning-policy/local-development-framework/sustainability-appraisal" TargetMode="External"/><Relationship Id="rId36"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hyperlink" Target="https://www.rbkc.gov.uk/planning-and-building-control/planning-policy/unitary-development-plan" TargetMode="External"/><Relationship Id="rId31" Type="http://schemas.openxmlformats.org/officeDocument/2006/relationships/hyperlink" Target="https://www.rbkc.gov.uk/planning-and-building-control/planning-policy/local-plan/miscellaneous-matters-review-submiss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nningconsult.rbkc.gov.uk/gf2.ti/f/650050/18214885.1/PDF/-/1512RBKC_HRA_Screening.pdf" TargetMode="External"/><Relationship Id="rId22" Type="http://schemas.openxmlformats.org/officeDocument/2006/relationships/hyperlink" Target="https://www.rbkc.gov.uk/planning-and-building-control/planning-policy/local-plan/local-plan" TargetMode="External"/><Relationship Id="rId27" Type="http://schemas.openxmlformats.org/officeDocument/2006/relationships/hyperlink" Target="https://www.rbkc.gov.uk/planning-and-building-control/planning-policy/local-development-framework/sustainability-appraisal" TargetMode="External"/><Relationship Id="rId30" Type="http://schemas.openxmlformats.org/officeDocument/2006/relationships/hyperlink" Target="https://www.rbkc.gov.uk/planning-and-building-control/planning-policy/development-plan/conservationanddesign/conservation" TargetMode="External"/><Relationship Id="rId35" Type="http://schemas.openxmlformats.org/officeDocument/2006/relationships/hyperlink" Target="mailto:james.preece@rbk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C31B49E0736D4199862893F1959612" ma:contentTypeVersion="0" ma:contentTypeDescription="Create a new document." ma:contentTypeScope="" ma:versionID="28622c492ad9a7ef9e4e9dcb8d68cd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04AFF-3E2D-4356-8957-6668A0CAB69B}">
  <ds:schemaRefs>
    <ds:schemaRef ds:uri="http://schemas.microsoft.com/office/2006/metadata/customXsn"/>
  </ds:schemaRefs>
</ds:datastoreItem>
</file>

<file path=customXml/itemProps2.xml><?xml version="1.0" encoding="utf-8"?>
<ds:datastoreItem xmlns:ds="http://schemas.openxmlformats.org/officeDocument/2006/customXml" ds:itemID="{EF420F0F-6A57-46A3-9855-BF91A6A2042E}">
  <ds:schemaRefs>
    <ds:schemaRef ds:uri="http://schemas.microsoft.com/sharepoint/v3/contenttype/forms"/>
  </ds:schemaRefs>
</ds:datastoreItem>
</file>

<file path=customXml/itemProps3.xml><?xml version="1.0" encoding="utf-8"?>
<ds:datastoreItem xmlns:ds="http://schemas.openxmlformats.org/officeDocument/2006/customXml" ds:itemID="{81412B39-E346-4698-866A-2D5D1547D0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4BE433-9EF1-4E86-93DA-B66B4EC82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C228D45-F319-4934-83ED-5DB8250F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BRIEF</vt:lpstr>
    </vt:vector>
  </TitlesOfParts>
  <Company>R.B.K.C.</Company>
  <LinksUpToDate>false</LinksUpToDate>
  <CharactersWithSpaces>17547</CharactersWithSpaces>
  <SharedDoc>false</SharedDoc>
  <HLinks>
    <vt:vector size="18" baseType="variant">
      <vt:variant>
        <vt:i4>7667779</vt:i4>
      </vt:variant>
      <vt:variant>
        <vt:i4>6</vt:i4>
      </vt:variant>
      <vt:variant>
        <vt:i4>0</vt:i4>
      </vt:variant>
      <vt:variant>
        <vt:i4>5</vt:i4>
      </vt:variant>
      <vt:variant>
        <vt:lpwstr>mailto:stan.logan@rbkc.gov.uk</vt:lpwstr>
      </vt:variant>
      <vt:variant>
        <vt:lpwstr/>
      </vt:variant>
      <vt:variant>
        <vt:i4>2949131</vt:i4>
      </vt:variant>
      <vt:variant>
        <vt:i4>3</vt:i4>
      </vt:variant>
      <vt:variant>
        <vt:i4>0</vt:i4>
      </vt:variant>
      <vt:variant>
        <vt:i4>5</vt:i4>
      </vt:variant>
      <vt:variant>
        <vt:lpwstr>mailto:claire.wise@rbkc.gov.uk</vt:lpwstr>
      </vt:variant>
      <vt:variant>
        <vt:lpwstr/>
      </vt:variant>
      <vt:variant>
        <vt:i4>7012431</vt:i4>
      </vt:variant>
      <vt:variant>
        <vt:i4>0</vt:i4>
      </vt:variant>
      <vt:variant>
        <vt:i4>0</vt:i4>
      </vt:variant>
      <vt:variant>
        <vt:i4>5</vt:i4>
      </vt:variant>
      <vt:variant>
        <vt:lpwstr>mailto:jane.trethewey@rbkc.gov.uk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R.B.K.C.</dc:creator>
  <cp:lastModifiedBy>Roger Van Goethem</cp:lastModifiedBy>
  <cp:revision>3</cp:revision>
  <cp:lastPrinted>2016-06-07T13:53:00Z</cp:lastPrinted>
  <dcterms:created xsi:type="dcterms:W3CDTF">2016-06-08T10:43:00Z</dcterms:created>
  <dcterms:modified xsi:type="dcterms:W3CDTF">2016-06-08T10:44:00Z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0x01010067C31B49E0736D4199862893F1959612</vt:lpwstr>
  </property>
</Properties>
</file>