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1837" w14:textId="45696F09" w:rsidR="00D16618" w:rsidRDefault="00D16618" w:rsidP="00D16618">
      <w:pPr>
        <w:pStyle w:val="Title"/>
        <w:jc w:val="center"/>
      </w:pPr>
    </w:p>
    <w:p w14:paraId="5269E240" w14:textId="77777777" w:rsidR="00D16618" w:rsidRDefault="00D16618" w:rsidP="00D16618">
      <w:pPr>
        <w:pStyle w:val="Title"/>
        <w:jc w:val="center"/>
      </w:pPr>
      <w:r>
        <w:t xml:space="preserve">Volume 0 - </w:t>
      </w:r>
      <w:r w:rsidR="00AA2E2F">
        <w:t>Instructions for Tendering</w:t>
      </w: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sz w:val="48"/>
          <w:szCs w:val="48"/>
          <w:lang w:eastAsia="en-US"/>
        </w:rPr>
        <w:id w:val="1036859561"/>
        <w:placeholder>
          <w:docPart w:val="DFEF4296D937414DA68998AB58259DFC"/>
        </w:placeholder>
      </w:sdtPr>
      <w:sdtEndPr>
        <w:rPr>
          <w:rFonts w:asciiTheme="minorHAnsi" w:hAnsiTheme="minorHAnsi" w:cstheme="minorBidi"/>
        </w:rPr>
      </w:sdtEndPr>
      <w:sdtContent>
        <w:sdt>
          <w:sdtPr>
            <w:rPr>
              <w:rFonts w:ascii="Arial" w:eastAsia="Times New Roman" w:hAnsi="Arial" w:cs="Times New Roman"/>
              <w:i/>
              <w:iCs/>
              <w:sz w:val="48"/>
              <w:szCs w:val="48"/>
              <w:lang w:eastAsia="en-US"/>
            </w:rPr>
            <w:id w:val="1766346015"/>
            <w:placeholder>
              <w:docPart w:val="CAE836724F9C497BBC06FB661CDE0885"/>
            </w:placeholder>
          </w:sdtPr>
          <w:sdtEndPr>
            <w:rPr>
              <w:rFonts w:asciiTheme="minorHAnsi" w:hAnsiTheme="minorHAnsi" w:cstheme="minorBidi"/>
            </w:rPr>
          </w:sdtEndPr>
          <w:sdtContent>
            <w:p w14:paraId="48AE83DC" w14:textId="15463921" w:rsidR="00D16618" w:rsidRPr="004A0E7D" w:rsidRDefault="0064600B" w:rsidP="00D16618">
              <w:pPr>
                <w:spacing w:before="240" w:after="0" w:line="240" w:lineRule="auto"/>
                <w:jc w:val="center"/>
                <w:rPr>
                  <w:rFonts w:eastAsia="Times New Roman" w:cstheme="minorHAnsi"/>
                  <w:sz w:val="48"/>
                  <w:szCs w:val="20"/>
                  <w:lang w:eastAsia="en-US"/>
                </w:rPr>
              </w:pPr>
              <w:r w:rsidRPr="004A0E7D">
                <w:rPr>
                  <w:rFonts w:eastAsia="Times New Roman" w:cs="Times New Roman"/>
                  <w:sz w:val="48"/>
                  <w:szCs w:val="20"/>
                  <w:lang w:eastAsia="en-US"/>
                </w:rPr>
                <w:t>London Stadium</w:t>
              </w:r>
            </w:p>
          </w:sdtContent>
        </w:sdt>
        <w:p w14:paraId="6A056C94" w14:textId="77777777" w:rsidR="00D16618" w:rsidRPr="004A0E7D" w:rsidRDefault="00A6122F" w:rsidP="00D16618">
          <w:pPr>
            <w:spacing w:before="240" w:after="0" w:line="240" w:lineRule="auto"/>
            <w:jc w:val="center"/>
            <w:rPr>
              <w:rFonts w:ascii="Arial" w:eastAsia="Times New Roman" w:hAnsi="Arial" w:cstheme="minorHAnsi"/>
              <w:sz w:val="48"/>
              <w:szCs w:val="20"/>
              <w:lang w:eastAsia="en-US"/>
            </w:rPr>
          </w:pPr>
        </w:p>
      </w:sdtContent>
    </w:sdt>
    <w:p w14:paraId="6D236BEA" w14:textId="08B6DCB3" w:rsidR="00D16618" w:rsidRPr="004A0E7D" w:rsidRDefault="00D16618" w:rsidP="00D16618">
      <w:pPr>
        <w:tabs>
          <w:tab w:val="left" w:pos="3329"/>
        </w:tabs>
        <w:spacing w:before="240" w:after="0"/>
        <w:rPr>
          <w:rFonts w:cstheme="minorHAnsi"/>
          <w:sz w:val="4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4A0E7D" w14:paraId="6FD032B7" w14:textId="77777777" w:rsidTr="00D16618">
        <w:trPr>
          <w:trHeight w:val="1135"/>
          <w:jc w:val="center"/>
        </w:trPr>
        <w:tc>
          <w:tcPr>
            <w:tcW w:w="3384" w:type="dxa"/>
            <w:gridSpan w:val="2"/>
          </w:tcPr>
          <w:p w14:paraId="02EFDD68" w14:textId="77777777" w:rsidR="00D16618" w:rsidRPr="004A0E7D" w:rsidRDefault="00D16618" w:rsidP="00D16618">
            <w:pPr>
              <w:rPr>
                <w:rStyle w:val="IntenseEmphasis"/>
                <w:i w:val="0"/>
                <w:sz w:val="32"/>
              </w:rPr>
            </w:pPr>
            <w:r w:rsidRPr="004A0E7D">
              <w:rPr>
                <w:rStyle w:val="IntenseEmphasis"/>
                <w:sz w:val="32"/>
              </w:rPr>
              <w:t>Contract Title:</w:t>
            </w:r>
          </w:p>
        </w:tc>
        <w:tc>
          <w:tcPr>
            <w:tcW w:w="5888" w:type="dxa"/>
          </w:tcPr>
          <w:p w14:paraId="470D99C0" w14:textId="5347322B" w:rsidR="00D16618" w:rsidRPr="004A0E7D" w:rsidRDefault="00AA0E50" w:rsidP="004A0E7D">
            <w:pPr>
              <w:rPr>
                <w:rStyle w:val="IntenseEmphasis"/>
                <w:i w:val="0"/>
                <w:sz w:val="32"/>
              </w:rPr>
            </w:pPr>
            <w:r>
              <w:rPr>
                <w:rStyle w:val="IntenseEmphasis"/>
                <w:i w:val="0"/>
                <w:sz w:val="32"/>
              </w:rPr>
              <w:t>Noise Management</w:t>
            </w:r>
          </w:p>
        </w:tc>
      </w:tr>
      <w:tr w:rsidR="00D16618" w:rsidRPr="0013430A" w14:paraId="06C661EB" w14:textId="77777777" w:rsidTr="00D16618">
        <w:trPr>
          <w:trHeight w:val="1025"/>
          <w:jc w:val="center"/>
        </w:trPr>
        <w:tc>
          <w:tcPr>
            <w:tcW w:w="3384" w:type="dxa"/>
            <w:gridSpan w:val="2"/>
          </w:tcPr>
          <w:p w14:paraId="213690C4" w14:textId="77777777" w:rsidR="00D16618" w:rsidRPr="004A0E7D" w:rsidRDefault="00D16618" w:rsidP="00D16618">
            <w:pPr>
              <w:rPr>
                <w:rStyle w:val="IntenseEmphasis"/>
                <w:i w:val="0"/>
                <w:sz w:val="32"/>
              </w:rPr>
            </w:pPr>
            <w:r w:rsidRPr="004A0E7D">
              <w:rPr>
                <w:rStyle w:val="IntenseEmphasis"/>
                <w:sz w:val="32"/>
              </w:rPr>
              <w:t>Date:</w:t>
            </w:r>
          </w:p>
        </w:tc>
        <w:tc>
          <w:tcPr>
            <w:tcW w:w="5888" w:type="dxa"/>
          </w:tcPr>
          <w:p w14:paraId="455C7376" w14:textId="483250D5" w:rsidR="00D16618" w:rsidRPr="004A0E7D" w:rsidRDefault="00056E32" w:rsidP="00D16618">
            <w:pPr>
              <w:rPr>
                <w:rStyle w:val="IntenseEmphasis"/>
                <w:i w:val="0"/>
                <w:sz w:val="32"/>
              </w:rPr>
            </w:pPr>
            <w:r>
              <w:rPr>
                <w:rStyle w:val="IntenseEmphasis"/>
                <w:sz w:val="32"/>
              </w:rPr>
              <w:t>June</w:t>
            </w:r>
            <w:r w:rsidR="00BA138A" w:rsidRPr="004A0E7D">
              <w:rPr>
                <w:rStyle w:val="IntenseEmphasis"/>
                <w:sz w:val="32"/>
              </w:rPr>
              <w:t xml:space="preserve"> 2020</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40E3CEA2"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008AB7D0" w14:textId="77777777" w:rsidR="001A7DBA" w:rsidRDefault="001A7DBA" w:rsidP="00D16618">
      <w:pPr>
        <w:pStyle w:val="Footer"/>
        <w:rPr>
          <w:rFonts w:cs="Arial"/>
          <w:color w:val="58595B"/>
          <w:sz w:val="20"/>
        </w:rPr>
      </w:pP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lastRenderedPageBreak/>
        <w:t>Introduction</w:t>
      </w:r>
      <w:bookmarkEnd w:id="0"/>
      <w:bookmarkEnd w:id="1"/>
    </w:p>
    <w:p w14:paraId="70304045" w14:textId="77777777" w:rsidR="003F752F" w:rsidRDefault="003F752F" w:rsidP="006D2AAA">
      <w:pPr>
        <w:jc w:val="both"/>
      </w:pPr>
    </w:p>
    <w:p w14:paraId="60C04387" w14:textId="755B9F0E" w:rsidR="003F752F" w:rsidRPr="007C315E" w:rsidRDefault="003F752F" w:rsidP="006D2AAA">
      <w:pPr>
        <w:jc w:val="both"/>
      </w:pPr>
      <w:r w:rsidRPr="007C315E">
        <w:t xml:space="preserve">London Stadium is seeking to appoint </w:t>
      </w:r>
      <w:r w:rsidR="00E764CA">
        <w:t xml:space="preserve">a company to provide </w:t>
      </w:r>
      <w:r w:rsidR="00AA0E50">
        <w:t>noise management</w:t>
      </w:r>
      <w:r w:rsidR="008D32CF">
        <w:t xml:space="preserve"> for a period of </w:t>
      </w:r>
      <w:r w:rsidR="008D32CF" w:rsidRPr="00AA0E50">
        <w:t>two</w:t>
      </w:r>
      <w:r w:rsidR="008D32CF">
        <w:t xml:space="preserve"> years</w:t>
      </w:r>
      <w:r w:rsidR="003B3AE8">
        <w:t>, with the option to extend for a further 2 years.</w:t>
      </w:r>
    </w:p>
    <w:p w14:paraId="48809C38" w14:textId="77777777" w:rsidR="00C429D3" w:rsidRDefault="00C429D3" w:rsidP="00C429D3">
      <w:pPr>
        <w:jc w:val="both"/>
        <w:rPr>
          <w:rFonts w:ascii="Calibri" w:hAnsi="Calibri"/>
          <w:szCs w:val="20"/>
        </w:rPr>
      </w:pPr>
      <w:r w:rsidRPr="00FC29C3">
        <w:rPr>
          <w:rFonts w:ascii="Calibri" w:hAnsi="Calibri"/>
          <w:szCs w:val="20"/>
        </w:rPr>
        <w:t xml:space="preserve">Your company must have relevant experience </w:t>
      </w:r>
      <w:r>
        <w:rPr>
          <w:rFonts w:ascii="Calibri" w:hAnsi="Calibri"/>
          <w:szCs w:val="20"/>
        </w:rPr>
        <w:t xml:space="preserve">of noise management at </w:t>
      </w:r>
      <w:r w:rsidRPr="00FC29C3">
        <w:rPr>
          <w:rFonts w:ascii="Calibri" w:hAnsi="Calibri"/>
          <w:szCs w:val="20"/>
        </w:rPr>
        <w:t>similar venues</w:t>
      </w:r>
      <w:r>
        <w:rPr>
          <w:rFonts w:ascii="Calibri" w:hAnsi="Calibri"/>
          <w:szCs w:val="20"/>
        </w:rPr>
        <w:t xml:space="preserve"> and</w:t>
      </w:r>
      <w:r w:rsidRPr="00FC29C3">
        <w:rPr>
          <w:rFonts w:ascii="Calibri" w:hAnsi="Calibri"/>
          <w:szCs w:val="20"/>
        </w:rPr>
        <w:t xml:space="preserve"> events to those staged at the London Stadium.  </w:t>
      </w:r>
    </w:p>
    <w:p w14:paraId="1A80DC6F" w14:textId="66AF900B" w:rsidR="00E61517" w:rsidRPr="007C315E" w:rsidRDefault="00822A7B" w:rsidP="006D2AAA">
      <w:pPr>
        <w:jc w:val="both"/>
      </w:pPr>
      <w:r w:rsidRPr="007C315E">
        <w:t>London</w:t>
      </w:r>
      <w:r w:rsidR="00E61517" w:rsidRPr="007C315E">
        <w:t xml:space="preserve"> Stadium </w:t>
      </w:r>
      <w:r w:rsidR="00C81785" w:rsidRPr="007C315E">
        <w:t>is a 60,000 multi-event venue in the heart</w:t>
      </w:r>
      <w:r w:rsidR="007C315E">
        <w:t xml:space="preserve"> of the Queen Elizabeth Olympic</w:t>
      </w:r>
      <w:r w:rsidR="00C81785" w:rsidRPr="007C315E">
        <w:t xml:space="preserve"> Park.  The venue hosts Premier League football, international athletics, Major League Baseball, international rugby, Concerts and a range of conferences and community events.</w:t>
      </w:r>
    </w:p>
    <w:p w14:paraId="3070A345" w14:textId="782FE710"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2011, and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2" w:name="_Toc442280142"/>
      <w:bookmarkStart w:id="3" w:name="_Toc452121780"/>
      <w:bookmarkStart w:id="4" w:name="_Toc11169651"/>
      <w:r w:rsidRPr="00181F11">
        <w:rPr>
          <w:u w:val="single"/>
        </w:rPr>
        <w:t xml:space="preserve">Organisation of this </w:t>
      </w:r>
      <w:bookmarkEnd w:id="2"/>
      <w:r w:rsidRPr="00181F11">
        <w:rPr>
          <w:u w:val="single"/>
        </w:rPr>
        <w:t>ITT</w:t>
      </w:r>
      <w:bookmarkEnd w:id="3"/>
      <w:bookmarkEnd w:id="4"/>
    </w:p>
    <w:p w14:paraId="44B4C9AC" w14:textId="0D0E8AC8" w:rsidR="00D16618" w:rsidRDefault="00D16618" w:rsidP="00E764CA">
      <w:pPr>
        <w:pStyle w:val="BodyText"/>
        <w:ind w:left="0"/>
        <w:jc w:val="both"/>
        <w:rPr>
          <w:rFonts w:asciiTheme="minorHAnsi" w:hAnsiTheme="minorHAnsi" w:cstheme="minorHAnsi"/>
          <w:sz w:val="22"/>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w:t>
      </w:r>
      <w:r w:rsidR="00E764CA">
        <w:rPr>
          <w:rFonts w:asciiTheme="minorHAnsi" w:hAnsiTheme="minorHAnsi" w:cstheme="minorHAnsi"/>
          <w:sz w:val="22"/>
        </w:rPr>
        <w:t>e</w:t>
      </w:r>
      <w:r w:rsidRPr="0052525C">
        <w:rPr>
          <w:rFonts w:asciiTheme="minorHAnsi" w:hAnsiTheme="minorHAnsi" w:cstheme="minorHAnsi"/>
          <w:sz w:val="22"/>
        </w:rPr>
        <w:t>xplains the general p</w:t>
      </w:r>
      <w:r>
        <w:rPr>
          <w:rFonts w:asciiTheme="minorHAnsi" w:hAnsiTheme="minorHAnsi" w:cstheme="minorHAnsi"/>
          <w:sz w:val="22"/>
        </w:rPr>
        <w:t xml:space="preserve">urpose and structure of </w:t>
      </w:r>
      <w:r w:rsidR="00E764CA">
        <w:rPr>
          <w:rFonts w:asciiTheme="minorHAnsi" w:hAnsiTheme="minorHAnsi" w:cstheme="minorHAnsi"/>
          <w:sz w:val="22"/>
        </w:rPr>
        <w:t>what we require</w:t>
      </w:r>
      <w:r w:rsidRPr="0052525C">
        <w:rPr>
          <w:rFonts w:asciiTheme="minorHAnsi" w:hAnsiTheme="minorHAnsi" w:cstheme="minorHAnsi"/>
          <w:sz w:val="22"/>
        </w:rPr>
        <w:t xml:space="preserve"> and </w:t>
      </w:r>
      <w:r w:rsidR="00D07146">
        <w:rPr>
          <w:rFonts w:asciiTheme="minorHAnsi" w:hAnsiTheme="minorHAnsi" w:cstheme="minorHAnsi"/>
          <w:sz w:val="22"/>
        </w:rPr>
        <w:t>describes the</w:t>
      </w:r>
      <w:r w:rsidR="00D07146" w:rsidRPr="0052525C">
        <w:rPr>
          <w:rFonts w:asciiTheme="minorHAnsi" w:hAnsiTheme="minorHAnsi" w:cstheme="minorHAnsi"/>
          <w:sz w:val="22"/>
        </w:rPr>
        <w:t xml:space="preserve"> </w:t>
      </w:r>
      <w:r w:rsidRPr="0052525C">
        <w:rPr>
          <w:rFonts w:asciiTheme="minorHAnsi" w:hAnsiTheme="minorHAnsi" w:cstheme="minorHAnsi"/>
          <w:sz w:val="22"/>
        </w:rPr>
        <w:t xml:space="preserve">information Tenderers should include in their technical and commercial submissions. </w:t>
      </w:r>
      <w:r w:rsidR="00D07146">
        <w:rPr>
          <w:rFonts w:asciiTheme="minorHAnsi" w:hAnsiTheme="minorHAnsi" w:cstheme="minorHAnsi"/>
          <w:sz w:val="22"/>
        </w:rPr>
        <w:t>T</w:t>
      </w:r>
      <w:r w:rsidRPr="0052525C">
        <w:rPr>
          <w:rFonts w:asciiTheme="minorHAnsi" w:hAnsiTheme="minorHAnsi" w:cstheme="minorHAnsi"/>
          <w:sz w:val="22"/>
        </w:rPr>
        <w:t xml:space="preserve">his </w:t>
      </w:r>
      <w:r>
        <w:rPr>
          <w:rFonts w:asciiTheme="minorHAnsi" w:hAnsiTheme="minorHAnsi" w:cstheme="minorHAnsi"/>
          <w:sz w:val="22"/>
        </w:rPr>
        <w:t>document</w:t>
      </w:r>
      <w:r w:rsidRPr="0052525C">
        <w:rPr>
          <w:rFonts w:asciiTheme="minorHAnsi" w:hAnsiTheme="minorHAnsi" w:cstheme="minorHAnsi"/>
          <w:sz w:val="22"/>
        </w:rPr>
        <w:t xml:space="preserve"> </w:t>
      </w:r>
      <w:r w:rsidR="00D07146">
        <w:rPr>
          <w:rFonts w:asciiTheme="minorHAnsi" w:hAnsiTheme="minorHAnsi" w:cstheme="minorHAnsi"/>
          <w:sz w:val="22"/>
        </w:rPr>
        <w:t xml:space="preserve">also </w:t>
      </w:r>
      <w:r w:rsidRPr="0052525C">
        <w:rPr>
          <w:rFonts w:asciiTheme="minorHAnsi" w:hAnsiTheme="minorHAnsi" w:cstheme="minorHAnsi"/>
          <w:sz w:val="22"/>
        </w:rPr>
        <w:t xml:space="preserve">explains how the Contracting Authority will determine compliance and </w:t>
      </w:r>
      <w:r w:rsidR="00392D32">
        <w:rPr>
          <w:rFonts w:asciiTheme="minorHAnsi" w:hAnsiTheme="minorHAnsi" w:cstheme="minorHAnsi"/>
          <w:sz w:val="22"/>
        </w:rPr>
        <w:t>evaluate</w:t>
      </w:r>
      <w:r w:rsidRPr="0052525C">
        <w:rPr>
          <w:rFonts w:asciiTheme="minorHAnsi" w:hAnsiTheme="minorHAnsi" w:cstheme="minorHAnsi"/>
          <w:sz w:val="22"/>
        </w:rPr>
        <w:t xml:space="preserve"> Tender</w:t>
      </w:r>
      <w:r w:rsidR="00392D32">
        <w:rPr>
          <w:rFonts w:asciiTheme="minorHAnsi" w:hAnsiTheme="minorHAnsi" w:cstheme="minorHAnsi"/>
          <w:sz w:val="22"/>
        </w:rPr>
        <w:t xml:space="preserve"> </w:t>
      </w:r>
      <w:r w:rsidRPr="0052525C">
        <w:rPr>
          <w:rFonts w:asciiTheme="minorHAnsi" w:hAnsiTheme="minorHAnsi" w:cstheme="minorHAnsi"/>
          <w:sz w:val="22"/>
        </w:rPr>
        <w:t>s</w:t>
      </w:r>
      <w:r w:rsidR="00392D32">
        <w:rPr>
          <w:rFonts w:asciiTheme="minorHAnsi" w:hAnsiTheme="minorHAnsi" w:cstheme="minorHAnsi"/>
          <w:sz w:val="22"/>
        </w:rPr>
        <w:t>ubmissions</w:t>
      </w:r>
      <w:r w:rsidR="00D07146">
        <w:rPr>
          <w:rFonts w:asciiTheme="minorHAnsi" w:hAnsiTheme="minorHAnsi" w:cstheme="minorHAnsi"/>
          <w:sz w:val="22"/>
        </w:rPr>
        <w:t xml:space="preserve"> </w:t>
      </w:r>
      <w:r w:rsidR="003C212D">
        <w:rPr>
          <w:rFonts w:asciiTheme="minorHAnsi" w:hAnsiTheme="minorHAnsi" w:cstheme="minorHAnsi"/>
          <w:sz w:val="22"/>
        </w:rPr>
        <w:t>including</w:t>
      </w:r>
      <w:r w:rsidR="00D07146">
        <w:rPr>
          <w:rFonts w:asciiTheme="minorHAnsi" w:hAnsiTheme="minorHAnsi" w:cstheme="minorHAnsi"/>
          <w:sz w:val="22"/>
        </w:rPr>
        <w:t xml:space="preserve"> provid</w:t>
      </w:r>
      <w:r w:rsidR="003C212D">
        <w:rPr>
          <w:rFonts w:asciiTheme="minorHAnsi" w:hAnsiTheme="minorHAnsi" w:cstheme="minorHAnsi"/>
          <w:sz w:val="22"/>
        </w:rPr>
        <w:t>ing</w:t>
      </w:r>
      <w:r w:rsidR="00D07146">
        <w:rPr>
          <w:rFonts w:asciiTheme="minorHAnsi" w:hAnsiTheme="minorHAnsi" w:cstheme="minorHAnsi"/>
          <w:sz w:val="22"/>
        </w:rPr>
        <w:t xml:space="preserve"> d</w:t>
      </w:r>
      <w:r w:rsidRPr="0052525C">
        <w:rPr>
          <w:rFonts w:asciiTheme="minorHAnsi" w:hAnsiTheme="minorHAnsi" w:cstheme="minorHAnsi"/>
          <w:sz w:val="22"/>
        </w:rPr>
        <w:t>etails of the Award Criteria.</w:t>
      </w:r>
    </w:p>
    <w:p w14:paraId="1528C0CC" w14:textId="09F87E73" w:rsidR="00E764CA" w:rsidRPr="0052525C" w:rsidRDefault="00E764CA" w:rsidP="008D32CF">
      <w:pPr>
        <w:pStyle w:val="BodyText"/>
        <w:ind w:left="0"/>
        <w:jc w:val="both"/>
        <w:rPr>
          <w:rFonts w:asciiTheme="minorHAnsi" w:hAnsiTheme="minorHAnsi" w:cstheme="minorHAnsi"/>
          <w:sz w:val="22"/>
        </w:rPr>
      </w:pPr>
      <w:r>
        <w:rPr>
          <w:rFonts w:asciiTheme="minorHAnsi" w:hAnsiTheme="minorHAnsi" w:cstheme="minorHAnsi"/>
          <w:sz w:val="22"/>
          <w:lang w:val="en-US"/>
        </w:rPr>
        <w:t>To submit a tender, you must submit a response that addresses both the technical and commercial information.</w:t>
      </w:r>
      <w:r w:rsidRPr="0052525C">
        <w:rPr>
          <w:rFonts w:asciiTheme="minorHAnsi" w:hAnsiTheme="minorHAnsi" w:cstheme="minorHAnsi"/>
          <w:sz w:val="22"/>
          <w:lang w:val="en-US"/>
        </w:rPr>
        <w:t xml:space="preserve"> </w:t>
      </w:r>
    </w:p>
    <w:p w14:paraId="4EAA98F9" w14:textId="49FB2EF9" w:rsidR="00E764CA" w:rsidRDefault="00E764CA" w:rsidP="008D32CF">
      <w:pPr>
        <w:pStyle w:val="BodyText"/>
        <w:spacing w:after="0"/>
        <w:ind w:left="0"/>
        <w:jc w:val="both"/>
        <w:rPr>
          <w:rFonts w:asciiTheme="minorHAnsi" w:hAnsiTheme="minorHAnsi" w:cstheme="minorHAnsi"/>
          <w:sz w:val="22"/>
        </w:rPr>
      </w:pPr>
    </w:p>
    <w:p w14:paraId="4445D402" w14:textId="14869BD5" w:rsidR="00AA0E50" w:rsidRDefault="00AA0E50" w:rsidP="008D32CF">
      <w:pPr>
        <w:pStyle w:val="BodyText"/>
        <w:spacing w:after="0"/>
        <w:ind w:left="0"/>
        <w:jc w:val="both"/>
        <w:rPr>
          <w:rFonts w:asciiTheme="minorHAnsi" w:hAnsiTheme="minorHAnsi" w:cstheme="minorHAnsi"/>
          <w:sz w:val="22"/>
        </w:rPr>
      </w:pPr>
    </w:p>
    <w:p w14:paraId="0B15083C" w14:textId="3FD84040" w:rsidR="00AA0E50" w:rsidRDefault="00AA0E50" w:rsidP="008D32CF">
      <w:pPr>
        <w:pStyle w:val="BodyText"/>
        <w:spacing w:after="0"/>
        <w:ind w:left="0"/>
        <w:jc w:val="both"/>
        <w:rPr>
          <w:rFonts w:asciiTheme="minorHAnsi" w:hAnsiTheme="minorHAnsi" w:cstheme="minorHAnsi"/>
          <w:sz w:val="22"/>
        </w:rPr>
      </w:pPr>
    </w:p>
    <w:p w14:paraId="6625BD60" w14:textId="3272A808" w:rsidR="00AA0E50" w:rsidRDefault="00AA0E50" w:rsidP="008D32CF">
      <w:pPr>
        <w:pStyle w:val="BodyText"/>
        <w:spacing w:after="0"/>
        <w:ind w:left="0"/>
        <w:jc w:val="both"/>
        <w:rPr>
          <w:rFonts w:asciiTheme="minorHAnsi" w:hAnsiTheme="minorHAnsi" w:cstheme="minorHAnsi"/>
          <w:sz w:val="22"/>
        </w:rPr>
      </w:pPr>
    </w:p>
    <w:p w14:paraId="73A4FCB1" w14:textId="77777777" w:rsidR="00AA0E50" w:rsidRPr="00E764CA" w:rsidRDefault="00AA0E50" w:rsidP="008D32CF">
      <w:pPr>
        <w:pStyle w:val="BodyText"/>
        <w:spacing w:after="0"/>
        <w:ind w:left="0"/>
        <w:jc w:val="both"/>
        <w:rPr>
          <w:rFonts w:asciiTheme="minorHAnsi" w:hAnsiTheme="minorHAnsi" w:cstheme="minorHAnsi"/>
          <w:sz w:val="22"/>
        </w:rPr>
      </w:pPr>
    </w:p>
    <w:p w14:paraId="0321FC65" w14:textId="6C4DEEE3" w:rsidR="00D16618" w:rsidRPr="00181F11" w:rsidRDefault="00D16618" w:rsidP="00181F11">
      <w:pPr>
        <w:pStyle w:val="BodyText"/>
        <w:ind w:left="0"/>
        <w:jc w:val="both"/>
        <w:rPr>
          <w:u w:val="single"/>
        </w:rPr>
      </w:pPr>
      <w:bookmarkStart w:id="5" w:name="_Toc482102891"/>
      <w:bookmarkStart w:id="6" w:name="_Toc11169653"/>
      <w:r w:rsidRPr="00181F11">
        <w:rPr>
          <w:u w:val="single"/>
        </w:rPr>
        <w:t>Disclaimers</w:t>
      </w:r>
      <w:bookmarkEnd w:id="5"/>
      <w:bookmarkEnd w:id="6"/>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lastRenderedPageBreak/>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1E2450EE" w14:textId="60054312"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E7D">
        <w:rPr>
          <w:rFonts w:asciiTheme="minorHAnsi" w:hAnsiTheme="minorHAnsi" w:cstheme="minorHAnsi"/>
          <w:sz w:val="22"/>
        </w:rPr>
        <w:t xml:space="preserve"> reasonableness</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shall be liable for any loss or damage (other than in respect of fraudulent misrepresentation) arising as a result of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waive any requirements of the Procurement contained within this ITT;</w:t>
      </w:r>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request additional information by way of clarification from Tenderers in relation to any aspect of their response to this ITT;</w:t>
      </w:r>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(i)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withdraw this ITT or any part of or the whole of this Procurement process at any time or to re-invite responses on the same or any alternative basis;</w:t>
      </w:r>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not award the whole of or a part of the Contract as a result of this Procurement process; or;</w:t>
      </w:r>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ITT;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process;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reasonable opinion, there is an actual or potential commercial, professional, financial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lastRenderedPageBreak/>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7" w:name="_Toc482102908"/>
      <w:bookmarkStart w:id="8" w:name="_Toc11169654"/>
      <w:r>
        <w:lastRenderedPageBreak/>
        <w:t>T</w:t>
      </w:r>
      <w:r w:rsidRPr="003056FC">
        <w:t>endering Instructions</w:t>
      </w:r>
      <w:bookmarkEnd w:id="7"/>
      <w:bookmarkEnd w:id="8"/>
    </w:p>
    <w:p w14:paraId="64213F83" w14:textId="77777777" w:rsidR="00D16618" w:rsidRPr="003056FC"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p>
    <w:p w14:paraId="15720D34" w14:textId="611D2B47" w:rsidR="00726C52" w:rsidRDefault="00D16618"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sidR="00064337">
        <w:rPr>
          <w:rFonts w:asciiTheme="minorHAnsi" w:hAnsiTheme="minorHAnsi" w:cstheme="minorHAnsi"/>
          <w:sz w:val="22"/>
        </w:rPr>
        <w:t xml:space="preserve"> be submitted in accordance with the terms of this ITT</w:t>
      </w:r>
      <w:r w:rsidR="00884F38">
        <w:rPr>
          <w:rFonts w:asciiTheme="minorHAnsi" w:hAnsiTheme="minorHAnsi" w:cstheme="minorHAnsi"/>
          <w:sz w:val="22"/>
        </w:rPr>
        <w:t xml:space="preserve"> and contain:</w:t>
      </w:r>
    </w:p>
    <w:p w14:paraId="054604F7" w14:textId="7CC9D843" w:rsidR="00D16618" w:rsidRPr="003B3AE8" w:rsidRDefault="00D16618" w:rsidP="00884F38">
      <w:pPr>
        <w:pStyle w:val="BodyText"/>
        <w:numPr>
          <w:ilvl w:val="0"/>
          <w:numId w:val="18"/>
        </w:numPr>
        <w:ind w:left="426"/>
        <w:jc w:val="both"/>
        <w:rPr>
          <w:rFonts w:asciiTheme="minorHAnsi" w:hAnsiTheme="minorHAnsi" w:cstheme="minorHAnsi"/>
          <w:sz w:val="22"/>
          <w:lang w:val="en-US"/>
        </w:rPr>
      </w:pPr>
      <w:r w:rsidRPr="003B3AE8">
        <w:rPr>
          <w:rFonts w:asciiTheme="minorHAnsi" w:hAnsiTheme="minorHAnsi" w:cstheme="minorHAnsi"/>
          <w:b/>
          <w:sz w:val="22"/>
          <w:lang w:val="en-US"/>
        </w:rPr>
        <w:t>Technical Submission</w:t>
      </w:r>
      <w:r w:rsidRPr="003B3AE8">
        <w:rPr>
          <w:rFonts w:asciiTheme="minorHAnsi" w:hAnsiTheme="minorHAnsi" w:cstheme="minorHAnsi"/>
          <w:sz w:val="22"/>
          <w:lang w:val="en-US"/>
        </w:rPr>
        <w:t xml:space="preserve"> – all questions in the technical section must be addressed and responded to</w:t>
      </w:r>
      <w:r w:rsidR="00040815" w:rsidRPr="003B3AE8">
        <w:rPr>
          <w:rFonts w:asciiTheme="minorHAnsi" w:hAnsiTheme="minorHAnsi" w:cstheme="minorHAnsi"/>
          <w:sz w:val="22"/>
          <w:lang w:val="en-US"/>
        </w:rPr>
        <w:t>.</w:t>
      </w:r>
      <w:r w:rsidR="00884F38" w:rsidRPr="003B3AE8">
        <w:rPr>
          <w:rFonts w:asciiTheme="minorHAnsi" w:hAnsiTheme="minorHAnsi" w:cstheme="minorHAnsi"/>
          <w:sz w:val="22"/>
          <w:lang w:val="en-US"/>
        </w:rPr>
        <w:t xml:space="preserve"> </w:t>
      </w:r>
      <w:r w:rsidR="00884F38" w:rsidRPr="003B3AE8">
        <w:rPr>
          <w:rFonts w:asciiTheme="minorHAnsi" w:hAnsiTheme="minorHAnsi" w:cstheme="minorHAnsi"/>
          <w:sz w:val="22"/>
        </w:rPr>
        <w:t>Technical submissions should be structured in accordance with the questions, using Arial font size 11.  Some questions may require ancillary documents (such as evidence) to be provided to support the answer. If required, this will be stated in the question.</w:t>
      </w:r>
    </w:p>
    <w:p w14:paraId="6A392BF4" w14:textId="7560D063" w:rsidR="00D16618" w:rsidRPr="003B3AE8" w:rsidRDefault="00D16618" w:rsidP="00884F38">
      <w:pPr>
        <w:pStyle w:val="BodyText"/>
        <w:numPr>
          <w:ilvl w:val="0"/>
          <w:numId w:val="12"/>
        </w:numPr>
        <w:ind w:left="426" w:hanging="283"/>
        <w:jc w:val="both"/>
        <w:rPr>
          <w:rFonts w:asciiTheme="minorHAnsi" w:hAnsiTheme="minorHAnsi" w:cstheme="minorHAnsi"/>
          <w:sz w:val="22"/>
          <w:lang w:val="en-US"/>
        </w:rPr>
      </w:pPr>
      <w:r w:rsidRPr="003B3AE8">
        <w:rPr>
          <w:rFonts w:asciiTheme="minorHAnsi" w:hAnsiTheme="minorHAnsi" w:cstheme="minorHAnsi"/>
          <w:b/>
          <w:sz w:val="22"/>
          <w:lang w:val="en-US"/>
        </w:rPr>
        <w:t>Commercial Submission</w:t>
      </w:r>
      <w:r w:rsidRPr="003B3AE8">
        <w:rPr>
          <w:rFonts w:asciiTheme="minorHAnsi" w:hAnsiTheme="minorHAnsi" w:cstheme="minorHAnsi"/>
          <w:sz w:val="22"/>
          <w:lang w:val="en-US"/>
        </w:rPr>
        <w:t xml:space="preserve"> – </w:t>
      </w:r>
      <w:r w:rsidR="00181F11" w:rsidRPr="003B3AE8">
        <w:rPr>
          <w:rFonts w:asciiTheme="minorHAnsi" w:hAnsiTheme="minorHAnsi" w:cstheme="minorHAnsi"/>
          <w:sz w:val="22"/>
          <w:lang w:val="en-US"/>
        </w:rPr>
        <w:t xml:space="preserve">the pricing schedule must be completed. </w:t>
      </w:r>
      <w:r w:rsidRPr="003B3AE8">
        <w:rPr>
          <w:rFonts w:asciiTheme="minorHAnsi" w:hAnsiTheme="minorHAnsi" w:cstheme="minorHAnsi"/>
          <w:sz w:val="22"/>
          <w:lang w:val="en-US"/>
        </w:rPr>
        <w:t xml:space="preserve"> For the avoidance of doubt, all prices submitted </w:t>
      </w:r>
      <w:r w:rsidR="00040815" w:rsidRPr="003B3AE8">
        <w:rPr>
          <w:rFonts w:asciiTheme="minorHAnsi" w:hAnsiTheme="minorHAnsi" w:cstheme="minorHAnsi"/>
          <w:sz w:val="22"/>
          <w:lang w:val="en-US"/>
        </w:rPr>
        <w:t xml:space="preserve">must be </w:t>
      </w:r>
      <w:r w:rsidRPr="003B3AE8">
        <w:rPr>
          <w:rFonts w:asciiTheme="minorHAnsi" w:hAnsiTheme="minorHAnsi" w:cstheme="minorHAnsi"/>
          <w:sz w:val="22"/>
          <w:lang w:val="en-US"/>
        </w:rPr>
        <w:t xml:space="preserve">exclusive of VAT. </w:t>
      </w:r>
      <w:r w:rsidR="00884F38" w:rsidRPr="003B3AE8">
        <w:rPr>
          <w:rFonts w:asciiTheme="minorHAnsi" w:hAnsiTheme="minorHAnsi" w:cstheme="minorHAnsi"/>
          <w:sz w:val="22"/>
          <w:lang w:val="en-US"/>
        </w:rPr>
        <w:t xml:space="preserve"> </w:t>
      </w:r>
      <w:r w:rsidR="00884F38" w:rsidRPr="003B3AE8">
        <w:rPr>
          <w:rFonts w:asciiTheme="minorHAnsi" w:hAnsiTheme="minorHAnsi" w:cstheme="minorHAnsi"/>
          <w:sz w:val="22"/>
        </w:rPr>
        <w:t>Commercial Submissions are to be submitted using the Pricing Schedule included at Appendix B.  All line items are to be priced and Tenderers should not remove any line items.  If a Tenderer believes the Pricing Schedule does not fully itemise the scope of work, additional items may be added to the end of the relevant section.</w:t>
      </w: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544BF661" w14:textId="6354AE0B" w:rsidR="00726C52" w:rsidRDefault="00D16618" w:rsidP="00726C52">
      <w:pPr>
        <w:jc w:val="both"/>
      </w:pPr>
      <w:r w:rsidRPr="00395775">
        <w:t xml:space="preserve">All documentation and materials must be received by the Contracting Authority on or before the </w:t>
      </w:r>
      <w:r w:rsidR="00B96709">
        <w:t xml:space="preserve">required relevant </w:t>
      </w:r>
      <w:r w:rsidR="002A442F" w:rsidRPr="00395775">
        <w:t xml:space="preserve">deadline </w:t>
      </w:r>
      <w:r w:rsidRPr="00395775">
        <w:t xml:space="preserve">for </w:t>
      </w:r>
      <w:r w:rsidR="002A442F" w:rsidRPr="00395775">
        <w:t xml:space="preserve">receipt </w:t>
      </w:r>
      <w:r w:rsidR="00F8673E">
        <w:t>as set out in the P</w:t>
      </w:r>
      <w:r w:rsidR="00B96709">
        <w:t>roc</w:t>
      </w:r>
      <w:bookmarkStart w:id="9" w:name="_Toc482102913"/>
      <w:bookmarkStart w:id="10" w:name="_Toc11169659"/>
      <w:r w:rsidR="004A0E7D">
        <w:t>urement Timetable</w:t>
      </w:r>
      <w:r w:rsidR="00726C52">
        <w:t xml:space="preserve"> - Specifically </w:t>
      </w:r>
      <w:r w:rsidR="0010522A">
        <w:t>5pm on</w:t>
      </w:r>
      <w:r w:rsidR="00726C52">
        <w:t xml:space="preserve"> </w:t>
      </w:r>
      <w:r w:rsidR="007C315E">
        <w:t xml:space="preserve">the </w:t>
      </w:r>
      <w:r w:rsidR="006E08E1" w:rsidRPr="00C429D3">
        <w:rPr>
          <w:b/>
          <w:bCs/>
        </w:rPr>
        <w:t>10th</w:t>
      </w:r>
      <w:r w:rsidR="004A0E7D" w:rsidRPr="00C429D3">
        <w:rPr>
          <w:b/>
          <w:bCs/>
        </w:rPr>
        <w:t xml:space="preserve"> </w:t>
      </w:r>
      <w:r w:rsidR="00E764CA" w:rsidRPr="00C429D3">
        <w:rPr>
          <w:b/>
          <w:bCs/>
        </w:rPr>
        <w:t xml:space="preserve">July </w:t>
      </w:r>
      <w:r w:rsidR="004A0E7D" w:rsidRPr="00C429D3">
        <w:rPr>
          <w:b/>
          <w:bCs/>
        </w:rPr>
        <w:t>2020</w:t>
      </w:r>
      <w:r w:rsidR="00C429D3">
        <w:t xml:space="preserve"> to </w:t>
      </w:r>
      <w:r w:rsidR="00C429D3" w:rsidRPr="00C429D3">
        <w:rPr>
          <w:b/>
          <w:bCs/>
        </w:rPr>
        <w:t>LS008@londonstadium185.com</w:t>
      </w:r>
      <w:r w:rsidR="004A0E7D">
        <w:t>.</w:t>
      </w:r>
    </w:p>
    <w:p w14:paraId="326A33DB" w14:textId="448B89AA" w:rsidR="00D16618" w:rsidRPr="00395775" w:rsidRDefault="00884F38" w:rsidP="009602F9">
      <w:pPr>
        <w:jc w:val="both"/>
      </w:pPr>
      <w:r w:rsidRPr="00395775">
        <w:t xml:space="preserve">Tenders not complying with the </w:t>
      </w:r>
      <w:r>
        <w:t xml:space="preserve">ITT instructions </w:t>
      </w:r>
      <w:r w:rsidRPr="00395775">
        <w:t>may be rejected.</w:t>
      </w:r>
      <w:bookmarkEnd w:id="9"/>
      <w:bookmarkEnd w:id="10"/>
      <w:r>
        <w:t xml:space="preserve">  </w:t>
      </w:r>
      <w:r w:rsidR="00D16618" w:rsidRPr="00395775">
        <w:t xml:space="preserve">Any </w:t>
      </w:r>
      <w:r w:rsidR="00D8709E">
        <w:t>t</w:t>
      </w:r>
      <w:r w:rsidR="00D16618" w:rsidRPr="00395775">
        <w:t xml:space="preserve">ender in respect of which the Tenderer (or any Relevant Company or other company associated with the Tenderer): </w:t>
      </w:r>
    </w:p>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Contracting Authority or obtained information from any other person who has been engaged to provide the Works to the Contracting Authority 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in order to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lastRenderedPageBreak/>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2010;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1" w:name="_Toc11169663"/>
      <w:r>
        <w:t>Confidentiality</w:t>
      </w:r>
      <w:bookmarkEnd w:id="11"/>
    </w:p>
    <w:p w14:paraId="27C39CD2" w14:textId="1F81EFB2" w:rsidR="002871A0" w:rsidRPr="00726C52" w:rsidRDefault="00064337" w:rsidP="00726C52">
      <w:pPr>
        <w:jc w:val="both"/>
      </w:pPr>
      <w:bookmarkStart w:id="12" w:name="_Hlk341055"/>
      <w:r w:rsidRPr="00395775">
        <w:t xml:space="preserve">All information supplied by the Contracting Authority in connection with this ITT shall be treated as confidential and is provided for use by the Tenderer (including Relevant Companies), their professional advisers and other parties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3" w:name="_Toc7736358"/>
      <w:bookmarkStart w:id="14" w:name="_Toc8162415"/>
      <w:bookmarkStart w:id="15" w:name="_Toc7736359"/>
      <w:bookmarkStart w:id="16" w:name="_Toc8162416"/>
      <w:bookmarkStart w:id="17" w:name="_Toc7736360"/>
      <w:bookmarkStart w:id="18" w:name="_Toc8162417"/>
      <w:bookmarkStart w:id="19" w:name="_Toc7736361"/>
      <w:bookmarkStart w:id="20" w:name="_Toc8162418"/>
      <w:bookmarkStart w:id="21" w:name="_Toc7736362"/>
      <w:bookmarkStart w:id="22" w:name="_Toc8162419"/>
      <w:bookmarkStart w:id="23" w:name="_Toc7736363"/>
      <w:bookmarkStart w:id="24" w:name="_Toc8162420"/>
      <w:bookmarkStart w:id="25" w:name="_Toc7736364"/>
      <w:bookmarkStart w:id="26" w:name="_Toc8162421"/>
      <w:bookmarkStart w:id="27" w:name="_Toc7736365"/>
      <w:bookmarkStart w:id="28" w:name="_Toc8162422"/>
      <w:bookmarkStart w:id="29" w:name="_Toc7736366"/>
      <w:bookmarkStart w:id="30" w:name="_Toc8162423"/>
      <w:bookmarkStart w:id="31" w:name="_Toc7736367"/>
      <w:bookmarkStart w:id="32" w:name="_Toc8162424"/>
      <w:bookmarkStart w:id="33" w:name="_Toc7736368"/>
      <w:bookmarkStart w:id="34" w:name="_Toc8162425"/>
      <w:bookmarkStart w:id="35" w:name="_Toc7736369"/>
      <w:bookmarkStart w:id="36" w:name="_Toc8162426"/>
      <w:bookmarkStart w:id="37" w:name="_Toc7736370"/>
      <w:bookmarkStart w:id="38" w:name="_Toc8162427"/>
      <w:bookmarkStart w:id="39" w:name="_Toc7736371"/>
      <w:bookmarkStart w:id="40" w:name="_Toc8162428"/>
      <w:bookmarkStart w:id="41" w:name="_Toc482102919"/>
      <w:bookmarkStart w:id="42" w:name="_Toc1116966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E962B1">
        <w:lastRenderedPageBreak/>
        <w:t xml:space="preserve">Procurement </w:t>
      </w:r>
      <w:r w:rsidR="0010522A">
        <w:t>P</w:t>
      </w:r>
      <w:r w:rsidRPr="00E962B1">
        <w:t>r</w:t>
      </w:r>
      <w:r w:rsidR="00AC4D7E" w:rsidRPr="00E962B1">
        <w:t>ocess</w:t>
      </w:r>
      <w:bookmarkEnd w:id="41"/>
      <w:bookmarkEnd w:id="42"/>
    </w:p>
    <w:p w14:paraId="3B78AEC2" w14:textId="735D551F" w:rsidR="00F91972" w:rsidRDefault="00525600" w:rsidP="00525600">
      <w:pPr>
        <w:jc w:val="both"/>
      </w:pPr>
      <w:bookmarkStart w:id="43" w:name="_Toc7736374"/>
      <w:bookmarkStart w:id="44" w:name="_Toc8162431"/>
      <w:bookmarkStart w:id="45" w:name="_Toc7736375"/>
      <w:bookmarkStart w:id="46" w:name="_Toc8162432"/>
      <w:bookmarkStart w:id="47" w:name="_Toc8162434"/>
      <w:bookmarkStart w:id="48" w:name="_Toc7736377"/>
      <w:bookmarkStart w:id="49" w:name="_Toc8162435"/>
      <w:bookmarkStart w:id="50" w:name="_Toc7736380"/>
      <w:bookmarkStart w:id="51" w:name="_Toc8162438"/>
      <w:bookmarkStart w:id="52" w:name="_Toc7736381"/>
      <w:bookmarkStart w:id="53" w:name="_Toc8162439"/>
      <w:bookmarkStart w:id="54" w:name="_Toc7736382"/>
      <w:bookmarkStart w:id="55" w:name="_Toc8162440"/>
      <w:bookmarkStart w:id="56" w:name="_Toc7736383"/>
      <w:bookmarkStart w:id="57" w:name="_Toc8162441"/>
      <w:bookmarkStart w:id="58" w:name="_Toc7736384"/>
      <w:bookmarkStart w:id="59" w:name="_Toc8162442"/>
      <w:bookmarkStart w:id="60" w:name="_Toc7736385"/>
      <w:bookmarkStart w:id="61" w:name="_Toc8162443"/>
      <w:bookmarkStart w:id="62" w:name="_Hlk172518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525600">
        <w:t>Tende</w:t>
      </w:r>
      <w:r>
        <w:t>rers should respond to</w:t>
      </w:r>
      <w:r w:rsidR="005D5208">
        <w:t xml:space="preserve">, </w:t>
      </w:r>
      <w:r>
        <w:t>and address</w:t>
      </w:r>
      <w:r w:rsidR="005D5208">
        <w:t>,</w:t>
      </w:r>
      <w:r>
        <w:t xml:space="preserve"> the technical and commercial aspects of the required submission.</w:t>
      </w:r>
    </w:p>
    <w:p w14:paraId="3ABDEA7C" w14:textId="3390C47B" w:rsidR="001D7166" w:rsidRPr="009602F9" w:rsidRDefault="00525600" w:rsidP="009602F9">
      <w:pPr>
        <w:jc w:val="both"/>
      </w:pPr>
      <w:bookmarkStart w:id="63" w:name="_Toc7736387"/>
      <w:bookmarkStart w:id="64" w:name="_Toc8162445"/>
      <w:bookmarkEnd w:id="12"/>
      <w:bookmarkEnd w:id="62"/>
      <w:bookmarkEnd w:id="63"/>
      <w:bookmarkEnd w:id="64"/>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5"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5"/>
    </w:p>
    <w:p w14:paraId="20314E8B" w14:textId="77777777" w:rsidR="00525600" w:rsidRDefault="00043E08" w:rsidP="00525600">
      <w:pPr>
        <w:jc w:val="both"/>
      </w:pPr>
      <w:bookmarkStart w:id="66" w:name="_Toc7736390"/>
      <w:bookmarkStart w:id="67" w:name="_Toc8162448"/>
      <w:bookmarkStart w:id="68" w:name="_Toc7736391"/>
      <w:bookmarkStart w:id="69" w:name="_Toc8162449"/>
      <w:bookmarkStart w:id="70" w:name="_Toc7736392"/>
      <w:bookmarkStart w:id="71" w:name="_Toc8162450"/>
      <w:bookmarkStart w:id="72" w:name="_Toc7736393"/>
      <w:bookmarkStart w:id="73" w:name="_Toc8162451"/>
      <w:bookmarkStart w:id="74" w:name="_Toc7736394"/>
      <w:bookmarkStart w:id="75" w:name="_Toc8162452"/>
      <w:bookmarkStart w:id="76" w:name="_Toc7736395"/>
      <w:bookmarkStart w:id="77" w:name="_Toc8162453"/>
      <w:bookmarkStart w:id="78" w:name="_Toc7736396"/>
      <w:bookmarkStart w:id="79" w:name="_Toc8162454"/>
      <w:bookmarkStart w:id="80" w:name="_Toc7736397"/>
      <w:bookmarkStart w:id="81" w:name="_Toc8162455"/>
      <w:bookmarkStart w:id="82" w:name="_Toc7736398"/>
      <w:bookmarkStart w:id="83" w:name="_Toc8162456"/>
      <w:bookmarkStart w:id="84" w:name="_Toc7736399"/>
      <w:bookmarkStart w:id="85" w:name="_Toc8162457"/>
      <w:bookmarkStart w:id="86" w:name="_Toc7736400"/>
      <w:bookmarkStart w:id="87" w:name="_Toc8162458"/>
      <w:bookmarkStart w:id="88" w:name="_Toc7736401"/>
      <w:bookmarkStart w:id="89" w:name="_Toc8162459"/>
      <w:bookmarkStart w:id="90" w:name="_Toc7736402"/>
      <w:bookmarkStart w:id="91" w:name="_Toc8162460"/>
      <w:bookmarkStart w:id="92" w:name="_Toc7736403"/>
      <w:bookmarkStart w:id="93" w:name="_Toc8162461"/>
      <w:bookmarkStart w:id="94" w:name="_Toc7736404"/>
      <w:bookmarkStart w:id="95" w:name="_Toc8162462"/>
      <w:bookmarkStart w:id="96" w:name="_Toc7736405"/>
      <w:bookmarkStart w:id="97" w:name="_Toc8162463"/>
      <w:bookmarkStart w:id="98" w:name="_Toc7736406"/>
      <w:bookmarkStart w:id="99" w:name="_Toc8162464"/>
      <w:bookmarkStart w:id="100" w:name="_Toc2948772"/>
      <w:bookmarkStart w:id="101" w:name="_Toc2948967"/>
      <w:bookmarkStart w:id="102" w:name="_Toc2949044"/>
      <w:bookmarkStart w:id="103" w:name="_Toc2949117"/>
      <w:bookmarkStart w:id="104" w:name="_Toc2949229"/>
      <w:bookmarkStart w:id="105" w:name="_Toc2949584"/>
      <w:bookmarkStart w:id="106" w:name="_Toc2949900"/>
      <w:bookmarkStart w:id="107" w:name="_Toc2948773"/>
      <w:bookmarkStart w:id="108" w:name="_Toc2948968"/>
      <w:bookmarkStart w:id="109" w:name="_Toc2949045"/>
      <w:bookmarkStart w:id="110" w:name="_Toc2949118"/>
      <w:bookmarkStart w:id="111" w:name="_Toc2949230"/>
      <w:bookmarkStart w:id="112" w:name="_Toc2949585"/>
      <w:bookmarkStart w:id="113" w:name="_Toc2949901"/>
      <w:bookmarkStart w:id="114" w:name="_Toc2948774"/>
      <w:bookmarkStart w:id="115" w:name="_Toc2948969"/>
      <w:bookmarkStart w:id="116" w:name="_Toc2949046"/>
      <w:bookmarkStart w:id="117" w:name="_Toc2949119"/>
      <w:bookmarkStart w:id="118" w:name="_Toc2949231"/>
      <w:bookmarkStart w:id="119" w:name="_Toc2949586"/>
      <w:bookmarkStart w:id="120" w:name="_Toc2949902"/>
      <w:bookmarkStart w:id="121" w:name="_Toc2948775"/>
      <w:bookmarkStart w:id="122" w:name="_Toc2948970"/>
      <w:bookmarkStart w:id="123" w:name="_Toc2949047"/>
      <w:bookmarkStart w:id="124" w:name="_Toc2949120"/>
      <w:bookmarkStart w:id="125" w:name="_Toc2949232"/>
      <w:bookmarkStart w:id="126" w:name="_Toc2949587"/>
      <w:bookmarkStart w:id="127" w:name="_Toc2949903"/>
      <w:bookmarkStart w:id="128" w:name="_Toc2948776"/>
      <w:bookmarkStart w:id="129" w:name="_Toc2948971"/>
      <w:bookmarkStart w:id="130" w:name="_Toc2949048"/>
      <w:bookmarkStart w:id="131" w:name="_Toc2949121"/>
      <w:bookmarkStart w:id="132" w:name="_Toc2949233"/>
      <w:bookmarkStart w:id="133" w:name="_Toc2949588"/>
      <w:bookmarkStart w:id="134" w:name="_Toc2949904"/>
      <w:bookmarkStart w:id="135" w:name="_Toc2948777"/>
      <w:bookmarkStart w:id="136" w:name="_Toc2948972"/>
      <w:bookmarkStart w:id="137" w:name="_Toc2949049"/>
      <w:bookmarkStart w:id="138" w:name="_Toc2949122"/>
      <w:bookmarkStart w:id="139" w:name="_Toc2949234"/>
      <w:bookmarkStart w:id="140" w:name="_Toc2949589"/>
      <w:bookmarkStart w:id="141" w:name="_Toc294990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2" w:name="_Toc11169674"/>
      <w:r w:rsidR="00525600">
        <w:t>.</w:t>
      </w:r>
    </w:p>
    <w:bookmarkEnd w:id="142"/>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Clarifications may only be raised in connection with this ITT and the documents contained or referred to therein. No general clarifications can be raised, or queries in respect of other procurement opportunities;</w:t>
      </w:r>
    </w:p>
    <w:p w14:paraId="1BB08DD6" w14:textId="77777777" w:rsidR="008A7FD1" w:rsidRPr="009602F9" w:rsidRDefault="008A7FD1" w:rsidP="001F775D">
      <w:pPr>
        <w:pStyle w:val="ListParagraph"/>
        <w:numPr>
          <w:ilvl w:val="0"/>
          <w:numId w:val="17"/>
        </w:numPr>
        <w:jc w:val="both"/>
      </w:pPr>
      <w:r w:rsidRPr="009602F9">
        <w:t>All clarification questions and the responses provided will be shared with all Tenderers, unless in its sole discretion the Contracting Authority considers disclosure to all Tenderers would prejudice the commercial interests of the Tenderer raising the clarification;</w:t>
      </w:r>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3" w:name="_Toc2949237"/>
      <w:bookmarkStart w:id="144" w:name="_Toc2949592"/>
      <w:bookmarkStart w:id="145" w:name="_Toc2949908"/>
      <w:bookmarkStart w:id="146" w:name="_Toc2949238"/>
      <w:bookmarkStart w:id="147" w:name="_Toc2949593"/>
      <w:bookmarkStart w:id="148" w:name="_Toc2949909"/>
      <w:bookmarkStart w:id="149" w:name="_Toc2949239"/>
      <w:bookmarkStart w:id="150" w:name="_Toc2949594"/>
      <w:bookmarkStart w:id="151" w:name="_Toc2949910"/>
      <w:bookmarkStart w:id="152" w:name="_Toc2949240"/>
      <w:bookmarkStart w:id="153" w:name="_Toc2949595"/>
      <w:bookmarkStart w:id="154" w:name="_Toc2949911"/>
      <w:bookmarkStart w:id="155" w:name="_Toc11169675"/>
      <w:bookmarkEnd w:id="143"/>
      <w:bookmarkEnd w:id="144"/>
      <w:bookmarkEnd w:id="145"/>
      <w:bookmarkEnd w:id="146"/>
      <w:bookmarkEnd w:id="147"/>
      <w:bookmarkEnd w:id="148"/>
      <w:bookmarkEnd w:id="149"/>
      <w:bookmarkEnd w:id="150"/>
      <w:bookmarkEnd w:id="151"/>
      <w:bookmarkEnd w:id="152"/>
      <w:bookmarkEnd w:id="153"/>
      <w:bookmarkEnd w:id="154"/>
      <w:r w:rsidRPr="00FA08B7">
        <w:rPr>
          <w:rFonts w:asciiTheme="majorHAnsi" w:eastAsiaTheme="majorEastAsia" w:hAnsiTheme="majorHAnsi" w:cstheme="majorHAnsi"/>
          <w:b/>
          <w:bCs/>
          <w:color w:val="2F5496" w:themeColor="accent1" w:themeShade="BF"/>
          <w:sz w:val="28"/>
          <w:szCs w:val="28"/>
        </w:rPr>
        <w:t>Evaluation and Award</w:t>
      </w:r>
      <w:bookmarkEnd w:id="155"/>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577F17" w:rsidRDefault="00577F17" w:rsidP="0008668B">
      <w:pPr>
        <w:jc w:val="both"/>
        <w:rPr>
          <w:u w:val="single"/>
        </w:rPr>
      </w:pPr>
      <w:r>
        <w:rPr>
          <w:u w:val="single"/>
        </w:rPr>
        <w:t xml:space="preserve">Step 1: </w:t>
      </w:r>
      <w:r w:rsidRPr="00577F17">
        <w:rPr>
          <w:u w:val="single"/>
        </w:rPr>
        <w:t>Completeness and Compliance</w:t>
      </w:r>
    </w:p>
    <w:p w14:paraId="47BBD8E5" w14:textId="77777777" w:rsidR="0008668B" w:rsidRPr="00047316" w:rsidRDefault="0008668B" w:rsidP="0008668B">
      <w:pPr>
        <w:jc w:val="both"/>
      </w:pPr>
      <w:r w:rsidRPr="00047316">
        <w:t>The Contracting Authority shall</w:t>
      </w:r>
      <w:r w:rsidR="00DE07A3" w:rsidRPr="00047316">
        <w:t xml:space="preserve"> establish whether</w:t>
      </w:r>
      <w:r w:rsidRPr="00047316">
        <w:t>:</w:t>
      </w:r>
    </w:p>
    <w:p w14:paraId="1258AB60" w14:textId="77777777" w:rsidR="006E08E1" w:rsidRPr="001E0A0A" w:rsidRDefault="006E08E1" w:rsidP="006E08E1">
      <w:pPr>
        <w:numPr>
          <w:ilvl w:val="0"/>
          <w:numId w:val="14"/>
        </w:numPr>
        <w:suppressAutoHyphens/>
        <w:spacing w:line="300" w:lineRule="atLeast"/>
        <w:jc w:val="both"/>
        <w:rPr>
          <w:rFonts w:eastAsia="Times New Roman" w:cstheme="minorHAnsi"/>
        </w:rPr>
      </w:pPr>
      <w:r>
        <w:rPr>
          <w:rFonts w:eastAsia="Times New Roman" w:cstheme="minorHAnsi"/>
        </w:rPr>
        <w:t>All required information has been submitted by the deadline for the receipt of Initial Tenders (i.e. that they are a compliant tender). This includes the signed Acceptance of Tendering Conditions and Mandatory Undertaking (Appendix C);</w:t>
      </w:r>
    </w:p>
    <w:p w14:paraId="22AFD0CA" w14:textId="7C574E8E" w:rsidR="00DE07A3"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the Tenderer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6" w:name="_Hlk1987443"/>
      <w:bookmarkStart w:id="157" w:name="_Hlk1987474"/>
    </w:p>
    <w:p w14:paraId="16AF4981" w14:textId="1DA34F9F" w:rsidR="0008668B" w:rsidRPr="00577F17" w:rsidRDefault="00577F17" w:rsidP="00577F17">
      <w:pPr>
        <w:jc w:val="both"/>
        <w:rPr>
          <w:u w:val="single"/>
        </w:rPr>
      </w:pPr>
      <w:bookmarkStart w:id="158" w:name="_Toc11169679"/>
      <w:bookmarkEnd w:id="156"/>
      <w:bookmarkEnd w:id="157"/>
      <w:r>
        <w:rPr>
          <w:u w:val="single"/>
        </w:rPr>
        <w:t xml:space="preserve">Step 2: </w:t>
      </w:r>
      <w:r w:rsidR="0008668B" w:rsidRPr="00577F17">
        <w:rPr>
          <w:u w:val="single"/>
        </w:rPr>
        <w:t>Technical Evaluation</w:t>
      </w:r>
      <w:bookmarkEnd w:id="158"/>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2AD2A271" w14:textId="1CF65BDE" w:rsidR="005D5208" w:rsidRDefault="3A5CBAD9" w:rsidP="005D5208">
      <w:pPr>
        <w:jc w:val="both"/>
      </w:pPr>
      <w:r>
        <w:t xml:space="preserve">Tenderers should demonstrate their capability to </w:t>
      </w:r>
      <w:r w:rsidR="00E764CA">
        <w:t xml:space="preserve">deliver the </w:t>
      </w:r>
      <w:r w:rsidR="00AA0E50">
        <w:t>noise management services</w:t>
      </w:r>
      <w:r w:rsidR="00E764CA">
        <w:t xml:space="preserve"> required, </w:t>
      </w:r>
      <w:r w:rsidR="003B3AE8">
        <w:t>and set out in Appendix A, including</w:t>
      </w:r>
      <w:r w:rsidR="00E764CA">
        <w:t xml:space="preserve">: </w:t>
      </w:r>
      <w:bookmarkStart w:id="159" w:name="_Hlk34645176"/>
      <w:bookmarkEnd w:id="159"/>
    </w:p>
    <w:p w14:paraId="6AB6A869" w14:textId="77777777"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t>Preparation and Production of a noise management plan setting out the noise management procedures to be adopted</w:t>
      </w:r>
    </w:p>
    <w:p w14:paraId="157279D2" w14:textId="23D2D809"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lastRenderedPageBreak/>
        <w:t xml:space="preserve">Development of Noise management plan to be implemented in accordance with the noise conditions set out in the stadium licence. </w:t>
      </w:r>
    </w:p>
    <w:p w14:paraId="63B8325F" w14:textId="77777777"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t>Undertake propagation tests on sound check day(s) and show day(s) to set appropriate noise control limits.</w:t>
      </w:r>
    </w:p>
    <w:p w14:paraId="2C71527C" w14:textId="0C244DC9"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t>Continuous monitoring of noise levels at the sound mixer position and advising sound engineer</w:t>
      </w:r>
      <w:r w:rsidR="00047316">
        <w:rPr>
          <w:rFonts w:eastAsia="Times New Roman"/>
        </w:rPr>
        <w:t>s</w:t>
      </w:r>
      <w:r>
        <w:rPr>
          <w:rFonts w:eastAsia="Times New Roman"/>
        </w:rPr>
        <w:t xml:space="preserve"> accordingly to ensure noise limits are not exceeded.</w:t>
      </w:r>
    </w:p>
    <w:p w14:paraId="12762F13" w14:textId="77777777"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t>Calibrate, supply and monitor meters at external/offsite locations to ensure compliance with noise restrictions throughout event</w:t>
      </w:r>
    </w:p>
    <w:p w14:paraId="5AF89F14" w14:textId="77777777"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t>Produce post event report outlining any breaches of limitations and sound levels recorded throughout the event</w:t>
      </w:r>
    </w:p>
    <w:p w14:paraId="0EFB9E6E" w14:textId="77777777"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t>Noise tests in conjunction with local council as required.</w:t>
      </w:r>
    </w:p>
    <w:p w14:paraId="65F9A578" w14:textId="77777777"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t xml:space="preserve">Provide advice on best practice noise control practices through build, event, post event and de-rig periods. </w:t>
      </w:r>
    </w:p>
    <w:p w14:paraId="354DDFAF" w14:textId="6CA57F8F"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t>Identify key noise risks/items and advise on possible mitigations that could be implemented. (e.g. signs in car parks for idling trucks)</w:t>
      </w:r>
    </w:p>
    <w:p w14:paraId="078B166B" w14:textId="77777777"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t>Review site layouts and plans where applicable to work with promoters and council to minimise noise disturbance</w:t>
      </w:r>
    </w:p>
    <w:p w14:paraId="7DE7B22D" w14:textId="77777777"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t>Investigate any noise complaints received during the events, liaising with council to comply with their complaint procedure.</w:t>
      </w:r>
    </w:p>
    <w:p w14:paraId="3CAB681A" w14:textId="5C9F4912" w:rsidR="00AA0E50" w:rsidRDefault="00AA0E50" w:rsidP="00AA0E50">
      <w:pPr>
        <w:pStyle w:val="ListParagraph"/>
        <w:numPr>
          <w:ilvl w:val="0"/>
          <w:numId w:val="23"/>
        </w:numPr>
        <w:spacing w:after="0" w:line="240" w:lineRule="auto"/>
        <w:contextualSpacing w:val="0"/>
        <w:rPr>
          <w:rFonts w:eastAsia="Times New Roman"/>
        </w:rPr>
      </w:pPr>
      <w:r>
        <w:rPr>
          <w:rFonts w:eastAsia="Times New Roman"/>
        </w:rPr>
        <w:t>Consultants to monitor internal and external noise levels.</w:t>
      </w:r>
      <w:r w:rsidR="00640513">
        <w:rPr>
          <w:rFonts w:eastAsia="Times New Roman"/>
        </w:rPr>
        <w:br/>
      </w:r>
    </w:p>
    <w:p w14:paraId="213BA45B" w14:textId="05AA7A08" w:rsidR="00577F17" w:rsidRDefault="0094269E" w:rsidP="00814A30">
      <w:pPr>
        <w:jc w:val="both"/>
      </w:pPr>
      <w:r w:rsidRPr="00395775">
        <w:t xml:space="preserve">The Contracting Authority will undertake the evaluation of the responses in accordance with the Award Criteria (as set out </w:t>
      </w:r>
      <w:r w:rsidR="005D5208">
        <w:t>below</w:t>
      </w:r>
      <w:r w:rsidRPr="00395775">
        <w:t>)</w:t>
      </w:r>
      <w:r w:rsidR="00DE25CE">
        <w:t>.</w:t>
      </w:r>
      <w:r w:rsidR="00814A30">
        <w:t xml:space="preserve"> </w:t>
      </w:r>
      <w:r w:rsidR="005D5208">
        <w:t xml:space="preserve"> </w:t>
      </w:r>
      <w:r w:rsidR="00FC126D" w:rsidRPr="009602F9">
        <w:t xml:space="preserve">The Contracting Authority reserves the right to reject any tender which scores </w:t>
      </w:r>
      <w:r w:rsidR="00FC126D" w:rsidRPr="00395775">
        <w:t xml:space="preserve">‘Unsatisfactory’ for any </w:t>
      </w:r>
      <w:r w:rsidR="00610E9F">
        <w:t xml:space="preserve">one or more </w:t>
      </w:r>
      <w:r w:rsidR="00FC126D" w:rsidRPr="00395775">
        <w:t>Award Criterion.</w:t>
      </w:r>
      <w:r w:rsidR="00814A30">
        <w:t xml:space="preserve"> </w:t>
      </w:r>
      <w:r w:rsidR="005D5208">
        <w:t xml:space="preserve"> </w:t>
      </w:r>
    </w:p>
    <w:tbl>
      <w:tblPr>
        <w:tblStyle w:val="TableGrid"/>
        <w:tblW w:w="9351" w:type="dxa"/>
        <w:tblLook w:val="04A0" w:firstRow="1" w:lastRow="0" w:firstColumn="1" w:lastColumn="0" w:noHBand="0" w:noVBand="1"/>
      </w:tblPr>
      <w:tblGrid>
        <w:gridCol w:w="1696"/>
        <w:gridCol w:w="3261"/>
        <w:gridCol w:w="1275"/>
        <w:gridCol w:w="3119"/>
      </w:tblGrid>
      <w:tr w:rsidR="00577F17" w:rsidRPr="00884F38" w14:paraId="0CB0A979" w14:textId="77777777" w:rsidTr="0034611A">
        <w:tc>
          <w:tcPr>
            <w:tcW w:w="1696" w:type="dxa"/>
          </w:tcPr>
          <w:p w14:paraId="62E3F404" w14:textId="3E742553" w:rsidR="00577F17" w:rsidRPr="00884F38" w:rsidRDefault="00884F38" w:rsidP="00DA61D5">
            <w:pPr>
              <w:pStyle w:val="BodyText"/>
              <w:ind w:left="0"/>
              <w:jc w:val="both"/>
              <w:rPr>
                <w:rFonts w:ascii="Calibri" w:hAnsi="Calibri"/>
                <w:b/>
                <w:szCs w:val="20"/>
              </w:rPr>
            </w:pPr>
            <w:r w:rsidRPr="00884F38">
              <w:rPr>
                <w:rFonts w:ascii="Calibri" w:hAnsi="Calibri"/>
                <w:b/>
                <w:szCs w:val="20"/>
              </w:rPr>
              <w:t>Criteria</w:t>
            </w:r>
          </w:p>
        </w:tc>
        <w:tc>
          <w:tcPr>
            <w:tcW w:w="3261" w:type="dxa"/>
          </w:tcPr>
          <w:p w14:paraId="5E153B42" w14:textId="0DB8B4DD" w:rsidR="00577F17" w:rsidRPr="00884F38" w:rsidRDefault="00884F38" w:rsidP="00DA61D5">
            <w:pPr>
              <w:pStyle w:val="BodyText"/>
              <w:ind w:left="0"/>
              <w:jc w:val="both"/>
              <w:rPr>
                <w:rFonts w:ascii="Calibri" w:hAnsi="Calibri"/>
                <w:b/>
                <w:szCs w:val="20"/>
              </w:rPr>
            </w:pPr>
            <w:r w:rsidRPr="00884F38">
              <w:rPr>
                <w:rFonts w:ascii="Calibri" w:hAnsi="Calibri"/>
                <w:b/>
                <w:szCs w:val="20"/>
              </w:rPr>
              <w:t xml:space="preserve">Evidence </w:t>
            </w:r>
          </w:p>
        </w:tc>
        <w:tc>
          <w:tcPr>
            <w:tcW w:w="1275" w:type="dxa"/>
          </w:tcPr>
          <w:p w14:paraId="6F8F2BD7" w14:textId="38466D01" w:rsidR="00577F17" w:rsidRPr="00884F38" w:rsidRDefault="00577F17" w:rsidP="00884F38">
            <w:pPr>
              <w:pStyle w:val="BodyText"/>
              <w:ind w:left="0"/>
              <w:jc w:val="center"/>
              <w:rPr>
                <w:rFonts w:ascii="Calibri" w:hAnsi="Calibri"/>
                <w:b/>
                <w:szCs w:val="20"/>
              </w:rPr>
            </w:pPr>
            <w:r w:rsidRPr="00884F38">
              <w:rPr>
                <w:rFonts w:ascii="Calibri" w:hAnsi="Calibri"/>
                <w:b/>
                <w:szCs w:val="20"/>
              </w:rPr>
              <w:t>Weighting</w:t>
            </w:r>
          </w:p>
        </w:tc>
        <w:tc>
          <w:tcPr>
            <w:tcW w:w="3119" w:type="dxa"/>
          </w:tcPr>
          <w:p w14:paraId="6291C147" w14:textId="4CAF6767" w:rsidR="00577F17" w:rsidRPr="00884F38" w:rsidRDefault="00577F17" w:rsidP="00DA61D5">
            <w:pPr>
              <w:pStyle w:val="BodyText"/>
              <w:ind w:left="0"/>
              <w:jc w:val="both"/>
              <w:rPr>
                <w:rFonts w:ascii="Calibri" w:hAnsi="Calibri"/>
                <w:b/>
                <w:szCs w:val="20"/>
              </w:rPr>
            </w:pPr>
            <w:r w:rsidRPr="00884F38">
              <w:rPr>
                <w:rFonts w:ascii="Calibri" w:hAnsi="Calibri"/>
                <w:b/>
                <w:szCs w:val="20"/>
              </w:rPr>
              <w:t xml:space="preserve">Example </w:t>
            </w:r>
            <w:r w:rsidR="00BA138A">
              <w:rPr>
                <w:rFonts w:ascii="Calibri" w:hAnsi="Calibri"/>
                <w:b/>
                <w:szCs w:val="20"/>
              </w:rPr>
              <w:t>of Expected Answer</w:t>
            </w:r>
          </w:p>
        </w:tc>
      </w:tr>
      <w:tr w:rsidR="00A41481" w:rsidRPr="00E764CA" w14:paraId="59029D6D" w14:textId="77777777" w:rsidTr="0034611A">
        <w:tc>
          <w:tcPr>
            <w:tcW w:w="1696" w:type="dxa"/>
          </w:tcPr>
          <w:p w14:paraId="2A64DD77" w14:textId="07C7E614" w:rsidR="00A41481" w:rsidRPr="00E764CA" w:rsidRDefault="00A41481" w:rsidP="00A41481">
            <w:pPr>
              <w:pStyle w:val="BodyText"/>
              <w:ind w:left="0"/>
              <w:jc w:val="both"/>
              <w:rPr>
                <w:rFonts w:ascii="Calibri" w:hAnsi="Calibri"/>
                <w:szCs w:val="20"/>
              </w:rPr>
            </w:pPr>
            <w:r>
              <w:rPr>
                <w:rFonts w:ascii="Calibri" w:hAnsi="Calibri"/>
                <w:szCs w:val="20"/>
              </w:rPr>
              <w:t>Contract</w:t>
            </w:r>
          </w:p>
        </w:tc>
        <w:tc>
          <w:tcPr>
            <w:tcW w:w="3261" w:type="dxa"/>
          </w:tcPr>
          <w:p w14:paraId="7A90E9D4" w14:textId="3AC22A3E" w:rsidR="00A41481" w:rsidRPr="00E764CA" w:rsidRDefault="00A41481" w:rsidP="00A41481">
            <w:pPr>
              <w:pStyle w:val="BodyText"/>
              <w:ind w:left="0"/>
              <w:jc w:val="both"/>
              <w:rPr>
                <w:rFonts w:ascii="Calibri" w:hAnsi="Calibri"/>
                <w:szCs w:val="20"/>
              </w:rPr>
            </w:pPr>
            <w:r>
              <w:rPr>
                <w:rFonts w:ascii="Calibri" w:hAnsi="Calibri"/>
                <w:szCs w:val="20"/>
              </w:rPr>
              <w:t>Acceptance of the Contract issued with the tender documents. Minor amendments marked up as part of your bid may be acceptable, but wholesale changes may disqualify a tenderer</w:t>
            </w:r>
          </w:p>
        </w:tc>
        <w:tc>
          <w:tcPr>
            <w:tcW w:w="1275" w:type="dxa"/>
          </w:tcPr>
          <w:p w14:paraId="246774C9" w14:textId="2EDD24BB" w:rsidR="00A41481" w:rsidRPr="00E764CA" w:rsidRDefault="00A41481" w:rsidP="00A41481">
            <w:pPr>
              <w:pStyle w:val="BodyText"/>
              <w:ind w:left="0"/>
              <w:jc w:val="center"/>
              <w:rPr>
                <w:rFonts w:ascii="Calibri" w:hAnsi="Calibri"/>
                <w:szCs w:val="20"/>
              </w:rPr>
            </w:pPr>
            <w:r w:rsidRPr="00E764CA">
              <w:rPr>
                <w:rFonts w:ascii="Calibri" w:hAnsi="Calibri"/>
                <w:szCs w:val="20"/>
              </w:rPr>
              <w:t>Pass / Fail</w:t>
            </w:r>
          </w:p>
        </w:tc>
        <w:tc>
          <w:tcPr>
            <w:tcW w:w="3119" w:type="dxa"/>
          </w:tcPr>
          <w:p w14:paraId="2FF805C8" w14:textId="74CE8A8C" w:rsidR="00A41481" w:rsidRPr="00E764CA" w:rsidRDefault="00A41481" w:rsidP="00A41481">
            <w:pPr>
              <w:pStyle w:val="BodyText"/>
              <w:ind w:left="0"/>
              <w:jc w:val="both"/>
              <w:rPr>
                <w:rFonts w:ascii="Calibri" w:hAnsi="Calibri"/>
                <w:szCs w:val="20"/>
              </w:rPr>
            </w:pPr>
            <w:r>
              <w:rPr>
                <w:rFonts w:ascii="Calibri" w:hAnsi="Calibri"/>
                <w:szCs w:val="20"/>
              </w:rPr>
              <w:t>Agreement to Contract</w:t>
            </w:r>
          </w:p>
        </w:tc>
      </w:tr>
      <w:tr w:rsidR="00577F17" w:rsidRPr="00E764CA" w14:paraId="5D92870B" w14:textId="77777777" w:rsidTr="0034611A">
        <w:tc>
          <w:tcPr>
            <w:tcW w:w="1696" w:type="dxa"/>
          </w:tcPr>
          <w:p w14:paraId="2C8C0AB4" w14:textId="6D98CD68" w:rsidR="00577F17" w:rsidRPr="00E764CA" w:rsidRDefault="00BA138A" w:rsidP="00DA61D5">
            <w:pPr>
              <w:pStyle w:val="BodyText"/>
              <w:ind w:left="0"/>
              <w:jc w:val="both"/>
              <w:rPr>
                <w:rFonts w:ascii="Calibri" w:hAnsi="Calibri"/>
                <w:szCs w:val="20"/>
              </w:rPr>
            </w:pPr>
            <w:r w:rsidRPr="00E764CA">
              <w:rPr>
                <w:rFonts w:ascii="Calibri" w:hAnsi="Calibri"/>
                <w:szCs w:val="20"/>
              </w:rPr>
              <w:t xml:space="preserve">Company </w:t>
            </w:r>
            <w:r w:rsidR="00577F17" w:rsidRPr="00E764CA">
              <w:rPr>
                <w:rFonts w:ascii="Calibri" w:hAnsi="Calibri"/>
                <w:szCs w:val="20"/>
              </w:rPr>
              <w:t>Experience</w:t>
            </w:r>
          </w:p>
        </w:tc>
        <w:tc>
          <w:tcPr>
            <w:tcW w:w="3261" w:type="dxa"/>
          </w:tcPr>
          <w:p w14:paraId="13836CD7" w14:textId="0E2D6EF0" w:rsidR="00577F17" w:rsidRPr="00E764CA" w:rsidRDefault="00577F17" w:rsidP="00DA61D5">
            <w:pPr>
              <w:pStyle w:val="BodyText"/>
              <w:ind w:left="0"/>
              <w:jc w:val="both"/>
              <w:rPr>
                <w:rFonts w:ascii="Calibri" w:hAnsi="Calibri"/>
                <w:szCs w:val="20"/>
              </w:rPr>
            </w:pPr>
            <w:r w:rsidRPr="00E764CA">
              <w:rPr>
                <w:rFonts w:ascii="Calibri" w:hAnsi="Calibri"/>
                <w:szCs w:val="20"/>
              </w:rPr>
              <w:t>Service provider has relevant experience in similar venues and for similar events to those staged at the London Stadium</w:t>
            </w:r>
          </w:p>
        </w:tc>
        <w:tc>
          <w:tcPr>
            <w:tcW w:w="1275" w:type="dxa"/>
          </w:tcPr>
          <w:p w14:paraId="33F33897" w14:textId="7F885D82" w:rsidR="00577F17" w:rsidRPr="00E764CA" w:rsidRDefault="00AA0E50" w:rsidP="00884F38">
            <w:pPr>
              <w:pStyle w:val="BodyText"/>
              <w:ind w:left="0"/>
              <w:jc w:val="center"/>
              <w:rPr>
                <w:rFonts w:ascii="Calibri" w:hAnsi="Calibri"/>
                <w:szCs w:val="20"/>
              </w:rPr>
            </w:pPr>
            <w:r>
              <w:rPr>
                <w:rFonts w:ascii="Calibri" w:hAnsi="Calibri"/>
                <w:szCs w:val="20"/>
              </w:rPr>
              <w:t>40</w:t>
            </w:r>
          </w:p>
        </w:tc>
        <w:tc>
          <w:tcPr>
            <w:tcW w:w="3119" w:type="dxa"/>
          </w:tcPr>
          <w:p w14:paraId="7AE0EAEA" w14:textId="445F7F6A" w:rsidR="00904AEA" w:rsidRPr="00E764CA" w:rsidRDefault="00904AEA" w:rsidP="00DA61D5">
            <w:pPr>
              <w:pStyle w:val="BodyText"/>
              <w:ind w:left="0"/>
              <w:jc w:val="both"/>
              <w:rPr>
                <w:rFonts w:ascii="Calibri" w:hAnsi="Calibri"/>
                <w:szCs w:val="20"/>
              </w:rPr>
            </w:pPr>
            <w:r w:rsidRPr="00E764CA">
              <w:rPr>
                <w:rFonts w:ascii="Calibri" w:hAnsi="Calibri"/>
                <w:szCs w:val="20"/>
              </w:rPr>
              <w:t>Overview of Company</w:t>
            </w:r>
          </w:p>
          <w:p w14:paraId="14CED372" w14:textId="499A89E2" w:rsidR="00577F17" w:rsidRPr="00E764CA" w:rsidRDefault="00BA138A" w:rsidP="00DA61D5">
            <w:pPr>
              <w:pStyle w:val="BodyText"/>
              <w:ind w:left="0"/>
              <w:jc w:val="both"/>
              <w:rPr>
                <w:rFonts w:ascii="Calibri" w:hAnsi="Calibri"/>
                <w:szCs w:val="20"/>
              </w:rPr>
            </w:pPr>
            <w:r w:rsidRPr="00E764CA">
              <w:rPr>
                <w:rFonts w:ascii="Calibri" w:hAnsi="Calibri"/>
                <w:szCs w:val="20"/>
              </w:rPr>
              <w:t>T</w:t>
            </w:r>
            <w:r w:rsidR="000654BD" w:rsidRPr="00E764CA">
              <w:rPr>
                <w:rFonts w:ascii="Calibri" w:hAnsi="Calibri"/>
                <w:szCs w:val="20"/>
              </w:rPr>
              <w:t>wo</w:t>
            </w:r>
            <w:r w:rsidRPr="00E764CA">
              <w:rPr>
                <w:rFonts w:ascii="Calibri" w:hAnsi="Calibri"/>
                <w:szCs w:val="20"/>
              </w:rPr>
              <w:t xml:space="preserve"> Case studies showing </w:t>
            </w:r>
            <w:r w:rsidR="004A0E7D" w:rsidRPr="00E764CA">
              <w:rPr>
                <w:rFonts w:ascii="Calibri" w:hAnsi="Calibri"/>
                <w:szCs w:val="20"/>
              </w:rPr>
              <w:t xml:space="preserve">relevant </w:t>
            </w:r>
            <w:r w:rsidRPr="00E764CA">
              <w:rPr>
                <w:rFonts w:ascii="Calibri" w:hAnsi="Calibri"/>
                <w:szCs w:val="20"/>
              </w:rPr>
              <w:t xml:space="preserve">work </w:t>
            </w:r>
            <w:r w:rsidR="004A0E7D" w:rsidRPr="00E764CA">
              <w:rPr>
                <w:rFonts w:ascii="Calibri" w:hAnsi="Calibri"/>
                <w:szCs w:val="20"/>
              </w:rPr>
              <w:t xml:space="preserve">(e.g. </w:t>
            </w:r>
            <w:r w:rsidR="0000377B" w:rsidRPr="00E764CA">
              <w:rPr>
                <w:rFonts w:ascii="Calibri" w:hAnsi="Calibri"/>
                <w:szCs w:val="20"/>
              </w:rPr>
              <w:t xml:space="preserve">provided </w:t>
            </w:r>
            <w:r w:rsidR="00AA0E50">
              <w:rPr>
                <w:rFonts w:ascii="Calibri" w:hAnsi="Calibri"/>
                <w:szCs w:val="20"/>
              </w:rPr>
              <w:t>noise management services</w:t>
            </w:r>
            <w:r w:rsidR="0000377B" w:rsidRPr="00E764CA">
              <w:rPr>
                <w:rFonts w:ascii="Calibri" w:hAnsi="Calibri"/>
                <w:szCs w:val="20"/>
              </w:rPr>
              <w:t xml:space="preserve"> in similar quantities for comparable venues / events)</w:t>
            </w:r>
          </w:p>
        </w:tc>
      </w:tr>
      <w:tr w:rsidR="00577F17" w:rsidRPr="00E764CA" w14:paraId="77E45559" w14:textId="77777777" w:rsidTr="0034611A">
        <w:tc>
          <w:tcPr>
            <w:tcW w:w="1696" w:type="dxa"/>
          </w:tcPr>
          <w:p w14:paraId="706230EA" w14:textId="3D6FA1FD" w:rsidR="00577F17" w:rsidRPr="00E764CA" w:rsidRDefault="001347A6" w:rsidP="00DA61D5">
            <w:pPr>
              <w:pStyle w:val="BodyText"/>
              <w:ind w:left="0"/>
              <w:jc w:val="both"/>
              <w:rPr>
                <w:rFonts w:ascii="Calibri" w:hAnsi="Calibri"/>
                <w:szCs w:val="20"/>
              </w:rPr>
            </w:pPr>
            <w:r w:rsidRPr="00E764CA">
              <w:rPr>
                <w:rFonts w:ascii="Calibri" w:hAnsi="Calibri"/>
                <w:szCs w:val="20"/>
              </w:rPr>
              <w:t>Provide</w:t>
            </w:r>
            <w:r w:rsidR="00AA0E50">
              <w:rPr>
                <w:rFonts w:ascii="Calibri" w:hAnsi="Calibri"/>
                <w:szCs w:val="20"/>
              </w:rPr>
              <w:t xml:space="preserve"> Evidence of experience</w:t>
            </w:r>
          </w:p>
        </w:tc>
        <w:tc>
          <w:tcPr>
            <w:tcW w:w="3261" w:type="dxa"/>
          </w:tcPr>
          <w:p w14:paraId="01FB766D" w14:textId="1EE2C569" w:rsidR="00577F17" w:rsidRPr="00E764CA" w:rsidRDefault="00AA0E50" w:rsidP="00DA61D5">
            <w:pPr>
              <w:pStyle w:val="BodyText"/>
              <w:ind w:left="0"/>
              <w:jc w:val="both"/>
              <w:rPr>
                <w:rFonts w:ascii="Calibri" w:hAnsi="Calibri"/>
                <w:szCs w:val="20"/>
              </w:rPr>
            </w:pPr>
            <w:r>
              <w:rPr>
                <w:rFonts w:ascii="Calibri" w:hAnsi="Calibri"/>
                <w:szCs w:val="20"/>
              </w:rPr>
              <w:t xml:space="preserve">Provision of previous Noise </w:t>
            </w:r>
            <w:r w:rsidR="00047316">
              <w:rPr>
                <w:rFonts w:ascii="Calibri" w:hAnsi="Calibri"/>
                <w:szCs w:val="20"/>
              </w:rPr>
              <w:t>Management</w:t>
            </w:r>
            <w:r>
              <w:rPr>
                <w:rFonts w:ascii="Calibri" w:hAnsi="Calibri"/>
                <w:szCs w:val="20"/>
              </w:rPr>
              <w:t xml:space="preserve"> Plans in similar settings to those at London Stadium</w:t>
            </w:r>
          </w:p>
        </w:tc>
        <w:tc>
          <w:tcPr>
            <w:tcW w:w="1275" w:type="dxa"/>
          </w:tcPr>
          <w:p w14:paraId="26FAD8FD" w14:textId="52577605" w:rsidR="00577F17" w:rsidRPr="00E764CA" w:rsidRDefault="00AA0E50" w:rsidP="00884F38">
            <w:pPr>
              <w:pStyle w:val="BodyText"/>
              <w:ind w:left="0"/>
              <w:jc w:val="center"/>
              <w:rPr>
                <w:rFonts w:ascii="Calibri" w:hAnsi="Calibri"/>
                <w:szCs w:val="20"/>
              </w:rPr>
            </w:pPr>
            <w:r>
              <w:rPr>
                <w:rFonts w:ascii="Calibri" w:hAnsi="Calibri"/>
                <w:szCs w:val="20"/>
              </w:rPr>
              <w:t>2</w:t>
            </w:r>
            <w:r w:rsidR="00BA138A" w:rsidRPr="00E764CA">
              <w:rPr>
                <w:rFonts w:ascii="Calibri" w:hAnsi="Calibri"/>
                <w:szCs w:val="20"/>
              </w:rPr>
              <w:t>0</w:t>
            </w:r>
          </w:p>
        </w:tc>
        <w:tc>
          <w:tcPr>
            <w:tcW w:w="3119" w:type="dxa"/>
          </w:tcPr>
          <w:p w14:paraId="57B20DC4" w14:textId="77777777" w:rsidR="00577F17" w:rsidRDefault="00AA0E50" w:rsidP="00DA61D5">
            <w:pPr>
              <w:pStyle w:val="BodyText"/>
              <w:ind w:left="0"/>
              <w:jc w:val="both"/>
              <w:rPr>
                <w:rFonts w:ascii="Calibri" w:hAnsi="Calibri"/>
                <w:szCs w:val="20"/>
              </w:rPr>
            </w:pPr>
            <w:r>
              <w:rPr>
                <w:rFonts w:ascii="Calibri" w:hAnsi="Calibri"/>
                <w:szCs w:val="20"/>
              </w:rPr>
              <w:t>Provision of previous NMPs at concert/concert related events at other stadia.</w:t>
            </w:r>
          </w:p>
          <w:p w14:paraId="64C70BF7" w14:textId="4EE25504" w:rsidR="0034611A" w:rsidRPr="0034611A" w:rsidRDefault="0034611A" w:rsidP="0034611A">
            <w:pPr>
              <w:spacing w:after="0" w:line="240" w:lineRule="auto"/>
              <w:rPr>
                <w:rFonts w:ascii="Calibri" w:eastAsia="Times New Roman" w:hAnsi="Calibri" w:cs="Arial"/>
                <w:sz w:val="20"/>
                <w:szCs w:val="20"/>
              </w:rPr>
            </w:pPr>
            <w:r w:rsidRPr="0034611A">
              <w:rPr>
                <w:rFonts w:ascii="Calibri" w:eastAsia="Times New Roman" w:hAnsi="Calibri" w:cs="Arial"/>
                <w:sz w:val="20"/>
                <w:szCs w:val="20"/>
              </w:rPr>
              <w:t xml:space="preserve">Confirmation that all services listed in the stadium planning consent </w:t>
            </w:r>
            <w:r>
              <w:rPr>
                <w:rFonts w:ascii="Calibri" w:eastAsia="Times New Roman" w:hAnsi="Calibri" w:cs="Arial"/>
                <w:sz w:val="20"/>
                <w:szCs w:val="20"/>
              </w:rPr>
              <w:t xml:space="preserve">can be delivered </w:t>
            </w:r>
            <w:r w:rsidRPr="0034611A">
              <w:rPr>
                <w:rFonts w:ascii="Calibri" w:eastAsia="Times New Roman" w:hAnsi="Calibri" w:cs="Arial"/>
                <w:sz w:val="20"/>
                <w:szCs w:val="20"/>
              </w:rPr>
              <w:t>including</w:t>
            </w:r>
            <w:r w:rsidRPr="0034611A">
              <w:rPr>
                <w:rFonts w:ascii="Calibri" w:eastAsia="Times New Roman" w:hAnsi="Calibri" w:cs="Arial"/>
                <w:sz w:val="20"/>
                <w:szCs w:val="20"/>
              </w:rPr>
              <w:t xml:space="preserve"> those listed in </w:t>
            </w:r>
            <w:r>
              <w:rPr>
                <w:rFonts w:ascii="Calibri" w:eastAsia="Times New Roman" w:hAnsi="Calibri" w:cs="Arial"/>
                <w:sz w:val="20"/>
                <w:szCs w:val="20"/>
              </w:rPr>
              <w:t xml:space="preserve">planning </w:t>
            </w:r>
            <w:r w:rsidRPr="0034611A">
              <w:rPr>
                <w:rFonts w:ascii="Calibri" w:eastAsia="Times New Roman" w:hAnsi="Calibri" w:cs="Arial"/>
                <w:sz w:val="20"/>
                <w:szCs w:val="20"/>
              </w:rPr>
              <w:t>condition</w:t>
            </w:r>
            <w:r w:rsidRPr="0034611A">
              <w:rPr>
                <w:rFonts w:ascii="Calibri" w:eastAsia="Times New Roman" w:hAnsi="Calibri" w:cs="Arial"/>
                <w:sz w:val="20"/>
                <w:szCs w:val="20"/>
              </w:rPr>
              <w:t xml:space="preserve"> OST </w:t>
            </w:r>
            <w:r w:rsidRPr="0034611A">
              <w:rPr>
                <w:rFonts w:ascii="Calibri" w:eastAsia="Times New Roman" w:hAnsi="Calibri" w:cs="Arial"/>
                <w:sz w:val="20"/>
                <w:szCs w:val="20"/>
              </w:rPr>
              <w:lastRenderedPageBreak/>
              <w:t>114</w:t>
            </w:r>
            <w:r>
              <w:rPr>
                <w:rFonts w:ascii="Calibri" w:eastAsia="Times New Roman" w:hAnsi="Calibri" w:cs="Arial"/>
                <w:sz w:val="20"/>
                <w:szCs w:val="20"/>
              </w:rPr>
              <w:t xml:space="preserve"> (document provided in separate document).</w:t>
            </w:r>
          </w:p>
          <w:p w14:paraId="00632DE5" w14:textId="7E9C92A0" w:rsidR="0034611A" w:rsidRPr="00E764CA" w:rsidRDefault="0034611A" w:rsidP="00DA61D5">
            <w:pPr>
              <w:pStyle w:val="BodyText"/>
              <w:ind w:left="0"/>
              <w:jc w:val="both"/>
              <w:rPr>
                <w:rFonts w:ascii="Calibri" w:hAnsi="Calibri"/>
                <w:szCs w:val="20"/>
              </w:rPr>
            </w:pPr>
          </w:p>
        </w:tc>
      </w:tr>
      <w:tr w:rsidR="00577F17" w:rsidRPr="00884F38" w14:paraId="3847D845" w14:textId="77777777" w:rsidTr="0034611A">
        <w:tc>
          <w:tcPr>
            <w:tcW w:w="1696" w:type="dxa"/>
          </w:tcPr>
          <w:p w14:paraId="18229964" w14:textId="35079984" w:rsidR="00577F17" w:rsidRPr="00E764CA" w:rsidRDefault="00577F17" w:rsidP="00DA61D5">
            <w:pPr>
              <w:pStyle w:val="BodyText"/>
              <w:ind w:left="0"/>
              <w:jc w:val="both"/>
              <w:rPr>
                <w:rFonts w:ascii="Calibri" w:hAnsi="Calibri"/>
                <w:b/>
                <w:szCs w:val="20"/>
              </w:rPr>
            </w:pPr>
            <w:r w:rsidRPr="00E764CA">
              <w:rPr>
                <w:rFonts w:ascii="Calibri" w:hAnsi="Calibri"/>
                <w:b/>
                <w:szCs w:val="20"/>
              </w:rPr>
              <w:lastRenderedPageBreak/>
              <w:t>Total</w:t>
            </w:r>
          </w:p>
        </w:tc>
        <w:tc>
          <w:tcPr>
            <w:tcW w:w="3261" w:type="dxa"/>
          </w:tcPr>
          <w:p w14:paraId="02635B96" w14:textId="77777777" w:rsidR="00577F17" w:rsidRPr="00E764CA" w:rsidRDefault="00577F17" w:rsidP="00DA61D5">
            <w:pPr>
              <w:pStyle w:val="BodyText"/>
              <w:ind w:left="0"/>
              <w:jc w:val="both"/>
              <w:rPr>
                <w:rFonts w:ascii="Calibri" w:hAnsi="Calibri"/>
                <w:b/>
                <w:szCs w:val="20"/>
              </w:rPr>
            </w:pPr>
          </w:p>
        </w:tc>
        <w:tc>
          <w:tcPr>
            <w:tcW w:w="1275" w:type="dxa"/>
          </w:tcPr>
          <w:p w14:paraId="38BD3D32" w14:textId="5C2BB530" w:rsidR="00577F17" w:rsidRPr="00E764CA" w:rsidRDefault="00AA0E50" w:rsidP="3A5CBAD9">
            <w:pPr>
              <w:pStyle w:val="BodyText"/>
              <w:ind w:left="0"/>
              <w:jc w:val="center"/>
              <w:rPr>
                <w:rFonts w:ascii="Calibri" w:hAnsi="Calibri"/>
                <w:b/>
                <w:bCs/>
              </w:rPr>
            </w:pPr>
            <w:r>
              <w:rPr>
                <w:rFonts w:ascii="Calibri" w:hAnsi="Calibri"/>
                <w:b/>
                <w:bCs/>
              </w:rPr>
              <w:t>60</w:t>
            </w:r>
          </w:p>
        </w:tc>
        <w:tc>
          <w:tcPr>
            <w:tcW w:w="3119" w:type="dxa"/>
          </w:tcPr>
          <w:p w14:paraId="4EE16761" w14:textId="77777777" w:rsidR="00577F17" w:rsidRPr="00884F38" w:rsidRDefault="00577F17" w:rsidP="00DA61D5">
            <w:pPr>
              <w:pStyle w:val="BodyText"/>
              <w:ind w:left="0"/>
              <w:jc w:val="both"/>
              <w:rPr>
                <w:rFonts w:ascii="Calibri" w:hAnsi="Calibri"/>
                <w:b/>
                <w:szCs w:val="20"/>
              </w:rPr>
            </w:pPr>
          </w:p>
        </w:tc>
      </w:tr>
    </w:tbl>
    <w:p w14:paraId="1197981B" w14:textId="081D09A2" w:rsidR="00270965" w:rsidRDefault="00270965" w:rsidP="00DA61D5">
      <w:pPr>
        <w:pStyle w:val="BodyText"/>
        <w:ind w:left="0"/>
        <w:jc w:val="both"/>
        <w:rPr>
          <w:rFonts w:ascii="Calibri" w:hAnsi="Calibri"/>
          <w:sz w:val="22"/>
        </w:rPr>
      </w:pPr>
    </w:p>
    <w:p w14:paraId="2326D68A" w14:textId="77777777" w:rsidR="00ED15E0" w:rsidRPr="00ED15E0" w:rsidRDefault="00ED15E0" w:rsidP="00ED15E0">
      <w:r>
        <w:t>Each evaluator will award marks 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t>No response provided or the response received is wholly 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poor approach and gives a very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poor approach and gives a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adequate approach and gives a 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good approach and gives a high degree 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715C3C46"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good approach and gives a high degree of confidenc</w:t>
            </w:r>
            <w:r w:rsidR="004A0E7D">
              <w:rPr>
                <w:rFonts w:ascii="Arial" w:eastAsia="Times New Roman" w:hAnsi="Arial" w:cs="Arial"/>
                <w:color w:val="000000"/>
                <w:sz w:val="12"/>
                <w:szCs w:val="12"/>
              </w:rPr>
              <w:t xml:space="preserve">e in </w:t>
            </w:r>
            <w:r w:rsidRPr="008431E5">
              <w:rPr>
                <w:rFonts w:ascii="Arial" w:eastAsia="Times New Roman" w:hAnsi="Arial" w:cs="Arial"/>
                <w:color w:val="000000"/>
                <w:sz w:val="12"/>
                <w:szCs w:val="12"/>
              </w:rPr>
              <w:t>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excellent approach and gives a very high degree of confidence in Tenderer ability to successfully deliver.</w:t>
            </w:r>
          </w:p>
        </w:tc>
      </w:tr>
    </w:tbl>
    <w:p w14:paraId="40449C24" w14:textId="77777777" w:rsidR="00ED15E0" w:rsidRDefault="00ED15E0" w:rsidP="009602F9">
      <w:pPr>
        <w:jc w:val="both"/>
      </w:pPr>
    </w:p>
    <w:p w14:paraId="2DC70217" w14:textId="62F49149" w:rsidR="00577F17" w:rsidRDefault="00E87940" w:rsidP="009602F9">
      <w:pPr>
        <w:jc w:val="both"/>
      </w:pPr>
      <w:r w:rsidRPr="009602F9">
        <w:t>Evaluation of the technical submissions</w:t>
      </w:r>
      <w:r w:rsidR="00DA61D5" w:rsidRPr="009602F9">
        <w:t xml:space="preserve"> will </w:t>
      </w:r>
      <w:r w:rsidR="006515CB" w:rsidRPr="009602F9">
        <w:t xml:space="preserve">generate </w:t>
      </w:r>
      <w:r w:rsidR="00DA61D5" w:rsidRPr="009602F9">
        <w:t xml:space="preserve">a total technical score out of </w:t>
      </w:r>
      <w:r w:rsidR="00AA0E50" w:rsidRPr="00047316">
        <w:t>6</w:t>
      </w:r>
      <w:r w:rsidR="00DA61D5" w:rsidRPr="00047316">
        <w:t>0</w:t>
      </w:r>
      <w:r w:rsidR="00577F17" w:rsidRPr="00047316">
        <w:t>.</w:t>
      </w:r>
      <w:r w:rsidR="00577F17">
        <w:t xml:space="preserve">  The Contracting Authority is unlikely to proceed with any tender that scores less than </w:t>
      </w:r>
      <w:r w:rsidR="00047316">
        <w:t>30</w:t>
      </w:r>
      <w:r w:rsidR="00577F17">
        <w:t>.</w:t>
      </w:r>
    </w:p>
    <w:p w14:paraId="23DE24AB" w14:textId="2CF21288" w:rsidR="000B6380" w:rsidRPr="00577F17" w:rsidRDefault="0008668B" w:rsidP="00577F17">
      <w:pPr>
        <w:jc w:val="both"/>
        <w:rPr>
          <w:u w:val="single"/>
        </w:rPr>
      </w:pPr>
      <w:bookmarkStart w:id="160" w:name="_Toc7736414"/>
      <w:bookmarkStart w:id="161" w:name="_Toc8162472"/>
      <w:bookmarkStart w:id="162" w:name="_Toc7736415"/>
      <w:bookmarkStart w:id="163" w:name="_Toc8162473"/>
      <w:bookmarkStart w:id="164" w:name="_Toc7736416"/>
      <w:bookmarkStart w:id="165" w:name="_Toc8162474"/>
      <w:bookmarkStart w:id="166" w:name="_Toc7736417"/>
      <w:bookmarkStart w:id="167" w:name="_Toc8162475"/>
      <w:bookmarkStart w:id="168" w:name="_Toc2948786"/>
      <w:bookmarkStart w:id="169" w:name="_Toc2948981"/>
      <w:bookmarkStart w:id="170" w:name="_Toc2949058"/>
      <w:bookmarkStart w:id="171" w:name="_Toc2949131"/>
      <w:bookmarkStart w:id="172" w:name="_Toc2949247"/>
      <w:bookmarkStart w:id="173" w:name="_Toc2949601"/>
      <w:bookmarkStart w:id="174" w:name="_Toc2949917"/>
      <w:bookmarkStart w:id="175" w:name="_Toc2948787"/>
      <w:bookmarkStart w:id="176" w:name="_Toc2948982"/>
      <w:bookmarkStart w:id="177" w:name="_Toc2949059"/>
      <w:bookmarkStart w:id="178" w:name="_Toc2949132"/>
      <w:bookmarkStart w:id="179" w:name="_Toc2949248"/>
      <w:bookmarkStart w:id="180" w:name="_Toc2949602"/>
      <w:bookmarkStart w:id="181" w:name="_Toc2949918"/>
      <w:bookmarkStart w:id="182" w:name="_Toc1116968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77F17">
        <w:rPr>
          <w:u w:val="single"/>
        </w:rPr>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2"/>
      <w:r w:rsidR="00610E9F" w:rsidRPr="00577F17">
        <w:rPr>
          <w:u w:val="single"/>
        </w:rPr>
        <w:t xml:space="preserve"> </w:t>
      </w:r>
    </w:p>
    <w:p w14:paraId="1C318280" w14:textId="360CCC55" w:rsidR="0010188C" w:rsidRPr="006367A1" w:rsidRDefault="00577F17" w:rsidP="00335E31">
      <w:pPr>
        <w:jc w:val="both"/>
      </w:pPr>
      <w:r>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17986574" w:rsidR="00270965" w:rsidRDefault="00DE25CE" w:rsidP="00335E31">
      <w:pPr>
        <w:jc w:val="both"/>
      </w:pPr>
      <w:r w:rsidRPr="00395775">
        <w:t>Th</w:t>
      </w:r>
      <w:r>
        <w:t>e Pricing Schedule</w:t>
      </w:r>
      <w:r w:rsidRPr="00395775">
        <w:t xml:space="preserve"> </w:t>
      </w:r>
      <w:r w:rsidR="007C315E">
        <w:t xml:space="preserve">(Appendix B)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A097F25" w14:textId="306066C5" w:rsidR="002C4BAA" w:rsidRDefault="002C4BAA" w:rsidP="005B3AAC">
      <w:pPr>
        <w:jc w:val="both"/>
        <w:rPr>
          <w:u w:val="single"/>
        </w:rPr>
      </w:pPr>
      <w:bookmarkStart w:id="183" w:name="_Toc7736422"/>
      <w:bookmarkStart w:id="184" w:name="_Toc8162480"/>
      <w:bookmarkStart w:id="185" w:name="_Toc7736423"/>
      <w:bookmarkStart w:id="186" w:name="_Toc8162481"/>
      <w:bookmarkStart w:id="187" w:name="_Toc7736424"/>
      <w:bookmarkStart w:id="188" w:name="_Toc8162482"/>
      <w:bookmarkStart w:id="189" w:name="_Toc7736425"/>
      <w:bookmarkStart w:id="190" w:name="_Toc8162483"/>
      <w:bookmarkStart w:id="191" w:name="_Toc7736426"/>
      <w:bookmarkStart w:id="192" w:name="_Toc8162484"/>
      <w:bookmarkStart w:id="193" w:name="_Toc7736427"/>
      <w:bookmarkStart w:id="194" w:name="_Toc8162485"/>
      <w:bookmarkStart w:id="195" w:name="_Toc7736428"/>
      <w:bookmarkStart w:id="196" w:name="_Toc8162486"/>
      <w:bookmarkStart w:id="197" w:name="_Toc11169684"/>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197"/>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0569369A" w14:textId="554D85C9" w:rsidR="008F10CB" w:rsidRPr="00FB10A3" w:rsidRDefault="008F10CB" w:rsidP="00D12E91">
      <w:pPr>
        <w:jc w:val="both"/>
        <w:rPr>
          <w:rFonts w:cstheme="minorHAnsi"/>
        </w:rPr>
      </w:pPr>
      <w:r>
        <w:rPr>
          <w:rFonts w:cstheme="minorHAnsi"/>
        </w:rPr>
        <w:t xml:space="preserve">The Contracting Authority may choose to appoint one </w:t>
      </w:r>
      <w:proofErr w:type="gramStart"/>
      <w:r>
        <w:rPr>
          <w:rFonts w:cstheme="minorHAnsi"/>
        </w:rPr>
        <w:t>Contractor, or</w:t>
      </w:r>
      <w:proofErr w:type="gramEnd"/>
      <w:r>
        <w:rPr>
          <w:rFonts w:cstheme="minorHAnsi"/>
        </w:rPr>
        <w:t xml:space="preserve"> retain more than one contractor and award specific pieces of work to the selected companies. Any company that scores less than </w:t>
      </w:r>
      <w:r w:rsidR="00047316">
        <w:rPr>
          <w:rFonts w:cstheme="minorHAnsi"/>
        </w:rPr>
        <w:t>30</w:t>
      </w:r>
      <w:r>
        <w:rPr>
          <w:rFonts w:cstheme="minorHAnsi"/>
        </w:rPr>
        <w:t xml:space="preserve"> on the technical criteria or under </w:t>
      </w:r>
      <w:r w:rsidR="00047316">
        <w:rPr>
          <w:rFonts w:cstheme="minorHAnsi"/>
        </w:rPr>
        <w:t>20</w:t>
      </w:r>
      <w:r>
        <w:rPr>
          <w:rFonts w:cstheme="minorHAnsi"/>
        </w:rPr>
        <w:t xml:space="preserve"> on the commercial criteria </w:t>
      </w:r>
      <w:bookmarkStart w:id="198" w:name="_Hlk34645422"/>
      <w:r w:rsidR="007C315E">
        <w:rPr>
          <w:rFonts w:cstheme="minorHAnsi"/>
        </w:rPr>
        <w:t>is unlikely to</w:t>
      </w:r>
      <w:r>
        <w:rPr>
          <w:rFonts w:cstheme="minorHAnsi"/>
        </w:rPr>
        <w:t xml:space="preserve"> </w:t>
      </w:r>
      <w:bookmarkEnd w:id="198"/>
      <w:r>
        <w:rPr>
          <w:rFonts w:cstheme="minorHAnsi"/>
        </w:rPr>
        <w:t>be selected.</w:t>
      </w:r>
    </w:p>
    <w:p w14:paraId="3462FCA5" w14:textId="77777777" w:rsidR="000C6C37" w:rsidRPr="004A29B5" w:rsidRDefault="000C6C37" w:rsidP="00BD7456">
      <w:pPr>
        <w:pStyle w:val="Heading1"/>
        <w:numPr>
          <w:ilvl w:val="0"/>
          <w:numId w:val="2"/>
        </w:numPr>
        <w:rPr>
          <w:rFonts w:cstheme="minorHAnsi"/>
        </w:rPr>
      </w:pPr>
      <w:bookmarkStart w:id="199" w:name="_Toc11169685"/>
      <w:r w:rsidRPr="004A29B5">
        <w:rPr>
          <w:rFonts w:cstheme="minorHAnsi"/>
        </w:rPr>
        <w:t xml:space="preserve">Procurement </w:t>
      </w:r>
      <w:r w:rsidR="00BD7456" w:rsidRPr="004A29B5">
        <w:rPr>
          <w:rFonts w:cstheme="minorHAnsi"/>
        </w:rPr>
        <w:t>Timetable</w:t>
      </w:r>
      <w:bookmarkEnd w:id="199"/>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C6C37" w:rsidRPr="00FB10A3" w14:paraId="4CDB3050" w14:textId="77777777" w:rsidTr="00064337">
        <w:trPr>
          <w:jc w:val="center"/>
        </w:trPr>
        <w:tc>
          <w:tcPr>
            <w:tcW w:w="6413" w:type="dxa"/>
            <w:shd w:val="clear" w:color="auto" w:fill="ED7D31" w:themeFill="accent2"/>
            <w:vAlign w:val="center"/>
          </w:tcPr>
          <w:p w14:paraId="422E1272" w14:textId="77777777" w:rsidR="000C6C37" w:rsidRPr="00EF5144" w:rsidRDefault="000C6C37" w:rsidP="00064337">
            <w:pPr>
              <w:rPr>
                <w:rFonts w:cstheme="minorHAnsi"/>
                <w:b/>
                <w:color w:val="FFFFFF" w:themeColor="background1"/>
                <w:sz w:val="18"/>
                <w:szCs w:val="18"/>
              </w:rPr>
            </w:pPr>
            <w:bookmarkStart w:id="200" w:name="_Hlk34400163"/>
            <w:r w:rsidRPr="00EF5144">
              <w:rPr>
                <w:rFonts w:cstheme="minorHAnsi"/>
                <w:b/>
                <w:color w:val="FFFFFF" w:themeColor="background1"/>
                <w:sz w:val="18"/>
                <w:szCs w:val="18"/>
              </w:rPr>
              <w:t>Activity</w:t>
            </w:r>
          </w:p>
        </w:tc>
        <w:tc>
          <w:tcPr>
            <w:tcW w:w="2681" w:type="dxa"/>
            <w:shd w:val="clear" w:color="auto" w:fill="ED7D31" w:themeFill="accent2"/>
            <w:vAlign w:val="center"/>
          </w:tcPr>
          <w:p w14:paraId="7C867248" w14:textId="77777777" w:rsidR="000C6C37" w:rsidRPr="00EF5144" w:rsidRDefault="00E17C6A" w:rsidP="00064337">
            <w:pPr>
              <w:rPr>
                <w:rFonts w:cstheme="minorHAnsi"/>
                <w:b/>
                <w:color w:val="FFFFFF" w:themeColor="background1"/>
                <w:sz w:val="18"/>
                <w:szCs w:val="18"/>
              </w:rPr>
            </w:pPr>
            <w:r w:rsidRPr="00EF5144">
              <w:rPr>
                <w:rFonts w:cstheme="minorHAnsi"/>
                <w:b/>
                <w:color w:val="FFFFFF" w:themeColor="background1"/>
                <w:sz w:val="18"/>
                <w:szCs w:val="18"/>
              </w:rPr>
              <w:t>Indicative</w:t>
            </w:r>
            <w:r w:rsidR="000C6C37" w:rsidRPr="00EF5144">
              <w:rPr>
                <w:rFonts w:cstheme="minorHAnsi"/>
                <w:b/>
                <w:color w:val="FFFFFF" w:themeColor="background1"/>
                <w:sz w:val="18"/>
                <w:szCs w:val="18"/>
              </w:rPr>
              <w:t xml:space="preserve"> Date</w:t>
            </w:r>
          </w:p>
        </w:tc>
      </w:tr>
      <w:tr w:rsidR="000C6C37" w:rsidRPr="00FB10A3" w14:paraId="4B5EA057" w14:textId="77777777" w:rsidTr="00064337">
        <w:trPr>
          <w:trHeight w:val="324"/>
          <w:jc w:val="center"/>
        </w:trPr>
        <w:tc>
          <w:tcPr>
            <w:tcW w:w="6413" w:type="dxa"/>
            <w:vAlign w:val="center"/>
          </w:tcPr>
          <w:p w14:paraId="0FD94628" w14:textId="77777777" w:rsidR="000C6C37" w:rsidRPr="00640513" w:rsidRDefault="000C6C37" w:rsidP="00064337">
            <w:pPr>
              <w:rPr>
                <w:rFonts w:cstheme="minorHAnsi"/>
                <w:sz w:val="18"/>
                <w:szCs w:val="18"/>
              </w:rPr>
            </w:pPr>
            <w:r w:rsidRPr="00640513">
              <w:rPr>
                <w:rFonts w:cstheme="minorHAnsi"/>
                <w:sz w:val="18"/>
                <w:szCs w:val="18"/>
              </w:rPr>
              <w:t>Publication of Invitation to Tender (ITT)</w:t>
            </w:r>
          </w:p>
        </w:tc>
        <w:tc>
          <w:tcPr>
            <w:tcW w:w="2681" w:type="dxa"/>
            <w:shd w:val="clear" w:color="auto" w:fill="auto"/>
            <w:vAlign w:val="center"/>
          </w:tcPr>
          <w:p w14:paraId="1D651EE3" w14:textId="075EE956" w:rsidR="000C6C37" w:rsidRPr="00640513" w:rsidRDefault="0000377B" w:rsidP="00064337">
            <w:pPr>
              <w:rPr>
                <w:rFonts w:cstheme="minorHAnsi"/>
                <w:sz w:val="18"/>
                <w:szCs w:val="18"/>
              </w:rPr>
            </w:pPr>
            <w:r w:rsidRPr="00640513">
              <w:rPr>
                <w:rFonts w:cstheme="minorHAnsi"/>
                <w:sz w:val="18"/>
                <w:szCs w:val="18"/>
              </w:rPr>
              <w:t>1</w:t>
            </w:r>
            <w:r w:rsidR="00640513" w:rsidRPr="00640513">
              <w:rPr>
                <w:rFonts w:cstheme="minorHAnsi"/>
                <w:sz w:val="18"/>
                <w:szCs w:val="18"/>
              </w:rPr>
              <w:t>6</w:t>
            </w:r>
            <w:r w:rsidR="00FC70EA" w:rsidRPr="00640513">
              <w:rPr>
                <w:rFonts w:cstheme="minorHAnsi"/>
                <w:sz w:val="18"/>
                <w:szCs w:val="18"/>
              </w:rPr>
              <w:t>/0</w:t>
            </w:r>
            <w:r w:rsidRPr="00640513">
              <w:rPr>
                <w:rFonts w:cstheme="minorHAnsi"/>
                <w:sz w:val="18"/>
                <w:szCs w:val="18"/>
              </w:rPr>
              <w:t>6</w:t>
            </w:r>
            <w:r w:rsidR="000C6C37" w:rsidRPr="00640513">
              <w:rPr>
                <w:rFonts w:cstheme="minorHAnsi"/>
                <w:sz w:val="18"/>
                <w:szCs w:val="18"/>
              </w:rPr>
              <w:t>/</w:t>
            </w:r>
            <w:r w:rsidR="005B3AAC" w:rsidRPr="00640513">
              <w:rPr>
                <w:rFonts w:cstheme="minorHAnsi"/>
                <w:sz w:val="18"/>
                <w:szCs w:val="18"/>
              </w:rPr>
              <w:t>20</w:t>
            </w:r>
          </w:p>
        </w:tc>
      </w:tr>
      <w:tr w:rsidR="000C6C37" w:rsidRPr="00FB10A3" w14:paraId="686181FE" w14:textId="77777777" w:rsidTr="00064337">
        <w:trPr>
          <w:jc w:val="center"/>
        </w:trPr>
        <w:tc>
          <w:tcPr>
            <w:tcW w:w="6413" w:type="dxa"/>
            <w:vAlign w:val="center"/>
          </w:tcPr>
          <w:p w14:paraId="0B05319E" w14:textId="020EC10C" w:rsidR="000C6C37" w:rsidRPr="00640513" w:rsidRDefault="000C6C37" w:rsidP="00064337">
            <w:pPr>
              <w:rPr>
                <w:rFonts w:cstheme="minorHAnsi"/>
                <w:sz w:val="18"/>
                <w:szCs w:val="18"/>
              </w:rPr>
            </w:pPr>
            <w:r w:rsidRPr="00640513">
              <w:rPr>
                <w:rFonts w:cstheme="minorHAnsi"/>
                <w:sz w:val="18"/>
                <w:szCs w:val="18"/>
              </w:rPr>
              <w:lastRenderedPageBreak/>
              <w:t xml:space="preserve">Deadline for </w:t>
            </w:r>
            <w:r w:rsidR="002A442F" w:rsidRPr="00640513">
              <w:rPr>
                <w:rFonts w:cstheme="minorHAnsi"/>
                <w:sz w:val="18"/>
                <w:szCs w:val="18"/>
              </w:rPr>
              <w:t>r</w:t>
            </w:r>
            <w:r w:rsidR="00CB142D" w:rsidRPr="00640513">
              <w:rPr>
                <w:rFonts w:cstheme="minorHAnsi"/>
                <w:sz w:val="18"/>
                <w:szCs w:val="18"/>
              </w:rPr>
              <w:t xml:space="preserve">eceipt </w:t>
            </w:r>
            <w:r w:rsidRPr="00640513">
              <w:rPr>
                <w:rFonts w:cstheme="minorHAnsi"/>
                <w:sz w:val="18"/>
                <w:szCs w:val="18"/>
              </w:rPr>
              <w:t>of Tenders</w:t>
            </w:r>
          </w:p>
        </w:tc>
        <w:tc>
          <w:tcPr>
            <w:tcW w:w="2681" w:type="dxa"/>
            <w:shd w:val="clear" w:color="auto" w:fill="auto"/>
            <w:vAlign w:val="center"/>
          </w:tcPr>
          <w:p w14:paraId="614D2A6D" w14:textId="283F67D6" w:rsidR="000C6C37" w:rsidRPr="00640513" w:rsidRDefault="00640513" w:rsidP="00064337">
            <w:pPr>
              <w:rPr>
                <w:rFonts w:cstheme="minorHAnsi"/>
                <w:sz w:val="18"/>
                <w:szCs w:val="18"/>
              </w:rPr>
            </w:pPr>
            <w:r w:rsidRPr="00640513">
              <w:rPr>
                <w:rFonts w:cstheme="minorHAnsi"/>
                <w:sz w:val="18"/>
                <w:szCs w:val="18"/>
              </w:rPr>
              <w:t>10</w:t>
            </w:r>
            <w:r w:rsidR="000C6C37" w:rsidRPr="00640513">
              <w:rPr>
                <w:rFonts w:cstheme="minorHAnsi"/>
                <w:sz w:val="18"/>
                <w:szCs w:val="18"/>
              </w:rPr>
              <w:t>/</w:t>
            </w:r>
            <w:r w:rsidR="005C2C97" w:rsidRPr="00640513">
              <w:rPr>
                <w:rFonts w:cstheme="minorHAnsi"/>
                <w:sz w:val="18"/>
                <w:szCs w:val="18"/>
              </w:rPr>
              <w:t>0</w:t>
            </w:r>
            <w:r w:rsidR="0000377B" w:rsidRPr="00640513">
              <w:rPr>
                <w:rFonts w:cstheme="minorHAnsi"/>
                <w:sz w:val="18"/>
                <w:szCs w:val="18"/>
              </w:rPr>
              <w:t>7</w:t>
            </w:r>
            <w:r w:rsidR="000C6C37" w:rsidRPr="00640513">
              <w:rPr>
                <w:rFonts w:cstheme="minorHAnsi"/>
                <w:sz w:val="18"/>
                <w:szCs w:val="18"/>
              </w:rPr>
              <w:t>/</w:t>
            </w:r>
            <w:r w:rsidR="005B3AAC" w:rsidRPr="00640513">
              <w:rPr>
                <w:rFonts w:cstheme="minorHAnsi"/>
                <w:sz w:val="18"/>
                <w:szCs w:val="18"/>
              </w:rPr>
              <w:t>20</w:t>
            </w:r>
          </w:p>
        </w:tc>
      </w:tr>
      <w:tr w:rsidR="000654BD" w:rsidRPr="00FB10A3" w14:paraId="0621D6A1" w14:textId="77777777" w:rsidTr="00064337">
        <w:trPr>
          <w:jc w:val="center"/>
        </w:trPr>
        <w:tc>
          <w:tcPr>
            <w:tcW w:w="6413" w:type="dxa"/>
            <w:vAlign w:val="center"/>
          </w:tcPr>
          <w:p w14:paraId="418430AB" w14:textId="36BD4CC4" w:rsidR="000654BD" w:rsidRPr="00640513" w:rsidRDefault="000654BD" w:rsidP="00064337">
            <w:pPr>
              <w:rPr>
                <w:rFonts w:cstheme="minorHAnsi"/>
                <w:sz w:val="18"/>
                <w:szCs w:val="18"/>
              </w:rPr>
            </w:pPr>
            <w:r w:rsidRPr="00640513">
              <w:rPr>
                <w:rFonts w:cstheme="minorHAnsi"/>
                <w:sz w:val="18"/>
                <w:szCs w:val="18"/>
              </w:rPr>
              <w:t>Evaluation Complete</w:t>
            </w:r>
          </w:p>
        </w:tc>
        <w:tc>
          <w:tcPr>
            <w:tcW w:w="2681" w:type="dxa"/>
            <w:shd w:val="clear" w:color="auto" w:fill="auto"/>
            <w:vAlign w:val="center"/>
          </w:tcPr>
          <w:p w14:paraId="074BE877" w14:textId="65211B35" w:rsidR="000654BD" w:rsidRPr="00640513" w:rsidRDefault="0000377B" w:rsidP="00064337">
            <w:pPr>
              <w:rPr>
                <w:rFonts w:cstheme="minorHAnsi"/>
                <w:sz w:val="18"/>
                <w:szCs w:val="18"/>
              </w:rPr>
            </w:pPr>
            <w:r w:rsidRPr="00640513">
              <w:rPr>
                <w:rFonts w:cstheme="minorHAnsi"/>
                <w:sz w:val="18"/>
                <w:szCs w:val="18"/>
              </w:rPr>
              <w:t>2</w:t>
            </w:r>
            <w:r w:rsidR="00640513" w:rsidRPr="00640513">
              <w:rPr>
                <w:rFonts w:cstheme="minorHAnsi"/>
                <w:sz w:val="18"/>
                <w:szCs w:val="18"/>
              </w:rPr>
              <w:t>4</w:t>
            </w:r>
            <w:r w:rsidR="000654BD" w:rsidRPr="00640513">
              <w:rPr>
                <w:rFonts w:cstheme="minorHAnsi"/>
                <w:sz w:val="18"/>
                <w:szCs w:val="18"/>
              </w:rPr>
              <w:t>/0</w:t>
            </w:r>
            <w:r w:rsidRPr="00640513">
              <w:rPr>
                <w:rFonts w:cstheme="minorHAnsi"/>
                <w:sz w:val="18"/>
                <w:szCs w:val="18"/>
              </w:rPr>
              <w:t>7</w:t>
            </w:r>
            <w:r w:rsidR="000654BD" w:rsidRPr="00640513">
              <w:rPr>
                <w:rFonts w:cstheme="minorHAnsi"/>
                <w:sz w:val="18"/>
                <w:szCs w:val="18"/>
              </w:rPr>
              <w:t>/20</w:t>
            </w:r>
          </w:p>
        </w:tc>
      </w:tr>
      <w:tr w:rsidR="00B26281" w:rsidRPr="00FB10A3" w14:paraId="18E52FC0" w14:textId="77777777" w:rsidTr="00064337">
        <w:trPr>
          <w:jc w:val="center"/>
        </w:trPr>
        <w:tc>
          <w:tcPr>
            <w:tcW w:w="6413" w:type="dxa"/>
            <w:vAlign w:val="center"/>
          </w:tcPr>
          <w:p w14:paraId="7FC4EAC6" w14:textId="69F7871A" w:rsidR="00B26281" w:rsidRPr="00640513" w:rsidRDefault="00834BBB" w:rsidP="00B26281">
            <w:pPr>
              <w:rPr>
                <w:rFonts w:cstheme="minorHAnsi"/>
                <w:sz w:val="18"/>
                <w:szCs w:val="18"/>
              </w:rPr>
            </w:pPr>
            <w:r w:rsidRPr="00640513">
              <w:rPr>
                <w:rFonts w:cstheme="minorHAnsi"/>
                <w:sz w:val="18"/>
                <w:szCs w:val="18"/>
              </w:rPr>
              <w:t>N</w:t>
            </w:r>
            <w:r w:rsidR="00B26281" w:rsidRPr="00640513">
              <w:rPr>
                <w:rFonts w:cstheme="minorHAnsi"/>
                <w:sz w:val="18"/>
                <w:szCs w:val="18"/>
              </w:rPr>
              <w:t>otification of decision to award contract</w:t>
            </w:r>
          </w:p>
        </w:tc>
        <w:tc>
          <w:tcPr>
            <w:tcW w:w="2681" w:type="dxa"/>
            <w:shd w:val="clear" w:color="auto" w:fill="auto"/>
            <w:vAlign w:val="center"/>
          </w:tcPr>
          <w:p w14:paraId="406FB7A6" w14:textId="3BCD3AE1" w:rsidR="00B26281" w:rsidRPr="00640513" w:rsidRDefault="00640513" w:rsidP="00064337">
            <w:pPr>
              <w:rPr>
                <w:rFonts w:cstheme="minorHAnsi"/>
                <w:sz w:val="18"/>
                <w:szCs w:val="18"/>
              </w:rPr>
            </w:pPr>
            <w:r w:rsidRPr="00640513">
              <w:rPr>
                <w:rFonts w:cstheme="minorHAnsi"/>
                <w:sz w:val="18"/>
                <w:szCs w:val="18"/>
              </w:rPr>
              <w:t>31</w:t>
            </w:r>
            <w:r w:rsidR="005C2C97" w:rsidRPr="00640513">
              <w:rPr>
                <w:rFonts w:cstheme="minorHAnsi"/>
                <w:sz w:val="18"/>
                <w:szCs w:val="18"/>
              </w:rPr>
              <w:t>/</w:t>
            </w:r>
            <w:r w:rsidR="005B3AAC" w:rsidRPr="00640513">
              <w:rPr>
                <w:rFonts w:cstheme="minorHAnsi"/>
                <w:sz w:val="18"/>
                <w:szCs w:val="18"/>
              </w:rPr>
              <w:t>0</w:t>
            </w:r>
            <w:r w:rsidR="0000377B" w:rsidRPr="00640513">
              <w:rPr>
                <w:rFonts w:cstheme="minorHAnsi"/>
                <w:sz w:val="18"/>
                <w:szCs w:val="18"/>
              </w:rPr>
              <w:t>7</w:t>
            </w:r>
            <w:r w:rsidR="00487FAE" w:rsidRPr="00640513">
              <w:rPr>
                <w:rFonts w:cstheme="minorHAnsi"/>
                <w:sz w:val="18"/>
                <w:szCs w:val="18"/>
              </w:rPr>
              <w:t>/</w:t>
            </w:r>
            <w:r w:rsidR="005B3AAC" w:rsidRPr="00640513">
              <w:rPr>
                <w:rFonts w:cstheme="minorHAnsi"/>
                <w:sz w:val="18"/>
                <w:szCs w:val="18"/>
              </w:rPr>
              <w:t>20</w:t>
            </w:r>
          </w:p>
        </w:tc>
      </w:tr>
      <w:tr w:rsidR="004A0E7D" w:rsidRPr="00FB10A3" w14:paraId="0E32E02C" w14:textId="77777777" w:rsidTr="00064337">
        <w:trPr>
          <w:jc w:val="center"/>
        </w:trPr>
        <w:tc>
          <w:tcPr>
            <w:tcW w:w="6413" w:type="dxa"/>
            <w:vAlign w:val="center"/>
          </w:tcPr>
          <w:p w14:paraId="3198D99D" w14:textId="2F4B494C" w:rsidR="004A0E7D" w:rsidRPr="00640513" w:rsidRDefault="004A0E7D" w:rsidP="00B26281">
            <w:pPr>
              <w:rPr>
                <w:rFonts w:cstheme="minorHAnsi"/>
                <w:sz w:val="18"/>
                <w:szCs w:val="18"/>
              </w:rPr>
            </w:pPr>
            <w:r w:rsidRPr="00640513">
              <w:rPr>
                <w:rFonts w:cstheme="minorHAnsi"/>
                <w:sz w:val="18"/>
                <w:szCs w:val="18"/>
              </w:rPr>
              <w:t>Contract Start</w:t>
            </w:r>
          </w:p>
        </w:tc>
        <w:tc>
          <w:tcPr>
            <w:tcW w:w="2681" w:type="dxa"/>
            <w:shd w:val="clear" w:color="auto" w:fill="auto"/>
            <w:vAlign w:val="center"/>
          </w:tcPr>
          <w:p w14:paraId="4FE1381F" w14:textId="209012F5" w:rsidR="004A0E7D" w:rsidRPr="00640513" w:rsidRDefault="0000377B" w:rsidP="00064337">
            <w:pPr>
              <w:rPr>
                <w:rFonts w:cstheme="minorHAnsi"/>
                <w:sz w:val="18"/>
                <w:szCs w:val="18"/>
              </w:rPr>
            </w:pPr>
            <w:r w:rsidRPr="00640513">
              <w:rPr>
                <w:rFonts w:cstheme="minorHAnsi"/>
                <w:sz w:val="18"/>
                <w:szCs w:val="18"/>
              </w:rPr>
              <w:t>31</w:t>
            </w:r>
            <w:r w:rsidR="004A0E7D" w:rsidRPr="00640513">
              <w:rPr>
                <w:rFonts w:cstheme="minorHAnsi"/>
                <w:sz w:val="18"/>
                <w:szCs w:val="18"/>
              </w:rPr>
              <w:t>/0</w:t>
            </w:r>
            <w:r w:rsidRPr="00640513">
              <w:rPr>
                <w:rFonts w:cstheme="minorHAnsi"/>
                <w:sz w:val="18"/>
                <w:szCs w:val="18"/>
              </w:rPr>
              <w:t>7</w:t>
            </w:r>
            <w:r w:rsidR="004A0E7D" w:rsidRPr="00640513">
              <w:rPr>
                <w:rFonts w:cstheme="minorHAnsi"/>
                <w:sz w:val="18"/>
                <w:szCs w:val="18"/>
              </w:rPr>
              <w:t>/20</w:t>
            </w:r>
            <w:r w:rsidRPr="00640513">
              <w:rPr>
                <w:rFonts w:cstheme="minorHAnsi"/>
                <w:sz w:val="18"/>
                <w:szCs w:val="18"/>
              </w:rPr>
              <w:t xml:space="preserve"> (or whenever first job request is sent)</w:t>
            </w:r>
          </w:p>
        </w:tc>
      </w:tr>
      <w:tr w:rsidR="008D32CF" w:rsidRPr="00FB10A3" w14:paraId="2AF2A077" w14:textId="77777777" w:rsidTr="00064337">
        <w:trPr>
          <w:jc w:val="center"/>
        </w:trPr>
        <w:tc>
          <w:tcPr>
            <w:tcW w:w="6413" w:type="dxa"/>
            <w:vAlign w:val="center"/>
          </w:tcPr>
          <w:p w14:paraId="2F1C6F87" w14:textId="7F32A5F3" w:rsidR="008D32CF" w:rsidRPr="00640513" w:rsidRDefault="008D32CF" w:rsidP="00B26281">
            <w:pPr>
              <w:rPr>
                <w:rFonts w:cstheme="minorHAnsi"/>
                <w:sz w:val="18"/>
                <w:szCs w:val="18"/>
              </w:rPr>
            </w:pPr>
            <w:r w:rsidRPr="00640513">
              <w:rPr>
                <w:rFonts w:cstheme="minorHAnsi"/>
                <w:sz w:val="18"/>
                <w:szCs w:val="18"/>
              </w:rPr>
              <w:t xml:space="preserve">Contract Period </w:t>
            </w:r>
          </w:p>
        </w:tc>
        <w:tc>
          <w:tcPr>
            <w:tcW w:w="2681" w:type="dxa"/>
            <w:shd w:val="clear" w:color="auto" w:fill="auto"/>
            <w:vAlign w:val="center"/>
          </w:tcPr>
          <w:p w14:paraId="70EF6495" w14:textId="1D74E275" w:rsidR="008D32CF" w:rsidRPr="00640513" w:rsidRDefault="008D32CF" w:rsidP="00064337">
            <w:pPr>
              <w:rPr>
                <w:rFonts w:cstheme="minorHAnsi"/>
                <w:sz w:val="18"/>
                <w:szCs w:val="18"/>
              </w:rPr>
            </w:pPr>
            <w:r w:rsidRPr="00640513">
              <w:rPr>
                <w:rFonts w:cstheme="minorHAnsi"/>
                <w:sz w:val="18"/>
                <w:szCs w:val="18"/>
              </w:rPr>
              <w:t>31/7/20 to 31/7/22</w:t>
            </w:r>
          </w:p>
        </w:tc>
      </w:tr>
    </w:tbl>
    <w:bookmarkEnd w:id="200"/>
    <w:p w14:paraId="04F5AB77" w14:textId="3D43CA9A" w:rsidR="00D16618" w:rsidRPr="00884F38" w:rsidRDefault="004E18D1" w:rsidP="00884F38">
      <w:pPr>
        <w:jc w:val="both"/>
      </w:pPr>
      <w:r>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8"/>
          <w:footerReference w:type="default" r:id="rId9"/>
          <w:pgSz w:w="11906" w:h="16838"/>
          <w:pgMar w:top="1440" w:right="1440" w:bottom="1440" w:left="1440" w:header="708" w:footer="708" w:gutter="0"/>
          <w:cols w:space="708"/>
          <w:docGrid w:linePitch="360"/>
        </w:sectPr>
      </w:pPr>
    </w:p>
    <w:p w14:paraId="70A8C516" w14:textId="3F29C653" w:rsidR="00BF15CF" w:rsidRDefault="00BF15CF" w:rsidP="00BF15CF">
      <w:pPr>
        <w:pStyle w:val="Heading1"/>
      </w:pPr>
      <w:bookmarkStart w:id="201" w:name="_Ref411936876"/>
      <w:bookmarkStart w:id="202" w:name="_Toc11169700"/>
      <w:bookmarkStart w:id="203" w:name="_Hlk516649441"/>
      <w:r w:rsidRPr="00AB52AA">
        <w:lastRenderedPageBreak/>
        <w:t xml:space="preserve">Appendix </w:t>
      </w:r>
      <w:r>
        <w:t>A:</w:t>
      </w:r>
      <w:r w:rsidRPr="00AB52AA">
        <w:t xml:space="preserve"> </w:t>
      </w:r>
      <w:r w:rsidR="00C429D3">
        <w:t>Noise Management Services</w:t>
      </w:r>
    </w:p>
    <w:p w14:paraId="159DBDE1" w14:textId="5F1B546A" w:rsidR="00BF15CF" w:rsidRPr="00E764CA" w:rsidRDefault="00BF15CF" w:rsidP="00BF15CF"/>
    <w:tbl>
      <w:tblPr>
        <w:tblStyle w:val="TableGrid"/>
        <w:tblW w:w="9918" w:type="dxa"/>
        <w:tblLook w:val="04A0" w:firstRow="1" w:lastRow="0" w:firstColumn="1" w:lastColumn="0" w:noHBand="0" w:noVBand="1"/>
      </w:tblPr>
      <w:tblGrid>
        <w:gridCol w:w="9918"/>
      </w:tblGrid>
      <w:tr w:rsidR="0075693E" w:rsidRPr="00E764CA" w14:paraId="6A21AA7A" w14:textId="77777777" w:rsidTr="0075693E">
        <w:tc>
          <w:tcPr>
            <w:tcW w:w="9918" w:type="dxa"/>
          </w:tcPr>
          <w:p w14:paraId="5F8A0EF8" w14:textId="575F5FA7" w:rsidR="0075693E" w:rsidRPr="00321EDE" w:rsidRDefault="0075693E" w:rsidP="00290EBE">
            <w:pPr>
              <w:rPr>
                <w:b/>
              </w:rPr>
            </w:pPr>
            <w:r w:rsidRPr="00321EDE">
              <w:rPr>
                <w:b/>
              </w:rPr>
              <w:t>Project</w:t>
            </w:r>
          </w:p>
        </w:tc>
      </w:tr>
      <w:tr w:rsidR="0075693E" w:rsidRPr="00E764CA" w14:paraId="36C8857C" w14:textId="77777777" w:rsidTr="0075693E">
        <w:tc>
          <w:tcPr>
            <w:tcW w:w="9918" w:type="dxa"/>
          </w:tcPr>
          <w:p w14:paraId="6DE61AA7" w14:textId="77777777" w:rsidR="0075693E" w:rsidRDefault="0075693E" w:rsidP="00290EBE">
            <w:r>
              <w:t>Prepare and produce noise management plans setting out noise management procedures to be adopted.</w:t>
            </w:r>
          </w:p>
          <w:p w14:paraId="4A7FA1B8" w14:textId="77777777" w:rsidR="0075693E" w:rsidRDefault="0075693E" w:rsidP="00290EBE">
            <w:r>
              <w:t>These will be individually tailored plans for each of the concert(s) events held at London Stadium in line with stadium licensing requirements.</w:t>
            </w:r>
          </w:p>
          <w:p w14:paraId="6876A4F3" w14:textId="3DE334A2" w:rsidR="0075693E" w:rsidRPr="00C429D3" w:rsidRDefault="0075693E" w:rsidP="0075693E">
            <w:pPr>
              <w:pStyle w:val="ListParagraph"/>
              <w:numPr>
                <w:ilvl w:val="0"/>
                <w:numId w:val="23"/>
              </w:numPr>
              <w:spacing w:after="0" w:line="240" w:lineRule="auto"/>
              <w:contextualSpacing w:val="0"/>
              <w:rPr>
                <w:rFonts w:eastAsia="Times New Roman"/>
              </w:rPr>
            </w:pPr>
            <w:r>
              <w:rPr>
                <w:rFonts w:eastAsia="Times New Roman"/>
              </w:rPr>
              <w:t>Undertake propagation tests on sound check day(s) and show day(s) to set appropriate noise control limits.</w:t>
            </w:r>
            <w:r w:rsidR="00C429D3">
              <w:rPr>
                <w:rFonts w:eastAsia="Times New Roman"/>
              </w:rPr>
              <w:t xml:space="preserve">  </w:t>
            </w:r>
            <w:r w:rsidR="00C429D3" w:rsidRPr="00C429D3">
              <w:rPr>
                <w:rFonts w:eastAsia="Times New Roman"/>
              </w:rPr>
              <w:t>Please refer to supplementary map issued with tender documents showing current monitoring locations.</w:t>
            </w:r>
          </w:p>
          <w:p w14:paraId="2AA2E11C" w14:textId="77777777" w:rsidR="0075693E" w:rsidRDefault="0075693E" w:rsidP="0075693E">
            <w:pPr>
              <w:pStyle w:val="ListParagraph"/>
              <w:numPr>
                <w:ilvl w:val="0"/>
                <w:numId w:val="23"/>
              </w:numPr>
              <w:spacing w:after="0" w:line="240" w:lineRule="auto"/>
              <w:contextualSpacing w:val="0"/>
              <w:rPr>
                <w:rFonts w:eastAsia="Times New Roman"/>
              </w:rPr>
            </w:pPr>
            <w:r>
              <w:rPr>
                <w:rFonts w:eastAsia="Times New Roman"/>
              </w:rPr>
              <w:t xml:space="preserve">Continuous monitoring of noise levels at the sound mixer position and advising sound </w:t>
            </w:r>
            <w:proofErr w:type="gramStart"/>
            <w:r>
              <w:rPr>
                <w:rFonts w:eastAsia="Times New Roman"/>
              </w:rPr>
              <w:t>engineer</w:t>
            </w:r>
            <w:proofErr w:type="gramEnd"/>
            <w:r>
              <w:rPr>
                <w:rFonts w:eastAsia="Times New Roman"/>
              </w:rPr>
              <w:t xml:space="preserve"> accordingly to ensure noise limits are not exceeded.</w:t>
            </w:r>
          </w:p>
          <w:p w14:paraId="45A2B90D" w14:textId="77777777" w:rsidR="0075693E" w:rsidRDefault="0075693E" w:rsidP="0075693E">
            <w:pPr>
              <w:pStyle w:val="ListParagraph"/>
              <w:numPr>
                <w:ilvl w:val="0"/>
                <w:numId w:val="23"/>
              </w:numPr>
              <w:spacing w:after="0" w:line="240" w:lineRule="auto"/>
              <w:contextualSpacing w:val="0"/>
              <w:rPr>
                <w:rFonts w:eastAsia="Times New Roman"/>
              </w:rPr>
            </w:pPr>
            <w:r>
              <w:rPr>
                <w:rFonts w:eastAsia="Times New Roman"/>
              </w:rPr>
              <w:t>Calibrate, supply and monitor meters at external/offsite locations to ensure compliance with noise restrictions throughout event</w:t>
            </w:r>
          </w:p>
          <w:p w14:paraId="0EA20550" w14:textId="6834131F" w:rsidR="0075693E" w:rsidRPr="00C429D3" w:rsidRDefault="0075693E" w:rsidP="0075693E">
            <w:pPr>
              <w:pStyle w:val="ListParagraph"/>
              <w:numPr>
                <w:ilvl w:val="0"/>
                <w:numId w:val="23"/>
              </w:numPr>
              <w:spacing w:after="0" w:line="240" w:lineRule="auto"/>
              <w:contextualSpacing w:val="0"/>
              <w:rPr>
                <w:rFonts w:eastAsia="Times New Roman"/>
              </w:rPr>
            </w:pPr>
            <w:r>
              <w:rPr>
                <w:rFonts w:eastAsia="Times New Roman"/>
              </w:rPr>
              <w:t>Produce post event report outlining any breaches of limitations and sound levels recorded throughout the event</w:t>
            </w:r>
            <w:r w:rsidR="00C429D3">
              <w:rPr>
                <w:rFonts w:eastAsia="Times New Roman"/>
              </w:rPr>
              <w:t xml:space="preserve">.  </w:t>
            </w:r>
            <w:r w:rsidR="00C429D3" w:rsidRPr="00C429D3">
              <w:rPr>
                <w:rFonts w:eastAsia="Times New Roman"/>
              </w:rPr>
              <w:t>Please refer to supplementary</w:t>
            </w:r>
            <w:r w:rsidR="00C429D3">
              <w:rPr>
                <w:rFonts w:eastAsia="Times New Roman"/>
              </w:rPr>
              <w:t xml:space="preserve"> document </w:t>
            </w:r>
            <w:r w:rsidR="00C429D3" w:rsidRPr="00C429D3">
              <w:rPr>
                <w:rFonts w:eastAsia="Times New Roman"/>
              </w:rPr>
              <w:t xml:space="preserve">issued with tender documents </w:t>
            </w:r>
            <w:r w:rsidR="00220D40">
              <w:rPr>
                <w:rFonts w:eastAsia="Times New Roman"/>
              </w:rPr>
              <w:t xml:space="preserve">including an </w:t>
            </w:r>
            <w:r w:rsidR="00C429D3" w:rsidRPr="00C429D3">
              <w:rPr>
                <w:rFonts w:eastAsia="Times New Roman"/>
              </w:rPr>
              <w:t>extract showing planning obligations relevant to noise management services.</w:t>
            </w:r>
          </w:p>
          <w:p w14:paraId="78B27C84" w14:textId="77777777" w:rsidR="0075693E" w:rsidRDefault="0075693E" w:rsidP="0075693E">
            <w:pPr>
              <w:pStyle w:val="ListParagraph"/>
              <w:numPr>
                <w:ilvl w:val="0"/>
                <w:numId w:val="23"/>
              </w:numPr>
              <w:spacing w:after="0" w:line="240" w:lineRule="auto"/>
              <w:contextualSpacing w:val="0"/>
              <w:rPr>
                <w:rFonts w:eastAsia="Times New Roman"/>
              </w:rPr>
            </w:pPr>
            <w:r>
              <w:rPr>
                <w:rFonts w:eastAsia="Times New Roman"/>
              </w:rPr>
              <w:t>Noise tests in conjunction with local council as required.</w:t>
            </w:r>
          </w:p>
          <w:p w14:paraId="725FC577" w14:textId="77777777" w:rsidR="0075693E" w:rsidRDefault="0075693E" w:rsidP="0075693E">
            <w:pPr>
              <w:pStyle w:val="ListParagraph"/>
              <w:numPr>
                <w:ilvl w:val="0"/>
                <w:numId w:val="23"/>
              </w:numPr>
              <w:spacing w:after="0" w:line="240" w:lineRule="auto"/>
              <w:contextualSpacing w:val="0"/>
              <w:rPr>
                <w:rFonts w:eastAsia="Times New Roman"/>
              </w:rPr>
            </w:pPr>
            <w:r>
              <w:rPr>
                <w:rFonts w:eastAsia="Times New Roman"/>
              </w:rPr>
              <w:t xml:space="preserve">Provide advice on best practice noise control practices through build, event, post event and de-rig periods. </w:t>
            </w:r>
          </w:p>
          <w:p w14:paraId="5F276DA0" w14:textId="77777777" w:rsidR="0075693E" w:rsidRDefault="0075693E" w:rsidP="0075693E">
            <w:pPr>
              <w:pStyle w:val="ListParagraph"/>
              <w:numPr>
                <w:ilvl w:val="0"/>
                <w:numId w:val="23"/>
              </w:numPr>
              <w:spacing w:after="0" w:line="240" w:lineRule="auto"/>
              <w:contextualSpacing w:val="0"/>
              <w:rPr>
                <w:rFonts w:eastAsia="Times New Roman"/>
              </w:rPr>
            </w:pPr>
            <w:r>
              <w:rPr>
                <w:rFonts w:eastAsia="Times New Roman"/>
              </w:rPr>
              <w:t>Identify key noise risks/items and advise on possible mitigations that could be implemented. (</w:t>
            </w:r>
            <w:proofErr w:type="spellStart"/>
            <w:r>
              <w:rPr>
                <w:rFonts w:eastAsia="Times New Roman"/>
              </w:rPr>
              <w:t>e.g</w:t>
            </w:r>
            <w:proofErr w:type="spellEnd"/>
            <w:r>
              <w:rPr>
                <w:rFonts w:eastAsia="Times New Roman"/>
              </w:rPr>
              <w:t xml:space="preserve"> signs in car parks for idling trucks)</w:t>
            </w:r>
          </w:p>
          <w:p w14:paraId="06A575A9" w14:textId="77777777" w:rsidR="0075693E" w:rsidRDefault="0075693E" w:rsidP="0075693E">
            <w:pPr>
              <w:pStyle w:val="ListParagraph"/>
              <w:numPr>
                <w:ilvl w:val="0"/>
                <w:numId w:val="23"/>
              </w:numPr>
              <w:spacing w:after="0" w:line="240" w:lineRule="auto"/>
              <w:contextualSpacing w:val="0"/>
              <w:rPr>
                <w:rFonts w:eastAsia="Times New Roman"/>
              </w:rPr>
            </w:pPr>
            <w:r>
              <w:rPr>
                <w:rFonts w:eastAsia="Times New Roman"/>
              </w:rPr>
              <w:t>Review site layouts and plans where applicable to work with promoters and council to minimise noise disturbance</w:t>
            </w:r>
          </w:p>
          <w:p w14:paraId="149F8267" w14:textId="77777777" w:rsidR="0075693E" w:rsidRDefault="0075693E" w:rsidP="0075693E">
            <w:pPr>
              <w:pStyle w:val="ListParagraph"/>
              <w:numPr>
                <w:ilvl w:val="0"/>
                <w:numId w:val="23"/>
              </w:numPr>
              <w:spacing w:after="0" w:line="240" w:lineRule="auto"/>
              <w:contextualSpacing w:val="0"/>
              <w:rPr>
                <w:rFonts w:eastAsia="Times New Roman"/>
              </w:rPr>
            </w:pPr>
            <w:r>
              <w:rPr>
                <w:rFonts w:eastAsia="Times New Roman"/>
              </w:rPr>
              <w:t>Investigate any noise complaints received during the events, liaising with council to comply with their complaint procedure.</w:t>
            </w:r>
          </w:p>
          <w:p w14:paraId="465A7120" w14:textId="68530245" w:rsidR="0075693E" w:rsidRDefault="0075693E" w:rsidP="0075693E">
            <w:pPr>
              <w:pStyle w:val="ListParagraph"/>
              <w:numPr>
                <w:ilvl w:val="0"/>
                <w:numId w:val="23"/>
              </w:numPr>
              <w:spacing w:after="0" w:line="240" w:lineRule="auto"/>
              <w:contextualSpacing w:val="0"/>
              <w:rPr>
                <w:rFonts w:eastAsia="Times New Roman"/>
              </w:rPr>
            </w:pPr>
            <w:r>
              <w:rPr>
                <w:rFonts w:eastAsia="Times New Roman"/>
              </w:rPr>
              <w:t>Consultants to monitor internal and external noise levels</w:t>
            </w:r>
          </w:p>
          <w:p w14:paraId="538B06A1" w14:textId="77777777" w:rsidR="00412380" w:rsidRDefault="00412380" w:rsidP="00412380">
            <w:pPr>
              <w:pStyle w:val="ListParagraph"/>
              <w:spacing w:after="0" w:line="240" w:lineRule="auto"/>
              <w:contextualSpacing w:val="0"/>
              <w:rPr>
                <w:rFonts w:eastAsia="Times New Roman"/>
              </w:rPr>
            </w:pPr>
          </w:p>
          <w:p w14:paraId="2825C846" w14:textId="76A14CCF" w:rsidR="00ED2006" w:rsidRDefault="00192E80" w:rsidP="0075693E">
            <w:pPr>
              <w:pStyle w:val="ListParagraph"/>
              <w:numPr>
                <w:ilvl w:val="0"/>
                <w:numId w:val="23"/>
              </w:numPr>
              <w:spacing w:after="0" w:line="240" w:lineRule="auto"/>
              <w:contextualSpacing w:val="0"/>
              <w:rPr>
                <w:rFonts w:eastAsia="Times New Roman"/>
              </w:rPr>
            </w:pPr>
            <w:r>
              <w:rPr>
                <w:rFonts w:eastAsia="Times New Roman"/>
              </w:rPr>
              <w:t xml:space="preserve">If required, liaison with </w:t>
            </w:r>
            <w:r w:rsidR="00412380">
              <w:rPr>
                <w:rFonts w:eastAsia="Times New Roman"/>
              </w:rPr>
              <w:t xml:space="preserve">stadium </w:t>
            </w:r>
            <w:r>
              <w:rPr>
                <w:rFonts w:eastAsia="Times New Roman"/>
              </w:rPr>
              <w:t xml:space="preserve">to review and implement </w:t>
            </w:r>
            <w:r w:rsidR="00412380">
              <w:rPr>
                <w:rFonts w:eastAsia="Times New Roman"/>
              </w:rPr>
              <w:t>licence changes (e.g. to allow for more shows)</w:t>
            </w:r>
            <w:r>
              <w:rPr>
                <w:rFonts w:eastAsia="Times New Roman"/>
              </w:rPr>
              <w:t xml:space="preserve"> to meet council requirements. </w:t>
            </w:r>
          </w:p>
          <w:p w14:paraId="70901E7A" w14:textId="77777777" w:rsidR="00E61494" w:rsidRPr="00E61494" w:rsidRDefault="00E61494" w:rsidP="00E61494">
            <w:pPr>
              <w:pStyle w:val="ListParagraph"/>
              <w:rPr>
                <w:rFonts w:eastAsia="Times New Roman"/>
              </w:rPr>
            </w:pPr>
          </w:p>
          <w:p w14:paraId="250CA12E" w14:textId="6C51806E" w:rsidR="00E61494" w:rsidRPr="0034611A" w:rsidRDefault="00A83837" w:rsidP="00C429D3">
            <w:pPr>
              <w:spacing w:after="0" w:line="240" w:lineRule="auto"/>
              <w:ind w:left="360"/>
              <w:rPr>
                <w:rFonts w:eastAsia="Times New Roman"/>
              </w:rPr>
            </w:pPr>
            <w:r w:rsidRPr="0034611A">
              <w:rPr>
                <w:rFonts w:eastAsia="Times New Roman"/>
              </w:rPr>
              <w:t>Please refer to supplementary information for map of monitoring locations</w:t>
            </w:r>
            <w:r w:rsidR="0034611A" w:rsidRPr="0034611A">
              <w:rPr>
                <w:rFonts w:eastAsia="Times New Roman"/>
              </w:rPr>
              <w:t xml:space="preserve">, </w:t>
            </w:r>
            <w:r w:rsidRPr="0034611A">
              <w:rPr>
                <w:rFonts w:eastAsia="Times New Roman"/>
              </w:rPr>
              <w:t xml:space="preserve">and </w:t>
            </w:r>
            <w:r w:rsidR="0034611A" w:rsidRPr="0034611A">
              <w:rPr>
                <w:rFonts w:eastAsia="Times New Roman"/>
              </w:rPr>
              <w:t xml:space="preserve">an </w:t>
            </w:r>
            <w:r w:rsidR="00C429D3" w:rsidRPr="0034611A">
              <w:rPr>
                <w:rFonts w:eastAsia="Times New Roman"/>
              </w:rPr>
              <w:t>extract showing planning obligations relevant to noise management services</w:t>
            </w:r>
            <w:r w:rsidR="0034611A" w:rsidRPr="0034611A">
              <w:rPr>
                <w:rFonts w:eastAsia="Times New Roman"/>
              </w:rPr>
              <w:t xml:space="preserve">, including </w:t>
            </w:r>
            <w:r w:rsidR="0034611A" w:rsidRPr="0034611A">
              <w:rPr>
                <w:rFonts w:eastAsia="Times New Roman"/>
              </w:rPr>
              <w:t>OST 114 which states the full scope required of noise management plan</w:t>
            </w:r>
            <w:r w:rsidR="0034611A" w:rsidRPr="0034611A">
              <w:rPr>
                <w:rFonts w:eastAsia="Times New Roman"/>
              </w:rPr>
              <w:t>.</w:t>
            </w:r>
          </w:p>
          <w:p w14:paraId="676C91BD" w14:textId="588D9450" w:rsidR="0075693E" w:rsidRPr="00321EDE" w:rsidRDefault="0075693E" w:rsidP="00290EBE"/>
        </w:tc>
      </w:tr>
    </w:tbl>
    <w:p w14:paraId="474EDB9C" w14:textId="77777777" w:rsidR="0051585E" w:rsidRDefault="0051585E" w:rsidP="00D16618">
      <w:pPr>
        <w:pStyle w:val="Heading1"/>
      </w:pPr>
    </w:p>
    <w:p w14:paraId="296B9775" w14:textId="4A8581B0" w:rsidR="0051585E" w:rsidRDefault="0051585E" w:rsidP="00D16618">
      <w:pPr>
        <w:pStyle w:val="Heading1"/>
      </w:pPr>
    </w:p>
    <w:p w14:paraId="7ECD0B62" w14:textId="77777777" w:rsidR="0051585E" w:rsidRPr="0051585E" w:rsidRDefault="0051585E" w:rsidP="0051585E"/>
    <w:p w14:paraId="5618E1DB" w14:textId="7B5AEBDA" w:rsidR="00D16618" w:rsidRPr="00E764CA" w:rsidRDefault="0051585E" w:rsidP="00D16618">
      <w:pPr>
        <w:pStyle w:val="Heading1"/>
      </w:pPr>
      <w:r>
        <w:lastRenderedPageBreak/>
        <w:br/>
      </w:r>
      <w:r>
        <w:br/>
      </w:r>
      <w:r w:rsidR="00D16618" w:rsidRPr="00E764CA">
        <w:t xml:space="preserve">Appendix </w:t>
      </w:r>
      <w:r w:rsidR="005B3AAC" w:rsidRPr="00E764CA">
        <w:t>B:</w:t>
      </w:r>
      <w:r w:rsidR="00D16618" w:rsidRPr="00E764CA">
        <w:t xml:space="preserve"> </w:t>
      </w:r>
      <w:bookmarkEnd w:id="201"/>
      <w:r w:rsidR="00D16618" w:rsidRPr="00E764CA">
        <w:t>Pricing Schedule</w:t>
      </w:r>
      <w:bookmarkEnd w:id="202"/>
    </w:p>
    <w:p w14:paraId="23AD6DB4" w14:textId="5A5DC968" w:rsidR="009876E8" w:rsidRPr="00E764CA" w:rsidRDefault="009876E8" w:rsidP="009876E8">
      <w:r w:rsidRPr="00E764CA">
        <w:t xml:space="preserve">Tenderers should complete both pricing columns </w:t>
      </w:r>
      <w:r w:rsidR="00321EDE">
        <w:t>and total price A:</w:t>
      </w:r>
      <w:r w:rsidRPr="00E764CA">
        <w:t xml:space="preserve"> </w:t>
      </w:r>
    </w:p>
    <w:tbl>
      <w:tblPr>
        <w:tblStyle w:val="TableGrid"/>
        <w:tblW w:w="9918" w:type="dxa"/>
        <w:tblLook w:val="04A0" w:firstRow="1" w:lastRow="0" w:firstColumn="1" w:lastColumn="0" w:noHBand="0" w:noVBand="1"/>
      </w:tblPr>
      <w:tblGrid>
        <w:gridCol w:w="7083"/>
        <w:gridCol w:w="2835"/>
      </w:tblGrid>
      <w:tr w:rsidR="0075693E" w:rsidRPr="00E764CA" w14:paraId="5ED75ED4" w14:textId="0C909AE3" w:rsidTr="00E45D65">
        <w:trPr>
          <w:trHeight w:val="483"/>
        </w:trPr>
        <w:tc>
          <w:tcPr>
            <w:tcW w:w="7083" w:type="dxa"/>
          </w:tcPr>
          <w:p w14:paraId="77DC83C5" w14:textId="77777777" w:rsidR="0075693E" w:rsidRPr="00E764CA" w:rsidRDefault="0075693E" w:rsidP="0083662C">
            <w:pPr>
              <w:rPr>
                <w:b/>
              </w:rPr>
            </w:pPr>
            <w:r w:rsidRPr="00E764CA">
              <w:rPr>
                <w:b/>
              </w:rPr>
              <w:t xml:space="preserve">Project </w:t>
            </w:r>
          </w:p>
        </w:tc>
        <w:tc>
          <w:tcPr>
            <w:tcW w:w="2835" w:type="dxa"/>
          </w:tcPr>
          <w:p w14:paraId="22929C4E" w14:textId="31D3BB5C" w:rsidR="0075693E" w:rsidRPr="00E764CA" w:rsidRDefault="0075693E" w:rsidP="0083662C">
            <w:pPr>
              <w:rPr>
                <w:b/>
              </w:rPr>
            </w:pPr>
            <w:r>
              <w:rPr>
                <w:b/>
              </w:rPr>
              <w:t xml:space="preserve">£ Price </w:t>
            </w:r>
          </w:p>
        </w:tc>
      </w:tr>
      <w:tr w:rsidR="0075693E" w:rsidRPr="00E764CA" w14:paraId="57C42563" w14:textId="6D832BC2" w:rsidTr="00E45D65">
        <w:trPr>
          <w:trHeight w:val="778"/>
        </w:trPr>
        <w:tc>
          <w:tcPr>
            <w:tcW w:w="7083" w:type="dxa"/>
          </w:tcPr>
          <w:p w14:paraId="597751B9" w14:textId="38096C26" w:rsidR="0075693E" w:rsidRDefault="0075693E" w:rsidP="0083662C">
            <w:r>
              <w:t>Produc</w:t>
            </w:r>
            <w:r w:rsidR="00047316">
              <w:t>tion</w:t>
            </w:r>
            <w:r>
              <w:t xml:space="preserve"> comprehensive Noise Management Plan in line with stadium licence to meet council regulations.</w:t>
            </w:r>
          </w:p>
          <w:p w14:paraId="075DC276" w14:textId="736679E2" w:rsidR="00E45D65" w:rsidRPr="00E764CA" w:rsidRDefault="00E45D65" w:rsidP="0083662C">
            <w:r>
              <w:t>Cost</w:t>
            </w:r>
            <w:r w:rsidR="00047316">
              <w:t xml:space="preserve"> to be based on a </w:t>
            </w:r>
            <w:proofErr w:type="gramStart"/>
            <w:r>
              <w:t>1 night</w:t>
            </w:r>
            <w:proofErr w:type="gramEnd"/>
            <w:r>
              <w:t xml:space="preserve"> show</w:t>
            </w:r>
          </w:p>
        </w:tc>
        <w:tc>
          <w:tcPr>
            <w:tcW w:w="2835" w:type="dxa"/>
          </w:tcPr>
          <w:p w14:paraId="5C329FFF" w14:textId="77777777" w:rsidR="0075693E" w:rsidRPr="00E764CA" w:rsidRDefault="0075693E" w:rsidP="0083662C"/>
        </w:tc>
      </w:tr>
      <w:tr w:rsidR="0075693E" w:rsidRPr="00E764CA" w14:paraId="02EB4AD6" w14:textId="1D30D07B" w:rsidTr="00E45D65">
        <w:trPr>
          <w:trHeight w:val="768"/>
        </w:trPr>
        <w:tc>
          <w:tcPr>
            <w:tcW w:w="7083" w:type="dxa"/>
          </w:tcPr>
          <w:p w14:paraId="1ADB36AF" w14:textId="656E43F6" w:rsidR="0075693E" w:rsidRPr="00E764CA" w:rsidRDefault="0075693E" w:rsidP="0083662C">
            <w:pPr>
              <w:rPr>
                <w:b/>
                <w:bCs/>
              </w:rPr>
            </w:pPr>
            <w:r>
              <w:t>Provision of Noise Consultants at stadium concert event</w:t>
            </w:r>
            <w:r w:rsidR="00CB7822">
              <w:t xml:space="preserve"> (1 x </w:t>
            </w:r>
            <w:proofErr w:type="gramStart"/>
            <w:r w:rsidR="00CB7822">
              <w:t>Pre Show</w:t>
            </w:r>
            <w:proofErr w:type="gramEnd"/>
            <w:r w:rsidR="00CB7822">
              <w:t xml:space="preserve"> day and 1x Show Day)</w:t>
            </w:r>
          </w:p>
        </w:tc>
        <w:tc>
          <w:tcPr>
            <w:tcW w:w="2835" w:type="dxa"/>
          </w:tcPr>
          <w:p w14:paraId="74BAC62A" w14:textId="77777777" w:rsidR="0075693E" w:rsidRPr="00E764CA" w:rsidRDefault="0075693E" w:rsidP="0083662C"/>
        </w:tc>
      </w:tr>
      <w:tr w:rsidR="00047316" w:rsidRPr="00E764CA" w14:paraId="1B573B3C" w14:textId="77777777" w:rsidTr="00E45D65">
        <w:trPr>
          <w:trHeight w:val="778"/>
        </w:trPr>
        <w:tc>
          <w:tcPr>
            <w:tcW w:w="7083" w:type="dxa"/>
          </w:tcPr>
          <w:p w14:paraId="0321B16B" w14:textId="0EB2877D" w:rsidR="00047316" w:rsidRDefault="00047316" w:rsidP="0083662C">
            <w:r>
              <w:t>Review of site plans</w:t>
            </w:r>
          </w:p>
        </w:tc>
        <w:tc>
          <w:tcPr>
            <w:tcW w:w="2835" w:type="dxa"/>
          </w:tcPr>
          <w:p w14:paraId="3EA0011B" w14:textId="77777777" w:rsidR="00047316" w:rsidRPr="00E764CA" w:rsidRDefault="00047316" w:rsidP="0083662C"/>
        </w:tc>
      </w:tr>
      <w:tr w:rsidR="00047316" w:rsidRPr="00E764CA" w14:paraId="4C5225AC" w14:textId="77777777" w:rsidTr="00E45D65">
        <w:trPr>
          <w:trHeight w:val="778"/>
        </w:trPr>
        <w:tc>
          <w:tcPr>
            <w:tcW w:w="7083" w:type="dxa"/>
          </w:tcPr>
          <w:p w14:paraId="07C684AB" w14:textId="3A886346" w:rsidR="00047316" w:rsidRDefault="00047316" w:rsidP="0083662C">
            <w:r>
              <w:t>Calibrate and install relevant noise monitoring equipment at offsite locations during pre-show and show days.</w:t>
            </w:r>
          </w:p>
        </w:tc>
        <w:tc>
          <w:tcPr>
            <w:tcW w:w="2835" w:type="dxa"/>
          </w:tcPr>
          <w:p w14:paraId="65DC37B6" w14:textId="77777777" w:rsidR="00047316" w:rsidRPr="00E764CA" w:rsidRDefault="00047316" w:rsidP="0083662C"/>
        </w:tc>
      </w:tr>
      <w:tr w:rsidR="00047316" w:rsidRPr="00E764CA" w14:paraId="74EFB77E" w14:textId="77777777" w:rsidTr="00E45D65">
        <w:trPr>
          <w:trHeight w:val="778"/>
        </w:trPr>
        <w:tc>
          <w:tcPr>
            <w:tcW w:w="7083" w:type="dxa"/>
          </w:tcPr>
          <w:p w14:paraId="4A39B335" w14:textId="34657BA9" w:rsidR="00047316" w:rsidRDefault="00047316" w:rsidP="0083662C">
            <w:r>
              <w:t xml:space="preserve">Production of post event report, reporting any and all breaches and complaints received. </w:t>
            </w:r>
          </w:p>
        </w:tc>
        <w:tc>
          <w:tcPr>
            <w:tcW w:w="2835" w:type="dxa"/>
          </w:tcPr>
          <w:p w14:paraId="229CD04C" w14:textId="77777777" w:rsidR="00047316" w:rsidRPr="00E764CA" w:rsidRDefault="00047316" w:rsidP="0083662C"/>
        </w:tc>
      </w:tr>
      <w:tr w:rsidR="0075693E" w:rsidRPr="00E764CA" w14:paraId="335D2626" w14:textId="3C511E09" w:rsidTr="00E45D65">
        <w:trPr>
          <w:trHeight w:val="778"/>
        </w:trPr>
        <w:tc>
          <w:tcPr>
            <w:tcW w:w="7083" w:type="dxa"/>
          </w:tcPr>
          <w:p w14:paraId="17A2A0A1" w14:textId="14D3C88B" w:rsidR="0075693E" w:rsidRPr="00E764CA" w:rsidRDefault="0075693E" w:rsidP="0083662C">
            <w:r>
              <w:t>Attend</w:t>
            </w:r>
            <w:r w:rsidR="00047316">
              <w:t>ance at pre-event meetings (</w:t>
            </w:r>
            <w:proofErr w:type="spellStart"/>
            <w:r w:rsidR="00047316">
              <w:t>e.g</w:t>
            </w:r>
            <w:proofErr w:type="spellEnd"/>
            <w:r w:rsidR="00047316">
              <w:t xml:space="preserve"> council SAG meetings if required)</w:t>
            </w:r>
          </w:p>
        </w:tc>
        <w:tc>
          <w:tcPr>
            <w:tcW w:w="2835" w:type="dxa"/>
          </w:tcPr>
          <w:p w14:paraId="0EFA24F3" w14:textId="77777777" w:rsidR="0075693E" w:rsidRPr="00E764CA" w:rsidRDefault="0075693E" w:rsidP="0083662C"/>
        </w:tc>
      </w:tr>
      <w:tr w:rsidR="0075693E" w14:paraId="2D5472F8" w14:textId="2D684469" w:rsidTr="00E45D65">
        <w:trPr>
          <w:trHeight w:val="483"/>
        </w:trPr>
        <w:tc>
          <w:tcPr>
            <w:tcW w:w="7083" w:type="dxa"/>
          </w:tcPr>
          <w:p w14:paraId="57AB2281" w14:textId="05AA147C" w:rsidR="0075693E" w:rsidRPr="00E764CA" w:rsidRDefault="0075693E" w:rsidP="0083662C">
            <w:pPr>
              <w:rPr>
                <w:b/>
                <w:bCs/>
              </w:rPr>
            </w:pPr>
            <w:r w:rsidRPr="00E764CA">
              <w:rPr>
                <w:b/>
                <w:bCs/>
              </w:rPr>
              <w:t>Total</w:t>
            </w:r>
          </w:p>
        </w:tc>
        <w:tc>
          <w:tcPr>
            <w:tcW w:w="2835" w:type="dxa"/>
          </w:tcPr>
          <w:p w14:paraId="14154A96" w14:textId="56C91B52" w:rsidR="0075693E" w:rsidRPr="00E764CA" w:rsidRDefault="0075693E" w:rsidP="0083662C">
            <w:r w:rsidRPr="00E764CA">
              <w:t>A</w:t>
            </w:r>
          </w:p>
        </w:tc>
      </w:tr>
    </w:tbl>
    <w:p w14:paraId="1FCEC2C9" w14:textId="5A136BD0" w:rsidR="001347A6" w:rsidRDefault="001347A6" w:rsidP="001347A6"/>
    <w:bookmarkEnd w:id="203"/>
    <w:p w14:paraId="5BC03314" w14:textId="05363129" w:rsidR="003C020F" w:rsidRDefault="007C315E" w:rsidP="001F775D">
      <w:pPr>
        <w:spacing w:after="0" w:line="240" w:lineRule="auto"/>
        <w:ind w:left="284"/>
        <w:rPr>
          <w:rFonts w:ascii="Calibri" w:hAnsi="Calibri"/>
        </w:rPr>
      </w:pPr>
      <w:r>
        <w:rPr>
          <w:rFonts w:ascii="Calibri" w:hAnsi="Calibri"/>
        </w:rPr>
        <w:t>The Total Cost (</w:t>
      </w:r>
      <w:r w:rsidR="001347A6">
        <w:rPr>
          <w:rFonts w:ascii="Calibri" w:hAnsi="Calibri"/>
        </w:rPr>
        <w:t>A</w:t>
      </w:r>
      <w:r w:rsidR="003C020F">
        <w:rPr>
          <w:rFonts w:ascii="Calibri" w:hAnsi="Calibri"/>
        </w:rPr>
        <w:t>)will be used for Evaluation.</w:t>
      </w:r>
    </w:p>
    <w:p w14:paraId="166EBE12" w14:textId="77777777" w:rsidR="003C020F" w:rsidRDefault="003C020F" w:rsidP="001F775D">
      <w:pPr>
        <w:spacing w:after="0" w:line="240" w:lineRule="auto"/>
        <w:ind w:left="284"/>
        <w:rPr>
          <w:rFonts w:ascii="Calibri" w:hAnsi="Calibri"/>
        </w:rPr>
      </w:pPr>
    </w:p>
    <w:p w14:paraId="46B57759" w14:textId="0FAFC6E7" w:rsidR="001C18F8" w:rsidRPr="00321EDE" w:rsidRDefault="001F775D" w:rsidP="001F775D">
      <w:pPr>
        <w:spacing w:after="0" w:line="240" w:lineRule="auto"/>
        <w:ind w:left="284"/>
        <w:rPr>
          <w:rFonts w:ascii="Calibri" w:hAnsi="Calibri"/>
        </w:rPr>
      </w:pPr>
      <w:r w:rsidRPr="00321EDE">
        <w:rPr>
          <w:rFonts w:ascii="Calibri" w:hAnsi="Calibri"/>
        </w:rPr>
        <w:t xml:space="preserve">The lowest tender will be awarded </w:t>
      </w:r>
      <w:r w:rsidR="00CB7822">
        <w:rPr>
          <w:rFonts w:ascii="Calibri" w:hAnsi="Calibri"/>
        </w:rPr>
        <w:t>4</w:t>
      </w:r>
      <w:r w:rsidR="001347A6" w:rsidRPr="00321EDE">
        <w:rPr>
          <w:rFonts w:ascii="Calibri" w:hAnsi="Calibri"/>
        </w:rPr>
        <w:t>0</w:t>
      </w:r>
      <w:r w:rsidRPr="00321EDE">
        <w:rPr>
          <w:rFonts w:ascii="Calibri" w:hAnsi="Calibri"/>
        </w:rPr>
        <w:t xml:space="preserve"> marks.</w:t>
      </w:r>
    </w:p>
    <w:p w14:paraId="419EF6FB" w14:textId="5754C863" w:rsidR="001F775D" w:rsidRPr="00321EDE" w:rsidRDefault="001F775D" w:rsidP="001F775D">
      <w:pPr>
        <w:spacing w:after="0" w:line="240" w:lineRule="auto"/>
        <w:ind w:left="284"/>
        <w:rPr>
          <w:rFonts w:ascii="Calibri" w:hAnsi="Calibri"/>
        </w:rPr>
      </w:pPr>
    </w:p>
    <w:p w14:paraId="6A9865F7" w14:textId="4264F839" w:rsidR="001F775D" w:rsidRPr="00321EDE" w:rsidRDefault="001F775D" w:rsidP="001F775D">
      <w:pPr>
        <w:spacing w:after="0" w:line="240" w:lineRule="auto"/>
        <w:ind w:left="284"/>
        <w:rPr>
          <w:rFonts w:ascii="Calibri" w:hAnsi="Calibri"/>
        </w:rPr>
      </w:pPr>
      <w:r w:rsidRPr="00321EDE">
        <w:rPr>
          <w:rFonts w:ascii="Calibri" w:hAnsi="Calibri"/>
        </w:rPr>
        <w:t>Other tenders will be awarded marks based on the following formula:</w:t>
      </w:r>
    </w:p>
    <w:p w14:paraId="7FA04431" w14:textId="77777777" w:rsidR="001F775D" w:rsidRPr="00321EDE" w:rsidRDefault="001F775D" w:rsidP="001F775D">
      <w:pPr>
        <w:spacing w:after="0" w:line="240" w:lineRule="auto"/>
        <w:ind w:left="284"/>
        <w:rPr>
          <w:rFonts w:ascii="Calibri" w:hAnsi="Calibri"/>
        </w:rPr>
      </w:pPr>
    </w:p>
    <w:p w14:paraId="31CA4662" w14:textId="718D5FA9" w:rsidR="001F775D" w:rsidRDefault="001F775D" w:rsidP="001F775D">
      <w:pPr>
        <w:spacing w:after="0" w:line="240" w:lineRule="auto"/>
        <w:jc w:val="center"/>
        <w:rPr>
          <w:rFonts w:ascii="Calibri" w:hAnsi="Calibri"/>
        </w:rPr>
      </w:pPr>
      <w:r w:rsidRPr="00321EDE">
        <w:rPr>
          <w:rFonts w:ascii="Calibri" w:hAnsi="Calibri"/>
        </w:rPr>
        <w:t xml:space="preserve">(Lowest Tender / Tender) x </w:t>
      </w:r>
      <w:r w:rsidR="00CB7822">
        <w:rPr>
          <w:rFonts w:ascii="Calibri" w:hAnsi="Calibri"/>
        </w:rPr>
        <w:t>4</w:t>
      </w:r>
      <w:r w:rsidRPr="00321EDE">
        <w:rPr>
          <w:rFonts w:ascii="Calibri" w:hAnsi="Calibri"/>
        </w:rPr>
        <w:t>0</w:t>
      </w:r>
    </w:p>
    <w:p w14:paraId="43051B66" w14:textId="747403F0" w:rsidR="001F775D" w:rsidRDefault="001F775D" w:rsidP="001F775D">
      <w:pPr>
        <w:spacing w:after="0" w:line="240" w:lineRule="auto"/>
        <w:ind w:left="284"/>
        <w:rPr>
          <w:rFonts w:ascii="Calibri" w:hAnsi="Calibri"/>
        </w:rPr>
      </w:pPr>
    </w:p>
    <w:p w14:paraId="437CDEA2" w14:textId="11FEBBB7" w:rsidR="001F775D" w:rsidRDefault="001F775D" w:rsidP="001F775D">
      <w:pPr>
        <w:spacing w:after="0" w:line="240" w:lineRule="auto"/>
        <w:ind w:left="284"/>
        <w:rPr>
          <w:rFonts w:ascii="Calibri" w:hAnsi="Calibri"/>
        </w:rPr>
      </w:pPr>
    </w:p>
    <w:p w14:paraId="01723E6E" w14:textId="77777777" w:rsidR="00181F11" w:rsidRDefault="00181F11" w:rsidP="001F775D">
      <w:pPr>
        <w:spacing w:after="0" w:line="240" w:lineRule="auto"/>
        <w:ind w:left="284"/>
        <w:rPr>
          <w:rFonts w:ascii="Calibri" w:hAnsi="Calibri"/>
        </w:rPr>
        <w:sectPr w:rsidR="00181F11" w:rsidSect="00D16618">
          <w:pgSz w:w="11906" w:h="16838"/>
          <w:pgMar w:top="1440" w:right="1440" w:bottom="1440" w:left="1440" w:header="708" w:footer="708" w:gutter="0"/>
          <w:cols w:space="708"/>
          <w:docGrid w:linePitch="360"/>
        </w:sectPr>
      </w:pPr>
    </w:p>
    <w:p w14:paraId="1680DDB4" w14:textId="4AC1F5C7" w:rsidR="00181F11" w:rsidRPr="00AB52AA" w:rsidRDefault="00181F11" w:rsidP="00181F11">
      <w:pPr>
        <w:pStyle w:val="Heading1"/>
      </w:pPr>
      <w:bookmarkStart w:id="204" w:name="_Ref411940187"/>
      <w:bookmarkStart w:id="205" w:name="_Toc11169687"/>
      <w:r w:rsidRPr="00AB52AA">
        <w:lastRenderedPageBreak/>
        <w:t xml:space="preserve">Appendix </w:t>
      </w:r>
      <w:r>
        <w:t>C</w:t>
      </w:r>
      <w:r w:rsidRPr="00AB52AA">
        <w:t>: Acceptance of Tendering Conditions</w:t>
      </w:r>
      <w:bookmarkEnd w:id="204"/>
      <w:r w:rsidRPr="00AB52AA">
        <w:t xml:space="preserve"> and Mandatory Undertaking</w:t>
      </w:r>
      <w:bookmarkEnd w:id="205"/>
    </w:p>
    <w:p w14:paraId="68C60766" w14:textId="77777777" w:rsidR="00181F11" w:rsidRDefault="00181F11" w:rsidP="00181F11">
      <w:pPr>
        <w:rPr>
          <w:b/>
        </w:rPr>
      </w:pPr>
    </w:p>
    <w:p w14:paraId="1016B910" w14:textId="2D489916" w:rsidR="00181F11" w:rsidRPr="005A06EC" w:rsidRDefault="00904AEA" w:rsidP="00181F11">
      <w:pPr>
        <w:rPr>
          <w:b/>
        </w:rPr>
      </w:pPr>
      <w:r>
        <w:rPr>
          <w:rFonts w:cstheme="minorHAnsi"/>
          <w:b/>
        </w:rPr>
        <w:t xml:space="preserve">London Stadium </w:t>
      </w:r>
    </w:p>
    <w:p w14:paraId="52C64898" w14:textId="77777777" w:rsidR="00181F11" w:rsidRPr="005A06EC" w:rsidRDefault="00181F11" w:rsidP="00181F11">
      <w:pPr>
        <w:rPr>
          <w:b/>
        </w:rPr>
      </w:pPr>
      <w:r w:rsidRPr="005A06EC">
        <w:rPr>
          <w:b/>
        </w:rPr>
        <w:t>CONFIRMATION OF ACCEPTANCE OF TENDERING CONDITIONS</w:t>
      </w:r>
    </w:p>
    <w:p w14:paraId="1BDBC863" w14:textId="77777777" w:rsidR="00181F11" w:rsidRPr="005A06EC" w:rsidRDefault="00181F11" w:rsidP="00181F11">
      <w:r w:rsidRPr="005A06EC">
        <w:t xml:space="preserve">FROM: </w:t>
      </w:r>
      <w:r w:rsidRPr="005A06EC">
        <w:tab/>
        <w:t>[INSERT NAME, ADDRESS AND CONTACT DETAILS OF TENDERER] (“Tenderer”)</w:t>
      </w:r>
    </w:p>
    <w:p w14:paraId="59A33749" w14:textId="11CE010C" w:rsidR="00181F11" w:rsidRPr="005A06EC" w:rsidRDefault="00181F11" w:rsidP="00181F11">
      <w:r w:rsidRPr="005A06EC">
        <w:t>TO:</w:t>
      </w:r>
      <w:r w:rsidRPr="005A06EC">
        <w:tab/>
        <w:t xml:space="preserve">London </w:t>
      </w:r>
      <w:r w:rsidR="00904AEA">
        <w:t>Stadium</w:t>
      </w:r>
    </w:p>
    <w:p w14:paraId="658CC3A2" w14:textId="77777777" w:rsidR="00181F11" w:rsidRPr="005A06EC" w:rsidRDefault="00181F11" w:rsidP="00181F11">
      <w:r w:rsidRPr="005A06EC">
        <w:t>DATE:</w:t>
      </w:r>
      <w:r w:rsidRPr="005A06EC">
        <w:tab/>
        <w:t>[INSERT]</w:t>
      </w:r>
      <w:r w:rsidRPr="005A06EC">
        <w:tab/>
        <w:t xml:space="preserve"> </w:t>
      </w:r>
    </w:p>
    <w:p w14:paraId="643A0F11" w14:textId="77777777" w:rsidR="00181F11" w:rsidRPr="005A06EC" w:rsidRDefault="00181F11" w:rsidP="00181F11">
      <w:r w:rsidRPr="005A06EC">
        <w:t>Dear Sirs,</w:t>
      </w:r>
    </w:p>
    <w:p w14:paraId="2260EAA0" w14:textId="0620A1A0" w:rsidR="00181F11" w:rsidRPr="005A06EC" w:rsidRDefault="00181F11" w:rsidP="00181F11">
      <w:pPr>
        <w:rPr>
          <w:b/>
        </w:rPr>
      </w:pPr>
      <w:r w:rsidRPr="005A06EC">
        <w:rPr>
          <w:b/>
        </w:rPr>
        <w:t xml:space="preserve">Re: Procurement by </w:t>
      </w:r>
      <w:r w:rsidR="00904AEA">
        <w:rPr>
          <w:b/>
        </w:rPr>
        <w:t>London Stadium</w:t>
      </w:r>
      <w:r w:rsidRPr="005A06EC">
        <w:rPr>
          <w:b/>
        </w:rPr>
        <w:t xml:space="preserve"> of </w:t>
      </w:r>
      <w:r>
        <w:rPr>
          <w:b/>
        </w:rPr>
        <w:t>[</w:t>
      </w:r>
      <w:r w:rsidRPr="00A72AA7">
        <w:rPr>
          <w:b/>
          <w:highlight w:val="yellow"/>
        </w:rPr>
        <w:t>XXXXXXXXXXX]</w:t>
      </w:r>
      <w:r w:rsidRPr="00A02EF9">
        <w:rPr>
          <w:b/>
        </w:rPr>
        <w:t xml:space="preserve"> </w:t>
      </w:r>
    </w:p>
    <w:p w14:paraId="7B15C1BB" w14:textId="7EE6A73F" w:rsidR="00181F11" w:rsidRPr="0067025E" w:rsidRDefault="00181F11" w:rsidP="00181F11">
      <w:pPr>
        <w:jc w:val="both"/>
      </w:pPr>
      <w:r w:rsidRPr="005A06EC">
        <w:t xml:space="preserve">Pursuant to an Invitation to Tender (“ITT”) by the </w:t>
      </w:r>
      <w:r w:rsidR="00904AEA" w:rsidRPr="00904AEA">
        <w:t>London Stadium</w:t>
      </w:r>
      <w:r w:rsidRPr="005A06EC">
        <w:t xml:space="preserve"> to the </w:t>
      </w:r>
      <w:r w:rsidRPr="00166534">
        <w:t xml:space="preserve">Tenderer on </w:t>
      </w:r>
      <w:r>
        <w:t xml:space="preserve">[   </w:t>
      </w:r>
      <w:r w:rsidRPr="00A72AA7">
        <w:rPr>
          <w:highlight w:val="yellow"/>
        </w:rPr>
        <w:t>XXXXXXXXXXXXXX</w:t>
      </w:r>
      <w:r>
        <w:t xml:space="preserve">  ]</w:t>
      </w:r>
      <w:r w:rsidRPr="00166534">
        <w:t xml:space="preserve"> we the undersigned undertake that we have read the terms of the ITT and agree to be bound by such terms</w:t>
      </w:r>
      <w:r w:rsidRPr="0067025E">
        <w:t xml:space="preserve"> and have submitted a Tender in accordance with the terms of the </w:t>
      </w:r>
      <w:r>
        <w:t>ITT</w:t>
      </w:r>
      <w:r w:rsidRPr="0067025E">
        <w:t>.</w:t>
      </w:r>
    </w:p>
    <w:p w14:paraId="0CB61953" w14:textId="77777777" w:rsidR="00181F11" w:rsidRPr="0067025E" w:rsidRDefault="00181F11" w:rsidP="00181F11">
      <w:pPr>
        <w:jc w:val="both"/>
      </w:pPr>
      <w:r w:rsidRPr="0067025E">
        <w:t xml:space="preserve">Where capitalised terms are used in this </w:t>
      </w:r>
      <w:proofErr w:type="gramStart"/>
      <w:r w:rsidRPr="0067025E">
        <w:t>undertaking</w:t>
      </w:r>
      <w:proofErr w:type="gramEnd"/>
      <w:r w:rsidRPr="0067025E">
        <w:t xml:space="preserve"> they shall have the same meaning as given to such terms in the </w:t>
      </w:r>
      <w:r>
        <w:t>ITT</w:t>
      </w:r>
      <w:r w:rsidRPr="0067025E">
        <w:t xml:space="preserve"> unless otherwise expressly stated to the contrary in this undertaking. A reference to a person includes firms, partnerships, statutory and non-statutory entities and corporations and their successors and permitted assignees or transferees.   </w:t>
      </w:r>
    </w:p>
    <w:p w14:paraId="40F63854" w14:textId="77777777" w:rsidR="00181F11" w:rsidRPr="0067025E" w:rsidRDefault="00181F11" w:rsidP="00181F11">
      <w:pPr>
        <w:jc w:val="both"/>
      </w:pPr>
      <w:r w:rsidRPr="0067025E">
        <w:t>We the u</w:t>
      </w:r>
      <w:r>
        <w:t>ndersigned undertake as follows:</w:t>
      </w:r>
    </w:p>
    <w:p w14:paraId="40DBCAAD" w14:textId="77777777" w:rsidR="00181F11" w:rsidRPr="0067025E" w:rsidRDefault="00181F11" w:rsidP="00181F11">
      <w:pPr>
        <w:pStyle w:val="ListParagraph"/>
        <w:numPr>
          <w:ilvl w:val="0"/>
          <w:numId w:val="4"/>
        </w:numPr>
        <w:jc w:val="both"/>
      </w:pPr>
      <w:r w:rsidRPr="0067025E">
        <w:t xml:space="preserve">that we have not included any condition qualifying our Tender in any unauthorised manner or altered any aspect of the </w:t>
      </w:r>
      <w:r>
        <w:t>ITT</w:t>
      </w:r>
      <w:r w:rsidRPr="0067025E">
        <w:t xml:space="preserve"> in any way; and</w:t>
      </w:r>
    </w:p>
    <w:p w14:paraId="4AFB38B9" w14:textId="3FB2C832" w:rsidR="00181F11" w:rsidRPr="0067025E" w:rsidRDefault="00181F11" w:rsidP="00181F11">
      <w:pPr>
        <w:pStyle w:val="ListParagraph"/>
        <w:numPr>
          <w:ilvl w:val="0"/>
          <w:numId w:val="4"/>
        </w:numPr>
        <w:jc w:val="both"/>
      </w:pPr>
      <w:r w:rsidRPr="0067025E">
        <w:t xml:space="preserve">to confirm that our Tender shall remain open for acceptance by the </w:t>
      </w:r>
      <w:r w:rsidR="00904AEA">
        <w:t>LONDON STADIUM</w:t>
      </w:r>
      <w:r w:rsidRPr="0067025E">
        <w:t xml:space="preserve"> for a period of </w:t>
      </w:r>
      <w:r>
        <w:t>four months</w:t>
      </w:r>
      <w:r w:rsidRPr="0067025E">
        <w:t xml:space="preserve"> from the date of this undertaking and we shall not withdraw this Tender during this period</w:t>
      </w:r>
      <w:r>
        <w:t>;</w:t>
      </w:r>
      <w:r w:rsidRPr="0067025E">
        <w:t xml:space="preserve"> and</w:t>
      </w:r>
    </w:p>
    <w:p w14:paraId="22BBDDF0" w14:textId="237A6B37" w:rsidR="00181F11" w:rsidRPr="0067025E" w:rsidRDefault="00181F11" w:rsidP="00181F11">
      <w:pPr>
        <w:pStyle w:val="ListParagraph"/>
        <w:numPr>
          <w:ilvl w:val="0"/>
          <w:numId w:val="4"/>
        </w:numPr>
        <w:jc w:val="both"/>
      </w:pPr>
      <w:r w:rsidRPr="0067025E">
        <w:t xml:space="preserve">to execute the Contract in the form </w:t>
      </w:r>
      <w:r w:rsidR="00904AEA">
        <w:t xml:space="preserve">included in </w:t>
      </w:r>
      <w:r w:rsidRPr="0067025E">
        <w:t xml:space="preserve">the </w:t>
      </w:r>
      <w:r>
        <w:t>ITT</w:t>
      </w:r>
      <w:r w:rsidRPr="0067025E">
        <w:t>. Unless and until a formal agreement is prepared and executed, we confirm that our Tender together with your acceptance thereof in writing shall constitute a binding contract between us; and</w:t>
      </w:r>
    </w:p>
    <w:p w14:paraId="1C3DF3AA" w14:textId="77777777" w:rsidR="00181F11" w:rsidRPr="0067025E" w:rsidRDefault="00181F11" w:rsidP="00181F11">
      <w:pPr>
        <w:pStyle w:val="ListParagraph"/>
        <w:numPr>
          <w:ilvl w:val="0"/>
          <w:numId w:val="4"/>
        </w:numPr>
        <w:jc w:val="both"/>
      </w:pPr>
      <w:r w:rsidRPr="0067025E">
        <w:t>we have submitted a bona fide Tender, intended to be competitive and we have not</w:t>
      </w:r>
      <w:r>
        <w:t xml:space="preserve"> fixed or adjusted our Prices</w:t>
      </w:r>
      <w:r w:rsidRPr="0067025E">
        <w:t xml:space="preserve"> by or under or in accordance with any agreement or arrangement with any other Tenderer.</w:t>
      </w:r>
    </w:p>
    <w:p w14:paraId="0FB9926F" w14:textId="77777777" w:rsidR="00181F11" w:rsidRPr="0067025E" w:rsidRDefault="00181F11" w:rsidP="00181F11">
      <w:pPr>
        <w:pStyle w:val="ListParagraph"/>
        <w:numPr>
          <w:ilvl w:val="0"/>
          <w:numId w:val="4"/>
        </w:numPr>
        <w:jc w:val="both"/>
      </w:pPr>
      <w:r w:rsidRPr="0067025E">
        <w:t xml:space="preserve">we have not and we undertake that we will not do at any time before the hour and date specified for the return of the Tender in the </w:t>
      </w:r>
      <w:r>
        <w:t>ITT</w:t>
      </w:r>
      <w:r w:rsidRPr="0067025E">
        <w:t xml:space="preserve"> any of the following acts:</w:t>
      </w:r>
    </w:p>
    <w:p w14:paraId="5D335F59" w14:textId="2F515A7E" w:rsidR="00181F11" w:rsidRPr="0067025E" w:rsidRDefault="00181F11" w:rsidP="00181F11">
      <w:pPr>
        <w:pStyle w:val="ListParagraph"/>
        <w:numPr>
          <w:ilvl w:val="1"/>
          <w:numId w:val="5"/>
        </w:numPr>
        <w:ind w:left="1134" w:hanging="425"/>
        <w:jc w:val="both"/>
      </w:pPr>
      <w:r w:rsidRPr="0067025E">
        <w:t xml:space="preserve">communicate to a person other than an appropriate member of the </w:t>
      </w:r>
      <w:r w:rsidR="00904AEA">
        <w:t>LONDON STADIUM</w:t>
      </w:r>
      <w:r w:rsidRPr="0067025E">
        <w:t xml:space="preserve"> our pricing information to be included in our Tender, except where the disclosure, in confidence, of such pricing information (or any component thereof) is necessary to obtain information/advice required for the preparation of the Tender; or</w:t>
      </w:r>
    </w:p>
    <w:p w14:paraId="16DDCDEC" w14:textId="77777777" w:rsidR="00181F11" w:rsidRPr="0067025E" w:rsidRDefault="00181F11" w:rsidP="00181F11">
      <w:pPr>
        <w:pStyle w:val="ListParagraph"/>
        <w:numPr>
          <w:ilvl w:val="1"/>
          <w:numId w:val="5"/>
        </w:numPr>
        <w:ind w:left="1134" w:hanging="425"/>
        <w:jc w:val="both"/>
      </w:pPr>
      <w:r w:rsidRPr="0067025E">
        <w:t xml:space="preserve">enter into any agreement or arrangement with (i) any other person resulting (whether directly or indirectly) in that person refraining from submitting a Tender or (ii) another </w:t>
      </w:r>
      <w:r w:rsidRPr="0067025E">
        <w:lastRenderedPageBreak/>
        <w:t>Tenderer concerning any rates/fees submitted or to be submitted by that Tenderer in any Tender; or</w:t>
      </w:r>
    </w:p>
    <w:p w14:paraId="5631A27C" w14:textId="77777777" w:rsidR="00181F11" w:rsidRPr="0067025E" w:rsidRDefault="00181F11" w:rsidP="00181F11">
      <w:pPr>
        <w:pStyle w:val="ListParagraph"/>
        <w:numPr>
          <w:ilvl w:val="1"/>
          <w:numId w:val="5"/>
        </w:numPr>
        <w:ind w:left="1134" w:hanging="425"/>
        <w:jc w:val="both"/>
      </w:pPr>
      <w:r w:rsidRPr="0067025E">
        <w:t>offer to pay or give or agree to pay or give any sum of money or valuable consideration directly or indirectly to any person for doing or having done or causing or having caused to be done in relation to any other Ten</w:t>
      </w:r>
      <w:r>
        <w:t>der or proposed Tender for the Works</w:t>
      </w:r>
      <w:r w:rsidRPr="0067025E">
        <w:t xml:space="preserve"> any act or thing of the sort described above.</w:t>
      </w:r>
    </w:p>
    <w:p w14:paraId="49336163" w14:textId="77777777" w:rsidR="00181F11" w:rsidRPr="0067025E" w:rsidRDefault="00181F11" w:rsidP="00181F11">
      <w:pPr>
        <w:pStyle w:val="ListParagraph"/>
        <w:numPr>
          <w:ilvl w:val="0"/>
          <w:numId w:val="4"/>
        </w:numPr>
        <w:jc w:val="both"/>
      </w:pPr>
      <w:r w:rsidRPr="0067025E">
        <w:t xml:space="preserve">to confirm that we have not colluded, and will not collude, with any other potential or actual Tenderer in relation to the </w:t>
      </w:r>
      <w:r>
        <w:t>ITT</w:t>
      </w:r>
      <w:r w:rsidRPr="0067025E">
        <w:t xml:space="preserve"> in any way; and</w:t>
      </w:r>
    </w:p>
    <w:p w14:paraId="532BF3D9" w14:textId="77777777" w:rsidR="00181F11" w:rsidRPr="0067025E" w:rsidRDefault="00181F11" w:rsidP="00181F11">
      <w:pPr>
        <w:pStyle w:val="ListParagraph"/>
        <w:numPr>
          <w:ilvl w:val="0"/>
          <w:numId w:val="4"/>
        </w:numPr>
        <w:jc w:val="both"/>
      </w:pPr>
      <w:r w:rsidRPr="0067025E">
        <w:t>having made relevant and comprehensive enquiries of our organisation and all the organisations referred to in our Tender and our professional advisers, at the date of this undertaking we are aware of no Conflicts of Interest (whether professional or commercial) nor, to the best of our knowledge, is there likely to be any Conflict of Interest, should the Tenderer and the organisations referred to in our Tender be appointed as a Services provider; and</w:t>
      </w:r>
    </w:p>
    <w:p w14:paraId="5836A05A" w14:textId="07EA0FC5" w:rsidR="00181F11" w:rsidRPr="0067025E" w:rsidRDefault="00181F11" w:rsidP="00181F11">
      <w:pPr>
        <w:pStyle w:val="ListParagraph"/>
        <w:numPr>
          <w:ilvl w:val="0"/>
          <w:numId w:val="4"/>
        </w:numPr>
        <w:jc w:val="both"/>
      </w:pPr>
      <w:r w:rsidRPr="0067025E">
        <w:t xml:space="preserve">as soon as we become aware of any actual or potential Conflict of Interest which may impact on the Tenderer’s ability to perform the </w:t>
      </w:r>
      <w:r>
        <w:t>works</w:t>
      </w:r>
      <w:r w:rsidRPr="0067025E">
        <w:t xml:space="preserve">, we shall notify the </w:t>
      </w:r>
      <w:r w:rsidR="00904AEA">
        <w:t>LONDON STADIUM</w:t>
      </w:r>
      <w:r w:rsidRPr="0067025E">
        <w:t xml:space="preserve"> in writing; and </w:t>
      </w:r>
    </w:p>
    <w:p w14:paraId="42B27257" w14:textId="3A2F608F" w:rsidR="00181F11" w:rsidRPr="0067025E" w:rsidRDefault="00181F11" w:rsidP="00181F11">
      <w:pPr>
        <w:pStyle w:val="ListParagraph"/>
        <w:numPr>
          <w:ilvl w:val="0"/>
          <w:numId w:val="4"/>
        </w:numPr>
        <w:jc w:val="both"/>
      </w:pPr>
      <w:r>
        <w:t>w</w:t>
      </w:r>
      <w:r w:rsidRPr="0067025E">
        <w:t xml:space="preserve">e have not and will not undertake any activity, commercial or non-commercial, which makes or implies a direct </w:t>
      </w:r>
      <w:r>
        <w:t>or indirect association of the Tenderer</w:t>
      </w:r>
      <w:r w:rsidRPr="0067025E">
        <w:t xml:space="preserve"> with the Olympic Movement and its goods, services and activities generally, without the authorisation of the British Olympic Association or the International Olympic Committee (as appropriate), unless such action is expressly approved in writing prior to such action taking place by the </w:t>
      </w:r>
      <w:r w:rsidR="00904AEA">
        <w:t>LONDON STADIUM</w:t>
      </w:r>
      <w:r w:rsidRPr="0067025E">
        <w:t xml:space="preserve">. </w:t>
      </w:r>
    </w:p>
    <w:p w14:paraId="52D93EAF" w14:textId="7EC6D7A2" w:rsidR="00181F11" w:rsidRDefault="00181F11" w:rsidP="00181F11">
      <w:pPr>
        <w:jc w:val="both"/>
      </w:pPr>
      <w:r w:rsidRPr="0067025E">
        <w:t xml:space="preserve">We accept and agree that the </w:t>
      </w:r>
      <w:r w:rsidR="00904AEA">
        <w:t>LONDON STADIUM</w:t>
      </w:r>
      <w:r w:rsidRPr="0067025E">
        <w:t xml:space="preserve"> will only consider our Tender </w:t>
      </w:r>
      <w:proofErr w:type="gramStart"/>
      <w:r w:rsidRPr="0067025E">
        <w:t>on the basis of</w:t>
      </w:r>
      <w:proofErr w:type="gramEnd"/>
      <w:r w:rsidRPr="0067025E">
        <w:t xml:space="preserve"> the above undertakings and we acknowledge that that the </w:t>
      </w:r>
      <w:r w:rsidR="00904AEA">
        <w:t>LONDON STADIUM</w:t>
      </w:r>
      <w:r w:rsidRPr="0067025E">
        <w:t xml:space="preserve"> will rely on the above undertakings.  We the undersigned confirm that the above undertakings are true and accurate and reflect our honestly held beliefs at the date of this undertaking and if circumstances change such that the undertakings set out above can no longer be honoured by the Tenderer, we will immediately notify the </w:t>
      </w:r>
      <w:r w:rsidR="00904AEA">
        <w:t>LONDON STADIUM</w:t>
      </w:r>
      <w:r w:rsidRPr="0067025E">
        <w:t xml:space="preserve">. </w:t>
      </w:r>
    </w:p>
    <w:p w14:paraId="7346998F" w14:textId="77777777" w:rsidR="00181F11" w:rsidRPr="0067025E" w:rsidRDefault="00181F11" w:rsidP="00181F11">
      <w:r w:rsidRPr="0067025E">
        <w:t xml:space="preserve">Signed ………………………………… on behalf of the Tenderer  </w:t>
      </w:r>
    </w:p>
    <w:p w14:paraId="767E08EB" w14:textId="77777777" w:rsidR="00181F11" w:rsidRPr="0067025E" w:rsidRDefault="00181F11" w:rsidP="00181F11">
      <w:r w:rsidRPr="0067025E">
        <w:t>(Director/Company Secretary)</w:t>
      </w:r>
      <w:r w:rsidRPr="0067025E">
        <w:tab/>
      </w:r>
      <w:r w:rsidRPr="0067025E">
        <w:tab/>
      </w:r>
    </w:p>
    <w:p w14:paraId="5C2916E1" w14:textId="77777777" w:rsidR="00181F11" w:rsidRPr="0067025E" w:rsidRDefault="00181F11" w:rsidP="00181F11">
      <w:r w:rsidRPr="0067025E">
        <w:t>Date……………………………………………….</w:t>
      </w:r>
    </w:p>
    <w:p w14:paraId="2F5FAB27" w14:textId="77777777" w:rsidR="00181F11" w:rsidRDefault="00181F11" w:rsidP="00181F11">
      <w:r w:rsidRPr="0067025E">
        <w:t>Name (print) ……………............………………</w:t>
      </w:r>
      <w:r w:rsidRPr="0067025E">
        <w:tab/>
        <w:t>Position…...........…........……</w:t>
      </w:r>
      <w:proofErr w:type="gramStart"/>
      <w:r w:rsidRPr="0067025E">
        <w:t>…..</w:t>
      </w:r>
      <w:proofErr w:type="gramEnd"/>
      <w:r w:rsidRPr="0067025E">
        <w:t>………</w:t>
      </w:r>
    </w:p>
    <w:p w14:paraId="0435C2D9" w14:textId="77777777" w:rsidR="00181F11" w:rsidRDefault="00181F11" w:rsidP="00181F11"/>
    <w:p w14:paraId="1D80C3D8" w14:textId="77777777" w:rsidR="00181F11" w:rsidRPr="0067025E" w:rsidRDefault="00181F11" w:rsidP="00181F11">
      <w:r w:rsidRPr="0067025E">
        <w:t xml:space="preserve">Signed ………………………………… on behalf of the Tenderer  </w:t>
      </w:r>
    </w:p>
    <w:p w14:paraId="6FE5F41B" w14:textId="77777777" w:rsidR="00181F11" w:rsidRPr="0067025E" w:rsidRDefault="00181F11" w:rsidP="00181F11">
      <w:r w:rsidRPr="0067025E">
        <w:t>(Director/Company Secretary)</w:t>
      </w:r>
      <w:r w:rsidRPr="0067025E">
        <w:tab/>
      </w:r>
      <w:r w:rsidRPr="0067025E">
        <w:tab/>
      </w:r>
    </w:p>
    <w:p w14:paraId="63D2AA51" w14:textId="77777777" w:rsidR="00181F11" w:rsidRPr="0067025E" w:rsidRDefault="00181F11" w:rsidP="00181F11">
      <w:r w:rsidRPr="0067025E">
        <w:t>Date……………………………………………….</w:t>
      </w:r>
    </w:p>
    <w:p w14:paraId="23DCBEAB" w14:textId="77777777" w:rsidR="00181F11" w:rsidRDefault="00181F11" w:rsidP="00181F11">
      <w:r w:rsidRPr="0067025E">
        <w:t>Name (print) ……………............………………</w:t>
      </w:r>
      <w:r w:rsidRPr="0067025E">
        <w:tab/>
        <w:t>Position…...........…........……</w:t>
      </w:r>
      <w:proofErr w:type="gramStart"/>
      <w:r w:rsidRPr="0067025E">
        <w:t>…..</w:t>
      </w:r>
      <w:proofErr w:type="gramEnd"/>
      <w:r w:rsidRPr="0067025E">
        <w:t>………</w:t>
      </w:r>
    </w:p>
    <w:p w14:paraId="13E2B603" w14:textId="77777777" w:rsidR="00191FD6" w:rsidRDefault="00191FD6" w:rsidP="00181F11">
      <w:pPr>
        <w:spacing w:after="160" w:line="259" w:lineRule="auto"/>
        <w:rPr>
          <w:b/>
        </w:rPr>
      </w:pPr>
    </w:p>
    <w:p w14:paraId="0CE49E25" w14:textId="09260D8E" w:rsidR="00181F11" w:rsidRPr="00EA0B34" w:rsidRDefault="00181F11" w:rsidP="00181F11">
      <w:pPr>
        <w:spacing w:after="160" w:line="259" w:lineRule="auto"/>
        <w:rPr>
          <w:b/>
        </w:rPr>
      </w:pPr>
      <w:r w:rsidRPr="00EA0B34">
        <w:rPr>
          <w:b/>
        </w:rPr>
        <w:lastRenderedPageBreak/>
        <w:t>MANDATORY UNDERTAKING</w:t>
      </w:r>
    </w:p>
    <w:p w14:paraId="6DFA1642"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r w:rsidRPr="00EA0B34">
        <w:rPr>
          <w:rFonts w:eastAsia="Times New Roman" w:cstheme="minorHAnsi"/>
          <w:bCs/>
          <w:color w:val="57585B"/>
        </w:rPr>
        <w:t xml:space="preserve">Company Name – </w:t>
      </w:r>
      <w:r w:rsidRPr="00EA0B34">
        <w:rPr>
          <w:rFonts w:eastAsia="Times New Roman" w:cstheme="minorHAnsi"/>
          <w:bCs/>
          <w:color w:val="FF0000"/>
        </w:rPr>
        <w:t>&lt;&lt;Insert Registered Name of the Tenderer&gt;&gt;</w:t>
      </w:r>
    </w:p>
    <w:p w14:paraId="2E34DFB5"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p>
    <w:p w14:paraId="3D76F4CD"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When you have completed your response to this ITT, please ensure that: -</w:t>
      </w:r>
    </w:p>
    <w:p w14:paraId="179A3258" w14:textId="77777777" w:rsidR="00181F11" w:rsidRPr="00EA0B34" w:rsidRDefault="00181F11" w:rsidP="00181F11">
      <w:pPr>
        <w:spacing w:after="0" w:line="240" w:lineRule="auto"/>
        <w:jc w:val="both"/>
        <w:rPr>
          <w:rFonts w:eastAsia="Times New Roman" w:cstheme="minorHAnsi"/>
          <w:color w:val="404040"/>
        </w:rPr>
      </w:pPr>
    </w:p>
    <w:p w14:paraId="118A1397" w14:textId="195FBE2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answered</w:t>
      </w:r>
      <w:r w:rsidRPr="00EA0B34">
        <w:rPr>
          <w:rFonts w:eastAsia="Times New Roman" w:cstheme="minorHAnsi"/>
          <w:color w:val="404040"/>
          <w:lang w:val="x-none" w:eastAsia="x-none"/>
        </w:rPr>
        <w:t xml:space="preserve"> all appropriate questions</w:t>
      </w:r>
      <w:r w:rsidR="00B16C0D">
        <w:rPr>
          <w:rFonts w:eastAsia="Times New Roman" w:cstheme="minorHAnsi"/>
          <w:color w:val="404040"/>
          <w:lang w:eastAsia="x-none"/>
        </w:rPr>
        <w:t>; and</w:t>
      </w:r>
    </w:p>
    <w:p w14:paraId="791E557A"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enclosed</w:t>
      </w:r>
      <w:r w:rsidRPr="00EA0B34">
        <w:rPr>
          <w:rFonts w:eastAsia="Times New Roman" w:cstheme="minorHAnsi"/>
          <w:color w:val="404040"/>
          <w:lang w:val="x-none" w:eastAsia="x-none"/>
        </w:rPr>
        <w:t xml:space="preserve"> all documents requested; and</w:t>
      </w:r>
    </w:p>
    <w:p w14:paraId="1BC2306B" w14:textId="77777777" w:rsidR="00181F11" w:rsidRPr="00EA0B34" w:rsidRDefault="00181F11" w:rsidP="00B16C0D">
      <w:pPr>
        <w:numPr>
          <w:ilvl w:val="0"/>
          <w:numId w:val="9"/>
        </w:numPr>
        <w:spacing w:after="0" w:line="240" w:lineRule="auto"/>
        <w:ind w:left="426"/>
        <w:contextualSpacing/>
        <w:jc w:val="both"/>
        <w:rPr>
          <w:rFonts w:eastAsia="Times New Roman" w:cstheme="minorHAnsi"/>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completed</w:t>
      </w:r>
      <w:r w:rsidRPr="00EA0B34">
        <w:rPr>
          <w:rFonts w:eastAsia="Times New Roman" w:cstheme="minorHAnsi"/>
          <w:color w:val="404040"/>
          <w:lang w:val="x-none" w:eastAsia="x-none"/>
        </w:rPr>
        <w:t xml:space="preserve"> the</w:t>
      </w:r>
      <w:r w:rsidRPr="00EA0B34">
        <w:rPr>
          <w:rFonts w:eastAsia="Times New Roman" w:cstheme="minorHAnsi"/>
          <w:lang w:val="x-none" w:eastAsia="x-none"/>
        </w:rPr>
        <w:t xml:space="preserve"> </w:t>
      </w:r>
      <w:r w:rsidRPr="00EA0B34">
        <w:rPr>
          <w:rFonts w:eastAsia="Times New Roman" w:cstheme="minorHAnsi"/>
          <w:b/>
          <w:color w:val="FF0000"/>
          <w:lang w:val="x-none" w:eastAsia="x-none"/>
        </w:rPr>
        <w:t>red text entries</w:t>
      </w:r>
      <w:r w:rsidRPr="00EA0B34">
        <w:rPr>
          <w:rFonts w:eastAsia="Times New Roman" w:cstheme="minorHAnsi"/>
          <w:color w:val="FF0000"/>
          <w:lang w:val="x-none" w:eastAsia="x-none"/>
        </w:rPr>
        <w:t xml:space="preserve"> </w:t>
      </w:r>
      <w:r w:rsidRPr="00EA0B34">
        <w:rPr>
          <w:rFonts w:eastAsia="Times New Roman" w:cstheme="minorHAnsi"/>
          <w:color w:val="404040"/>
          <w:lang w:val="x-none" w:eastAsia="x-none"/>
        </w:rPr>
        <w:t>required in this Mandatory Undertaking; and</w:t>
      </w:r>
      <w:r w:rsidRPr="00EA0B34">
        <w:rPr>
          <w:rFonts w:eastAsia="Times New Roman" w:cstheme="minorHAnsi"/>
          <w:lang w:val="x-none" w:eastAsia="x-none"/>
        </w:rPr>
        <w:t xml:space="preserve"> </w:t>
      </w:r>
    </w:p>
    <w:p w14:paraId="03C83F88"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read</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signed</w:t>
      </w:r>
      <w:r w:rsidRPr="00EA0B34">
        <w:rPr>
          <w:rFonts w:eastAsia="Times New Roman" w:cstheme="minorHAnsi"/>
          <w:color w:val="404040"/>
          <w:lang w:val="x-none" w:eastAsia="x-none"/>
        </w:rPr>
        <w:t xml:space="preserve"> (for the Tenderer and all Relevant Companies), </w:t>
      </w:r>
      <w:r w:rsidRPr="00EA0B34">
        <w:rPr>
          <w:rFonts w:eastAsia="Times New Roman" w:cstheme="minorHAnsi"/>
          <w:b/>
          <w:color w:val="404040"/>
          <w:lang w:val="x-none" w:eastAsia="x-none"/>
        </w:rPr>
        <w:t>returned</w:t>
      </w:r>
      <w:r w:rsidRPr="00EA0B34">
        <w:rPr>
          <w:rFonts w:eastAsia="Times New Roman" w:cstheme="minorHAnsi"/>
          <w:color w:val="404040"/>
          <w:lang w:val="x-none" w:eastAsia="x-none"/>
        </w:rPr>
        <w:t xml:space="preserve"> an electronic copy of this Mandatory Undertaking to the Contracting Authority </w:t>
      </w:r>
      <w:r w:rsidRPr="00EA0B34">
        <w:rPr>
          <w:rFonts w:eastAsia="Times New Roman" w:cstheme="minorHAnsi"/>
          <w:b/>
          <w:color w:val="404040"/>
          <w:lang w:val="x-none" w:eastAsia="x-none"/>
        </w:rPr>
        <w:t>before the</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Deadline for the Receipt of Application</w:t>
      </w:r>
      <w:r w:rsidRPr="00EA0B34">
        <w:rPr>
          <w:rFonts w:eastAsia="Times New Roman" w:cstheme="minorHAnsi"/>
          <w:color w:val="404040"/>
          <w:lang w:val="x-none" w:eastAsia="x-none"/>
        </w:rPr>
        <w:t>.</w:t>
      </w:r>
    </w:p>
    <w:p w14:paraId="308DF7C4"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06" w:name="_Toc427857083"/>
      <w:bookmarkStart w:id="207" w:name="_Toc427921244"/>
      <w:bookmarkStart w:id="208" w:name="_Toc427933084"/>
      <w:bookmarkStart w:id="209" w:name="_Toc428444241"/>
      <w:bookmarkStart w:id="210" w:name="_Toc440883677"/>
      <w:bookmarkStart w:id="211" w:name="_Toc454277179"/>
      <w:bookmarkStart w:id="212" w:name="_Toc454363089"/>
      <w:bookmarkStart w:id="213" w:name="_Toc455138724"/>
      <w:bookmarkStart w:id="214" w:name="_Toc472066362"/>
      <w:bookmarkStart w:id="215" w:name="_Toc472350209"/>
      <w:bookmarkStart w:id="216" w:name="_Toc528670573"/>
      <w:bookmarkStart w:id="217" w:name="_Toc771538"/>
      <w:bookmarkStart w:id="218" w:name="_Toc2949610"/>
      <w:bookmarkStart w:id="219" w:name="_Toc2949926"/>
      <w:bookmarkStart w:id="220" w:name="_Toc8162491"/>
      <w:bookmarkStart w:id="221" w:name="_Toc11169688"/>
      <w:r w:rsidRPr="00EA0B34">
        <w:rPr>
          <w:rFonts w:eastAsia="Times New Roman" w:cstheme="minorHAnsi"/>
          <w:b/>
          <w:color w:val="404040"/>
          <w:lang w:val="x-none" w:eastAsia="en-US"/>
        </w:rPr>
        <w:t>Authority of Main Contact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166D53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the representative named in the response to this ITT is authorised to act as the contact point on behalf of this Tenderer and all its Relevant Companies in dealings with the Contracting Authority during the Procurement, as set out in this ITT.</w:t>
      </w:r>
    </w:p>
    <w:p w14:paraId="710FB0D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22" w:name="_Toc427857084"/>
      <w:bookmarkStart w:id="223" w:name="_Toc427921245"/>
      <w:bookmarkStart w:id="224" w:name="_Toc427933085"/>
      <w:bookmarkStart w:id="225" w:name="_Toc428444242"/>
      <w:bookmarkStart w:id="226" w:name="_Toc440883678"/>
      <w:bookmarkStart w:id="227" w:name="_Toc454277180"/>
      <w:bookmarkStart w:id="228" w:name="_Toc454363090"/>
      <w:bookmarkStart w:id="229" w:name="_Toc455138725"/>
      <w:bookmarkStart w:id="230" w:name="_Toc472066363"/>
      <w:bookmarkStart w:id="231" w:name="_Toc472350210"/>
      <w:bookmarkStart w:id="232" w:name="_Toc528670574"/>
      <w:bookmarkStart w:id="233" w:name="_Toc771539"/>
      <w:bookmarkStart w:id="234" w:name="_Toc2949611"/>
      <w:bookmarkStart w:id="235" w:name="_Toc2949927"/>
      <w:bookmarkStart w:id="236" w:name="_Toc8162492"/>
      <w:bookmarkStart w:id="237" w:name="_Toc11169689"/>
      <w:r w:rsidRPr="00EA0B34">
        <w:rPr>
          <w:rFonts w:eastAsia="Times New Roman" w:cstheme="minorHAnsi"/>
          <w:b/>
          <w:color w:val="404040"/>
          <w:lang w:val="x-none" w:eastAsia="en-US"/>
        </w:rPr>
        <w:t>Disclaimers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01FF4774" w14:textId="353511D6"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I/we have read and accept the disclaimers set out in the ITT.</w:t>
      </w:r>
    </w:p>
    <w:p w14:paraId="3964D4A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38" w:name="_Toc427857085"/>
      <w:bookmarkStart w:id="239" w:name="_Toc427921246"/>
      <w:bookmarkStart w:id="240" w:name="_Toc427933086"/>
      <w:bookmarkStart w:id="241" w:name="_Toc428444243"/>
      <w:bookmarkStart w:id="242" w:name="_Toc440883679"/>
      <w:bookmarkStart w:id="243" w:name="_Toc454277181"/>
      <w:bookmarkStart w:id="244" w:name="_Toc454363091"/>
      <w:bookmarkStart w:id="245" w:name="_Toc455138726"/>
      <w:bookmarkStart w:id="246" w:name="_Toc472066364"/>
      <w:bookmarkStart w:id="247" w:name="_Toc472350211"/>
      <w:bookmarkStart w:id="248" w:name="_Toc528670575"/>
      <w:bookmarkStart w:id="249" w:name="_Toc771540"/>
      <w:bookmarkStart w:id="250" w:name="_Toc2949612"/>
      <w:bookmarkStart w:id="251" w:name="_Toc2949928"/>
      <w:bookmarkStart w:id="252" w:name="_Toc8162493"/>
      <w:bookmarkStart w:id="253" w:name="_Toc11169690"/>
      <w:r w:rsidRPr="00EA0B34">
        <w:rPr>
          <w:rFonts w:eastAsia="Times New Roman" w:cstheme="minorHAnsi"/>
          <w:b/>
          <w:color w:val="404040"/>
          <w:lang w:val="x-none" w:eastAsia="en-US"/>
        </w:rPr>
        <w:t>Accuracy of response</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C3DF3C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the information supplied is accurate to the best of my/our knowledge. I/We understand and accept that false information could result in exclusion from this procurement process.</w:t>
      </w:r>
    </w:p>
    <w:p w14:paraId="1FBD776D" w14:textId="77777777" w:rsidR="00181F11" w:rsidRPr="00EA0B34" w:rsidRDefault="00181F11" w:rsidP="00181F11">
      <w:pPr>
        <w:spacing w:after="0" w:line="240" w:lineRule="auto"/>
        <w:jc w:val="both"/>
        <w:rPr>
          <w:rFonts w:eastAsia="Times New Roman" w:cstheme="minorHAnsi"/>
          <w:color w:val="404040"/>
        </w:rPr>
      </w:pPr>
    </w:p>
    <w:p w14:paraId="429B668A"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I/we have made no alterations to the questions asked. I/we understand that if it is found that alterations, whether by addition, omission or substitution and whether made purposefully or not, have been made to the questions that I/we may be excluded from further consideration for any Contract to which this procurement process relates.</w:t>
      </w:r>
    </w:p>
    <w:p w14:paraId="5EB9A315" w14:textId="77777777" w:rsidR="00181F11" w:rsidRPr="00EA0B34" w:rsidRDefault="00181F11" w:rsidP="00181F11">
      <w:pPr>
        <w:spacing w:after="0" w:line="240" w:lineRule="auto"/>
        <w:jc w:val="both"/>
        <w:rPr>
          <w:rFonts w:eastAsia="Times New Roman" w:cstheme="minorHAnsi"/>
          <w:color w:val="404040"/>
        </w:rPr>
      </w:pPr>
    </w:p>
    <w:p w14:paraId="12B24C80"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undertake to notify the Contracting Authority as soon as practicable of any changes to any of the information given in response to this </w:t>
      </w:r>
      <w:r>
        <w:rPr>
          <w:rFonts w:eastAsia="Times New Roman" w:cstheme="minorHAnsi"/>
          <w:color w:val="404040"/>
        </w:rPr>
        <w:t>Invitation to Tender or in response to the Selection Questionnaire</w:t>
      </w:r>
      <w:r w:rsidRPr="00EA0B34">
        <w:rPr>
          <w:rFonts w:eastAsia="Times New Roman" w:cstheme="minorHAnsi"/>
          <w:color w:val="404040"/>
        </w:rPr>
        <w:t xml:space="preserve"> that may arise during the Procurement.</w:t>
      </w:r>
    </w:p>
    <w:p w14:paraId="5D2D853E"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54" w:name="_Toc427857086"/>
      <w:bookmarkStart w:id="255" w:name="_Toc427921247"/>
      <w:bookmarkStart w:id="256" w:name="_Toc427933087"/>
      <w:bookmarkStart w:id="257" w:name="_Toc428444244"/>
      <w:bookmarkStart w:id="258" w:name="_Toc440883680"/>
      <w:bookmarkStart w:id="259" w:name="_Toc454277182"/>
      <w:bookmarkStart w:id="260" w:name="_Toc454363092"/>
      <w:bookmarkStart w:id="261" w:name="_Toc455138727"/>
      <w:bookmarkStart w:id="262" w:name="_Toc472066365"/>
      <w:bookmarkStart w:id="263" w:name="_Toc472350212"/>
      <w:bookmarkStart w:id="264" w:name="_Toc528670576"/>
      <w:bookmarkStart w:id="265" w:name="_Toc771541"/>
      <w:bookmarkStart w:id="266" w:name="_Toc2949613"/>
      <w:bookmarkStart w:id="267" w:name="_Toc2949929"/>
      <w:bookmarkStart w:id="268" w:name="_Toc8162494"/>
      <w:bookmarkStart w:id="269" w:name="_Toc11169691"/>
      <w:r w:rsidRPr="00EA0B34">
        <w:rPr>
          <w:rFonts w:eastAsia="Times New Roman" w:cstheme="minorHAnsi"/>
          <w:b/>
          <w:color w:val="404040"/>
          <w:lang w:val="x-none" w:eastAsia="en-US"/>
        </w:rPr>
        <w:t>Gifts and inducements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365D84F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also understand that it is a criminal offence, punishable by imprisonment, to give or offer any gift or consideration whatsoever as an inducement or reward to any servant of a Public Body. I/We also understand that any such action will empower the Contracting Authority to cancel any contract currently in force and will result in exclusion from this procurement process. </w:t>
      </w:r>
    </w:p>
    <w:p w14:paraId="3CC2278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 </w:t>
      </w:r>
    </w:p>
    <w:p w14:paraId="7F746526"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we have made careful enquiry of our respective organisations and are satisfied that no criminal offence and no offer of a gift, consideration, inducement and/or reward to any servant of the Contracting Authority or anyone acting on the Contracting Authority’s behalf has been made in connection with this or any other Contracting Authority procurement. </w:t>
      </w:r>
    </w:p>
    <w:p w14:paraId="2F595898"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70" w:name="_Toc427857087"/>
      <w:bookmarkStart w:id="271" w:name="_Toc427921248"/>
      <w:bookmarkStart w:id="272" w:name="_Toc427933088"/>
      <w:bookmarkStart w:id="273" w:name="_Toc428444245"/>
      <w:bookmarkStart w:id="274" w:name="_Toc440883681"/>
      <w:bookmarkStart w:id="275" w:name="_Toc454277183"/>
      <w:bookmarkStart w:id="276" w:name="_Toc454363093"/>
      <w:bookmarkStart w:id="277" w:name="_Toc455138728"/>
      <w:bookmarkStart w:id="278" w:name="_Toc472066366"/>
      <w:bookmarkStart w:id="279" w:name="_Toc472350213"/>
      <w:bookmarkStart w:id="280" w:name="_Toc528670577"/>
      <w:bookmarkStart w:id="281" w:name="_Toc771542"/>
      <w:bookmarkStart w:id="282" w:name="_Toc2949614"/>
      <w:bookmarkStart w:id="283" w:name="_Toc2949930"/>
      <w:bookmarkStart w:id="284" w:name="_Toc8162495"/>
      <w:bookmarkStart w:id="285" w:name="_Toc11169692"/>
      <w:r w:rsidRPr="00EA0B34">
        <w:rPr>
          <w:rFonts w:eastAsia="Times New Roman" w:cstheme="minorHAnsi"/>
          <w:b/>
          <w:color w:val="404040"/>
          <w:lang w:val="x-none" w:eastAsia="en-US"/>
        </w:rPr>
        <w:t>Canvassing and solicitation</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1A88761"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I/we have not canvassed or solicited any officer or employee of the Contracting Authority or anyone acting on behalf of the Contracting Authority in connection with this pre-qualification process and that no person employed by me/us or acting in my/our behalf has done any such act.</w:t>
      </w:r>
    </w:p>
    <w:p w14:paraId="095E44A5" w14:textId="77777777" w:rsidR="00181F11" w:rsidRPr="00EA0B34" w:rsidRDefault="00181F11" w:rsidP="00181F11">
      <w:pPr>
        <w:spacing w:after="0" w:line="240" w:lineRule="auto"/>
        <w:jc w:val="both"/>
        <w:rPr>
          <w:rFonts w:eastAsia="Times New Roman" w:cstheme="minorHAnsi"/>
          <w:color w:val="404040"/>
        </w:rPr>
      </w:pPr>
    </w:p>
    <w:p w14:paraId="007C2E75"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further hereby undertake that I/we will not in the future canvass or solicit any officer or employee of the Contracting Authority or anyone acting on behalf of the Contracting Authority in </w:t>
      </w:r>
      <w:r w:rsidRPr="00EA0B34">
        <w:rPr>
          <w:rFonts w:eastAsia="Times New Roman" w:cstheme="minorHAnsi"/>
          <w:color w:val="404040"/>
        </w:rPr>
        <w:lastRenderedPageBreak/>
        <w:t>connection with this pre-qualification process and that no person employed by me/us or acting in my/our behalf will do any such act.</w:t>
      </w:r>
    </w:p>
    <w:p w14:paraId="370F010B"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86" w:name="_Toc427857088"/>
      <w:bookmarkStart w:id="287" w:name="_Toc427921249"/>
      <w:bookmarkStart w:id="288" w:name="_Toc427933089"/>
      <w:bookmarkStart w:id="289" w:name="_Toc428444246"/>
      <w:bookmarkStart w:id="290" w:name="_Toc440883682"/>
      <w:bookmarkStart w:id="291" w:name="_Toc454277184"/>
      <w:bookmarkStart w:id="292" w:name="_Toc454363094"/>
      <w:bookmarkStart w:id="293" w:name="_Toc455138729"/>
      <w:bookmarkStart w:id="294" w:name="_Toc472066367"/>
      <w:bookmarkStart w:id="295" w:name="_Toc472350214"/>
      <w:bookmarkStart w:id="296" w:name="_Toc528670578"/>
      <w:bookmarkStart w:id="297" w:name="_Toc771543"/>
      <w:bookmarkStart w:id="298" w:name="_Toc2949615"/>
      <w:bookmarkStart w:id="299" w:name="_Toc2949931"/>
      <w:bookmarkStart w:id="300" w:name="_Toc8162496"/>
      <w:bookmarkStart w:id="301" w:name="_Toc11169693"/>
      <w:r w:rsidRPr="00EA0B34">
        <w:rPr>
          <w:rFonts w:eastAsia="Times New Roman" w:cstheme="minorHAnsi"/>
          <w:b/>
          <w:color w:val="404040"/>
          <w:lang w:val="x-none" w:eastAsia="en-US"/>
        </w:rPr>
        <w:t>Bribery</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5A7C1DC"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offer or agree to pay or give, or pay or give any sum of money, inducement of valuable consideration directly or indirectly to any person or have done so or cause or have caused to be done in relation to any other response to this pre-qualification process any such act or omission.</w:t>
      </w:r>
    </w:p>
    <w:p w14:paraId="1FC50970"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02" w:name="_Toc427857089"/>
      <w:bookmarkStart w:id="303" w:name="_Toc427921250"/>
      <w:bookmarkStart w:id="304" w:name="_Toc427933090"/>
      <w:bookmarkStart w:id="305" w:name="_Toc428444247"/>
      <w:bookmarkStart w:id="306" w:name="_Toc440883683"/>
      <w:bookmarkStart w:id="307" w:name="_Toc454277185"/>
      <w:bookmarkStart w:id="308" w:name="_Toc454363095"/>
      <w:bookmarkStart w:id="309" w:name="_Toc455138730"/>
      <w:bookmarkStart w:id="310" w:name="_Toc472066368"/>
      <w:bookmarkStart w:id="311" w:name="_Toc472350215"/>
      <w:bookmarkStart w:id="312" w:name="_Toc528670579"/>
      <w:bookmarkStart w:id="313" w:name="_Toc771544"/>
      <w:bookmarkStart w:id="314" w:name="_Toc2949616"/>
      <w:bookmarkStart w:id="315" w:name="_Toc2949932"/>
      <w:bookmarkStart w:id="316" w:name="_Toc8162497"/>
      <w:bookmarkStart w:id="317" w:name="_Toc11169694"/>
      <w:r w:rsidRPr="00EA0B34">
        <w:rPr>
          <w:rFonts w:eastAsia="Times New Roman" w:cstheme="minorHAnsi"/>
          <w:b/>
          <w:color w:val="404040"/>
          <w:lang w:val="x-none" w:eastAsia="en-US"/>
        </w:rPr>
        <w:t>Collusion</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6507D27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enter into any agreement or arrangement with any other person that he/she shall refrain from participating in this pre-qualification process.</w:t>
      </w:r>
    </w:p>
    <w:p w14:paraId="78223C0D" w14:textId="77777777" w:rsidR="00181F11" w:rsidRPr="00EA0B34" w:rsidRDefault="00181F11" w:rsidP="00181F11">
      <w:pPr>
        <w:spacing w:after="0" w:line="240" w:lineRule="auto"/>
        <w:jc w:val="both"/>
        <w:rPr>
          <w:rFonts w:eastAsia="Times New Roman" w:cstheme="minorHAnsi"/>
          <w:color w:val="404040"/>
        </w:rPr>
      </w:pPr>
    </w:p>
    <w:p w14:paraId="5466C59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also undertake that I/we will not at any time discuss with any other person any aspect of our response, and as evidenced below have procured this same undertaking from the Relevant Companies.</w:t>
      </w:r>
    </w:p>
    <w:p w14:paraId="05B73043"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18" w:name="_Toc427857090"/>
      <w:bookmarkStart w:id="319" w:name="_Toc427921251"/>
      <w:bookmarkStart w:id="320" w:name="_Toc427933091"/>
      <w:bookmarkStart w:id="321" w:name="_Toc428444248"/>
      <w:bookmarkStart w:id="322" w:name="_Toc440883684"/>
      <w:bookmarkStart w:id="323" w:name="_Toc454277186"/>
      <w:bookmarkStart w:id="324" w:name="_Toc454363096"/>
      <w:bookmarkStart w:id="325" w:name="_Toc455138731"/>
      <w:bookmarkStart w:id="326" w:name="_Toc472066369"/>
      <w:bookmarkStart w:id="327" w:name="_Toc472350216"/>
      <w:bookmarkStart w:id="328" w:name="_Toc528670580"/>
      <w:bookmarkStart w:id="329" w:name="_Toc771545"/>
      <w:bookmarkStart w:id="330" w:name="_Toc2949617"/>
      <w:bookmarkStart w:id="331" w:name="_Toc2949933"/>
      <w:bookmarkStart w:id="332" w:name="_Toc8162498"/>
      <w:bookmarkStart w:id="333" w:name="_Toc11169695"/>
      <w:r w:rsidRPr="00EA0B34">
        <w:rPr>
          <w:rFonts w:eastAsia="Times New Roman" w:cstheme="minorHAnsi"/>
          <w:b/>
          <w:color w:val="404040"/>
          <w:lang w:val="x-none" w:eastAsia="en-US"/>
        </w:rPr>
        <w:t>Eligibility to engage in a public contract</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5FC33E39"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none of the grounds set out in regulation 57 of the PCR apply, other than those declared in response to questions in the </w:t>
      </w:r>
      <w:r>
        <w:rPr>
          <w:rFonts w:eastAsia="Times New Roman" w:cstheme="minorHAnsi"/>
          <w:color w:val="404040"/>
        </w:rPr>
        <w:t>SQ response</w:t>
      </w:r>
      <w:r w:rsidRPr="00EA0B34">
        <w:rPr>
          <w:rFonts w:eastAsia="Times New Roman" w:cstheme="minorHAnsi"/>
          <w:color w:val="404040"/>
        </w:rPr>
        <w:t>.</w:t>
      </w:r>
    </w:p>
    <w:p w14:paraId="60370046"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34" w:name="_Toc427857091"/>
      <w:bookmarkStart w:id="335" w:name="_Toc427921252"/>
      <w:bookmarkStart w:id="336" w:name="_Toc427933092"/>
      <w:bookmarkStart w:id="337" w:name="_Toc428444249"/>
      <w:bookmarkStart w:id="338" w:name="_Toc440883685"/>
      <w:bookmarkStart w:id="339" w:name="_Toc454277187"/>
      <w:bookmarkStart w:id="340" w:name="_Toc454363097"/>
      <w:bookmarkStart w:id="341" w:name="_Toc455138732"/>
      <w:bookmarkStart w:id="342" w:name="_Toc472066370"/>
      <w:bookmarkStart w:id="343" w:name="_Toc472350217"/>
      <w:bookmarkStart w:id="344" w:name="_Toc528670581"/>
      <w:bookmarkStart w:id="345" w:name="_Toc771546"/>
      <w:bookmarkStart w:id="346" w:name="_Toc2949618"/>
      <w:bookmarkStart w:id="347" w:name="_Toc2949934"/>
      <w:bookmarkStart w:id="348" w:name="_Toc8162499"/>
      <w:bookmarkStart w:id="349" w:name="_Toc11169696"/>
      <w:r w:rsidRPr="00EA0B34">
        <w:rPr>
          <w:rFonts w:eastAsia="Times New Roman" w:cstheme="minorHAnsi"/>
          <w:b/>
          <w:color w:val="404040"/>
          <w:lang w:val="x-none" w:eastAsia="en-US"/>
        </w:rPr>
        <w:t>Conflicts of Interest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912690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Having made comprehensive enquiries of our organisation (including the Relevant Companies) we are not aware of any actual or potential conflict of interest, whether professional, commercial or other conflict of interest nor to the best of our knowledge is there likely to be a conflict of interest should the Tenderer or any Relevant Company be invited to enter into a contract with the Contracting Authority in relation to the Project.</w:t>
      </w:r>
    </w:p>
    <w:p w14:paraId="12540517"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50" w:name="_Toc427857092"/>
      <w:bookmarkStart w:id="351" w:name="_Toc427921253"/>
      <w:bookmarkStart w:id="352" w:name="_Toc427933093"/>
      <w:bookmarkStart w:id="353" w:name="_Toc428444250"/>
      <w:bookmarkStart w:id="354" w:name="_Toc440883686"/>
      <w:bookmarkStart w:id="355" w:name="_Toc454277188"/>
      <w:bookmarkStart w:id="356" w:name="_Toc454363098"/>
      <w:bookmarkStart w:id="357" w:name="_Toc455138733"/>
      <w:bookmarkStart w:id="358" w:name="_Toc472066371"/>
      <w:bookmarkStart w:id="359" w:name="_Toc472350218"/>
      <w:bookmarkStart w:id="360" w:name="_Toc528670582"/>
      <w:bookmarkStart w:id="361" w:name="_Toc771547"/>
      <w:bookmarkStart w:id="362" w:name="_Toc2949619"/>
      <w:bookmarkStart w:id="363" w:name="_Toc2949935"/>
      <w:bookmarkStart w:id="364" w:name="_Toc8162500"/>
      <w:bookmarkStart w:id="365" w:name="_Toc11169697"/>
      <w:r w:rsidRPr="00EA0B34">
        <w:rPr>
          <w:rFonts w:eastAsia="Times New Roman" w:cstheme="minorHAnsi"/>
          <w:b/>
          <w:color w:val="404040"/>
          <w:lang w:val="x-none" w:eastAsia="en-US"/>
        </w:rPr>
        <w:t>No Marketing Rights</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3C540B2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have not and will not do any of the following and we will procure that our subcontractors, agents, advisors and/or representations do not do any of the following:</w:t>
      </w:r>
    </w:p>
    <w:p w14:paraId="7F3C1800" w14:textId="77777777" w:rsidR="00181F11" w:rsidRPr="00EA0B34" w:rsidRDefault="00181F11" w:rsidP="00181F11">
      <w:pPr>
        <w:spacing w:after="0" w:line="240" w:lineRule="auto"/>
        <w:contextualSpacing/>
        <w:jc w:val="both"/>
        <w:rPr>
          <w:rFonts w:eastAsia="Times New Roman" w:cstheme="minorHAnsi"/>
          <w:color w:val="404040"/>
          <w:lang w:val="x-none" w:eastAsia="x-none"/>
        </w:rPr>
      </w:pPr>
    </w:p>
    <w:p w14:paraId="3F71B37B"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Make a public statement or communicate in any form with the media in connection with this Procurement without first obtaining the prior written consent of the Contracting Authority;</w:t>
      </w:r>
    </w:p>
    <w:p w14:paraId="07FF5CB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Use any trademarks, logos or other intellectual property rights associated with the Games, QEOP or the Stakeholders;</w:t>
      </w:r>
    </w:p>
    <w:p w14:paraId="6A94829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Represent that the Tenderer or any Relevant Company is directly or indirectly associated in any way with the Games, the Contracting Authority or that its or their respective products and/or services are in any way endorsed by any Stakeholders; or</w:t>
      </w:r>
    </w:p>
    <w:p w14:paraId="5E62B7D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Engage in any form of ambush marketing or marketing which creates or implies or refers to an association between the Tenderer, the Relevant Companies and or the Games;</w:t>
      </w:r>
    </w:p>
    <w:p w14:paraId="0C339CE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unless such action is expressly approved in writing by the Contracting Authority prior to such action taking place.  </w:t>
      </w:r>
    </w:p>
    <w:p w14:paraId="3317360A"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66" w:name="_Toc427857093"/>
      <w:bookmarkStart w:id="367" w:name="_Toc427921254"/>
      <w:bookmarkStart w:id="368" w:name="_Toc427933094"/>
      <w:bookmarkStart w:id="369" w:name="_Toc428444251"/>
      <w:bookmarkStart w:id="370" w:name="_Toc440883687"/>
      <w:bookmarkStart w:id="371" w:name="_Toc454277189"/>
      <w:bookmarkStart w:id="372" w:name="_Toc454363099"/>
      <w:bookmarkStart w:id="373" w:name="_Toc455138734"/>
      <w:bookmarkStart w:id="374" w:name="_Toc472066372"/>
      <w:bookmarkStart w:id="375" w:name="_Toc472350219"/>
      <w:bookmarkStart w:id="376" w:name="_Toc528670583"/>
      <w:bookmarkStart w:id="377" w:name="_Toc771548"/>
      <w:bookmarkStart w:id="378" w:name="_Toc2949620"/>
      <w:bookmarkStart w:id="379" w:name="_Toc2949936"/>
      <w:bookmarkStart w:id="380" w:name="_Toc8162501"/>
      <w:bookmarkStart w:id="381" w:name="_Toc11169698"/>
      <w:r w:rsidRPr="00166534">
        <w:rPr>
          <w:rFonts w:eastAsia="Times New Roman" w:cstheme="minorHAnsi"/>
          <w:b/>
          <w:color w:val="404040"/>
          <w:lang w:val="x-none" w:eastAsia="en-US"/>
        </w:rPr>
        <w:t>Confidentiality</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1C80FB98" w14:textId="77777777" w:rsidR="00181F11"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I/We undertake to execute and be bound by the terms of the Confidentiality Undertaking </w:t>
      </w:r>
      <w:r>
        <w:rPr>
          <w:rFonts w:eastAsia="Times New Roman" w:cstheme="minorHAnsi"/>
          <w:color w:val="404040"/>
        </w:rPr>
        <w:t>agreed on the Procurement Portal</w:t>
      </w:r>
      <w:r w:rsidRPr="00166534">
        <w:rPr>
          <w:rFonts w:eastAsia="Times New Roman" w:cstheme="minorHAnsi"/>
          <w:color w:val="404040"/>
        </w:rPr>
        <w:t>.</w:t>
      </w:r>
    </w:p>
    <w:p w14:paraId="1B40C785"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 </w:t>
      </w:r>
    </w:p>
    <w:p w14:paraId="1F32EFDE"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I/We acknowledge that the Contracting Authority may in its discretion publish the content of this ITT and any other documents issued by the Contracting Authority as part of this procurement process, including the full terms of any contract entered into as a result of this procurement process, to the general public.</w:t>
      </w:r>
    </w:p>
    <w:p w14:paraId="0028D41F"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82" w:name="_Toc427857094"/>
      <w:bookmarkStart w:id="383" w:name="_Toc427921255"/>
      <w:bookmarkStart w:id="384" w:name="_Toc427933095"/>
      <w:bookmarkStart w:id="385" w:name="_Toc428444252"/>
      <w:bookmarkStart w:id="386" w:name="_Toc440883688"/>
      <w:bookmarkStart w:id="387" w:name="_Toc454277190"/>
      <w:bookmarkStart w:id="388" w:name="_Toc454363100"/>
      <w:bookmarkStart w:id="389" w:name="_Toc455138735"/>
      <w:bookmarkStart w:id="390" w:name="_Toc472066373"/>
      <w:bookmarkStart w:id="391" w:name="_Toc472350220"/>
      <w:bookmarkStart w:id="392" w:name="_Toc528670584"/>
      <w:bookmarkStart w:id="393" w:name="_Toc771549"/>
      <w:bookmarkStart w:id="394" w:name="_Toc2949621"/>
      <w:bookmarkStart w:id="395" w:name="_Toc2949937"/>
      <w:bookmarkStart w:id="396" w:name="_Toc8162502"/>
      <w:bookmarkStart w:id="397" w:name="_Toc11169699"/>
      <w:r w:rsidRPr="00166534">
        <w:rPr>
          <w:rFonts w:eastAsia="Times New Roman" w:cstheme="minorHAnsi"/>
          <w:b/>
          <w:color w:val="404040"/>
          <w:lang w:val="x-none" w:eastAsia="en-US"/>
        </w:rPr>
        <w:lastRenderedPageBreak/>
        <w:t>Warranty</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395E4CC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We accept and agree that the Contracting Authority will only consider our Tender </w:t>
      </w:r>
      <w:proofErr w:type="gramStart"/>
      <w:r w:rsidRPr="00EA0B34">
        <w:rPr>
          <w:rFonts w:eastAsia="Times New Roman" w:cstheme="minorHAnsi"/>
          <w:color w:val="404040"/>
        </w:rPr>
        <w:t>on the basis of</w:t>
      </w:r>
      <w:proofErr w:type="gramEnd"/>
      <w:r w:rsidRPr="00EA0B34">
        <w:rPr>
          <w:rFonts w:eastAsia="Times New Roman" w:cstheme="minorHAnsi"/>
          <w:color w:val="404040"/>
        </w:rPr>
        <w:t xml:space="preserve"> this Mandatory Undertaking and we acknowledge that the Contracting Authority will rely on this Mandatory Undertaking.  We the undersigned confirm that the Mandatory Undertaking is true and accurate and reflects our honestly held beliefs at the date of this Undertaking and if circumstances change such that the undertakings set out in this Mandatory Undertaking can no longer be honoured by any of us, we will immediately notify the Contracting Authority.</w:t>
      </w:r>
    </w:p>
    <w:p w14:paraId="3CE8DF46" w14:textId="77777777" w:rsidR="00181F11" w:rsidRPr="00EA0B34" w:rsidRDefault="00181F11" w:rsidP="00181F11">
      <w:pPr>
        <w:spacing w:after="0" w:line="240" w:lineRule="auto"/>
        <w:jc w:val="both"/>
        <w:rPr>
          <w:rFonts w:eastAsia="Times New Roman" w:cstheme="minorHAnsi"/>
          <w:color w:val="404040"/>
        </w:rPr>
      </w:pPr>
    </w:p>
    <w:p w14:paraId="4CCA4969" w14:textId="77777777" w:rsidR="00181F11" w:rsidRPr="00D03166" w:rsidRDefault="00181F11" w:rsidP="00181F11">
      <w:pPr>
        <w:pStyle w:val="Body"/>
        <w:rPr>
          <w:rFonts w:asciiTheme="minorHAnsi" w:hAnsiTheme="minorHAnsi" w:cstheme="minorHAnsi"/>
          <w:sz w:val="22"/>
          <w:szCs w:val="22"/>
        </w:rPr>
      </w:pPr>
      <w:r w:rsidRPr="00AA4B34">
        <w:rPr>
          <w:rFonts w:asciiTheme="minorHAnsi" w:hAnsiTheme="minorHAnsi" w:cstheme="minorHAnsi"/>
          <w:sz w:val="22"/>
          <w:szCs w:val="22"/>
        </w:rPr>
        <w:t>Signed by</w:t>
      </w:r>
      <w:r w:rsidRPr="00D03166">
        <w:rPr>
          <w:rFonts w:asciiTheme="minorHAnsi" w:hAnsiTheme="minorHAnsi" w:cstheme="minorHAnsi"/>
          <w:sz w:val="22"/>
          <w:szCs w:val="22"/>
        </w:rPr>
        <w:t xml:space="preserve"> or on behalf of </w:t>
      </w:r>
      <w:r>
        <w:rPr>
          <w:rFonts w:asciiTheme="minorHAnsi" w:hAnsiTheme="minorHAnsi" w:cstheme="minorHAnsi"/>
          <w:sz w:val="22"/>
          <w:szCs w:val="22"/>
        </w:rPr>
        <w:t>the Tenderer</w:t>
      </w:r>
      <w:r w:rsidRPr="00D03166">
        <w:rPr>
          <w:rFonts w:asciiTheme="minorHAnsi" w:hAnsiTheme="minorHAnsi" w:cstheme="minorHAnsi"/>
          <w:sz w:val="22"/>
          <w:szCs w:val="22"/>
        </w:rPr>
        <w:t>.</w:t>
      </w:r>
    </w:p>
    <w:p w14:paraId="076F17D7" w14:textId="77777777" w:rsidR="00181F11" w:rsidRPr="00D03166" w:rsidRDefault="00181F11" w:rsidP="00181F11">
      <w:pPr>
        <w:pStyle w:val="Body"/>
        <w:rPr>
          <w:rFonts w:asciiTheme="minorHAnsi" w:hAnsiTheme="minorHAnsi" w:cstheme="minorHAnsi"/>
          <w:sz w:val="22"/>
          <w:szCs w:val="22"/>
        </w:rPr>
      </w:pPr>
      <w:proofErr w:type="spellStart"/>
      <w:r w:rsidRPr="00D03166">
        <w:rPr>
          <w:rFonts w:asciiTheme="minorHAnsi" w:hAnsiTheme="minorHAnsi" w:cstheme="minorHAnsi"/>
          <w:sz w:val="22"/>
          <w:szCs w:val="22"/>
        </w:rPr>
        <w:t>Authorised</w:t>
      </w:r>
      <w:proofErr w:type="spellEnd"/>
      <w:r w:rsidRPr="00D03166">
        <w:rPr>
          <w:rFonts w:asciiTheme="minorHAnsi" w:hAnsiTheme="minorHAnsi" w:cstheme="minorHAnsi"/>
          <w:sz w:val="22"/>
          <w:szCs w:val="22"/>
        </w:rPr>
        <w:t xml:space="preserve"> Signatory</w:t>
      </w:r>
    </w:p>
    <w:p w14:paraId="4BF24CA6" w14:textId="77777777" w:rsidR="00181F11" w:rsidRPr="00D03166" w:rsidRDefault="00181F11" w:rsidP="00181F11">
      <w:pPr>
        <w:pStyle w:val="Body"/>
        <w:rPr>
          <w:rFonts w:asciiTheme="minorHAnsi" w:hAnsiTheme="minorHAnsi" w:cstheme="minorHAnsi"/>
          <w:sz w:val="22"/>
          <w:szCs w:val="22"/>
        </w:rPr>
      </w:pPr>
      <w:r>
        <w:t>……………………………………………………………</w:t>
      </w:r>
      <w:r>
        <w:tab/>
      </w:r>
      <w:r w:rsidRPr="00D03166">
        <w:rPr>
          <w:rFonts w:asciiTheme="minorHAnsi" w:hAnsiTheme="minorHAnsi" w:cstheme="minorHAnsi"/>
          <w:sz w:val="22"/>
          <w:szCs w:val="22"/>
        </w:rPr>
        <w:tab/>
      </w:r>
    </w:p>
    <w:p w14:paraId="29736954" w14:textId="77777777" w:rsidR="00181F11" w:rsidRPr="00D03166" w:rsidRDefault="00181F11" w:rsidP="00181F11">
      <w:pPr>
        <w:pStyle w:val="Body"/>
        <w:rPr>
          <w:rFonts w:asciiTheme="minorHAnsi" w:hAnsiTheme="minorHAnsi" w:cstheme="minorHAnsi"/>
          <w:sz w:val="22"/>
          <w:szCs w:val="22"/>
        </w:rPr>
      </w:pPr>
      <w:r w:rsidRPr="00D03166">
        <w:rPr>
          <w:rFonts w:asciiTheme="minorHAnsi" w:hAnsiTheme="minorHAnsi" w:cstheme="minorHAnsi"/>
          <w:sz w:val="22"/>
          <w:szCs w:val="22"/>
        </w:rPr>
        <w:t>Director</w:t>
      </w:r>
    </w:p>
    <w:p w14:paraId="4B9C7A01" w14:textId="77777777" w:rsidR="00181F11" w:rsidRDefault="00181F11" w:rsidP="00181F11">
      <w:pPr>
        <w:jc w:val="both"/>
      </w:pPr>
      <w:r>
        <w:t xml:space="preserve">Name: </w:t>
      </w:r>
      <w:r w:rsidRPr="00E543C5">
        <w:rPr>
          <w:color w:val="FF0000"/>
        </w:rPr>
        <w:t xml:space="preserve">&lt;&lt;insert </w:t>
      </w:r>
      <w:r>
        <w:rPr>
          <w:color w:val="FF0000"/>
        </w:rPr>
        <w:t>full name of signatory</w:t>
      </w:r>
      <w:r w:rsidRPr="00E543C5">
        <w:rPr>
          <w:color w:val="FF0000"/>
        </w:rPr>
        <w:t>&gt;&gt;</w:t>
      </w:r>
    </w:p>
    <w:p w14:paraId="4D0164EF" w14:textId="77777777" w:rsidR="00181F11" w:rsidRDefault="00181F11" w:rsidP="00181F11">
      <w:pPr>
        <w:jc w:val="both"/>
      </w:pPr>
      <w:r>
        <w:t xml:space="preserve">Title: </w:t>
      </w:r>
      <w:r w:rsidRPr="00E543C5">
        <w:rPr>
          <w:color w:val="FF0000"/>
        </w:rPr>
        <w:t xml:space="preserve">&lt;&lt;insert </w:t>
      </w:r>
      <w:r>
        <w:rPr>
          <w:color w:val="FF0000"/>
        </w:rPr>
        <w:t>job title of signatory</w:t>
      </w:r>
      <w:r w:rsidRPr="00E543C5">
        <w:rPr>
          <w:color w:val="FF0000"/>
        </w:rPr>
        <w:t>&gt;&gt;</w:t>
      </w:r>
    </w:p>
    <w:p w14:paraId="498A063B" w14:textId="77777777" w:rsidR="00181F11" w:rsidRPr="00EA0B34" w:rsidRDefault="00181F11" w:rsidP="00181F11">
      <w:pPr>
        <w:spacing w:after="0" w:line="240" w:lineRule="auto"/>
        <w:jc w:val="both"/>
        <w:rPr>
          <w:rFonts w:eastAsia="Times New Roman" w:cstheme="minorHAnsi"/>
        </w:rPr>
      </w:pPr>
    </w:p>
    <w:p w14:paraId="4F1DE45E" w14:textId="77777777" w:rsidR="00181F11" w:rsidRPr="00EA0B34" w:rsidRDefault="00181F11" w:rsidP="00181F11">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(Tenderer)</w:t>
      </w:r>
    </w:p>
    <w:p w14:paraId="400DA966" w14:textId="77777777" w:rsidR="00181F11" w:rsidRPr="00EA0B34" w:rsidRDefault="00181F11" w:rsidP="00181F11">
      <w:pPr>
        <w:spacing w:after="0" w:line="240" w:lineRule="auto"/>
        <w:jc w:val="both"/>
        <w:rPr>
          <w:rFonts w:eastAsia="Times New Roman" w:cstheme="minorHAnsi"/>
        </w:rPr>
      </w:pPr>
    </w:p>
    <w:p w14:paraId="672895C1"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1B05F5F1" w14:textId="77777777" w:rsidR="00181F11" w:rsidRPr="00EA0B34" w:rsidRDefault="00181F11" w:rsidP="00181F11">
      <w:pPr>
        <w:spacing w:after="0" w:line="240" w:lineRule="auto"/>
        <w:jc w:val="both"/>
        <w:rPr>
          <w:rFonts w:eastAsia="Times New Roman" w:cstheme="minorHAnsi"/>
        </w:rPr>
      </w:pPr>
    </w:p>
    <w:p w14:paraId="4EB8D672"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2407C096" w14:textId="77777777" w:rsidR="00181F11" w:rsidRPr="00EA0B34" w:rsidRDefault="00181F11" w:rsidP="00181F11">
      <w:pPr>
        <w:spacing w:after="0" w:line="240" w:lineRule="auto"/>
        <w:jc w:val="both"/>
        <w:rPr>
          <w:rFonts w:eastAsia="Times New Roman" w:cstheme="minorHAnsi"/>
        </w:rPr>
      </w:pPr>
    </w:p>
    <w:p w14:paraId="1C3E1192" w14:textId="4FFA0CAB" w:rsidR="00181F11" w:rsidRPr="00EA0B34" w:rsidRDefault="00181F11" w:rsidP="00904AEA">
      <w:pPr>
        <w:spacing w:after="0" w:line="240" w:lineRule="auto"/>
        <w:jc w:val="both"/>
        <w:rPr>
          <w:rFonts w:eastAsia="Times New Roman" w:cstheme="minorHAnsi"/>
          <w:color w:val="404040"/>
          <w:u w:val="single"/>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48090657" w14:textId="77777777" w:rsidR="00181F11" w:rsidRDefault="00181F11" w:rsidP="001F775D">
      <w:pPr>
        <w:spacing w:after="0" w:line="240" w:lineRule="auto"/>
        <w:ind w:left="284"/>
        <w:rPr>
          <w:rFonts w:ascii="Calibri" w:hAnsi="Calibri"/>
        </w:rPr>
      </w:pPr>
    </w:p>
    <w:sectPr w:rsidR="00181F11" w:rsidSect="00D16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CEAAC" w14:textId="77777777" w:rsidR="00A6122F" w:rsidRDefault="00A6122F">
      <w:pPr>
        <w:spacing w:after="0" w:line="240" w:lineRule="auto"/>
      </w:pPr>
      <w:r>
        <w:separator/>
      </w:r>
    </w:p>
  </w:endnote>
  <w:endnote w:type="continuationSeparator" w:id="0">
    <w:p w14:paraId="6DC1E2DD" w14:textId="77777777" w:rsidR="00A6122F" w:rsidRDefault="00A6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E58C" w14:textId="6F2FDBF4"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262F29">
      <w:rPr>
        <w:rStyle w:val="PageNumber"/>
        <w:rFonts w:asciiTheme="majorHAnsi" w:hAnsiTheme="majorHAnsi"/>
        <w:noProof/>
        <w:sz w:val="14"/>
        <w:szCs w:val="14"/>
      </w:rPr>
      <w:t>3</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72372" w14:textId="77777777" w:rsidR="00A6122F" w:rsidRDefault="00A6122F">
      <w:pPr>
        <w:spacing w:after="0" w:line="240" w:lineRule="auto"/>
      </w:pPr>
      <w:r>
        <w:separator/>
      </w:r>
    </w:p>
  </w:footnote>
  <w:footnote w:type="continuationSeparator" w:id="0">
    <w:p w14:paraId="09848197" w14:textId="77777777" w:rsidR="00A6122F" w:rsidRDefault="00A61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D91A" w14:textId="12359844"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8" w15:restartNumberingAfterBreak="0">
    <w:nsid w:val="43932D17"/>
    <w:multiLevelType w:val="hybridMultilevel"/>
    <w:tmpl w:val="B9044E50"/>
    <w:lvl w:ilvl="0" w:tplc="5BEA8A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7"/>
  </w:num>
  <w:num w:numId="3">
    <w:abstractNumId w:val="16"/>
  </w:num>
  <w:num w:numId="4">
    <w:abstractNumId w:val="22"/>
  </w:num>
  <w:num w:numId="5">
    <w:abstractNumId w:val="4"/>
  </w:num>
  <w:num w:numId="6">
    <w:abstractNumId w:val="2"/>
  </w:num>
  <w:num w:numId="7">
    <w:abstractNumId w:val="7"/>
  </w:num>
  <w:num w:numId="8">
    <w:abstractNumId w:val="11"/>
  </w:num>
  <w:num w:numId="9">
    <w:abstractNumId w:val="14"/>
  </w:num>
  <w:num w:numId="10">
    <w:abstractNumId w:val="12"/>
  </w:num>
  <w:num w:numId="11">
    <w:abstractNumId w:val="3"/>
  </w:num>
  <w:num w:numId="12">
    <w:abstractNumId w:val="21"/>
  </w:num>
  <w:num w:numId="13">
    <w:abstractNumId w:val="9"/>
  </w:num>
  <w:num w:numId="14">
    <w:abstractNumId w:val="19"/>
  </w:num>
  <w:num w:numId="15">
    <w:abstractNumId w:val="15"/>
  </w:num>
  <w:num w:numId="16">
    <w:abstractNumId w:val="0"/>
  </w:num>
  <w:num w:numId="17">
    <w:abstractNumId w:val="6"/>
  </w:num>
  <w:num w:numId="18">
    <w:abstractNumId w:val="13"/>
  </w:num>
  <w:num w:numId="19">
    <w:abstractNumId w:val="10"/>
  </w:num>
  <w:num w:numId="20">
    <w:abstractNumId w:val="18"/>
  </w:num>
  <w:num w:numId="21">
    <w:abstractNumId w:val="1"/>
  </w:num>
  <w:num w:numId="22">
    <w:abstractNumId w:val="20"/>
  </w:num>
  <w:num w:numId="2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8"/>
    <w:rsid w:val="00001EFB"/>
    <w:rsid w:val="00002983"/>
    <w:rsid w:val="0000377B"/>
    <w:rsid w:val="000053CA"/>
    <w:rsid w:val="00005EF4"/>
    <w:rsid w:val="00011D75"/>
    <w:rsid w:val="00016620"/>
    <w:rsid w:val="0001743C"/>
    <w:rsid w:val="00017990"/>
    <w:rsid w:val="000250FD"/>
    <w:rsid w:val="00025C80"/>
    <w:rsid w:val="00040815"/>
    <w:rsid w:val="00040BC5"/>
    <w:rsid w:val="00042776"/>
    <w:rsid w:val="00043E08"/>
    <w:rsid w:val="00047316"/>
    <w:rsid w:val="00047AB1"/>
    <w:rsid w:val="0005192B"/>
    <w:rsid w:val="00053A4F"/>
    <w:rsid w:val="00055F56"/>
    <w:rsid w:val="00056E32"/>
    <w:rsid w:val="00057489"/>
    <w:rsid w:val="00062A1A"/>
    <w:rsid w:val="00064337"/>
    <w:rsid w:val="000654BD"/>
    <w:rsid w:val="00071F0F"/>
    <w:rsid w:val="00082B0E"/>
    <w:rsid w:val="000830A1"/>
    <w:rsid w:val="00085448"/>
    <w:rsid w:val="0008668B"/>
    <w:rsid w:val="00095AF8"/>
    <w:rsid w:val="0009790C"/>
    <w:rsid w:val="000A2D6B"/>
    <w:rsid w:val="000A3377"/>
    <w:rsid w:val="000A3CF8"/>
    <w:rsid w:val="000A3EB3"/>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100363"/>
    <w:rsid w:val="0010188C"/>
    <w:rsid w:val="00103AE8"/>
    <w:rsid w:val="001041E6"/>
    <w:rsid w:val="0010522A"/>
    <w:rsid w:val="00125E0F"/>
    <w:rsid w:val="00125F88"/>
    <w:rsid w:val="00126C31"/>
    <w:rsid w:val="00130955"/>
    <w:rsid w:val="001347A6"/>
    <w:rsid w:val="00134ED5"/>
    <w:rsid w:val="00136A62"/>
    <w:rsid w:val="00136E2B"/>
    <w:rsid w:val="00137404"/>
    <w:rsid w:val="00140321"/>
    <w:rsid w:val="00141511"/>
    <w:rsid w:val="00141BE9"/>
    <w:rsid w:val="00143B3E"/>
    <w:rsid w:val="00144298"/>
    <w:rsid w:val="00146227"/>
    <w:rsid w:val="00163A32"/>
    <w:rsid w:val="0016567F"/>
    <w:rsid w:val="001667A9"/>
    <w:rsid w:val="00166B59"/>
    <w:rsid w:val="00175F28"/>
    <w:rsid w:val="00177C2C"/>
    <w:rsid w:val="00181716"/>
    <w:rsid w:val="00181F11"/>
    <w:rsid w:val="00190871"/>
    <w:rsid w:val="00191FD6"/>
    <w:rsid w:val="00192E80"/>
    <w:rsid w:val="00193E93"/>
    <w:rsid w:val="00197F8A"/>
    <w:rsid w:val="001A1B0E"/>
    <w:rsid w:val="001A7DBA"/>
    <w:rsid w:val="001B7509"/>
    <w:rsid w:val="001C18F8"/>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1C38"/>
    <w:rsid w:val="002166D8"/>
    <w:rsid w:val="00216A24"/>
    <w:rsid w:val="0021712D"/>
    <w:rsid w:val="00220D40"/>
    <w:rsid w:val="00223D20"/>
    <w:rsid w:val="0023083B"/>
    <w:rsid w:val="002337EA"/>
    <w:rsid w:val="00235439"/>
    <w:rsid w:val="00236630"/>
    <w:rsid w:val="00236BC0"/>
    <w:rsid w:val="002502AF"/>
    <w:rsid w:val="00250D28"/>
    <w:rsid w:val="00254CA0"/>
    <w:rsid w:val="00257A2D"/>
    <w:rsid w:val="00262955"/>
    <w:rsid w:val="00262F29"/>
    <w:rsid w:val="002708AB"/>
    <w:rsid w:val="00270965"/>
    <w:rsid w:val="00270C40"/>
    <w:rsid w:val="0027371C"/>
    <w:rsid w:val="00274CF1"/>
    <w:rsid w:val="0028249F"/>
    <w:rsid w:val="00285C80"/>
    <w:rsid w:val="002871A0"/>
    <w:rsid w:val="002A2C98"/>
    <w:rsid w:val="002A442F"/>
    <w:rsid w:val="002B5A2A"/>
    <w:rsid w:val="002C4ADF"/>
    <w:rsid w:val="002C4BAA"/>
    <w:rsid w:val="002C5231"/>
    <w:rsid w:val="002D2881"/>
    <w:rsid w:val="002D7134"/>
    <w:rsid w:val="002E24E0"/>
    <w:rsid w:val="002F51A0"/>
    <w:rsid w:val="002F5C89"/>
    <w:rsid w:val="00321A6D"/>
    <w:rsid w:val="00321EDE"/>
    <w:rsid w:val="0032667C"/>
    <w:rsid w:val="00326743"/>
    <w:rsid w:val="003308FF"/>
    <w:rsid w:val="0033093A"/>
    <w:rsid w:val="00333CC5"/>
    <w:rsid w:val="00335E31"/>
    <w:rsid w:val="00337ED9"/>
    <w:rsid w:val="0034382D"/>
    <w:rsid w:val="00343E84"/>
    <w:rsid w:val="003443D0"/>
    <w:rsid w:val="00345219"/>
    <w:rsid w:val="0034611A"/>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B2B1E"/>
    <w:rsid w:val="003B3AE8"/>
    <w:rsid w:val="003C020F"/>
    <w:rsid w:val="003C212D"/>
    <w:rsid w:val="003C44AA"/>
    <w:rsid w:val="003C51A3"/>
    <w:rsid w:val="003C618E"/>
    <w:rsid w:val="003D5EF0"/>
    <w:rsid w:val="003E2D70"/>
    <w:rsid w:val="003E2F14"/>
    <w:rsid w:val="003E5164"/>
    <w:rsid w:val="003E6388"/>
    <w:rsid w:val="003F6171"/>
    <w:rsid w:val="003F6739"/>
    <w:rsid w:val="003F752F"/>
    <w:rsid w:val="00412380"/>
    <w:rsid w:val="00414991"/>
    <w:rsid w:val="004213AD"/>
    <w:rsid w:val="0042342F"/>
    <w:rsid w:val="0042791D"/>
    <w:rsid w:val="00435136"/>
    <w:rsid w:val="00436A56"/>
    <w:rsid w:val="0044022A"/>
    <w:rsid w:val="00440FB5"/>
    <w:rsid w:val="00447C8C"/>
    <w:rsid w:val="004527D2"/>
    <w:rsid w:val="00460155"/>
    <w:rsid w:val="00461312"/>
    <w:rsid w:val="00463EA0"/>
    <w:rsid w:val="00466930"/>
    <w:rsid w:val="00473FFE"/>
    <w:rsid w:val="00476D6C"/>
    <w:rsid w:val="00487FAE"/>
    <w:rsid w:val="004900F6"/>
    <w:rsid w:val="00495F68"/>
    <w:rsid w:val="00496929"/>
    <w:rsid w:val="004A0AA7"/>
    <w:rsid w:val="004A0E7D"/>
    <w:rsid w:val="004A29B5"/>
    <w:rsid w:val="004A5765"/>
    <w:rsid w:val="004A5B23"/>
    <w:rsid w:val="004B781A"/>
    <w:rsid w:val="004C275A"/>
    <w:rsid w:val="004C58B7"/>
    <w:rsid w:val="004E18D1"/>
    <w:rsid w:val="004E2F87"/>
    <w:rsid w:val="004F2BE2"/>
    <w:rsid w:val="004F38F8"/>
    <w:rsid w:val="004F524F"/>
    <w:rsid w:val="00503197"/>
    <w:rsid w:val="00506DA7"/>
    <w:rsid w:val="00510AA0"/>
    <w:rsid w:val="005123FA"/>
    <w:rsid w:val="00513640"/>
    <w:rsid w:val="0051585E"/>
    <w:rsid w:val="00515E53"/>
    <w:rsid w:val="00522D51"/>
    <w:rsid w:val="00525600"/>
    <w:rsid w:val="00544127"/>
    <w:rsid w:val="0054485B"/>
    <w:rsid w:val="00547672"/>
    <w:rsid w:val="00550BC9"/>
    <w:rsid w:val="005715F8"/>
    <w:rsid w:val="00577A11"/>
    <w:rsid w:val="00577B55"/>
    <w:rsid w:val="00577F17"/>
    <w:rsid w:val="0058319E"/>
    <w:rsid w:val="005A05AF"/>
    <w:rsid w:val="005A1E73"/>
    <w:rsid w:val="005A2423"/>
    <w:rsid w:val="005A6576"/>
    <w:rsid w:val="005B3779"/>
    <w:rsid w:val="005B3AAC"/>
    <w:rsid w:val="005B5ECF"/>
    <w:rsid w:val="005C2C97"/>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64B2"/>
    <w:rsid w:val="006367A1"/>
    <w:rsid w:val="00640513"/>
    <w:rsid w:val="0064600B"/>
    <w:rsid w:val="006515CB"/>
    <w:rsid w:val="006525B4"/>
    <w:rsid w:val="0065280D"/>
    <w:rsid w:val="0065400F"/>
    <w:rsid w:val="00654E4B"/>
    <w:rsid w:val="00657113"/>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D2AAA"/>
    <w:rsid w:val="006D6580"/>
    <w:rsid w:val="006E08E1"/>
    <w:rsid w:val="006E2EB4"/>
    <w:rsid w:val="006E4D9A"/>
    <w:rsid w:val="006F520D"/>
    <w:rsid w:val="006F65C0"/>
    <w:rsid w:val="0070309D"/>
    <w:rsid w:val="0070328F"/>
    <w:rsid w:val="00704F16"/>
    <w:rsid w:val="00707D92"/>
    <w:rsid w:val="00720F57"/>
    <w:rsid w:val="00726C52"/>
    <w:rsid w:val="0073045E"/>
    <w:rsid w:val="007328BC"/>
    <w:rsid w:val="00744D05"/>
    <w:rsid w:val="00747936"/>
    <w:rsid w:val="0075693E"/>
    <w:rsid w:val="0076172B"/>
    <w:rsid w:val="00764CA6"/>
    <w:rsid w:val="0077407D"/>
    <w:rsid w:val="007747AB"/>
    <w:rsid w:val="00774871"/>
    <w:rsid w:val="00782CC8"/>
    <w:rsid w:val="007835B5"/>
    <w:rsid w:val="00787E69"/>
    <w:rsid w:val="00790840"/>
    <w:rsid w:val="0079583F"/>
    <w:rsid w:val="0079792C"/>
    <w:rsid w:val="007A7D85"/>
    <w:rsid w:val="007B6F52"/>
    <w:rsid w:val="007C2264"/>
    <w:rsid w:val="007C315E"/>
    <w:rsid w:val="007D5B86"/>
    <w:rsid w:val="007E2979"/>
    <w:rsid w:val="007E4006"/>
    <w:rsid w:val="007E4378"/>
    <w:rsid w:val="007E7D89"/>
    <w:rsid w:val="007F5F23"/>
    <w:rsid w:val="007F7B93"/>
    <w:rsid w:val="008014DF"/>
    <w:rsid w:val="0081431B"/>
    <w:rsid w:val="00814A30"/>
    <w:rsid w:val="00815FF5"/>
    <w:rsid w:val="00820734"/>
    <w:rsid w:val="00822A7B"/>
    <w:rsid w:val="00823C94"/>
    <w:rsid w:val="0082548D"/>
    <w:rsid w:val="008329A2"/>
    <w:rsid w:val="008332B7"/>
    <w:rsid w:val="00834BBB"/>
    <w:rsid w:val="00836D17"/>
    <w:rsid w:val="00837F51"/>
    <w:rsid w:val="00842661"/>
    <w:rsid w:val="008431E5"/>
    <w:rsid w:val="0084448C"/>
    <w:rsid w:val="00861201"/>
    <w:rsid w:val="00872735"/>
    <w:rsid w:val="0087321F"/>
    <w:rsid w:val="00883F18"/>
    <w:rsid w:val="00884F38"/>
    <w:rsid w:val="0088775F"/>
    <w:rsid w:val="0089102E"/>
    <w:rsid w:val="00891F2A"/>
    <w:rsid w:val="00893864"/>
    <w:rsid w:val="008A0237"/>
    <w:rsid w:val="008A341F"/>
    <w:rsid w:val="008A3B99"/>
    <w:rsid w:val="008A6CE6"/>
    <w:rsid w:val="008A79C2"/>
    <w:rsid w:val="008A7FD1"/>
    <w:rsid w:val="008C6FA8"/>
    <w:rsid w:val="008D32CF"/>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755D"/>
    <w:rsid w:val="00930B05"/>
    <w:rsid w:val="00933FD9"/>
    <w:rsid w:val="009341C0"/>
    <w:rsid w:val="0093453A"/>
    <w:rsid w:val="00935315"/>
    <w:rsid w:val="00935D73"/>
    <w:rsid w:val="009362FB"/>
    <w:rsid w:val="0094269E"/>
    <w:rsid w:val="00945F27"/>
    <w:rsid w:val="009545C9"/>
    <w:rsid w:val="00955B97"/>
    <w:rsid w:val="009602F9"/>
    <w:rsid w:val="00970EC2"/>
    <w:rsid w:val="00975629"/>
    <w:rsid w:val="00976818"/>
    <w:rsid w:val="009876E8"/>
    <w:rsid w:val="0099006B"/>
    <w:rsid w:val="0099374A"/>
    <w:rsid w:val="009A2A40"/>
    <w:rsid w:val="009B28E4"/>
    <w:rsid w:val="009B3B91"/>
    <w:rsid w:val="009B5646"/>
    <w:rsid w:val="009B78DB"/>
    <w:rsid w:val="009B7FAE"/>
    <w:rsid w:val="009D75F8"/>
    <w:rsid w:val="009E072C"/>
    <w:rsid w:val="009E1404"/>
    <w:rsid w:val="009E1F90"/>
    <w:rsid w:val="009E4CB5"/>
    <w:rsid w:val="009E5134"/>
    <w:rsid w:val="009F25D1"/>
    <w:rsid w:val="009F29AA"/>
    <w:rsid w:val="009F4E24"/>
    <w:rsid w:val="00A0335B"/>
    <w:rsid w:val="00A062EB"/>
    <w:rsid w:val="00A1494B"/>
    <w:rsid w:val="00A20018"/>
    <w:rsid w:val="00A2233C"/>
    <w:rsid w:val="00A22A74"/>
    <w:rsid w:val="00A276FA"/>
    <w:rsid w:val="00A27795"/>
    <w:rsid w:val="00A34539"/>
    <w:rsid w:val="00A372DF"/>
    <w:rsid w:val="00A37F43"/>
    <w:rsid w:val="00A41481"/>
    <w:rsid w:val="00A41D69"/>
    <w:rsid w:val="00A45033"/>
    <w:rsid w:val="00A45085"/>
    <w:rsid w:val="00A46967"/>
    <w:rsid w:val="00A469F3"/>
    <w:rsid w:val="00A473A7"/>
    <w:rsid w:val="00A4787C"/>
    <w:rsid w:val="00A6122F"/>
    <w:rsid w:val="00A65049"/>
    <w:rsid w:val="00A73A59"/>
    <w:rsid w:val="00A75074"/>
    <w:rsid w:val="00A77112"/>
    <w:rsid w:val="00A83837"/>
    <w:rsid w:val="00A8394D"/>
    <w:rsid w:val="00AA0E50"/>
    <w:rsid w:val="00AA2E2F"/>
    <w:rsid w:val="00AA34F1"/>
    <w:rsid w:val="00AA7AEC"/>
    <w:rsid w:val="00AB3AD8"/>
    <w:rsid w:val="00AB6FDD"/>
    <w:rsid w:val="00AC0DF9"/>
    <w:rsid w:val="00AC0EE5"/>
    <w:rsid w:val="00AC1516"/>
    <w:rsid w:val="00AC241B"/>
    <w:rsid w:val="00AC3B2D"/>
    <w:rsid w:val="00AC4D7E"/>
    <w:rsid w:val="00AD27EF"/>
    <w:rsid w:val="00AD4C1E"/>
    <w:rsid w:val="00AD4FE7"/>
    <w:rsid w:val="00AE3FC0"/>
    <w:rsid w:val="00B01FD8"/>
    <w:rsid w:val="00B050B8"/>
    <w:rsid w:val="00B16C0D"/>
    <w:rsid w:val="00B17523"/>
    <w:rsid w:val="00B20D63"/>
    <w:rsid w:val="00B21DC1"/>
    <w:rsid w:val="00B2299E"/>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87F1B"/>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15CF"/>
    <w:rsid w:val="00BF5432"/>
    <w:rsid w:val="00C036D5"/>
    <w:rsid w:val="00C110B0"/>
    <w:rsid w:val="00C11BD9"/>
    <w:rsid w:val="00C14644"/>
    <w:rsid w:val="00C153FC"/>
    <w:rsid w:val="00C17A24"/>
    <w:rsid w:val="00C216B2"/>
    <w:rsid w:val="00C31798"/>
    <w:rsid w:val="00C319A0"/>
    <w:rsid w:val="00C34DEE"/>
    <w:rsid w:val="00C429D3"/>
    <w:rsid w:val="00C42CD2"/>
    <w:rsid w:val="00C5633D"/>
    <w:rsid w:val="00C6027A"/>
    <w:rsid w:val="00C7580E"/>
    <w:rsid w:val="00C81785"/>
    <w:rsid w:val="00C823D9"/>
    <w:rsid w:val="00C86744"/>
    <w:rsid w:val="00C92154"/>
    <w:rsid w:val="00C962A2"/>
    <w:rsid w:val="00C96679"/>
    <w:rsid w:val="00C97896"/>
    <w:rsid w:val="00CB1024"/>
    <w:rsid w:val="00CB142D"/>
    <w:rsid w:val="00CB72BF"/>
    <w:rsid w:val="00CB7822"/>
    <w:rsid w:val="00CC0C4A"/>
    <w:rsid w:val="00CC0ED4"/>
    <w:rsid w:val="00CC3B5F"/>
    <w:rsid w:val="00CC5D9F"/>
    <w:rsid w:val="00CC7C8D"/>
    <w:rsid w:val="00CD5616"/>
    <w:rsid w:val="00CE27F6"/>
    <w:rsid w:val="00CE3E8C"/>
    <w:rsid w:val="00CF45C4"/>
    <w:rsid w:val="00CF58D3"/>
    <w:rsid w:val="00D01889"/>
    <w:rsid w:val="00D07146"/>
    <w:rsid w:val="00D12E91"/>
    <w:rsid w:val="00D16618"/>
    <w:rsid w:val="00D2575E"/>
    <w:rsid w:val="00D33A60"/>
    <w:rsid w:val="00D51569"/>
    <w:rsid w:val="00D52F99"/>
    <w:rsid w:val="00D56DD3"/>
    <w:rsid w:val="00D5703C"/>
    <w:rsid w:val="00D6070D"/>
    <w:rsid w:val="00D6496E"/>
    <w:rsid w:val="00D649AB"/>
    <w:rsid w:val="00D67842"/>
    <w:rsid w:val="00D7233A"/>
    <w:rsid w:val="00D73191"/>
    <w:rsid w:val="00D742D6"/>
    <w:rsid w:val="00D758D6"/>
    <w:rsid w:val="00D82051"/>
    <w:rsid w:val="00D856D5"/>
    <w:rsid w:val="00D86881"/>
    <w:rsid w:val="00D8709E"/>
    <w:rsid w:val="00D8771B"/>
    <w:rsid w:val="00D91584"/>
    <w:rsid w:val="00D9497D"/>
    <w:rsid w:val="00DA100E"/>
    <w:rsid w:val="00DA3BB1"/>
    <w:rsid w:val="00DA55B1"/>
    <w:rsid w:val="00DA61D5"/>
    <w:rsid w:val="00DA64A2"/>
    <w:rsid w:val="00DB4646"/>
    <w:rsid w:val="00DC5CF3"/>
    <w:rsid w:val="00DD4911"/>
    <w:rsid w:val="00DE07A3"/>
    <w:rsid w:val="00DE25CE"/>
    <w:rsid w:val="00DE2A49"/>
    <w:rsid w:val="00DE3208"/>
    <w:rsid w:val="00DE3E44"/>
    <w:rsid w:val="00DE5B23"/>
    <w:rsid w:val="00DF39D4"/>
    <w:rsid w:val="00E043E7"/>
    <w:rsid w:val="00E11D99"/>
    <w:rsid w:val="00E17C6A"/>
    <w:rsid w:val="00E21FCF"/>
    <w:rsid w:val="00E2557E"/>
    <w:rsid w:val="00E311BA"/>
    <w:rsid w:val="00E32937"/>
    <w:rsid w:val="00E32AD8"/>
    <w:rsid w:val="00E32EA6"/>
    <w:rsid w:val="00E42216"/>
    <w:rsid w:val="00E454C6"/>
    <w:rsid w:val="00E45D65"/>
    <w:rsid w:val="00E4661D"/>
    <w:rsid w:val="00E47638"/>
    <w:rsid w:val="00E533F6"/>
    <w:rsid w:val="00E57CDA"/>
    <w:rsid w:val="00E61494"/>
    <w:rsid w:val="00E61517"/>
    <w:rsid w:val="00E65A81"/>
    <w:rsid w:val="00E662CD"/>
    <w:rsid w:val="00E70A5B"/>
    <w:rsid w:val="00E764CA"/>
    <w:rsid w:val="00E80C18"/>
    <w:rsid w:val="00E8205E"/>
    <w:rsid w:val="00E85CB6"/>
    <w:rsid w:val="00E86626"/>
    <w:rsid w:val="00E87884"/>
    <w:rsid w:val="00E87940"/>
    <w:rsid w:val="00E901E2"/>
    <w:rsid w:val="00E962B1"/>
    <w:rsid w:val="00EA08AB"/>
    <w:rsid w:val="00EB53F6"/>
    <w:rsid w:val="00EC2497"/>
    <w:rsid w:val="00EC26A0"/>
    <w:rsid w:val="00EC4DF1"/>
    <w:rsid w:val="00EC7D37"/>
    <w:rsid w:val="00ED15E0"/>
    <w:rsid w:val="00ED2006"/>
    <w:rsid w:val="00ED4052"/>
    <w:rsid w:val="00ED53EB"/>
    <w:rsid w:val="00ED785F"/>
    <w:rsid w:val="00EE3067"/>
    <w:rsid w:val="00EE4166"/>
    <w:rsid w:val="00EE7B1E"/>
    <w:rsid w:val="00EF5144"/>
    <w:rsid w:val="00EF52BF"/>
    <w:rsid w:val="00F16E28"/>
    <w:rsid w:val="00F20548"/>
    <w:rsid w:val="00F20F45"/>
    <w:rsid w:val="00F21AC7"/>
    <w:rsid w:val="00F21DAE"/>
    <w:rsid w:val="00F23BFD"/>
    <w:rsid w:val="00F26A3E"/>
    <w:rsid w:val="00F443C1"/>
    <w:rsid w:val="00F45265"/>
    <w:rsid w:val="00F46637"/>
    <w:rsid w:val="00F532D7"/>
    <w:rsid w:val="00F73B03"/>
    <w:rsid w:val="00F85D8E"/>
    <w:rsid w:val="00F8673E"/>
    <w:rsid w:val="00F90CFE"/>
    <w:rsid w:val="00F91853"/>
    <w:rsid w:val="00F91972"/>
    <w:rsid w:val="00F957EE"/>
    <w:rsid w:val="00F95962"/>
    <w:rsid w:val="00F95B6E"/>
    <w:rsid w:val="00FA08B7"/>
    <w:rsid w:val="00FA2C09"/>
    <w:rsid w:val="00FA480B"/>
    <w:rsid w:val="00FB10A3"/>
    <w:rsid w:val="00FB326A"/>
    <w:rsid w:val="00FB405C"/>
    <w:rsid w:val="00FC126D"/>
    <w:rsid w:val="00FC5A1E"/>
    <w:rsid w:val="00FC70EA"/>
    <w:rsid w:val="00FD018E"/>
    <w:rsid w:val="00FD3A3C"/>
    <w:rsid w:val="00FE52D2"/>
    <w:rsid w:val="00FE643C"/>
    <w:rsid w:val="00FF52BF"/>
    <w:rsid w:val="3A5CB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029913908">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570708">
      <w:bodyDiv w:val="1"/>
      <w:marLeft w:val="0"/>
      <w:marRight w:val="0"/>
      <w:marTop w:val="0"/>
      <w:marBottom w:val="0"/>
      <w:divBdr>
        <w:top w:val="none" w:sz="0" w:space="0" w:color="auto"/>
        <w:left w:val="none" w:sz="0" w:space="0" w:color="auto"/>
        <w:bottom w:val="none" w:sz="0" w:space="0" w:color="auto"/>
        <w:right w:val="none" w:sz="0" w:space="0" w:color="auto"/>
      </w:divBdr>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597905649">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EA"/>
    <w:rsid w:val="00015308"/>
    <w:rsid w:val="00040652"/>
    <w:rsid w:val="000D5D4A"/>
    <w:rsid w:val="00134A74"/>
    <w:rsid w:val="001952FF"/>
    <w:rsid w:val="001C054D"/>
    <w:rsid w:val="001D2598"/>
    <w:rsid w:val="00272EF2"/>
    <w:rsid w:val="00281518"/>
    <w:rsid w:val="00283E21"/>
    <w:rsid w:val="002A6FBA"/>
    <w:rsid w:val="0036419A"/>
    <w:rsid w:val="00385820"/>
    <w:rsid w:val="003A0E0D"/>
    <w:rsid w:val="003E130C"/>
    <w:rsid w:val="004471C0"/>
    <w:rsid w:val="0046343C"/>
    <w:rsid w:val="00495B0C"/>
    <w:rsid w:val="004C45D9"/>
    <w:rsid w:val="004D6BCA"/>
    <w:rsid w:val="00560BFD"/>
    <w:rsid w:val="00570387"/>
    <w:rsid w:val="006905A1"/>
    <w:rsid w:val="0070145F"/>
    <w:rsid w:val="00725009"/>
    <w:rsid w:val="00792F7F"/>
    <w:rsid w:val="00793533"/>
    <w:rsid w:val="007D0A8F"/>
    <w:rsid w:val="008742FB"/>
    <w:rsid w:val="008D0772"/>
    <w:rsid w:val="009F7F5B"/>
    <w:rsid w:val="00A12627"/>
    <w:rsid w:val="00A33BEA"/>
    <w:rsid w:val="00A76403"/>
    <w:rsid w:val="00AC6CBB"/>
    <w:rsid w:val="00BB7657"/>
    <w:rsid w:val="00BD19C0"/>
    <w:rsid w:val="00BD2A30"/>
    <w:rsid w:val="00BF10F0"/>
    <w:rsid w:val="00C1550F"/>
    <w:rsid w:val="00C852B2"/>
    <w:rsid w:val="00CA76D7"/>
    <w:rsid w:val="00CE61F1"/>
    <w:rsid w:val="00D01BFE"/>
    <w:rsid w:val="00D30766"/>
    <w:rsid w:val="00D72BC3"/>
    <w:rsid w:val="00E020A7"/>
    <w:rsid w:val="00E20A32"/>
    <w:rsid w:val="00E50874"/>
    <w:rsid w:val="00E50AD6"/>
    <w:rsid w:val="00E50C05"/>
    <w:rsid w:val="00E677FC"/>
    <w:rsid w:val="00F10890"/>
    <w:rsid w:val="00F734F7"/>
    <w:rsid w:val="00F82183"/>
    <w:rsid w:val="00FA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 w:type="paragraph" w:customStyle="1" w:styleId="4D38B13D43AD4E9C97638A6CBEC27206">
    <w:name w:val="4D38B13D43AD4E9C97638A6CBEC27206"/>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367F3-42A7-4D7B-9477-03BCE657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Alan Skewis</cp:lastModifiedBy>
  <cp:revision>2</cp:revision>
  <cp:lastPrinted>2020-03-09T11:40:00Z</cp:lastPrinted>
  <dcterms:created xsi:type="dcterms:W3CDTF">2020-06-16T16:13:00Z</dcterms:created>
  <dcterms:modified xsi:type="dcterms:W3CDTF">2020-06-16T16:13:00Z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