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2ED55DD2" w14:textId="77777777" w:rsidR="00A326F2" w:rsidRPr="004B7A8E" w:rsidRDefault="00A326F2" w:rsidP="00A326F2">
      <w:pPr>
        <w:spacing w:beforeAutospacing="1" w:after="120"/>
        <w:jc w:val="center"/>
        <w:rPr>
          <w:rFonts w:cs="Arial"/>
          <w:color w:val="auto"/>
          <w:sz w:val="30"/>
          <w:szCs w:val="30"/>
        </w:rPr>
      </w:pPr>
      <w:r w:rsidRPr="004B7A8E">
        <w:rPr>
          <w:rFonts w:cs="Arial"/>
          <w:color w:val="auto"/>
          <w:sz w:val="30"/>
          <w:szCs w:val="30"/>
        </w:rPr>
        <w:t>FRC2021 - 005 Stewardship Benchmarking Project</w:t>
      </w:r>
    </w:p>
    <w:p w14:paraId="3668A486" w14:textId="44853C57" w:rsidR="00F40CA1" w:rsidRPr="00805E14" w:rsidRDefault="00F40CA1" w:rsidP="00C066C4">
      <w:pPr>
        <w:jc w:val="center"/>
        <w:rPr>
          <w:rFonts w:cs="Arial"/>
          <w:sz w:val="20"/>
          <w:szCs w:val="20"/>
        </w:rPr>
      </w:pP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805E14" w:rsidRPr="00E1431E" w14:paraId="0A9E0009" w14:textId="77777777" w:rsidTr="00692C98">
        <w:trPr>
          <w:trHeight w:val="591"/>
        </w:trPr>
        <w:tc>
          <w:tcPr>
            <w:tcW w:w="2716" w:type="dxa"/>
          </w:tcPr>
          <w:p w14:paraId="76C6E485" w14:textId="5494CB08" w:rsidR="00805E14" w:rsidRPr="00C066C4" w:rsidRDefault="00805E14" w:rsidP="00D53968">
            <w:pPr>
              <w:spacing w:before="100" w:beforeAutospacing="1" w:after="120"/>
              <w:rPr>
                <w:rFonts w:cs="Arial"/>
                <w:sz w:val="24"/>
                <w:szCs w:val="24"/>
              </w:rPr>
            </w:pPr>
            <w:r>
              <w:rPr>
                <w:rFonts w:cs="Arial"/>
                <w:sz w:val="24"/>
                <w:szCs w:val="24"/>
              </w:rPr>
              <w:t>Further Services</w:t>
            </w:r>
          </w:p>
        </w:tc>
        <w:tc>
          <w:tcPr>
            <w:tcW w:w="6900" w:type="dxa"/>
          </w:tcPr>
          <w:p w14:paraId="4739AC91" w14:textId="6D9D7034" w:rsidR="00805E14" w:rsidRPr="00805E14" w:rsidRDefault="00805E14" w:rsidP="00805E14">
            <w:pPr>
              <w:spacing w:before="100" w:beforeAutospacing="1" w:after="120"/>
              <w:rPr>
                <w:rFonts w:cs="Arial"/>
                <w:sz w:val="22"/>
                <w:szCs w:val="22"/>
              </w:rPr>
            </w:pPr>
            <w:r w:rsidRPr="00805E14">
              <w:rPr>
                <w:rFonts w:cs="Arial"/>
                <w:sz w:val="22"/>
                <w:szCs w:val="22"/>
              </w:rPr>
              <w:t xml:space="preserve">We accept that the </w:t>
            </w:r>
            <w:r>
              <w:rPr>
                <w:rFonts w:cs="Arial"/>
                <w:sz w:val="22"/>
                <w:szCs w:val="22"/>
              </w:rPr>
              <w:t xml:space="preserve">future </w:t>
            </w:r>
            <w:r w:rsidRPr="00805E14">
              <w:rPr>
                <w:rFonts w:cs="Arial"/>
                <w:sz w:val="22"/>
                <w:szCs w:val="22"/>
              </w:rPr>
              <w:t xml:space="preserve">FRC may undertake a repeat of this research </w:t>
            </w:r>
            <w:proofErr w:type="gramStart"/>
            <w:r w:rsidRPr="00805E14">
              <w:rPr>
                <w:rFonts w:cs="Arial"/>
                <w:sz w:val="22"/>
                <w:szCs w:val="22"/>
              </w:rPr>
              <w:t>in order to</w:t>
            </w:r>
            <w:proofErr w:type="gramEnd"/>
            <w:r w:rsidRPr="00805E14">
              <w:rPr>
                <w:rFonts w:cs="Arial"/>
                <w:sz w:val="22"/>
                <w:szCs w:val="22"/>
              </w:rPr>
              <w:t xml:space="preserve"> provide an over-time comparison.</w:t>
            </w:r>
            <w:r>
              <w:rPr>
                <w:rFonts w:cs="Arial"/>
                <w:i/>
                <w:iCs/>
                <w:szCs w:val="22"/>
              </w:rPr>
              <w:t xml:space="preserve">   </w:t>
            </w:r>
            <w:r w:rsidRPr="00805E14">
              <w:rPr>
                <w:rFonts w:cs="Arial"/>
                <w:sz w:val="20"/>
                <w:szCs w:val="20"/>
              </w:rPr>
              <w:t xml:space="preserve">      </w:t>
            </w:r>
            <w:r>
              <w:rPr>
                <w:rFonts w:cs="Arial"/>
                <w:sz w:val="20"/>
                <w:szCs w:val="20"/>
              </w:rPr>
              <w:t>Yes / No</w:t>
            </w: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4E9C5D4B"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4B20EDEB" w14:textId="77777777" w:rsidR="00A326F2" w:rsidRPr="00A326F2" w:rsidRDefault="00A326F2" w:rsidP="00A326F2">
      <w:pPr>
        <w:spacing w:beforeAutospacing="1" w:after="120"/>
        <w:rPr>
          <w:rFonts w:cs="Arial"/>
          <w:b/>
          <w:bCs/>
          <w:color w:val="auto"/>
          <w:sz w:val="28"/>
          <w:szCs w:val="28"/>
        </w:rPr>
      </w:pPr>
      <w:r w:rsidRPr="00A326F2">
        <w:rPr>
          <w:rFonts w:cs="Arial"/>
          <w:b/>
          <w:bCs/>
          <w:color w:val="auto"/>
          <w:sz w:val="28"/>
          <w:szCs w:val="28"/>
        </w:rPr>
        <w:t>FRC2021 - 005 Stewardship Benchmarking Project</w:t>
      </w: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5CD7C2BD" w:rsidR="005177BD" w:rsidRPr="00805E14" w:rsidRDefault="005177BD" w:rsidP="002E456A">
            <w:pPr>
              <w:pStyle w:val="Bullet-main"/>
              <w:numPr>
                <w:ilvl w:val="0"/>
                <w:numId w:val="0"/>
              </w:numPr>
              <w:spacing w:before="0" w:line="240" w:lineRule="auto"/>
              <w:jc w:val="center"/>
              <w:rPr>
                <w:sz w:val="20"/>
                <w:szCs w:val="20"/>
              </w:rPr>
            </w:pPr>
            <w:r w:rsidRPr="00805E14">
              <w:rPr>
                <w:rFonts w:cs="Arial"/>
                <w:sz w:val="20"/>
                <w:szCs w:val="20"/>
              </w:rPr>
              <w:t>The proposal should be no more than 7 pages in total</w:t>
            </w:r>
            <w:r w:rsidR="00805E14" w:rsidRPr="00805E14">
              <w:rPr>
                <w:rFonts w:cs="Arial"/>
                <w:sz w:val="20"/>
                <w:szCs w:val="20"/>
              </w:rPr>
              <w:t xml:space="preserve"> excluding annexes</w:t>
            </w:r>
          </w:p>
        </w:tc>
      </w:tr>
      <w:tr w:rsidR="00374B10" w14:paraId="6BE25E83" w14:textId="77777777" w:rsidTr="00FD6C27">
        <w:trPr>
          <w:trHeight w:val="1063"/>
        </w:trPr>
        <w:tc>
          <w:tcPr>
            <w:tcW w:w="9633"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6746C1" w:rsidRDefault="00836560" w:rsidP="00836560">
            <w:pPr>
              <w:rPr>
                <w:rFonts w:cs="Arial"/>
                <w:b/>
                <w:bCs/>
                <w:sz w:val="22"/>
                <w:szCs w:val="22"/>
              </w:rPr>
            </w:pPr>
            <w:r w:rsidRPr="00367996">
              <w:rPr>
                <w:rFonts w:cstheme="minorHAnsi"/>
                <w:b/>
                <w:bCs/>
                <w:color w:val="auto"/>
              </w:rPr>
              <w:t xml:space="preserve">QUESTION </w:t>
            </w:r>
            <w:r>
              <w:rPr>
                <w:rFonts w:cstheme="minorHAnsi"/>
                <w:b/>
                <w:bCs/>
                <w:color w:val="auto"/>
              </w:rPr>
              <w:t xml:space="preserve">1 - </w:t>
            </w:r>
            <w:r w:rsidR="00E7758D">
              <w:rPr>
                <w:rFonts w:cstheme="minorHAnsi"/>
                <w:b/>
                <w:bCs/>
                <w:color w:val="auto"/>
                <w:sz w:val="22"/>
                <w:szCs w:val="22"/>
              </w:rPr>
              <w:t>YOUR TENDER RESPONSE</w:t>
            </w:r>
          </w:p>
          <w:p w14:paraId="40387FED" w14:textId="77777777" w:rsidR="00E7758D" w:rsidRPr="00917284" w:rsidRDefault="00E7758D" w:rsidP="00E7758D">
            <w:pPr>
              <w:spacing w:after="120" w:line="276" w:lineRule="auto"/>
              <w:jc w:val="both"/>
              <w:rPr>
                <w:rFonts w:cs="Arial"/>
                <w:szCs w:val="22"/>
              </w:rPr>
            </w:pPr>
            <w:r w:rsidRPr="00917284">
              <w:rPr>
                <w:rFonts w:cs="Arial"/>
                <w:szCs w:val="22"/>
              </w:rPr>
              <w:t>The proposal should be no more than 7 pages in total, excluding annexes, and include:</w:t>
            </w:r>
          </w:p>
          <w:p w14:paraId="529071CD"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A succinct summary of the proposal, including an estimated timeline of project milestones.</w:t>
            </w:r>
          </w:p>
          <w:p w14:paraId="0A6AA2FD"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Details of the proposed approach. This should include, as appropriate, the techniques, methodology, and data sources to be used, including your rationale for choosing them.</w:t>
            </w:r>
          </w:p>
          <w:p w14:paraId="37FB6B66"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Further detail on example topics</w:t>
            </w:r>
            <w:r>
              <w:rPr>
                <w:rFonts w:cs="Arial"/>
                <w:szCs w:val="22"/>
              </w:rPr>
              <w:t>/questions</w:t>
            </w:r>
            <w:r w:rsidRPr="00917284">
              <w:rPr>
                <w:rFonts w:cs="Arial"/>
                <w:szCs w:val="22"/>
              </w:rPr>
              <w:t xml:space="preserve"> for each of the five categories listed in section 2.1. These should be of sufficient depth and breadth to demonstrate your team’s understanding of the project and of stewardship policies and practices.</w:t>
            </w:r>
          </w:p>
          <w:p w14:paraId="4353F754"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How many interviews (and questionnaires if proposed) could be conducted within the timeframe and budget.</w:t>
            </w:r>
          </w:p>
          <w:p w14:paraId="0744321A"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Demonstrable understanding of stewardship policies and practices, as well as corporate governance more broadly.</w:t>
            </w:r>
          </w:p>
          <w:p w14:paraId="5E42C817" w14:textId="2878EA50" w:rsidR="00E7758D"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 xml:space="preserve">Details of personnel to be involved including their role for this project and their relevant experience. </w:t>
            </w:r>
          </w:p>
          <w:p w14:paraId="433AF825"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Project team CVs should be included in an annex, along with any additional information about your organisation that you think is relevant.</w:t>
            </w:r>
          </w:p>
          <w:p w14:paraId="4303007C"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 xml:space="preserve">Your organisation’s experience of similar projects and relevant research capability. </w:t>
            </w:r>
          </w:p>
          <w:p w14:paraId="65365EA0" w14:textId="77777777" w:rsidR="00E7758D" w:rsidRPr="00917284" w:rsidRDefault="00E7758D" w:rsidP="00E7758D">
            <w:pPr>
              <w:pStyle w:val="ListParagraph"/>
              <w:numPr>
                <w:ilvl w:val="0"/>
                <w:numId w:val="32"/>
              </w:numPr>
              <w:spacing w:before="0" w:after="120" w:line="276" w:lineRule="auto"/>
              <w:ind w:left="1080"/>
              <w:jc w:val="both"/>
              <w:rPr>
                <w:rFonts w:cs="Arial"/>
                <w:szCs w:val="22"/>
              </w:rPr>
            </w:pPr>
            <w:r w:rsidRPr="00917284">
              <w:rPr>
                <w:rFonts w:cs="Arial"/>
                <w:szCs w:val="22"/>
              </w:rPr>
              <w:t>A budget, including a breakdown of time and costs per activity, in line with the principal project objectives outlined above. If your proposal includes options, these should be costed separately.</w:t>
            </w:r>
          </w:p>
          <w:p w14:paraId="2E1C71D5" w14:textId="77777777" w:rsidR="00E7758D" w:rsidRPr="00917284" w:rsidRDefault="00E7758D" w:rsidP="00E7758D">
            <w:pPr>
              <w:spacing w:after="120" w:line="276" w:lineRule="auto"/>
              <w:ind w:left="720"/>
              <w:jc w:val="both"/>
              <w:rPr>
                <w:rFonts w:cs="Arial"/>
                <w:szCs w:val="22"/>
              </w:rPr>
            </w:pPr>
            <w:r w:rsidRPr="00917284">
              <w:rPr>
                <w:rFonts w:cs="Arial"/>
                <w:szCs w:val="22"/>
              </w:rPr>
              <w:t>Bids should identify any real or perceived conflicts of interest.</w:t>
            </w:r>
          </w:p>
          <w:p w14:paraId="41080631" w14:textId="5CE58E8D" w:rsidR="00E96272" w:rsidRPr="00F44673" w:rsidRDefault="00E96272" w:rsidP="00BB08E8">
            <w:pPr>
              <w:rPr>
                <w:rFonts w:cstheme="minorHAnsi"/>
                <w:color w:val="auto"/>
                <w:sz w:val="22"/>
                <w:szCs w:val="22"/>
              </w:rPr>
            </w:pPr>
          </w:p>
        </w:tc>
      </w:tr>
      <w:tr w:rsidR="00CF3B22" w14:paraId="23F01250" w14:textId="77777777" w:rsidTr="00CF3B22">
        <w:tc>
          <w:tcPr>
            <w:tcW w:w="9633" w:type="dxa"/>
            <w:shd w:val="clear" w:color="auto" w:fill="D9D9D9" w:themeFill="background1" w:themeFillShade="D9"/>
          </w:tcPr>
          <w:p w14:paraId="3A17E63F" w14:textId="77777777" w:rsidR="005177BD"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A15732A" w14:textId="42AB20D8" w:rsidR="00FD6C27" w:rsidRPr="001854A0" w:rsidRDefault="00FD6C27" w:rsidP="00B17917">
            <w:pPr>
              <w:spacing w:before="0" w:after="120" w:line="276" w:lineRule="auto"/>
              <w:jc w:val="both"/>
              <w:rPr>
                <w:rFonts w:cstheme="minorHAnsi"/>
                <w:i/>
                <w:iCs/>
                <w:color w:val="auto"/>
                <w:sz w:val="18"/>
                <w:szCs w:val="18"/>
              </w:rPr>
            </w:pPr>
          </w:p>
        </w:tc>
      </w:tr>
      <w:bookmarkEnd w:id="2"/>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p w14:paraId="0A7AA5D2" w14:textId="3483DA76" w:rsidR="00244172" w:rsidRDefault="00244172" w:rsidP="007D43A3">
            <w:pPr>
              <w:pStyle w:val="Bullet-main"/>
              <w:numPr>
                <w:ilvl w:val="0"/>
                <w:numId w:val="0"/>
              </w:numPr>
              <w:spacing w:before="0" w:line="240" w:lineRule="auto"/>
              <w:rPr>
                <w:rFonts w:cstheme="minorHAnsi"/>
                <w:i/>
                <w:iCs/>
                <w:color w:val="auto"/>
                <w:sz w:val="18"/>
                <w:szCs w:val="18"/>
              </w:rPr>
            </w:pPr>
          </w:p>
          <w:bookmarkStart w:id="3" w:name="_MON_1672475013"/>
          <w:bookmarkEnd w:id="3"/>
          <w:p w14:paraId="1BB7044F" w14:textId="456ACE97" w:rsidR="007D43A3" w:rsidRPr="00CF3B22" w:rsidRDefault="00594630"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2D845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8" ShapeID="_x0000_i1025" DrawAspect="Icon" ObjectID="_1672483445" r:id="rId9">
                  <o:FieldCodes>\s</o:FieldCodes>
                </o:OLEObject>
              </w:object>
            </w: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72475105"/>
              <w:bookmarkEnd w:id="4"/>
              <w:tc>
                <w:tcPr>
                  <w:tcW w:w="4803" w:type="dxa"/>
                </w:tcPr>
                <w:p w14:paraId="0222EAB0" w14:textId="723424A1" w:rsidR="007D43A3" w:rsidRDefault="00594630"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56E20C2">
                      <v:shape id="_x0000_i1026" type="#_x0000_t75" style="width:75.5pt;height:49pt" o:ole="">
                        <v:imagedata r:id="rId10" o:title=""/>
                      </v:shape>
                      <o:OLEObject Type="Embed" ProgID="Word.Document.12" ShapeID="_x0000_i1026" DrawAspect="Icon" ObjectID="_1672483446"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72475131"/>
              <w:bookmarkEnd w:id="5"/>
              <w:tc>
                <w:tcPr>
                  <w:tcW w:w="4803" w:type="dxa"/>
                </w:tcPr>
                <w:p w14:paraId="04E03971" w14:textId="59C0E95D" w:rsidR="007D43A3" w:rsidRDefault="00594630"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8C57CDC">
                      <v:shape id="_x0000_i1027" type="#_x0000_t75" style="width:75.5pt;height:49pt" o:ole="">
                        <v:imagedata r:id="rId12" o:title=""/>
                      </v:shape>
                      <o:OLEObject Type="Embed" ProgID="Word.Document.12" ShapeID="_x0000_i1027" DrawAspect="Icon" ObjectID="_1672483447"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582AF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10"/>
  </w:num>
  <w:num w:numId="5">
    <w:abstractNumId w:val="16"/>
  </w:num>
  <w:num w:numId="6">
    <w:abstractNumId w:val="14"/>
  </w:num>
  <w:num w:numId="7">
    <w:abstractNumId w:val="29"/>
  </w:num>
  <w:num w:numId="8">
    <w:abstractNumId w:val="33"/>
  </w:num>
  <w:num w:numId="9">
    <w:abstractNumId w:val="5"/>
  </w:num>
  <w:num w:numId="10">
    <w:abstractNumId w:val="22"/>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3"/>
  </w:num>
  <w:num w:numId="25">
    <w:abstractNumId w:val="11"/>
  </w:num>
  <w:num w:numId="26">
    <w:abstractNumId w:val="8"/>
  </w:num>
  <w:num w:numId="27">
    <w:abstractNumId w:val="2"/>
  </w:num>
  <w:num w:numId="28">
    <w:abstractNumId w:val="26"/>
  </w:num>
  <w:num w:numId="29">
    <w:abstractNumId w:val="0"/>
  </w:num>
  <w:num w:numId="30">
    <w:abstractNumId w:val="24"/>
  </w:num>
  <w:num w:numId="31">
    <w:abstractNumId w:val="30"/>
  </w:num>
  <w:num w:numId="32">
    <w:abstractNumId w:val="9"/>
  </w:num>
  <w:num w:numId="33">
    <w:abstractNumId w:val="4"/>
  </w:num>
  <w:num w:numId="34">
    <w:abstractNumId w:val="12"/>
  </w:num>
  <w:num w:numId="35">
    <w:abstractNumId w:val="7"/>
  </w:num>
  <w:num w:numId="36">
    <w:abstractNumId w:val="25"/>
  </w:num>
  <w:num w:numId="37">
    <w:abstractNumId w:val="27"/>
  </w:num>
  <w:num w:numId="38">
    <w:abstractNumId w:val="21"/>
  </w:num>
  <w:num w:numId="39">
    <w:abstractNumId w:val="15"/>
  </w:num>
  <w:num w:numId="40">
    <w:abstractNumId w:val="28"/>
  </w:num>
  <w:num w:numId="4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3070E"/>
    <w:rsid w:val="00831719"/>
    <w:rsid w:val="008339D4"/>
    <w:rsid w:val="00835705"/>
    <w:rsid w:val="00836560"/>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1BEA"/>
    <w:rsid w:val="00CF3B22"/>
    <w:rsid w:val="00CF6BE0"/>
    <w:rsid w:val="00D10FFA"/>
    <w:rsid w:val="00D11FAA"/>
    <w:rsid w:val="00D12824"/>
    <w:rsid w:val="00D153AE"/>
    <w:rsid w:val="00D236EC"/>
    <w:rsid w:val="00D24E95"/>
    <w:rsid w:val="00D25671"/>
    <w:rsid w:val="00D27D5B"/>
    <w:rsid w:val="00D31613"/>
    <w:rsid w:val="00D33ABE"/>
    <w:rsid w:val="00D33AD8"/>
    <w:rsid w:val="00D353FF"/>
    <w:rsid w:val="00D427F7"/>
    <w:rsid w:val="00D53968"/>
    <w:rsid w:val="00D8422E"/>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2021-01-18T13:57:00Z</cp:lastPrinted>
  <dcterms:created xsi:type="dcterms:W3CDTF">2021-01-18T13:48:00Z</dcterms:created>
  <dcterms:modified xsi:type="dcterms:W3CDTF">2021-01-18T13:57:00Z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