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27381" w14:textId="77777777" w:rsidR="00B944E3" w:rsidRPr="00F11D05" w:rsidRDefault="002129DE" w:rsidP="00FE5DFB">
      <w:pPr>
        <w:spacing w:after="0" w:line="240" w:lineRule="auto"/>
        <w:jc w:val="center"/>
        <w:rPr>
          <w:rFonts w:ascii="Arial" w:hAnsi="Arial" w:cs="Arial"/>
          <w:b/>
          <w:sz w:val="28"/>
          <w:szCs w:val="28"/>
          <w:lang w:val="en-GB"/>
        </w:rPr>
      </w:pPr>
      <w:r>
        <w:rPr>
          <w:rFonts w:ascii="Arial" w:hAnsi="Arial" w:cs="Arial"/>
          <w:b/>
          <w:noProof/>
          <w:sz w:val="28"/>
          <w:szCs w:val="28"/>
          <w:lang w:val="en-GB" w:eastAsia="en-GB"/>
        </w:rPr>
        <w:object w:dxaOrig="1440" w:dyaOrig="1440" w14:anchorId="505B4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0.25pt;margin-top:-41.15pt;width:150.75pt;height:226pt;z-index:-251658752;visibility:visible;mso-wrap-edited:f;mso-position-horizontal-relative:margin;mso-position-vertical-relative:margin" o:allowincell="f">
            <v:imagedata r:id="rId8" o:title=""/>
            <w10:wrap anchorx="margin" anchory="margin"/>
          </v:shape>
          <o:OLEObject Type="Embed" ProgID="Word.Picture.8" ShapeID="_x0000_s1026" DrawAspect="Content" ObjectID="_1601127072" r:id="rId9"/>
        </w:object>
      </w:r>
    </w:p>
    <w:p w14:paraId="0835CC92" w14:textId="77777777" w:rsidR="00513DAE" w:rsidRPr="00B50077" w:rsidRDefault="00513DAE" w:rsidP="00FE5DFB">
      <w:pPr>
        <w:spacing w:after="0" w:line="240" w:lineRule="auto"/>
        <w:jc w:val="center"/>
        <w:rPr>
          <w:rFonts w:ascii="Arial" w:hAnsi="Arial" w:cs="Arial"/>
          <w:b/>
          <w:lang w:val="en-GB"/>
        </w:rPr>
      </w:pPr>
    </w:p>
    <w:p w14:paraId="12F5B311" w14:textId="77777777" w:rsidR="00513DAE" w:rsidRDefault="00513DAE" w:rsidP="00FE5DFB">
      <w:pPr>
        <w:spacing w:after="0" w:line="240" w:lineRule="auto"/>
        <w:jc w:val="center"/>
        <w:rPr>
          <w:rFonts w:ascii="Arial" w:hAnsi="Arial" w:cs="Arial"/>
          <w:b/>
          <w:lang w:val="en-GB"/>
        </w:rPr>
      </w:pPr>
    </w:p>
    <w:p w14:paraId="76E3453A" w14:textId="49EF0808" w:rsidR="00752C18" w:rsidRPr="00B50077" w:rsidRDefault="00752C18" w:rsidP="00FE5DFB">
      <w:pPr>
        <w:spacing w:after="0" w:line="240" w:lineRule="auto"/>
        <w:jc w:val="center"/>
        <w:rPr>
          <w:rFonts w:ascii="Arial" w:hAnsi="Arial" w:cs="Arial"/>
          <w:b/>
          <w:lang w:val="en-GB"/>
        </w:rPr>
      </w:pPr>
    </w:p>
    <w:p w14:paraId="07E3A8CD" w14:textId="77777777" w:rsidR="002937EC" w:rsidRPr="00B50077" w:rsidRDefault="00700FB2" w:rsidP="00FE5DFB">
      <w:pPr>
        <w:spacing w:after="0" w:line="240" w:lineRule="auto"/>
        <w:jc w:val="center"/>
        <w:rPr>
          <w:rFonts w:ascii="Arial" w:hAnsi="Arial" w:cs="Arial"/>
          <w:b/>
          <w:lang w:val="en-GB"/>
        </w:rPr>
      </w:pPr>
      <w:r w:rsidRPr="00B50077">
        <w:rPr>
          <w:rFonts w:ascii="Arial" w:hAnsi="Arial" w:cs="Arial"/>
          <w:b/>
          <w:lang w:val="en-GB"/>
        </w:rPr>
        <w:t>Terms of Reference</w:t>
      </w:r>
      <w:r w:rsidR="0086193D" w:rsidRPr="00B50077">
        <w:rPr>
          <w:rFonts w:ascii="Arial" w:hAnsi="Arial" w:cs="Arial"/>
          <w:b/>
          <w:lang w:val="en-GB"/>
        </w:rPr>
        <w:t xml:space="preserve"> (ToRs)</w:t>
      </w:r>
    </w:p>
    <w:p w14:paraId="43CF7526" w14:textId="77777777" w:rsidR="0086193D" w:rsidRPr="00B50077" w:rsidRDefault="0086193D" w:rsidP="00FE5DFB">
      <w:pPr>
        <w:spacing w:after="0" w:line="240" w:lineRule="auto"/>
        <w:jc w:val="center"/>
        <w:rPr>
          <w:rFonts w:ascii="Arial" w:hAnsi="Arial" w:cs="Arial"/>
          <w:b/>
          <w:lang w:val="en-GB"/>
        </w:rPr>
      </w:pPr>
    </w:p>
    <w:p w14:paraId="62049BEA" w14:textId="3FF4D01A" w:rsidR="006C2E2E" w:rsidRPr="00B50077" w:rsidRDefault="003F19A6" w:rsidP="0086193D">
      <w:pPr>
        <w:spacing w:after="0" w:line="240" w:lineRule="auto"/>
        <w:jc w:val="center"/>
        <w:rPr>
          <w:rFonts w:ascii="Arial" w:hAnsi="Arial" w:cs="Arial"/>
          <w:b/>
          <w:lang w:val="en-GB"/>
        </w:rPr>
      </w:pPr>
      <w:r>
        <w:rPr>
          <w:rFonts w:ascii="Arial" w:hAnsi="Arial" w:cs="Arial"/>
          <w:b/>
          <w:lang w:val="en-GB"/>
        </w:rPr>
        <w:t>Scoping commercial opportunities for Green Finance in Mexico.</w:t>
      </w:r>
    </w:p>
    <w:p w14:paraId="65DE5A97" w14:textId="77777777" w:rsidR="001D6719" w:rsidRPr="00B50077" w:rsidRDefault="001D6719" w:rsidP="0086193D">
      <w:pPr>
        <w:spacing w:after="0" w:line="240" w:lineRule="auto"/>
        <w:jc w:val="center"/>
        <w:rPr>
          <w:rFonts w:ascii="Arial" w:hAnsi="Arial" w:cs="Arial"/>
          <w:b/>
          <w:lang w:val="en-GB"/>
        </w:rPr>
      </w:pPr>
    </w:p>
    <w:sdt>
      <w:sdtPr>
        <w:rPr>
          <w:rFonts w:ascii="Arial" w:eastAsiaTheme="minorEastAsia" w:hAnsi="Arial" w:cs="Arial"/>
          <w:b w:val="0"/>
          <w:bCs w:val="0"/>
          <w:color w:val="auto"/>
          <w:sz w:val="22"/>
          <w:szCs w:val="22"/>
          <w:lang w:val="es-CO"/>
        </w:rPr>
        <w:id w:val="951913816"/>
        <w:docPartObj>
          <w:docPartGallery w:val="Table of Contents"/>
          <w:docPartUnique/>
        </w:docPartObj>
      </w:sdtPr>
      <w:sdtEndPr/>
      <w:sdtContent>
        <w:p w14:paraId="1E4632FE" w14:textId="77777777" w:rsidR="00FA6D34" w:rsidRPr="00B50077" w:rsidRDefault="00FA6D34">
          <w:pPr>
            <w:pStyle w:val="TOCHeading"/>
            <w:rPr>
              <w:rFonts w:ascii="Arial" w:hAnsi="Arial" w:cs="Arial"/>
              <w:sz w:val="22"/>
              <w:szCs w:val="22"/>
            </w:rPr>
          </w:pPr>
          <w:r w:rsidRPr="00B50077">
            <w:rPr>
              <w:rFonts w:ascii="Arial" w:hAnsi="Arial" w:cs="Arial"/>
              <w:sz w:val="22"/>
              <w:szCs w:val="22"/>
            </w:rPr>
            <w:t>Contents</w:t>
          </w:r>
        </w:p>
        <w:p w14:paraId="061EEF7A" w14:textId="77777777" w:rsidR="00D64C6D" w:rsidRPr="00B50077" w:rsidRDefault="00D64C6D" w:rsidP="00D64C6D">
          <w:pPr>
            <w:rPr>
              <w:rFonts w:ascii="Arial" w:hAnsi="Arial" w:cs="Arial"/>
              <w:lang w:val="en-US"/>
            </w:rPr>
          </w:pPr>
          <w:r w:rsidRPr="00B50077">
            <w:rPr>
              <w:rFonts w:ascii="Arial" w:hAnsi="Arial" w:cs="Arial"/>
              <w:lang w:val="en-US"/>
            </w:rPr>
            <w:tab/>
          </w:r>
        </w:p>
        <w:p w14:paraId="3002AE04" w14:textId="4C21AE48" w:rsidR="002129DE" w:rsidRDefault="002D1426">
          <w:pPr>
            <w:pStyle w:val="TOC2"/>
            <w:tabs>
              <w:tab w:val="right" w:leader="dot" w:pos="9016"/>
            </w:tabs>
            <w:rPr>
              <w:noProof/>
              <w:lang w:val="en-GB" w:eastAsia="en-GB"/>
            </w:rPr>
          </w:pPr>
          <w:r w:rsidRPr="00B50077">
            <w:rPr>
              <w:rFonts w:ascii="Arial" w:hAnsi="Arial" w:cs="Arial"/>
            </w:rPr>
            <w:fldChar w:fldCharType="begin"/>
          </w:r>
          <w:r w:rsidR="00FA6D34" w:rsidRPr="00B50077">
            <w:rPr>
              <w:rFonts w:ascii="Arial" w:hAnsi="Arial" w:cs="Arial"/>
            </w:rPr>
            <w:instrText xml:space="preserve"> TOC \o "1-3" \h \z \u </w:instrText>
          </w:r>
          <w:r w:rsidRPr="00B50077">
            <w:rPr>
              <w:rFonts w:ascii="Arial" w:hAnsi="Arial" w:cs="Arial"/>
            </w:rPr>
            <w:fldChar w:fldCharType="separate"/>
          </w:r>
          <w:hyperlink w:anchor="_Toc527384897" w:history="1">
            <w:r w:rsidR="002129DE" w:rsidRPr="002511F2">
              <w:rPr>
                <w:rStyle w:val="Hyperlink"/>
                <w:rFonts w:ascii="Arial" w:hAnsi="Arial" w:cs="Arial"/>
                <w:noProof/>
                <w:lang w:val="en-GB"/>
              </w:rPr>
              <w:t>SUMMARY OF REQUIREMENT</w:t>
            </w:r>
            <w:r w:rsidR="002129DE">
              <w:rPr>
                <w:noProof/>
                <w:webHidden/>
              </w:rPr>
              <w:tab/>
            </w:r>
            <w:r w:rsidR="002129DE">
              <w:rPr>
                <w:noProof/>
                <w:webHidden/>
              </w:rPr>
              <w:fldChar w:fldCharType="begin"/>
            </w:r>
            <w:r w:rsidR="002129DE">
              <w:rPr>
                <w:noProof/>
                <w:webHidden/>
              </w:rPr>
              <w:instrText xml:space="preserve"> PAGEREF _Toc527384897 \h </w:instrText>
            </w:r>
            <w:r w:rsidR="002129DE">
              <w:rPr>
                <w:noProof/>
                <w:webHidden/>
              </w:rPr>
            </w:r>
            <w:r w:rsidR="002129DE">
              <w:rPr>
                <w:noProof/>
                <w:webHidden/>
              </w:rPr>
              <w:fldChar w:fldCharType="separate"/>
            </w:r>
            <w:r w:rsidR="002129DE">
              <w:rPr>
                <w:noProof/>
                <w:webHidden/>
              </w:rPr>
              <w:t>2</w:t>
            </w:r>
            <w:r w:rsidR="002129DE">
              <w:rPr>
                <w:noProof/>
                <w:webHidden/>
              </w:rPr>
              <w:fldChar w:fldCharType="end"/>
            </w:r>
          </w:hyperlink>
        </w:p>
        <w:p w14:paraId="71DAAD8F" w14:textId="3E791E3A" w:rsidR="002129DE" w:rsidRDefault="002129DE">
          <w:pPr>
            <w:pStyle w:val="TOC2"/>
            <w:tabs>
              <w:tab w:val="right" w:leader="dot" w:pos="9016"/>
            </w:tabs>
            <w:rPr>
              <w:noProof/>
              <w:lang w:val="en-GB" w:eastAsia="en-GB"/>
            </w:rPr>
          </w:pPr>
          <w:hyperlink w:anchor="_Toc527384898" w:history="1">
            <w:r w:rsidRPr="002511F2">
              <w:rPr>
                <w:rStyle w:val="Hyperlink"/>
                <w:rFonts w:ascii="Arial" w:hAnsi="Arial" w:cs="Arial"/>
                <w:noProof/>
                <w:lang w:val="en-GB"/>
              </w:rPr>
              <w:t>INTRODUCTION</w:t>
            </w:r>
            <w:r>
              <w:rPr>
                <w:noProof/>
                <w:webHidden/>
              </w:rPr>
              <w:tab/>
            </w:r>
            <w:r>
              <w:rPr>
                <w:noProof/>
                <w:webHidden/>
              </w:rPr>
              <w:fldChar w:fldCharType="begin"/>
            </w:r>
            <w:r>
              <w:rPr>
                <w:noProof/>
                <w:webHidden/>
              </w:rPr>
              <w:instrText xml:space="preserve"> PAGEREF _Toc527384898 \h </w:instrText>
            </w:r>
            <w:r>
              <w:rPr>
                <w:noProof/>
                <w:webHidden/>
              </w:rPr>
            </w:r>
            <w:r>
              <w:rPr>
                <w:noProof/>
                <w:webHidden/>
              </w:rPr>
              <w:fldChar w:fldCharType="separate"/>
            </w:r>
            <w:r>
              <w:rPr>
                <w:noProof/>
                <w:webHidden/>
              </w:rPr>
              <w:t>2</w:t>
            </w:r>
            <w:r>
              <w:rPr>
                <w:noProof/>
                <w:webHidden/>
              </w:rPr>
              <w:fldChar w:fldCharType="end"/>
            </w:r>
          </w:hyperlink>
        </w:p>
        <w:p w14:paraId="6D414C8B" w14:textId="50BC2BBF" w:rsidR="002129DE" w:rsidRDefault="002129DE">
          <w:pPr>
            <w:pStyle w:val="TOC2"/>
            <w:tabs>
              <w:tab w:val="right" w:leader="dot" w:pos="9016"/>
            </w:tabs>
            <w:rPr>
              <w:noProof/>
              <w:lang w:val="en-GB" w:eastAsia="en-GB"/>
            </w:rPr>
          </w:pPr>
          <w:hyperlink w:anchor="_Toc527384899" w:history="1">
            <w:r w:rsidRPr="002511F2">
              <w:rPr>
                <w:rStyle w:val="Hyperlink"/>
                <w:rFonts w:ascii="Arial" w:hAnsi="Arial" w:cs="Arial"/>
                <w:noProof/>
              </w:rPr>
              <w:t>OBJECTIVE</w:t>
            </w:r>
            <w:r>
              <w:rPr>
                <w:noProof/>
                <w:webHidden/>
              </w:rPr>
              <w:tab/>
            </w:r>
            <w:r>
              <w:rPr>
                <w:noProof/>
                <w:webHidden/>
              </w:rPr>
              <w:fldChar w:fldCharType="begin"/>
            </w:r>
            <w:r>
              <w:rPr>
                <w:noProof/>
                <w:webHidden/>
              </w:rPr>
              <w:instrText xml:space="preserve"> PAGEREF _Toc527384899 \h </w:instrText>
            </w:r>
            <w:r>
              <w:rPr>
                <w:noProof/>
                <w:webHidden/>
              </w:rPr>
            </w:r>
            <w:r>
              <w:rPr>
                <w:noProof/>
                <w:webHidden/>
              </w:rPr>
              <w:fldChar w:fldCharType="separate"/>
            </w:r>
            <w:r>
              <w:rPr>
                <w:noProof/>
                <w:webHidden/>
              </w:rPr>
              <w:t>3</w:t>
            </w:r>
            <w:r>
              <w:rPr>
                <w:noProof/>
                <w:webHidden/>
              </w:rPr>
              <w:fldChar w:fldCharType="end"/>
            </w:r>
          </w:hyperlink>
        </w:p>
        <w:p w14:paraId="7D226B9A" w14:textId="3CFB51AA" w:rsidR="002129DE" w:rsidRDefault="002129DE">
          <w:pPr>
            <w:pStyle w:val="TOC2"/>
            <w:tabs>
              <w:tab w:val="right" w:leader="dot" w:pos="9016"/>
            </w:tabs>
            <w:rPr>
              <w:noProof/>
              <w:lang w:val="en-GB" w:eastAsia="en-GB"/>
            </w:rPr>
          </w:pPr>
          <w:hyperlink w:anchor="_Toc527384900" w:history="1">
            <w:r w:rsidRPr="002511F2">
              <w:rPr>
                <w:rStyle w:val="Hyperlink"/>
                <w:rFonts w:ascii="Arial" w:hAnsi="Arial" w:cs="Arial"/>
                <w:noProof/>
                <w:lang w:val="en-GB"/>
              </w:rPr>
              <w:t>METHODOLOGY</w:t>
            </w:r>
            <w:r>
              <w:rPr>
                <w:noProof/>
                <w:webHidden/>
              </w:rPr>
              <w:tab/>
            </w:r>
            <w:r>
              <w:rPr>
                <w:noProof/>
                <w:webHidden/>
              </w:rPr>
              <w:fldChar w:fldCharType="begin"/>
            </w:r>
            <w:r>
              <w:rPr>
                <w:noProof/>
                <w:webHidden/>
              </w:rPr>
              <w:instrText xml:space="preserve"> PAGEREF _Toc527384900 \h </w:instrText>
            </w:r>
            <w:r>
              <w:rPr>
                <w:noProof/>
                <w:webHidden/>
              </w:rPr>
            </w:r>
            <w:r>
              <w:rPr>
                <w:noProof/>
                <w:webHidden/>
              </w:rPr>
              <w:fldChar w:fldCharType="separate"/>
            </w:r>
            <w:r>
              <w:rPr>
                <w:noProof/>
                <w:webHidden/>
              </w:rPr>
              <w:t>4</w:t>
            </w:r>
            <w:r>
              <w:rPr>
                <w:noProof/>
                <w:webHidden/>
              </w:rPr>
              <w:fldChar w:fldCharType="end"/>
            </w:r>
          </w:hyperlink>
        </w:p>
        <w:p w14:paraId="2C86DD92" w14:textId="6E774D88" w:rsidR="002129DE" w:rsidRDefault="002129DE">
          <w:pPr>
            <w:pStyle w:val="TOC2"/>
            <w:tabs>
              <w:tab w:val="right" w:leader="dot" w:pos="9016"/>
            </w:tabs>
            <w:rPr>
              <w:noProof/>
              <w:lang w:val="en-GB" w:eastAsia="en-GB"/>
            </w:rPr>
          </w:pPr>
          <w:hyperlink w:anchor="_Toc527384901" w:history="1">
            <w:r w:rsidRPr="002511F2">
              <w:rPr>
                <w:rStyle w:val="Hyperlink"/>
                <w:rFonts w:ascii="Arial" w:hAnsi="Arial" w:cs="Arial"/>
                <w:noProof/>
              </w:rPr>
              <w:t>OUTPUTS / DELIVERABLES</w:t>
            </w:r>
            <w:r>
              <w:rPr>
                <w:noProof/>
                <w:webHidden/>
              </w:rPr>
              <w:tab/>
            </w:r>
            <w:r>
              <w:rPr>
                <w:noProof/>
                <w:webHidden/>
              </w:rPr>
              <w:fldChar w:fldCharType="begin"/>
            </w:r>
            <w:r>
              <w:rPr>
                <w:noProof/>
                <w:webHidden/>
              </w:rPr>
              <w:instrText xml:space="preserve"> PAGEREF _Toc527384901 \h </w:instrText>
            </w:r>
            <w:r>
              <w:rPr>
                <w:noProof/>
                <w:webHidden/>
              </w:rPr>
            </w:r>
            <w:r>
              <w:rPr>
                <w:noProof/>
                <w:webHidden/>
              </w:rPr>
              <w:fldChar w:fldCharType="separate"/>
            </w:r>
            <w:r>
              <w:rPr>
                <w:noProof/>
                <w:webHidden/>
              </w:rPr>
              <w:t>4</w:t>
            </w:r>
            <w:r>
              <w:rPr>
                <w:noProof/>
                <w:webHidden/>
              </w:rPr>
              <w:fldChar w:fldCharType="end"/>
            </w:r>
          </w:hyperlink>
        </w:p>
        <w:p w14:paraId="4CEEEFCC" w14:textId="5579A252" w:rsidR="002129DE" w:rsidRDefault="002129DE">
          <w:pPr>
            <w:pStyle w:val="TOC2"/>
            <w:tabs>
              <w:tab w:val="right" w:leader="dot" w:pos="9016"/>
            </w:tabs>
            <w:rPr>
              <w:noProof/>
              <w:lang w:val="en-GB" w:eastAsia="en-GB"/>
            </w:rPr>
          </w:pPr>
          <w:hyperlink w:anchor="_Toc527384902" w:history="1">
            <w:r w:rsidRPr="002511F2">
              <w:rPr>
                <w:rStyle w:val="Hyperlink"/>
                <w:rFonts w:ascii="Arial" w:hAnsi="Arial" w:cs="Arial"/>
                <w:noProof/>
              </w:rPr>
              <w:t>EXPECTED TASKS</w:t>
            </w:r>
            <w:r>
              <w:rPr>
                <w:noProof/>
                <w:webHidden/>
              </w:rPr>
              <w:tab/>
            </w:r>
            <w:r>
              <w:rPr>
                <w:noProof/>
                <w:webHidden/>
              </w:rPr>
              <w:fldChar w:fldCharType="begin"/>
            </w:r>
            <w:r>
              <w:rPr>
                <w:noProof/>
                <w:webHidden/>
              </w:rPr>
              <w:instrText xml:space="preserve"> PAGEREF _Toc527384902 \h </w:instrText>
            </w:r>
            <w:r>
              <w:rPr>
                <w:noProof/>
                <w:webHidden/>
              </w:rPr>
            </w:r>
            <w:r>
              <w:rPr>
                <w:noProof/>
                <w:webHidden/>
              </w:rPr>
              <w:fldChar w:fldCharType="separate"/>
            </w:r>
            <w:r>
              <w:rPr>
                <w:noProof/>
                <w:webHidden/>
              </w:rPr>
              <w:t>5</w:t>
            </w:r>
            <w:r>
              <w:rPr>
                <w:noProof/>
                <w:webHidden/>
              </w:rPr>
              <w:fldChar w:fldCharType="end"/>
            </w:r>
          </w:hyperlink>
        </w:p>
        <w:p w14:paraId="05724313" w14:textId="58894BA0" w:rsidR="002129DE" w:rsidRDefault="002129DE">
          <w:pPr>
            <w:pStyle w:val="TOC2"/>
            <w:tabs>
              <w:tab w:val="right" w:leader="dot" w:pos="9016"/>
            </w:tabs>
            <w:rPr>
              <w:noProof/>
              <w:lang w:val="en-GB" w:eastAsia="en-GB"/>
            </w:rPr>
          </w:pPr>
          <w:hyperlink w:anchor="_Toc527384903" w:history="1">
            <w:r w:rsidRPr="002511F2">
              <w:rPr>
                <w:rStyle w:val="Hyperlink"/>
                <w:rFonts w:ascii="Arial" w:hAnsi="Arial" w:cs="Arial"/>
                <w:noProof/>
                <w:lang w:val="en-GB"/>
              </w:rPr>
              <w:t>KEY DATES</w:t>
            </w:r>
            <w:r>
              <w:rPr>
                <w:noProof/>
                <w:webHidden/>
              </w:rPr>
              <w:tab/>
            </w:r>
            <w:r>
              <w:rPr>
                <w:noProof/>
                <w:webHidden/>
              </w:rPr>
              <w:fldChar w:fldCharType="begin"/>
            </w:r>
            <w:r>
              <w:rPr>
                <w:noProof/>
                <w:webHidden/>
              </w:rPr>
              <w:instrText xml:space="preserve"> PAGEREF _Toc527384903 \h </w:instrText>
            </w:r>
            <w:r>
              <w:rPr>
                <w:noProof/>
                <w:webHidden/>
              </w:rPr>
            </w:r>
            <w:r>
              <w:rPr>
                <w:noProof/>
                <w:webHidden/>
              </w:rPr>
              <w:fldChar w:fldCharType="separate"/>
            </w:r>
            <w:r>
              <w:rPr>
                <w:noProof/>
                <w:webHidden/>
              </w:rPr>
              <w:t>6</w:t>
            </w:r>
            <w:r>
              <w:rPr>
                <w:noProof/>
                <w:webHidden/>
              </w:rPr>
              <w:fldChar w:fldCharType="end"/>
            </w:r>
          </w:hyperlink>
        </w:p>
        <w:p w14:paraId="0B83DAD7" w14:textId="6EAC0772" w:rsidR="002129DE" w:rsidRDefault="002129DE">
          <w:pPr>
            <w:pStyle w:val="TOC2"/>
            <w:tabs>
              <w:tab w:val="right" w:leader="dot" w:pos="9016"/>
            </w:tabs>
            <w:rPr>
              <w:noProof/>
              <w:lang w:val="en-GB" w:eastAsia="en-GB"/>
            </w:rPr>
          </w:pPr>
          <w:hyperlink w:anchor="_Toc527384904" w:history="1">
            <w:r w:rsidRPr="002511F2">
              <w:rPr>
                <w:rStyle w:val="Hyperlink"/>
                <w:rFonts w:ascii="Arial" w:hAnsi="Arial" w:cs="Arial"/>
                <w:noProof/>
                <w:lang w:val="en-GB"/>
              </w:rPr>
              <w:t>REPORTING STRUCTURE, LOGISTICS AND OTHER ARRANGEMENTS</w:t>
            </w:r>
            <w:r>
              <w:rPr>
                <w:noProof/>
                <w:webHidden/>
              </w:rPr>
              <w:tab/>
            </w:r>
            <w:r>
              <w:rPr>
                <w:noProof/>
                <w:webHidden/>
              </w:rPr>
              <w:fldChar w:fldCharType="begin"/>
            </w:r>
            <w:r>
              <w:rPr>
                <w:noProof/>
                <w:webHidden/>
              </w:rPr>
              <w:instrText xml:space="preserve"> PAGEREF _Toc527384904 \h </w:instrText>
            </w:r>
            <w:r>
              <w:rPr>
                <w:noProof/>
                <w:webHidden/>
              </w:rPr>
            </w:r>
            <w:r>
              <w:rPr>
                <w:noProof/>
                <w:webHidden/>
              </w:rPr>
              <w:fldChar w:fldCharType="separate"/>
            </w:r>
            <w:r>
              <w:rPr>
                <w:noProof/>
                <w:webHidden/>
              </w:rPr>
              <w:t>6</w:t>
            </w:r>
            <w:r>
              <w:rPr>
                <w:noProof/>
                <w:webHidden/>
              </w:rPr>
              <w:fldChar w:fldCharType="end"/>
            </w:r>
          </w:hyperlink>
        </w:p>
        <w:p w14:paraId="5C6F20A7" w14:textId="027024C9" w:rsidR="002129DE" w:rsidRDefault="002129DE">
          <w:pPr>
            <w:pStyle w:val="TOC2"/>
            <w:tabs>
              <w:tab w:val="right" w:leader="dot" w:pos="9016"/>
            </w:tabs>
            <w:rPr>
              <w:noProof/>
              <w:lang w:val="en-GB" w:eastAsia="en-GB"/>
            </w:rPr>
          </w:pPr>
          <w:hyperlink w:anchor="_Toc527384905" w:history="1">
            <w:r w:rsidRPr="002511F2">
              <w:rPr>
                <w:rStyle w:val="Hyperlink"/>
                <w:rFonts w:ascii="Arial" w:hAnsi="Arial" w:cs="Arial"/>
                <w:noProof/>
                <w:lang w:val="en-GB"/>
              </w:rPr>
              <w:t>MONITORING, REPORTING, EVALUATION AND LEARNING (MREL)</w:t>
            </w:r>
            <w:r>
              <w:rPr>
                <w:noProof/>
                <w:webHidden/>
              </w:rPr>
              <w:tab/>
            </w:r>
            <w:r>
              <w:rPr>
                <w:noProof/>
                <w:webHidden/>
              </w:rPr>
              <w:fldChar w:fldCharType="begin"/>
            </w:r>
            <w:r>
              <w:rPr>
                <w:noProof/>
                <w:webHidden/>
              </w:rPr>
              <w:instrText xml:space="preserve"> PAGEREF _Toc527384905 \h </w:instrText>
            </w:r>
            <w:r>
              <w:rPr>
                <w:noProof/>
                <w:webHidden/>
              </w:rPr>
            </w:r>
            <w:r>
              <w:rPr>
                <w:noProof/>
                <w:webHidden/>
              </w:rPr>
              <w:fldChar w:fldCharType="separate"/>
            </w:r>
            <w:r>
              <w:rPr>
                <w:noProof/>
                <w:webHidden/>
              </w:rPr>
              <w:t>7</w:t>
            </w:r>
            <w:r>
              <w:rPr>
                <w:noProof/>
                <w:webHidden/>
              </w:rPr>
              <w:fldChar w:fldCharType="end"/>
            </w:r>
          </w:hyperlink>
        </w:p>
        <w:p w14:paraId="2E448980" w14:textId="6FEDC9A9" w:rsidR="002129DE" w:rsidRDefault="002129DE">
          <w:pPr>
            <w:pStyle w:val="TOC2"/>
            <w:tabs>
              <w:tab w:val="right" w:leader="dot" w:pos="9016"/>
            </w:tabs>
            <w:rPr>
              <w:noProof/>
              <w:lang w:val="en-GB" w:eastAsia="en-GB"/>
            </w:rPr>
          </w:pPr>
          <w:hyperlink w:anchor="_Toc527384906" w:history="1">
            <w:r w:rsidRPr="002511F2">
              <w:rPr>
                <w:rStyle w:val="Hyperlink"/>
                <w:rFonts w:ascii="Arial" w:hAnsi="Arial" w:cs="Arial"/>
                <w:noProof/>
                <w:lang w:val="en-GB"/>
              </w:rPr>
              <w:t>SKILLS AND COMPETENCES</w:t>
            </w:r>
            <w:r>
              <w:rPr>
                <w:noProof/>
                <w:webHidden/>
              </w:rPr>
              <w:tab/>
            </w:r>
            <w:r>
              <w:rPr>
                <w:noProof/>
                <w:webHidden/>
              </w:rPr>
              <w:fldChar w:fldCharType="begin"/>
            </w:r>
            <w:r>
              <w:rPr>
                <w:noProof/>
                <w:webHidden/>
              </w:rPr>
              <w:instrText xml:space="preserve"> PAGEREF _Toc527384906 \h </w:instrText>
            </w:r>
            <w:r>
              <w:rPr>
                <w:noProof/>
                <w:webHidden/>
              </w:rPr>
            </w:r>
            <w:r>
              <w:rPr>
                <w:noProof/>
                <w:webHidden/>
              </w:rPr>
              <w:fldChar w:fldCharType="separate"/>
            </w:r>
            <w:r>
              <w:rPr>
                <w:noProof/>
                <w:webHidden/>
              </w:rPr>
              <w:t>7</w:t>
            </w:r>
            <w:r>
              <w:rPr>
                <w:noProof/>
                <w:webHidden/>
              </w:rPr>
              <w:fldChar w:fldCharType="end"/>
            </w:r>
          </w:hyperlink>
        </w:p>
        <w:p w14:paraId="165BBD62" w14:textId="279881D3" w:rsidR="002129DE" w:rsidRDefault="002129DE">
          <w:pPr>
            <w:pStyle w:val="TOC2"/>
            <w:tabs>
              <w:tab w:val="right" w:leader="dot" w:pos="9016"/>
            </w:tabs>
            <w:rPr>
              <w:noProof/>
              <w:lang w:val="en-GB" w:eastAsia="en-GB"/>
            </w:rPr>
          </w:pPr>
          <w:hyperlink w:anchor="_Toc527384907" w:history="1">
            <w:r w:rsidRPr="002511F2">
              <w:rPr>
                <w:rStyle w:val="Hyperlink"/>
                <w:rFonts w:ascii="Arial" w:hAnsi="Arial" w:cs="Arial"/>
                <w:noProof/>
                <w:lang w:val="en-GB"/>
              </w:rPr>
              <w:t>DUTY OF CARE</w:t>
            </w:r>
            <w:r>
              <w:rPr>
                <w:noProof/>
                <w:webHidden/>
              </w:rPr>
              <w:tab/>
            </w:r>
            <w:r>
              <w:rPr>
                <w:noProof/>
                <w:webHidden/>
              </w:rPr>
              <w:fldChar w:fldCharType="begin"/>
            </w:r>
            <w:r>
              <w:rPr>
                <w:noProof/>
                <w:webHidden/>
              </w:rPr>
              <w:instrText xml:space="preserve"> PAGEREF _Toc527384907 \h </w:instrText>
            </w:r>
            <w:r>
              <w:rPr>
                <w:noProof/>
                <w:webHidden/>
              </w:rPr>
            </w:r>
            <w:r>
              <w:rPr>
                <w:noProof/>
                <w:webHidden/>
              </w:rPr>
              <w:fldChar w:fldCharType="separate"/>
            </w:r>
            <w:r>
              <w:rPr>
                <w:noProof/>
                <w:webHidden/>
              </w:rPr>
              <w:t>8</w:t>
            </w:r>
            <w:r>
              <w:rPr>
                <w:noProof/>
                <w:webHidden/>
              </w:rPr>
              <w:fldChar w:fldCharType="end"/>
            </w:r>
          </w:hyperlink>
        </w:p>
        <w:p w14:paraId="587D0FD3" w14:textId="4F1D18E1" w:rsidR="002129DE" w:rsidRDefault="002129DE">
          <w:pPr>
            <w:pStyle w:val="TOC2"/>
            <w:tabs>
              <w:tab w:val="right" w:leader="dot" w:pos="9016"/>
            </w:tabs>
            <w:rPr>
              <w:noProof/>
              <w:lang w:val="en-GB" w:eastAsia="en-GB"/>
            </w:rPr>
          </w:pPr>
          <w:hyperlink w:anchor="_Toc527384908" w:history="1">
            <w:r w:rsidRPr="002511F2">
              <w:rPr>
                <w:rStyle w:val="Hyperlink"/>
                <w:rFonts w:ascii="Arial" w:hAnsi="Arial" w:cs="Arial"/>
                <w:noProof/>
                <w:lang w:val="en-GB"/>
              </w:rPr>
              <w:t>TENDER’S PACKAGE</w:t>
            </w:r>
            <w:r>
              <w:rPr>
                <w:noProof/>
                <w:webHidden/>
              </w:rPr>
              <w:tab/>
            </w:r>
            <w:r>
              <w:rPr>
                <w:noProof/>
                <w:webHidden/>
              </w:rPr>
              <w:fldChar w:fldCharType="begin"/>
            </w:r>
            <w:r>
              <w:rPr>
                <w:noProof/>
                <w:webHidden/>
              </w:rPr>
              <w:instrText xml:space="preserve"> PAGEREF _Toc527384908 \h </w:instrText>
            </w:r>
            <w:r>
              <w:rPr>
                <w:noProof/>
                <w:webHidden/>
              </w:rPr>
            </w:r>
            <w:r>
              <w:rPr>
                <w:noProof/>
                <w:webHidden/>
              </w:rPr>
              <w:fldChar w:fldCharType="separate"/>
            </w:r>
            <w:r>
              <w:rPr>
                <w:noProof/>
                <w:webHidden/>
              </w:rPr>
              <w:t>8</w:t>
            </w:r>
            <w:r>
              <w:rPr>
                <w:noProof/>
                <w:webHidden/>
              </w:rPr>
              <w:fldChar w:fldCharType="end"/>
            </w:r>
          </w:hyperlink>
        </w:p>
        <w:p w14:paraId="50D4E678" w14:textId="36E6BBAC" w:rsidR="002129DE" w:rsidRDefault="002129DE">
          <w:pPr>
            <w:pStyle w:val="TOC2"/>
            <w:tabs>
              <w:tab w:val="right" w:leader="dot" w:pos="9016"/>
            </w:tabs>
            <w:rPr>
              <w:noProof/>
              <w:lang w:val="en-GB" w:eastAsia="en-GB"/>
            </w:rPr>
          </w:pPr>
          <w:hyperlink w:anchor="_Toc527384909" w:history="1">
            <w:r w:rsidRPr="002511F2">
              <w:rPr>
                <w:rStyle w:val="Hyperlink"/>
                <w:rFonts w:ascii="Arial" w:hAnsi="Arial" w:cs="Arial"/>
                <w:noProof/>
                <w:lang w:val="en-GB"/>
              </w:rPr>
              <w:t>BUDGET</w:t>
            </w:r>
            <w:r>
              <w:rPr>
                <w:noProof/>
                <w:webHidden/>
              </w:rPr>
              <w:tab/>
            </w:r>
            <w:r>
              <w:rPr>
                <w:noProof/>
                <w:webHidden/>
              </w:rPr>
              <w:fldChar w:fldCharType="begin"/>
            </w:r>
            <w:r>
              <w:rPr>
                <w:noProof/>
                <w:webHidden/>
              </w:rPr>
              <w:instrText xml:space="preserve"> PAGEREF _Toc527384909 \h </w:instrText>
            </w:r>
            <w:r>
              <w:rPr>
                <w:noProof/>
                <w:webHidden/>
              </w:rPr>
            </w:r>
            <w:r>
              <w:rPr>
                <w:noProof/>
                <w:webHidden/>
              </w:rPr>
              <w:fldChar w:fldCharType="separate"/>
            </w:r>
            <w:r>
              <w:rPr>
                <w:noProof/>
                <w:webHidden/>
              </w:rPr>
              <w:t>9</w:t>
            </w:r>
            <w:r>
              <w:rPr>
                <w:noProof/>
                <w:webHidden/>
              </w:rPr>
              <w:fldChar w:fldCharType="end"/>
            </w:r>
          </w:hyperlink>
        </w:p>
        <w:p w14:paraId="1ED90EFD" w14:textId="272E2308" w:rsidR="00A465C0" w:rsidRPr="00B50077" w:rsidRDefault="002D1426">
          <w:pPr>
            <w:rPr>
              <w:rFonts w:ascii="Arial" w:hAnsi="Arial" w:cs="Arial"/>
            </w:rPr>
          </w:pPr>
          <w:r w:rsidRPr="00B50077">
            <w:rPr>
              <w:rFonts w:ascii="Arial" w:hAnsi="Arial" w:cs="Arial"/>
            </w:rPr>
            <w:fldChar w:fldCharType="end"/>
          </w:r>
        </w:p>
        <w:p w14:paraId="0820C333" w14:textId="77777777" w:rsidR="00A465C0" w:rsidRPr="00B50077" w:rsidRDefault="00A465C0">
          <w:pPr>
            <w:rPr>
              <w:rFonts w:ascii="Arial" w:hAnsi="Arial" w:cs="Arial"/>
            </w:rPr>
          </w:pPr>
        </w:p>
        <w:p w14:paraId="6BED3359" w14:textId="77777777" w:rsidR="006C2E2E" w:rsidRPr="00B50077" w:rsidRDefault="002129DE">
          <w:pPr>
            <w:rPr>
              <w:rFonts w:ascii="Arial" w:hAnsi="Arial" w:cs="Arial"/>
              <w:lang w:val="en-GB" w:eastAsia="en-GB"/>
            </w:rPr>
          </w:pPr>
        </w:p>
      </w:sdtContent>
    </w:sdt>
    <w:p w14:paraId="05D7C38A" w14:textId="77777777" w:rsidR="00B50077" w:rsidRDefault="00B50077" w:rsidP="00B50077">
      <w:pPr>
        <w:spacing w:after="0"/>
        <w:rPr>
          <w:rFonts w:ascii="Arial" w:hAnsi="Arial" w:cs="Arial"/>
        </w:rPr>
      </w:pPr>
    </w:p>
    <w:p w14:paraId="41752F51" w14:textId="77777777" w:rsidR="00B50077" w:rsidRDefault="00B50077" w:rsidP="00B50077">
      <w:pPr>
        <w:spacing w:after="0"/>
        <w:rPr>
          <w:rFonts w:ascii="Arial" w:hAnsi="Arial" w:cs="Arial"/>
        </w:rPr>
      </w:pPr>
    </w:p>
    <w:p w14:paraId="47A51A61" w14:textId="77777777" w:rsidR="00B50077" w:rsidRDefault="00B50077" w:rsidP="00B50077">
      <w:pPr>
        <w:spacing w:after="0"/>
        <w:rPr>
          <w:rFonts w:ascii="Arial" w:hAnsi="Arial" w:cs="Arial"/>
        </w:rPr>
      </w:pPr>
    </w:p>
    <w:p w14:paraId="23F1E0EB" w14:textId="77777777" w:rsidR="00673809" w:rsidRDefault="00673809" w:rsidP="00B50077">
      <w:pPr>
        <w:spacing w:after="0"/>
        <w:rPr>
          <w:rFonts w:ascii="Arial" w:hAnsi="Arial" w:cs="Arial"/>
        </w:rPr>
      </w:pPr>
    </w:p>
    <w:p w14:paraId="114E5D82" w14:textId="77777777" w:rsidR="00673809" w:rsidRDefault="00673809" w:rsidP="00B50077">
      <w:pPr>
        <w:spacing w:after="0"/>
        <w:rPr>
          <w:rFonts w:ascii="Arial" w:hAnsi="Arial" w:cs="Arial"/>
        </w:rPr>
      </w:pPr>
    </w:p>
    <w:p w14:paraId="0665F84E" w14:textId="77777777" w:rsidR="00673809" w:rsidRDefault="00673809" w:rsidP="00B50077">
      <w:pPr>
        <w:spacing w:after="0"/>
        <w:rPr>
          <w:rFonts w:ascii="Arial" w:hAnsi="Arial" w:cs="Arial"/>
        </w:rPr>
      </w:pPr>
    </w:p>
    <w:p w14:paraId="10F38508" w14:textId="4D9EB4A5" w:rsidR="00B50077" w:rsidRDefault="00B50077" w:rsidP="00B50077">
      <w:pPr>
        <w:spacing w:after="0"/>
        <w:rPr>
          <w:rFonts w:ascii="Arial" w:hAnsi="Arial" w:cs="Arial"/>
        </w:rPr>
      </w:pPr>
    </w:p>
    <w:p w14:paraId="5C84F3E2" w14:textId="52677E45" w:rsidR="00D159BA" w:rsidRDefault="00D159BA" w:rsidP="00B50077">
      <w:pPr>
        <w:spacing w:after="0"/>
        <w:rPr>
          <w:rFonts w:ascii="Arial" w:hAnsi="Arial" w:cs="Arial"/>
        </w:rPr>
      </w:pPr>
    </w:p>
    <w:p w14:paraId="6763F315" w14:textId="48072F94" w:rsidR="00D159BA" w:rsidRDefault="00D159BA" w:rsidP="00B50077">
      <w:pPr>
        <w:spacing w:after="0"/>
        <w:rPr>
          <w:rFonts w:ascii="Arial" w:hAnsi="Arial" w:cs="Arial"/>
        </w:rPr>
      </w:pPr>
    </w:p>
    <w:p w14:paraId="56B92A57" w14:textId="77777777" w:rsidR="00D159BA" w:rsidRDefault="00D159BA" w:rsidP="00B50077">
      <w:pPr>
        <w:spacing w:after="0"/>
        <w:rPr>
          <w:rFonts w:ascii="Arial" w:hAnsi="Arial" w:cs="Arial"/>
        </w:rPr>
      </w:pPr>
    </w:p>
    <w:p w14:paraId="69433C53" w14:textId="77777777" w:rsidR="00A229CA" w:rsidRDefault="00A229CA" w:rsidP="00B50077">
      <w:pPr>
        <w:spacing w:after="0"/>
        <w:rPr>
          <w:rFonts w:ascii="Arial" w:hAnsi="Arial" w:cs="Arial"/>
        </w:rPr>
      </w:pPr>
    </w:p>
    <w:p w14:paraId="1B369DCA" w14:textId="77777777" w:rsidR="00E44823" w:rsidRDefault="00E44823" w:rsidP="007509DA">
      <w:pPr>
        <w:pStyle w:val="Heading2"/>
        <w:rPr>
          <w:rFonts w:ascii="Arial" w:hAnsi="Arial" w:cs="Arial"/>
          <w:sz w:val="24"/>
          <w:szCs w:val="24"/>
          <w:lang w:val="en-GB"/>
        </w:rPr>
      </w:pPr>
    </w:p>
    <w:p w14:paraId="7F348DE5" w14:textId="4BC68DB1" w:rsidR="00B50077" w:rsidRPr="007509DA" w:rsidRDefault="00ED14C4" w:rsidP="007509DA">
      <w:pPr>
        <w:pStyle w:val="Heading2"/>
        <w:rPr>
          <w:rFonts w:ascii="Arial" w:hAnsi="Arial" w:cs="Arial"/>
          <w:sz w:val="24"/>
          <w:szCs w:val="24"/>
          <w:lang w:val="en-GB"/>
        </w:rPr>
      </w:pPr>
      <w:bookmarkStart w:id="0" w:name="_Toc527384897"/>
      <w:r w:rsidRPr="007509DA">
        <w:rPr>
          <w:rFonts w:ascii="Arial" w:hAnsi="Arial" w:cs="Arial"/>
          <w:sz w:val="24"/>
          <w:szCs w:val="24"/>
          <w:lang w:val="en-GB"/>
        </w:rPr>
        <w:t>SUMMARY OF REQUIREMENT</w:t>
      </w:r>
      <w:bookmarkEnd w:id="0"/>
      <w:r w:rsidRPr="007509DA">
        <w:rPr>
          <w:rFonts w:ascii="Arial" w:hAnsi="Arial" w:cs="Arial"/>
          <w:sz w:val="24"/>
          <w:szCs w:val="24"/>
          <w:lang w:val="en-GB"/>
        </w:rPr>
        <w:t xml:space="preserve"> </w:t>
      </w:r>
    </w:p>
    <w:p w14:paraId="65F9B7E4" w14:textId="77777777" w:rsidR="003B788F" w:rsidRPr="00B50077" w:rsidRDefault="003B788F" w:rsidP="00B172D0">
      <w:pPr>
        <w:spacing w:after="0"/>
        <w:jc w:val="both"/>
        <w:rPr>
          <w:rFonts w:ascii="Arial" w:hAnsi="Arial" w:cs="Arial"/>
          <w:b/>
          <w:lang w:val="en-GB"/>
        </w:rPr>
      </w:pPr>
    </w:p>
    <w:p w14:paraId="2FC47946" w14:textId="205CCF7C" w:rsidR="003B788F" w:rsidRPr="00C502E6" w:rsidRDefault="00AF7065" w:rsidP="00546559">
      <w:pPr>
        <w:pStyle w:val="ListParagraph"/>
        <w:numPr>
          <w:ilvl w:val="0"/>
          <w:numId w:val="1"/>
        </w:numPr>
        <w:spacing w:after="0"/>
        <w:jc w:val="both"/>
        <w:rPr>
          <w:rFonts w:ascii="Arial" w:hAnsi="Arial" w:cs="Arial"/>
          <w:lang w:val="en-GB"/>
        </w:rPr>
      </w:pPr>
      <w:r w:rsidRPr="00B50077">
        <w:rPr>
          <w:rFonts w:ascii="Arial" w:eastAsia="Calibri" w:hAnsi="Arial" w:cs="Arial"/>
          <w:lang w:val="en-GB" w:eastAsia="en-US"/>
        </w:rPr>
        <w:t>The Foreign and Commonwealth Office</w:t>
      </w:r>
      <w:r>
        <w:rPr>
          <w:rFonts w:ascii="Arial" w:eastAsia="Calibri" w:hAnsi="Arial" w:cs="Arial"/>
          <w:lang w:val="en-GB" w:eastAsia="en-US"/>
        </w:rPr>
        <w:t xml:space="preserve"> or FCO</w:t>
      </w:r>
      <w:r w:rsidRPr="00B50077">
        <w:rPr>
          <w:rFonts w:ascii="Arial" w:eastAsia="Calibri" w:hAnsi="Arial" w:cs="Arial"/>
          <w:lang w:val="en-GB" w:eastAsia="en-US"/>
        </w:rPr>
        <w:t xml:space="preserve"> (</w:t>
      </w:r>
      <w:r>
        <w:rPr>
          <w:rFonts w:ascii="Arial" w:eastAsia="Calibri" w:hAnsi="Arial" w:cs="Arial"/>
          <w:lang w:val="en-GB" w:eastAsia="en-US"/>
        </w:rPr>
        <w:t>the Authority</w:t>
      </w:r>
      <w:r w:rsidRPr="00B50077">
        <w:rPr>
          <w:rFonts w:ascii="Arial" w:eastAsia="Calibri" w:hAnsi="Arial" w:cs="Arial"/>
          <w:lang w:val="en-GB" w:eastAsia="en-US"/>
        </w:rPr>
        <w:t xml:space="preserve">), seeks to appoint one </w:t>
      </w:r>
      <w:r w:rsidR="001808FF">
        <w:rPr>
          <w:rFonts w:ascii="Arial" w:eastAsia="Calibri" w:hAnsi="Arial" w:cs="Arial"/>
          <w:lang w:val="en-GB" w:eastAsia="en-US"/>
        </w:rPr>
        <w:t>Service Supplier</w:t>
      </w:r>
      <w:r w:rsidRPr="00B50077">
        <w:rPr>
          <w:rFonts w:ascii="Arial" w:eastAsia="Calibri" w:hAnsi="Arial" w:cs="Arial"/>
          <w:lang w:val="en-GB" w:eastAsia="en-US"/>
        </w:rPr>
        <w:t xml:space="preserve"> for the implementation of </w:t>
      </w:r>
      <w:r w:rsidRPr="0064770F">
        <w:rPr>
          <w:rFonts w:ascii="Arial" w:eastAsia="Calibri" w:hAnsi="Arial" w:cs="Arial"/>
          <w:lang w:val="en-GB" w:eastAsia="en-US"/>
        </w:rPr>
        <w:t xml:space="preserve">the </w:t>
      </w:r>
      <w:r w:rsidRPr="00B50077">
        <w:rPr>
          <w:rFonts w:ascii="Arial" w:eastAsia="Calibri" w:hAnsi="Arial" w:cs="Arial"/>
          <w:lang w:val="en-GB" w:eastAsia="en-US"/>
        </w:rPr>
        <w:t>Cross Whitehall Prosperity Fund</w:t>
      </w:r>
      <w:r>
        <w:rPr>
          <w:rFonts w:ascii="Arial" w:eastAsia="Calibri" w:hAnsi="Arial" w:cs="Arial"/>
          <w:lang w:val="en-GB" w:eastAsia="en-US"/>
        </w:rPr>
        <w:t xml:space="preserve"> </w:t>
      </w:r>
      <w:r w:rsidRPr="009E1929">
        <w:rPr>
          <w:rFonts w:ascii="Arial" w:eastAsia="Calibri" w:hAnsi="Arial" w:cs="Arial"/>
          <w:b/>
          <w:lang w:val="en-GB" w:eastAsia="en-US"/>
        </w:rPr>
        <w:t>non-O</w:t>
      </w:r>
      <w:r>
        <w:rPr>
          <w:rFonts w:ascii="Arial" w:eastAsia="Calibri" w:hAnsi="Arial" w:cs="Arial"/>
          <w:b/>
          <w:lang w:val="en-GB" w:eastAsia="en-US"/>
        </w:rPr>
        <w:t xml:space="preserve">fficial </w:t>
      </w:r>
      <w:r w:rsidRPr="009E1929">
        <w:rPr>
          <w:rFonts w:ascii="Arial" w:eastAsia="Calibri" w:hAnsi="Arial" w:cs="Arial"/>
          <w:b/>
          <w:lang w:val="en-GB" w:eastAsia="en-US"/>
        </w:rPr>
        <w:t>D</w:t>
      </w:r>
      <w:r>
        <w:rPr>
          <w:rFonts w:ascii="Arial" w:eastAsia="Calibri" w:hAnsi="Arial" w:cs="Arial"/>
          <w:b/>
          <w:lang w:val="en-GB" w:eastAsia="en-US"/>
        </w:rPr>
        <w:t xml:space="preserve">evelopment </w:t>
      </w:r>
      <w:r w:rsidRPr="009E1929">
        <w:rPr>
          <w:rFonts w:ascii="Arial" w:eastAsia="Calibri" w:hAnsi="Arial" w:cs="Arial"/>
          <w:b/>
          <w:lang w:val="en-GB" w:eastAsia="en-US"/>
        </w:rPr>
        <w:t>A</w:t>
      </w:r>
      <w:r>
        <w:rPr>
          <w:rFonts w:ascii="Arial" w:eastAsia="Calibri" w:hAnsi="Arial" w:cs="Arial"/>
          <w:b/>
          <w:lang w:val="en-GB" w:eastAsia="en-US"/>
        </w:rPr>
        <w:t>ssistance (non-ODA)</w:t>
      </w:r>
      <w:r w:rsidRPr="00B50077">
        <w:rPr>
          <w:rFonts w:ascii="Arial" w:eastAsia="Calibri" w:hAnsi="Arial" w:cs="Arial"/>
          <w:lang w:val="en-GB" w:eastAsia="en-US"/>
        </w:rPr>
        <w:t xml:space="preserve"> </w:t>
      </w:r>
      <w:r>
        <w:rPr>
          <w:rFonts w:ascii="Arial" w:eastAsia="Calibri" w:hAnsi="Arial" w:cs="Arial"/>
          <w:lang w:val="en-GB" w:eastAsia="en-US"/>
        </w:rPr>
        <w:t>project</w:t>
      </w:r>
      <w:r w:rsidRPr="00B50077">
        <w:rPr>
          <w:rFonts w:ascii="Arial" w:eastAsia="Calibri" w:hAnsi="Arial" w:cs="Arial"/>
          <w:lang w:val="en-GB" w:eastAsia="en-US"/>
        </w:rPr>
        <w:t xml:space="preserve"> in Mexico entitled </w:t>
      </w:r>
      <w:r w:rsidR="003F19A6">
        <w:rPr>
          <w:rFonts w:ascii="Arial" w:hAnsi="Arial" w:cs="Arial"/>
          <w:lang w:val="en-GB"/>
        </w:rPr>
        <w:t>“</w:t>
      </w:r>
      <w:r>
        <w:rPr>
          <w:rFonts w:ascii="Arial" w:hAnsi="Arial" w:cs="Arial"/>
          <w:lang w:val="en-GB"/>
        </w:rPr>
        <w:t>Scoping Commercial Opportunities for Green Finance in Mexico</w:t>
      </w:r>
      <w:r w:rsidR="003B788F" w:rsidRPr="00C502E6">
        <w:rPr>
          <w:rFonts w:ascii="Arial" w:hAnsi="Arial" w:cs="Arial"/>
          <w:lang w:val="en-GB"/>
        </w:rPr>
        <w:t xml:space="preserve">”. The Service Supplier </w:t>
      </w:r>
      <w:r w:rsidR="00DB38BA">
        <w:rPr>
          <w:rFonts w:ascii="Arial" w:hAnsi="Arial" w:cs="Arial"/>
          <w:lang w:val="en-GB"/>
        </w:rPr>
        <w:t xml:space="preserve">(the Supplier) </w:t>
      </w:r>
      <w:r w:rsidR="003B788F" w:rsidRPr="00C502E6">
        <w:rPr>
          <w:rFonts w:ascii="Arial" w:hAnsi="Arial" w:cs="Arial"/>
          <w:lang w:val="en-GB"/>
        </w:rPr>
        <w:t>will deliver</w:t>
      </w:r>
      <w:r w:rsidR="003B788F" w:rsidRPr="00C502E6">
        <w:rPr>
          <w:rFonts w:ascii="Arial" w:hAnsi="Arial" w:cs="Arial"/>
          <w:b/>
          <w:lang w:val="en-GB"/>
        </w:rPr>
        <w:t xml:space="preserve"> </w:t>
      </w:r>
      <w:r w:rsidR="00D70AB1">
        <w:rPr>
          <w:rFonts w:ascii="Arial" w:hAnsi="Arial" w:cs="Arial"/>
          <w:b/>
          <w:lang w:val="en-GB"/>
        </w:rPr>
        <w:t xml:space="preserve">one scoping report outlining the leading </w:t>
      </w:r>
      <w:r w:rsidR="004C47D5">
        <w:rPr>
          <w:rFonts w:ascii="Arial" w:hAnsi="Arial" w:cs="Arial"/>
          <w:b/>
          <w:lang w:val="en-GB"/>
        </w:rPr>
        <w:t>areas of</w:t>
      </w:r>
      <w:r w:rsidR="00D70AB1">
        <w:rPr>
          <w:rFonts w:ascii="Arial" w:hAnsi="Arial" w:cs="Arial"/>
          <w:b/>
          <w:lang w:val="en-GB"/>
        </w:rPr>
        <w:t xml:space="preserve"> Green Finance</w:t>
      </w:r>
      <w:r w:rsidR="004C47D5">
        <w:rPr>
          <w:rFonts w:ascii="Arial" w:hAnsi="Arial" w:cs="Arial"/>
          <w:b/>
          <w:lang w:val="en-GB"/>
        </w:rPr>
        <w:t xml:space="preserve"> in Mexico</w:t>
      </w:r>
      <w:r w:rsidR="00D70AB1">
        <w:rPr>
          <w:rFonts w:ascii="Arial" w:hAnsi="Arial" w:cs="Arial"/>
          <w:b/>
          <w:lang w:val="en-GB"/>
        </w:rPr>
        <w:t xml:space="preserve"> that </w:t>
      </w:r>
      <w:r w:rsidR="004C47D5">
        <w:rPr>
          <w:rFonts w:ascii="Arial" w:hAnsi="Arial" w:cs="Arial"/>
          <w:b/>
          <w:lang w:val="en-GB"/>
        </w:rPr>
        <w:t>represent</w:t>
      </w:r>
      <w:r w:rsidR="00D70AB1">
        <w:rPr>
          <w:rFonts w:ascii="Arial" w:hAnsi="Arial" w:cs="Arial"/>
          <w:b/>
          <w:lang w:val="en-GB"/>
        </w:rPr>
        <w:t xml:space="preserve"> commercial opportunities for </w:t>
      </w:r>
      <w:r w:rsidR="00890E23">
        <w:rPr>
          <w:rFonts w:ascii="Arial" w:hAnsi="Arial" w:cs="Arial"/>
          <w:b/>
          <w:lang w:val="en-GB"/>
        </w:rPr>
        <w:t xml:space="preserve">UK </w:t>
      </w:r>
      <w:r w:rsidR="00D70AB1">
        <w:rPr>
          <w:rFonts w:ascii="Arial" w:hAnsi="Arial" w:cs="Arial"/>
          <w:b/>
          <w:lang w:val="en-GB"/>
        </w:rPr>
        <w:t>com</w:t>
      </w:r>
      <w:r w:rsidR="004C47D5">
        <w:rPr>
          <w:rFonts w:ascii="Arial" w:hAnsi="Arial" w:cs="Arial"/>
          <w:b/>
          <w:lang w:val="en-GB"/>
        </w:rPr>
        <w:t>panies, including</w:t>
      </w:r>
      <w:r w:rsidR="00D70AB1">
        <w:rPr>
          <w:rFonts w:ascii="Arial" w:hAnsi="Arial" w:cs="Arial"/>
          <w:b/>
          <w:lang w:val="en-GB"/>
        </w:rPr>
        <w:t xml:space="preserve"> a preliminary list profiling </w:t>
      </w:r>
      <w:r w:rsidR="00890E23">
        <w:rPr>
          <w:rFonts w:ascii="Arial" w:hAnsi="Arial" w:cs="Arial"/>
          <w:b/>
          <w:lang w:val="en-GB"/>
        </w:rPr>
        <w:t xml:space="preserve">those companies </w:t>
      </w:r>
      <w:r w:rsidR="00D70AB1">
        <w:rPr>
          <w:rFonts w:ascii="Arial" w:hAnsi="Arial" w:cs="Arial"/>
          <w:b/>
          <w:lang w:val="en-GB"/>
        </w:rPr>
        <w:t xml:space="preserve">that are </w:t>
      </w:r>
      <w:r w:rsidR="004C47D5">
        <w:rPr>
          <w:rFonts w:ascii="Arial" w:hAnsi="Arial" w:cs="Arial"/>
          <w:b/>
          <w:lang w:val="en-GB"/>
        </w:rPr>
        <w:t>actively</w:t>
      </w:r>
      <w:r w:rsidR="00D70AB1">
        <w:rPr>
          <w:rFonts w:ascii="Arial" w:hAnsi="Arial" w:cs="Arial"/>
          <w:b/>
          <w:lang w:val="en-GB"/>
        </w:rPr>
        <w:t xml:space="preserve"> </w:t>
      </w:r>
      <w:r w:rsidR="00E87FEF">
        <w:rPr>
          <w:rFonts w:ascii="Arial" w:hAnsi="Arial" w:cs="Arial"/>
          <w:b/>
          <w:lang w:val="en-GB"/>
        </w:rPr>
        <w:t xml:space="preserve">or planning on </w:t>
      </w:r>
      <w:r w:rsidR="00D70AB1">
        <w:rPr>
          <w:rFonts w:ascii="Arial" w:hAnsi="Arial" w:cs="Arial"/>
          <w:b/>
          <w:lang w:val="en-GB"/>
        </w:rPr>
        <w:t>participating in the sector</w:t>
      </w:r>
      <w:r w:rsidR="004C47D5">
        <w:rPr>
          <w:rFonts w:ascii="Arial" w:hAnsi="Arial" w:cs="Arial"/>
          <w:b/>
          <w:lang w:val="en-GB"/>
        </w:rPr>
        <w:t xml:space="preserve"> internationally</w:t>
      </w:r>
      <w:r w:rsidR="00D70AB1">
        <w:rPr>
          <w:rFonts w:ascii="Arial" w:hAnsi="Arial" w:cs="Arial"/>
          <w:b/>
          <w:lang w:val="en-GB"/>
        </w:rPr>
        <w:t>.</w:t>
      </w:r>
      <w:r w:rsidR="003B788F" w:rsidRPr="00C502E6">
        <w:rPr>
          <w:rFonts w:ascii="Arial" w:hAnsi="Arial" w:cs="Arial"/>
          <w:lang w:val="en-GB"/>
        </w:rPr>
        <w:t xml:space="preserve"> We expect that the delivery of the analysis will foster Mexico’s </w:t>
      </w:r>
      <w:r w:rsidR="004C47D5">
        <w:rPr>
          <w:rFonts w:ascii="Arial" w:hAnsi="Arial" w:cs="Arial"/>
          <w:lang w:val="en-GB"/>
        </w:rPr>
        <w:t>Green Finance</w:t>
      </w:r>
      <w:r w:rsidR="003B788F" w:rsidRPr="00C502E6">
        <w:rPr>
          <w:rFonts w:ascii="Arial" w:hAnsi="Arial" w:cs="Arial"/>
          <w:lang w:val="en-GB"/>
        </w:rPr>
        <w:t xml:space="preserve"> agenda</w:t>
      </w:r>
      <w:r w:rsidR="00360EA8">
        <w:rPr>
          <w:rFonts w:ascii="Arial" w:hAnsi="Arial" w:cs="Arial"/>
          <w:lang w:val="en-GB"/>
        </w:rPr>
        <w:t>, as well as identify commercial opportunities for UK companies</w:t>
      </w:r>
      <w:r w:rsidR="003B788F" w:rsidRPr="00C502E6">
        <w:rPr>
          <w:rFonts w:ascii="Arial" w:hAnsi="Arial" w:cs="Arial"/>
          <w:lang w:val="en-GB"/>
        </w:rPr>
        <w:t>.</w:t>
      </w:r>
    </w:p>
    <w:p w14:paraId="29A97AE2" w14:textId="77777777" w:rsidR="00C06BC7" w:rsidRDefault="00C06BC7" w:rsidP="00B172D0">
      <w:pPr>
        <w:pStyle w:val="ListParagraph"/>
        <w:spacing w:after="0"/>
        <w:jc w:val="both"/>
        <w:rPr>
          <w:rFonts w:ascii="Arial" w:eastAsia="Calibri" w:hAnsi="Arial" w:cs="Arial"/>
          <w:lang w:val="en-GB" w:eastAsia="en-US"/>
        </w:rPr>
      </w:pPr>
    </w:p>
    <w:p w14:paraId="425CD7EB" w14:textId="77777777" w:rsidR="00A465C0" w:rsidRPr="007509DA" w:rsidRDefault="0031447F" w:rsidP="006D35D5">
      <w:pPr>
        <w:pStyle w:val="Heading2"/>
        <w:rPr>
          <w:rFonts w:ascii="Arial" w:hAnsi="Arial" w:cs="Arial"/>
          <w:sz w:val="24"/>
          <w:szCs w:val="24"/>
          <w:lang w:val="en-GB"/>
        </w:rPr>
      </w:pPr>
      <w:bookmarkStart w:id="1" w:name="_Toc527384898"/>
      <w:r w:rsidRPr="007509DA">
        <w:rPr>
          <w:rFonts w:ascii="Arial" w:hAnsi="Arial" w:cs="Arial"/>
          <w:sz w:val="24"/>
          <w:szCs w:val="24"/>
          <w:lang w:val="en-GB"/>
        </w:rPr>
        <w:t>I</w:t>
      </w:r>
      <w:r w:rsidR="00ED14C4" w:rsidRPr="007509DA">
        <w:rPr>
          <w:rFonts w:ascii="Arial" w:hAnsi="Arial" w:cs="Arial"/>
          <w:sz w:val="24"/>
          <w:szCs w:val="24"/>
          <w:lang w:val="en-GB"/>
        </w:rPr>
        <w:t>NTRODUCTION</w:t>
      </w:r>
      <w:bookmarkEnd w:id="1"/>
    </w:p>
    <w:p w14:paraId="05E18338" w14:textId="77777777" w:rsidR="003B788F" w:rsidRDefault="003B788F" w:rsidP="003B788F">
      <w:pPr>
        <w:pStyle w:val="ListParagraph"/>
        <w:spacing w:after="0"/>
        <w:ind w:left="360"/>
        <w:jc w:val="both"/>
        <w:rPr>
          <w:rFonts w:ascii="Arial" w:hAnsi="Arial" w:cs="Arial"/>
          <w:lang w:val="en-GB"/>
        </w:rPr>
      </w:pPr>
    </w:p>
    <w:p w14:paraId="793DDDB8" w14:textId="30A02813" w:rsidR="00AF7065" w:rsidRPr="00184162" w:rsidRDefault="00AF7065" w:rsidP="003979F1">
      <w:pPr>
        <w:pStyle w:val="ListParagraph"/>
        <w:numPr>
          <w:ilvl w:val="0"/>
          <w:numId w:val="1"/>
        </w:numPr>
        <w:spacing w:after="0"/>
        <w:jc w:val="both"/>
        <w:rPr>
          <w:lang w:val="en-GB"/>
        </w:rPr>
      </w:pPr>
      <w:r w:rsidRPr="00B50077">
        <w:rPr>
          <w:rFonts w:ascii="Arial" w:hAnsi="Arial" w:cs="Arial"/>
          <w:lang w:val="en-GB"/>
        </w:rPr>
        <w:t xml:space="preserve">In 2015, the UK government’s </w:t>
      </w:r>
      <w:r w:rsidRPr="00A5763C">
        <w:rPr>
          <w:rFonts w:ascii="Arial" w:hAnsi="Arial" w:cs="Arial"/>
          <w:b/>
          <w:lang w:val="en-GB"/>
        </w:rPr>
        <w:t>Strategic Defence and Security Review</w:t>
      </w:r>
      <w:r w:rsidRPr="00B50077">
        <w:rPr>
          <w:rFonts w:ascii="Arial" w:hAnsi="Arial" w:cs="Arial"/>
          <w:lang w:val="en-GB"/>
        </w:rPr>
        <w:t xml:space="preserve"> announced a £1.3billion cross-government </w:t>
      </w:r>
      <w:r w:rsidRPr="00A5763C">
        <w:rPr>
          <w:rFonts w:ascii="Arial" w:hAnsi="Arial" w:cs="Arial"/>
          <w:b/>
          <w:lang w:val="en-GB"/>
        </w:rPr>
        <w:t>Prosperity Fund (PF)</w:t>
      </w:r>
      <w:r w:rsidRPr="00B50077">
        <w:rPr>
          <w:rFonts w:ascii="Arial" w:hAnsi="Arial" w:cs="Arial"/>
          <w:lang w:val="en-GB"/>
        </w:rPr>
        <w:t xml:space="preserve"> to run over five years (2016/17 to 2020/21). Its primary purpose is to promote the economic reform and development needed for growth in partner countries</w:t>
      </w:r>
      <w:r w:rsidR="00184162">
        <w:rPr>
          <w:rFonts w:ascii="Arial" w:hAnsi="Arial" w:cs="Arial"/>
          <w:lang w:val="en-GB"/>
        </w:rPr>
        <w:t xml:space="preserve"> through Official Development Assistance (ODA) funds</w:t>
      </w:r>
      <w:r>
        <w:rPr>
          <w:rFonts w:ascii="Arial" w:hAnsi="Arial" w:cs="Arial"/>
          <w:lang w:val="en-GB"/>
        </w:rPr>
        <w:t>.</w:t>
      </w:r>
      <w:r w:rsidRPr="00B50077">
        <w:rPr>
          <w:rFonts w:ascii="Arial" w:hAnsi="Arial" w:cs="Arial"/>
          <w:lang w:val="en-GB"/>
        </w:rPr>
        <w:t xml:space="preserve"> It will contribute towards meeting the new Sustainable Development Goals</w:t>
      </w:r>
      <w:r w:rsidR="008E6395">
        <w:rPr>
          <w:rFonts w:ascii="Arial" w:hAnsi="Arial" w:cs="Arial"/>
          <w:lang w:val="en-GB"/>
        </w:rPr>
        <w:t xml:space="preserve"> (SDGs)</w:t>
      </w:r>
      <w:r w:rsidRPr="00B50077">
        <w:rPr>
          <w:rFonts w:ascii="Arial" w:hAnsi="Arial" w:cs="Arial"/>
          <w:lang w:val="en-GB"/>
        </w:rPr>
        <w:t xml:space="preserve">. The </w:t>
      </w:r>
      <w:r>
        <w:rPr>
          <w:rFonts w:ascii="Arial" w:hAnsi="Arial" w:cs="Arial"/>
          <w:lang w:val="en-GB"/>
        </w:rPr>
        <w:t xml:space="preserve">Prosperity </w:t>
      </w:r>
      <w:r w:rsidRPr="00B50077">
        <w:rPr>
          <w:rFonts w:ascii="Arial" w:hAnsi="Arial" w:cs="Arial"/>
          <w:lang w:val="en-GB"/>
        </w:rPr>
        <w:t xml:space="preserve">Fund’s </w:t>
      </w:r>
      <w:r w:rsidRPr="00184162">
        <w:rPr>
          <w:rFonts w:ascii="Arial" w:hAnsi="Arial" w:cs="Arial"/>
          <w:i/>
          <w:lang w:val="en-GB"/>
        </w:rPr>
        <w:t>secondary</w:t>
      </w:r>
      <w:r w:rsidRPr="00B50077">
        <w:rPr>
          <w:rFonts w:ascii="Arial" w:hAnsi="Arial" w:cs="Arial"/>
          <w:lang w:val="en-GB"/>
        </w:rPr>
        <w:t xml:space="preserve"> objective is to open up opportunities for which business, including UK businesses, can compete. The UK government is looking to identify and support programmes that meet </w:t>
      </w:r>
      <w:r w:rsidRPr="00B50077">
        <w:rPr>
          <w:rFonts w:ascii="Arial" w:hAnsi="Arial" w:cs="Arial"/>
          <w:u w:val="single"/>
          <w:lang w:val="en-GB"/>
        </w:rPr>
        <w:t>both</w:t>
      </w:r>
      <w:r w:rsidRPr="00B50077">
        <w:rPr>
          <w:rFonts w:ascii="Arial" w:hAnsi="Arial" w:cs="Arial"/>
          <w:lang w:val="en-GB"/>
        </w:rPr>
        <w:t xml:space="preserve"> the </w:t>
      </w:r>
      <w:r>
        <w:rPr>
          <w:rFonts w:ascii="Arial" w:hAnsi="Arial" w:cs="Arial"/>
          <w:lang w:val="en-GB"/>
        </w:rPr>
        <w:t>f</w:t>
      </w:r>
      <w:r w:rsidRPr="00B50077">
        <w:rPr>
          <w:rFonts w:ascii="Arial" w:hAnsi="Arial" w:cs="Arial"/>
          <w:lang w:val="en-GB"/>
        </w:rPr>
        <w:t xml:space="preserve">und’s primary </w:t>
      </w:r>
      <w:r w:rsidRPr="00B50077">
        <w:rPr>
          <w:rFonts w:ascii="Arial" w:hAnsi="Arial" w:cs="Arial"/>
          <w:u w:val="single"/>
          <w:lang w:val="en-GB"/>
        </w:rPr>
        <w:t>and</w:t>
      </w:r>
      <w:r w:rsidRPr="00B50077">
        <w:rPr>
          <w:rFonts w:ascii="Arial" w:hAnsi="Arial" w:cs="Arial"/>
          <w:lang w:val="en-GB"/>
        </w:rPr>
        <w:t xml:space="preserve"> secondary objectives. </w:t>
      </w:r>
    </w:p>
    <w:p w14:paraId="5CF61881" w14:textId="77777777" w:rsidR="008E6395" w:rsidRDefault="008E6395" w:rsidP="00184162">
      <w:pPr>
        <w:pStyle w:val="ListParagraph"/>
        <w:spacing w:after="0"/>
        <w:ind w:left="360"/>
        <w:jc w:val="both"/>
        <w:rPr>
          <w:lang w:val="en-GB"/>
        </w:rPr>
      </w:pPr>
    </w:p>
    <w:p w14:paraId="52446042" w14:textId="77777777" w:rsidR="008E6395" w:rsidRPr="008E6395" w:rsidRDefault="008E6395" w:rsidP="008E6395">
      <w:pPr>
        <w:pStyle w:val="ListParagraph"/>
        <w:numPr>
          <w:ilvl w:val="0"/>
          <w:numId w:val="1"/>
        </w:numPr>
        <w:spacing w:line="240" w:lineRule="auto"/>
        <w:jc w:val="both"/>
        <w:rPr>
          <w:rFonts w:ascii="Arial" w:eastAsia="Calibri" w:hAnsi="Arial" w:cs="Arial"/>
          <w:lang w:val="en-GB"/>
        </w:rPr>
      </w:pPr>
      <w:r w:rsidRPr="008E6395">
        <w:rPr>
          <w:rFonts w:ascii="Arial" w:eastAsia="Calibri" w:hAnsi="Arial" w:cs="Arial"/>
          <w:lang w:val="en-GB"/>
        </w:rPr>
        <w:t>The Prosperity Fund includes a component of non-ODA (Official Development Assistance) funding worth £33 million from 2016 to 2022. Ministers have agreed that the Fund’s non-ODA spend should be used alongside Prosperity Fund ODA programmes and in support of the government’s post-EU exit trade policy ambition. Ministers have further agreed that any activity must be strategic and impactful, provide value for money, and complement the Department for International Trade and wider government policies</w:t>
      </w:r>
      <w:r w:rsidRPr="008E6395">
        <w:rPr>
          <w:rFonts w:ascii="Arial" w:eastAsia="Calibri" w:hAnsi="Arial"/>
          <w:vertAlign w:val="superscript"/>
          <w:lang w:val="en-GB"/>
        </w:rPr>
        <w:footnoteReference w:id="1"/>
      </w:r>
      <w:r w:rsidRPr="008E6395">
        <w:rPr>
          <w:rFonts w:ascii="Arial" w:eastAsia="Calibri" w:hAnsi="Arial" w:cs="Arial"/>
          <w:vertAlign w:val="superscript"/>
          <w:lang w:val="en-GB"/>
        </w:rPr>
        <w:t>.</w:t>
      </w:r>
    </w:p>
    <w:p w14:paraId="4B52C153" w14:textId="77777777" w:rsidR="0089436F" w:rsidRDefault="0089436F" w:rsidP="0089436F">
      <w:pPr>
        <w:pStyle w:val="ListParagraph"/>
        <w:spacing w:after="0"/>
        <w:ind w:left="360"/>
        <w:jc w:val="both"/>
        <w:rPr>
          <w:rFonts w:ascii="Arial" w:hAnsi="Arial" w:cs="Arial"/>
          <w:lang w:val="en-GB"/>
        </w:rPr>
      </w:pPr>
    </w:p>
    <w:p w14:paraId="18F8D2B6" w14:textId="1539CBC6" w:rsidR="008E6395" w:rsidRDefault="008E6395" w:rsidP="008E6395">
      <w:pPr>
        <w:pStyle w:val="ListParagraph"/>
        <w:numPr>
          <w:ilvl w:val="0"/>
          <w:numId w:val="1"/>
        </w:numPr>
        <w:spacing w:line="240" w:lineRule="auto"/>
        <w:jc w:val="both"/>
        <w:rPr>
          <w:rFonts w:ascii="Arial" w:eastAsia="Calibri" w:hAnsi="Arial" w:cs="Arial"/>
          <w:lang w:val="en-GB"/>
        </w:rPr>
      </w:pPr>
      <w:r w:rsidRPr="00184162">
        <w:rPr>
          <w:rFonts w:ascii="Arial" w:eastAsia="Calibri" w:hAnsi="Arial" w:cs="Arial"/>
          <w:lang w:val="en-GB"/>
        </w:rPr>
        <w:t>The objective of the ODA-funded Financial Services programme</w:t>
      </w:r>
      <w:r w:rsidR="00184162">
        <w:rPr>
          <w:rFonts w:ascii="Arial" w:eastAsia="Calibri" w:hAnsi="Arial" w:cs="Arial"/>
          <w:lang w:val="en-GB"/>
        </w:rPr>
        <w:t xml:space="preserve"> in Mexico</w:t>
      </w:r>
      <w:r w:rsidRPr="00184162">
        <w:rPr>
          <w:rFonts w:ascii="Arial" w:eastAsia="Calibri" w:hAnsi="Arial" w:cs="Arial"/>
          <w:lang w:val="en-GB"/>
        </w:rPr>
        <w:t xml:space="preserve">, which this non-ODA project complements, focuses on increasing the depth, coverage and efficiency of financial services in order to promote sustainable growth and development. </w:t>
      </w:r>
      <w:r w:rsidR="00184162">
        <w:rPr>
          <w:rFonts w:ascii="Arial" w:eastAsia="Calibri" w:hAnsi="Arial" w:cs="Arial"/>
          <w:lang w:val="en-GB"/>
        </w:rPr>
        <w:t xml:space="preserve"> </w:t>
      </w:r>
      <w:r w:rsidRPr="00184162">
        <w:rPr>
          <w:rFonts w:ascii="Arial" w:eastAsia="Calibri" w:hAnsi="Arial" w:cs="Arial"/>
          <w:lang w:val="en-GB"/>
        </w:rPr>
        <w:t>The  programme will expand, and open the financial sector in Mexico in order to increase productivity, support a reduction in poverty and promote long-term social and economic development. One of the programme’s objectives is to promote a better flow and more efficient channelling of resources towards social, infrastructure, and environmental projects.  This project uses</w:t>
      </w:r>
      <w:r w:rsidR="00184162">
        <w:rPr>
          <w:rFonts w:ascii="Arial" w:eastAsia="Calibri" w:hAnsi="Arial" w:cs="Arial"/>
          <w:lang w:val="en-GB"/>
        </w:rPr>
        <w:t xml:space="preserve"> non-ODA funding to leverage</w:t>
      </w:r>
      <w:r w:rsidRPr="00184162">
        <w:rPr>
          <w:rFonts w:ascii="Arial" w:eastAsia="Calibri" w:hAnsi="Arial" w:cs="Arial"/>
          <w:lang w:val="en-GB"/>
        </w:rPr>
        <w:t xml:space="preserve"> commercial opportunities from </w:t>
      </w:r>
      <w:r w:rsidR="00184162">
        <w:rPr>
          <w:rFonts w:ascii="Arial" w:eastAsia="Calibri" w:hAnsi="Arial" w:cs="Arial"/>
          <w:lang w:val="en-GB"/>
        </w:rPr>
        <w:t>these activities</w:t>
      </w:r>
      <w:r w:rsidRPr="00184162">
        <w:rPr>
          <w:rFonts w:ascii="Arial" w:eastAsia="Calibri" w:hAnsi="Arial" w:cs="Arial"/>
          <w:lang w:val="en-GB"/>
        </w:rPr>
        <w:t xml:space="preserve">.  </w:t>
      </w:r>
    </w:p>
    <w:p w14:paraId="1D92E212" w14:textId="77777777" w:rsidR="008E6395" w:rsidRPr="008E6395" w:rsidRDefault="008E6395" w:rsidP="008E6395">
      <w:pPr>
        <w:pStyle w:val="ListParagraph"/>
        <w:rPr>
          <w:rFonts w:cs="Arial"/>
          <w:lang w:val="en-GB"/>
        </w:rPr>
      </w:pPr>
    </w:p>
    <w:p w14:paraId="2EC57BCE" w14:textId="77777777" w:rsidR="008E6395" w:rsidRPr="008E6395" w:rsidRDefault="008E6395" w:rsidP="008E6395">
      <w:pPr>
        <w:pStyle w:val="ListParagraph"/>
        <w:spacing w:line="240" w:lineRule="auto"/>
        <w:ind w:left="360"/>
        <w:jc w:val="both"/>
        <w:rPr>
          <w:rFonts w:ascii="Arial" w:eastAsia="Calibri" w:hAnsi="Arial" w:cs="Arial"/>
          <w:lang w:val="en-GB"/>
        </w:rPr>
      </w:pPr>
    </w:p>
    <w:p w14:paraId="42D8BA5C" w14:textId="77777777" w:rsidR="0036469E" w:rsidRPr="0036469E" w:rsidRDefault="0036469E" w:rsidP="0036469E">
      <w:pPr>
        <w:pStyle w:val="ListParagraph"/>
        <w:rPr>
          <w:rFonts w:ascii="Arial" w:hAnsi="Arial" w:cs="Arial"/>
          <w:lang w:val="en-GB"/>
        </w:rPr>
      </w:pPr>
    </w:p>
    <w:p w14:paraId="7462CF79" w14:textId="3E65E3D5" w:rsidR="003979F1" w:rsidRPr="000C3A57" w:rsidRDefault="0036469E" w:rsidP="003979F1">
      <w:pPr>
        <w:pStyle w:val="ListParagraph"/>
        <w:numPr>
          <w:ilvl w:val="0"/>
          <w:numId w:val="1"/>
        </w:numPr>
        <w:spacing w:after="0"/>
        <w:jc w:val="both"/>
        <w:rPr>
          <w:rFonts w:ascii="Arial" w:eastAsiaTheme="majorEastAsia" w:hAnsi="Arial" w:cs="Arial"/>
          <w:bCs/>
          <w:lang w:val="en-GB" w:eastAsia="en-GB"/>
        </w:rPr>
      </w:pPr>
      <w:r w:rsidRPr="0036469E">
        <w:rPr>
          <w:rFonts w:ascii="Arial" w:hAnsi="Arial" w:cs="Arial"/>
          <w:lang w:val="en-GB"/>
        </w:rPr>
        <w:t xml:space="preserve">The service aims to support the </w:t>
      </w:r>
      <w:r w:rsidR="00360EA8">
        <w:rPr>
          <w:rFonts w:ascii="Arial" w:hAnsi="Arial" w:cs="Arial"/>
          <w:lang w:val="en-GB"/>
        </w:rPr>
        <w:t>development and implementation of innovative f</w:t>
      </w:r>
      <w:r w:rsidRPr="0036469E">
        <w:rPr>
          <w:rFonts w:ascii="Arial" w:hAnsi="Arial" w:cs="Arial"/>
          <w:lang w:val="en-GB"/>
        </w:rPr>
        <w:t xml:space="preserve">inancial mechanisms that are needed to finance </w:t>
      </w:r>
      <w:r w:rsidR="00360EA8">
        <w:rPr>
          <w:rFonts w:ascii="Arial" w:hAnsi="Arial" w:cs="Arial"/>
          <w:lang w:val="en-GB"/>
        </w:rPr>
        <w:t>Mexico’s</w:t>
      </w:r>
      <w:r w:rsidR="00360EA8" w:rsidRPr="0036469E">
        <w:rPr>
          <w:rFonts w:ascii="Arial" w:hAnsi="Arial" w:cs="Arial"/>
          <w:lang w:val="en-GB"/>
        </w:rPr>
        <w:t xml:space="preserve"> </w:t>
      </w:r>
      <w:r w:rsidRPr="0036469E">
        <w:rPr>
          <w:rFonts w:ascii="Arial" w:hAnsi="Arial" w:cs="Arial"/>
          <w:lang w:val="en-GB"/>
        </w:rPr>
        <w:t>transition to a low carbon economy</w:t>
      </w:r>
      <w:r w:rsidR="001808FF">
        <w:rPr>
          <w:rFonts w:ascii="Arial" w:hAnsi="Arial" w:cs="Arial"/>
          <w:lang w:val="en-GB"/>
        </w:rPr>
        <w:t xml:space="preserve"> in line with the country’s Nationally Determined Contribution and the UN’s Sustainable Development Goals</w:t>
      </w:r>
      <w:r w:rsidR="00730B0F">
        <w:rPr>
          <w:rFonts w:ascii="Arial" w:hAnsi="Arial" w:cs="Arial"/>
          <w:lang w:val="en-GB"/>
        </w:rPr>
        <w:t>, in areas where the UK is best placed to provide expertise and services</w:t>
      </w:r>
      <w:r>
        <w:rPr>
          <w:rFonts w:ascii="Arial" w:hAnsi="Arial" w:cs="Arial"/>
          <w:lang w:val="en-GB"/>
        </w:rPr>
        <w:t>.</w:t>
      </w:r>
      <w:r w:rsidRPr="0036469E">
        <w:rPr>
          <w:rFonts w:ascii="Arial" w:hAnsi="Arial" w:cs="Arial"/>
          <w:lang w:val="en-GB"/>
        </w:rPr>
        <w:t xml:space="preserve"> According to the World Economic Forum</w:t>
      </w:r>
      <w:r w:rsidR="003979F1">
        <w:rPr>
          <w:rStyle w:val="FootnoteReference"/>
          <w:rFonts w:ascii="Arial" w:hAnsi="Arial" w:cs="Arial"/>
          <w:lang w:val="en-GB"/>
        </w:rPr>
        <w:footnoteReference w:id="2"/>
      </w:r>
      <w:r w:rsidRPr="0036469E">
        <w:rPr>
          <w:rFonts w:ascii="Arial" w:hAnsi="Arial" w:cs="Arial"/>
          <w:lang w:val="en-GB"/>
        </w:rPr>
        <w:t xml:space="preserve"> in order to cover the needs of energy, water, urban development and transport, emerging countries will require a cumulative investment of USD$18tn over the next 12 years. The current approach of investment as ‘business as usual’ will not be sustainable to maintain economic growth given the negative externalities (third party costs) of mainstream sources of energy. According to recent studies made by the University of California at Berkeley and Stanford</w:t>
      </w:r>
      <w:r w:rsidR="002129DE">
        <w:rPr>
          <w:rStyle w:val="FootnoteReference"/>
          <w:rFonts w:ascii="Arial" w:hAnsi="Arial" w:cs="Arial"/>
          <w:lang w:val="en-GB"/>
        </w:rPr>
        <w:footnoteReference w:id="3"/>
      </w:r>
      <w:r>
        <w:rPr>
          <w:rFonts w:ascii="Arial" w:hAnsi="Arial" w:cs="Arial"/>
          <w:lang w:val="en-GB"/>
        </w:rPr>
        <w:t>,</w:t>
      </w:r>
      <w:r w:rsidRPr="0036469E">
        <w:rPr>
          <w:rFonts w:ascii="Arial" w:hAnsi="Arial" w:cs="Arial"/>
          <w:lang w:val="en-GB"/>
        </w:rPr>
        <w:t xml:space="preserve"> the accumulated cost of climate change could reduce global GDP b</w:t>
      </w:r>
      <w:bookmarkStart w:id="2" w:name="_GoBack"/>
      <w:bookmarkEnd w:id="2"/>
      <w:r w:rsidRPr="0036469E">
        <w:rPr>
          <w:rFonts w:ascii="Arial" w:hAnsi="Arial" w:cs="Arial"/>
          <w:lang w:val="en-GB"/>
        </w:rPr>
        <w:t>y 20% by 2100 if not addressed. For Mexico, these estimations show that, if Mexico does not address cli</w:t>
      </w:r>
      <w:r w:rsidR="002129DE">
        <w:rPr>
          <w:rFonts w:ascii="Arial" w:hAnsi="Arial" w:cs="Arial"/>
          <w:lang w:val="en-GB"/>
        </w:rPr>
        <w:t>mate change this century, its G</w:t>
      </w:r>
      <w:r w:rsidRPr="0036469E">
        <w:rPr>
          <w:rFonts w:ascii="Arial" w:hAnsi="Arial" w:cs="Arial"/>
          <w:lang w:val="en-GB"/>
        </w:rPr>
        <w:t>D</w:t>
      </w:r>
      <w:r w:rsidR="002129DE">
        <w:rPr>
          <w:rFonts w:ascii="Arial" w:hAnsi="Arial" w:cs="Arial"/>
          <w:lang w:val="en-GB"/>
        </w:rPr>
        <w:t>P</w:t>
      </w:r>
      <w:r w:rsidRPr="0036469E">
        <w:rPr>
          <w:rFonts w:ascii="Arial" w:hAnsi="Arial" w:cs="Arial"/>
          <w:lang w:val="en-GB"/>
        </w:rPr>
        <w:t xml:space="preserve"> per capita would be 73% less compared to a counterfactual scenario without the negative effects of climate change. Therefore, </w:t>
      </w:r>
      <w:r w:rsidR="001808FF">
        <w:rPr>
          <w:rFonts w:ascii="Arial" w:hAnsi="Arial" w:cs="Arial"/>
          <w:lang w:val="en-GB"/>
        </w:rPr>
        <w:t>working</w:t>
      </w:r>
      <w:r w:rsidR="00AF7065">
        <w:rPr>
          <w:rFonts w:ascii="Arial" w:hAnsi="Arial" w:cs="Arial"/>
          <w:lang w:val="en-GB"/>
        </w:rPr>
        <w:t xml:space="preserve"> with</w:t>
      </w:r>
      <w:r w:rsidRPr="0036469E">
        <w:rPr>
          <w:rFonts w:ascii="Arial" w:hAnsi="Arial" w:cs="Arial"/>
          <w:lang w:val="en-GB"/>
        </w:rPr>
        <w:t xml:space="preserve"> Mexican </w:t>
      </w:r>
      <w:r w:rsidR="001808FF">
        <w:rPr>
          <w:rFonts w:ascii="Arial" w:hAnsi="Arial" w:cs="Arial"/>
          <w:lang w:val="en-GB"/>
        </w:rPr>
        <w:t xml:space="preserve">government and non-state </w:t>
      </w:r>
      <w:r w:rsidR="00730B0F">
        <w:rPr>
          <w:rFonts w:ascii="Arial" w:hAnsi="Arial" w:cs="Arial"/>
          <w:lang w:val="en-GB"/>
        </w:rPr>
        <w:t xml:space="preserve">actors </w:t>
      </w:r>
      <w:r w:rsidR="001808FF">
        <w:rPr>
          <w:rFonts w:ascii="Arial" w:hAnsi="Arial" w:cs="Arial"/>
          <w:lang w:val="en-GB"/>
        </w:rPr>
        <w:t>is key to support</w:t>
      </w:r>
      <w:r w:rsidRPr="0036469E">
        <w:rPr>
          <w:rFonts w:ascii="Arial" w:hAnsi="Arial" w:cs="Arial"/>
          <w:lang w:val="en-GB"/>
        </w:rPr>
        <w:t xml:space="preserve"> in the development of Green programmes, including through the creation of innovative Green Finance instruments</w:t>
      </w:r>
      <w:r w:rsidR="001808FF">
        <w:rPr>
          <w:rFonts w:ascii="Arial" w:hAnsi="Arial" w:cs="Arial"/>
          <w:lang w:val="en-GB"/>
        </w:rPr>
        <w:t>.</w:t>
      </w:r>
    </w:p>
    <w:p w14:paraId="6366080A" w14:textId="77777777" w:rsidR="000C3A57" w:rsidRPr="003979F1" w:rsidRDefault="000C3A57" w:rsidP="000C3A57">
      <w:pPr>
        <w:pStyle w:val="ListParagraph"/>
        <w:spacing w:after="0"/>
        <w:ind w:left="360"/>
        <w:jc w:val="both"/>
        <w:rPr>
          <w:rFonts w:ascii="Arial" w:eastAsiaTheme="majorEastAsia" w:hAnsi="Arial" w:cs="Arial"/>
          <w:bCs/>
          <w:lang w:val="en-GB" w:eastAsia="en-GB"/>
        </w:rPr>
      </w:pPr>
    </w:p>
    <w:p w14:paraId="241D1479" w14:textId="5054217F" w:rsidR="0036469E" w:rsidRPr="000C3A57" w:rsidRDefault="003979F1" w:rsidP="000C3A57">
      <w:pPr>
        <w:pStyle w:val="ListParagraph"/>
        <w:numPr>
          <w:ilvl w:val="0"/>
          <w:numId w:val="1"/>
        </w:numPr>
        <w:spacing w:after="0"/>
        <w:jc w:val="both"/>
        <w:rPr>
          <w:rFonts w:ascii="Arial" w:hAnsi="Arial" w:cs="Arial"/>
          <w:lang w:val="en-GB"/>
        </w:rPr>
      </w:pPr>
      <w:r w:rsidRPr="000C3A57">
        <w:rPr>
          <w:rFonts w:ascii="Arial" w:hAnsi="Arial" w:cs="Arial"/>
          <w:lang w:val="en-GB"/>
        </w:rPr>
        <w:t>Please see attachment 6: ITT Context of the Prosperity Fund and Financial Services in Mexico for additional context of the Prosperity Fund and the Financial Services sector in Mexico.</w:t>
      </w:r>
    </w:p>
    <w:p w14:paraId="1DA2E7C1" w14:textId="77777777" w:rsidR="00B50077" w:rsidRPr="007509DA" w:rsidRDefault="00ED14C4" w:rsidP="006D35D5">
      <w:pPr>
        <w:pStyle w:val="Heading2"/>
        <w:rPr>
          <w:rFonts w:ascii="Arial" w:hAnsi="Arial" w:cs="Arial"/>
          <w:sz w:val="24"/>
        </w:rPr>
      </w:pPr>
      <w:bookmarkStart w:id="3" w:name="_Toc527384899"/>
      <w:r w:rsidRPr="007509DA">
        <w:rPr>
          <w:rFonts w:ascii="Arial" w:hAnsi="Arial" w:cs="Arial"/>
          <w:sz w:val="24"/>
        </w:rPr>
        <w:t>OBJECTIVE</w:t>
      </w:r>
      <w:bookmarkEnd w:id="3"/>
      <w:r w:rsidRPr="007509DA">
        <w:rPr>
          <w:rFonts w:ascii="Arial" w:hAnsi="Arial" w:cs="Arial"/>
          <w:sz w:val="24"/>
        </w:rPr>
        <w:t xml:space="preserve"> </w:t>
      </w:r>
    </w:p>
    <w:p w14:paraId="0DA19455" w14:textId="77777777" w:rsidR="00B50077" w:rsidRDefault="00B50077" w:rsidP="00B172D0">
      <w:pPr>
        <w:pStyle w:val="Heading2"/>
        <w:spacing w:before="0"/>
        <w:jc w:val="both"/>
        <w:rPr>
          <w:rFonts w:ascii="Arial" w:hAnsi="Arial" w:cs="Arial"/>
          <w:b w:val="0"/>
          <w:szCs w:val="22"/>
          <w:lang w:val="en-GB"/>
        </w:rPr>
      </w:pPr>
    </w:p>
    <w:p w14:paraId="0FFFFDD6" w14:textId="2484E801" w:rsidR="001C4E60" w:rsidRPr="006D35D5" w:rsidRDefault="00AF7065" w:rsidP="003979F1">
      <w:pPr>
        <w:pStyle w:val="ListParagraph"/>
        <w:numPr>
          <w:ilvl w:val="0"/>
          <w:numId w:val="1"/>
        </w:numPr>
        <w:spacing w:after="0"/>
        <w:jc w:val="both"/>
        <w:rPr>
          <w:rFonts w:ascii="Arial" w:hAnsi="Arial" w:cs="Arial"/>
          <w:b/>
          <w:lang w:val="en-GB" w:eastAsia="en-US"/>
        </w:rPr>
      </w:pPr>
      <w:r w:rsidRPr="006D35D5">
        <w:rPr>
          <w:rFonts w:ascii="Arial" w:hAnsi="Arial" w:cs="Arial"/>
          <w:lang w:val="en-GB" w:eastAsia="en-US"/>
        </w:rPr>
        <w:t xml:space="preserve">The </w:t>
      </w:r>
      <w:r>
        <w:rPr>
          <w:rFonts w:ascii="Arial" w:hAnsi="Arial" w:cs="Arial"/>
          <w:lang w:val="en-GB" w:eastAsia="en-US"/>
        </w:rPr>
        <w:t>Authority</w:t>
      </w:r>
      <w:r w:rsidR="005F1F81" w:rsidRPr="006D35D5">
        <w:rPr>
          <w:rFonts w:ascii="Arial" w:hAnsi="Arial" w:cs="Arial"/>
          <w:lang w:val="en-GB" w:eastAsia="en-US"/>
        </w:rPr>
        <w:t xml:space="preserve"> </w:t>
      </w:r>
      <w:r w:rsidR="00DB38BA">
        <w:rPr>
          <w:rFonts w:ascii="Arial" w:hAnsi="Arial" w:cs="Arial"/>
          <w:lang w:val="en-GB" w:eastAsia="en-US"/>
        </w:rPr>
        <w:t>seeks</w:t>
      </w:r>
      <w:r w:rsidR="00DB38BA" w:rsidRPr="006D35D5">
        <w:rPr>
          <w:rFonts w:ascii="Arial" w:hAnsi="Arial" w:cs="Arial"/>
          <w:lang w:val="en-GB" w:eastAsia="en-US"/>
        </w:rPr>
        <w:t xml:space="preserve"> </w:t>
      </w:r>
      <w:r w:rsidR="005F1F81" w:rsidRPr="006D35D5">
        <w:rPr>
          <w:rFonts w:ascii="Arial" w:hAnsi="Arial" w:cs="Arial"/>
          <w:lang w:val="en-GB" w:eastAsia="en-US"/>
        </w:rPr>
        <w:t xml:space="preserve">to implement </w:t>
      </w:r>
      <w:r w:rsidR="00DB38BA">
        <w:rPr>
          <w:rFonts w:ascii="Arial" w:hAnsi="Arial" w:cs="Arial"/>
          <w:lang w:val="en-GB" w:eastAsia="en-US"/>
        </w:rPr>
        <w:t xml:space="preserve">a </w:t>
      </w:r>
      <w:r w:rsidR="007F26F1" w:rsidRPr="006D35D5">
        <w:rPr>
          <w:rFonts w:ascii="Arial" w:hAnsi="Arial" w:cs="Arial"/>
          <w:lang w:val="en-GB" w:eastAsia="en-US"/>
        </w:rPr>
        <w:t xml:space="preserve">Cross Whitehall Prosperity Fund </w:t>
      </w:r>
      <w:r w:rsidR="0082535C">
        <w:rPr>
          <w:rFonts w:ascii="Arial" w:hAnsi="Arial" w:cs="Arial"/>
          <w:lang w:val="en-GB" w:eastAsia="en-US"/>
        </w:rPr>
        <w:t xml:space="preserve">non-ODA </w:t>
      </w:r>
      <w:r w:rsidR="00730B0F">
        <w:rPr>
          <w:rFonts w:ascii="Arial" w:hAnsi="Arial" w:cs="Arial"/>
          <w:lang w:val="en-GB" w:eastAsia="en-US"/>
        </w:rPr>
        <w:t>project</w:t>
      </w:r>
      <w:r w:rsidR="00730B0F" w:rsidRPr="006D35D5">
        <w:rPr>
          <w:rFonts w:ascii="Arial" w:hAnsi="Arial" w:cs="Arial"/>
          <w:lang w:val="en-GB" w:eastAsia="en-US"/>
        </w:rPr>
        <w:t xml:space="preserve"> </w:t>
      </w:r>
      <w:r w:rsidR="00DB38BA">
        <w:rPr>
          <w:rFonts w:ascii="Arial" w:hAnsi="Arial" w:cs="Arial"/>
          <w:lang w:val="en-GB" w:eastAsia="en-US"/>
        </w:rPr>
        <w:t xml:space="preserve">for delivery during FY </w:t>
      </w:r>
      <w:r w:rsidR="005F1F81" w:rsidRPr="006D35D5">
        <w:rPr>
          <w:rFonts w:ascii="Arial" w:hAnsi="Arial" w:cs="Arial"/>
          <w:lang w:val="en-GB" w:eastAsia="en-US"/>
        </w:rPr>
        <w:t>18-19</w:t>
      </w:r>
      <w:r w:rsidR="00DB38BA">
        <w:rPr>
          <w:rFonts w:ascii="Arial" w:hAnsi="Arial" w:cs="Arial"/>
          <w:lang w:val="en-GB" w:eastAsia="en-US"/>
        </w:rPr>
        <w:t xml:space="preserve"> </w:t>
      </w:r>
      <w:r w:rsidR="005F1F81" w:rsidRPr="006D35D5">
        <w:rPr>
          <w:rFonts w:ascii="Arial" w:hAnsi="Arial" w:cs="Arial"/>
          <w:lang w:val="en-GB" w:eastAsia="en-US"/>
        </w:rPr>
        <w:t>in Mexico entitled “</w:t>
      </w:r>
      <w:r>
        <w:rPr>
          <w:rFonts w:ascii="Arial" w:hAnsi="Arial" w:cs="Arial"/>
          <w:lang w:val="en-GB" w:eastAsia="en-US"/>
        </w:rPr>
        <w:t>Scoping Commercial Opportunities for Green Finance in Mexico</w:t>
      </w:r>
      <w:r w:rsidR="005F1F81" w:rsidRPr="006D35D5">
        <w:rPr>
          <w:rFonts w:ascii="Arial" w:hAnsi="Arial" w:cs="Arial"/>
          <w:lang w:val="en-GB" w:eastAsia="en-US"/>
        </w:rPr>
        <w:t xml:space="preserve">”. </w:t>
      </w:r>
      <w:r w:rsidR="001C4E60" w:rsidRPr="006D35D5">
        <w:rPr>
          <w:rFonts w:ascii="Arial" w:hAnsi="Arial" w:cs="Arial"/>
          <w:lang w:val="en-GB" w:eastAsia="en-US"/>
        </w:rPr>
        <w:t>As part of the I</w:t>
      </w:r>
      <w:r>
        <w:rPr>
          <w:rFonts w:ascii="Arial" w:hAnsi="Arial" w:cs="Arial"/>
          <w:lang w:val="en-GB" w:eastAsia="en-US"/>
        </w:rPr>
        <w:t xml:space="preserve">nvitation </w:t>
      </w:r>
      <w:r w:rsidR="001C4E60" w:rsidRPr="006D35D5">
        <w:rPr>
          <w:rFonts w:ascii="Arial" w:hAnsi="Arial" w:cs="Arial"/>
          <w:lang w:val="en-GB" w:eastAsia="en-US"/>
        </w:rPr>
        <w:t>T</w:t>
      </w:r>
      <w:r>
        <w:rPr>
          <w:rFonts w:ascii="Arial" w:hAnsi="Arial" w:cs="Arial"/>
          <w:lang w:val="en-GB" w:eastAsia="en-US"/>
        </w:rPr>
        <w:t xml:space="preserve">o </w:t>
      </w:r>
      <w:r w:rsidR="001C4E60" w:rsidRPr="006D35D5">
        <w:rPr>
          <w:rFonts w:ascii="Arial" w:hAnsi="Arial" w:cs="Arial"/>
          <w:lang w:val="en-GB" w:eastAsia="en-US"/>
        </w:rPr>
        <w:t>T</w:t>
      </w:r>
      <w:r>
        <w:rPr>
          <w:rFonts w:ascii="Arial" w:hAnsi="Arial" w:cs="Arial"/>
          <w:lang w:val="en-GB" w:eastAsia="en-US"/>
        </w:rPr>
        <w:t>ender (ITT)</w:t>
      </w:r>
      <w:r w:rsidR="001C4E60" w:rsidRPr="006D35D5">
        <w:rPr>
          <w:rFonts w:ascii="Arial" w:hAnsi="Arial" w:cs="Arial"/>
          <w:lang w:val="en-GB" w:eastAsia="en-US"/>
        </w:rPr>
        <w:t xml:space="preserve"> Process</w:t>
      </w:r>
      <w:r w:rsidR="00D159BA">
        <w:rPr>
          <w:rFonts w:ascii="Arial" w:hAnsi="Arial" w:cs="Arial"/>
          <w:lang w:val="en-GB" w:eastAsia="en-US"/>
        </w:rPr>
        <w:t>,</w:t>
      </w:r>
      <w:r w:rsidR="001C4E60" w:rsidRPr="006D35D5">
        <w:rPr>
          <w:rFonts w:ascii="Arial" w:hAnsi="Arial" w:cs="Arial"/>
          <w:lang w:val="en-GB" w:eastAsia="en-US"/>
        </w:rPr>
        <w:t xml:space="preserve"> this </w:t>
      </w:r>
      <w:r w:rsidR="006834CA" w:rsidRPr="006D35D5">
        <w:rPr>
          <w:rFonts w:ascii="Arial" w:hAnsi="Arial" w:cs="Arial"/>
          <w:lang w:val="en-GB" w:eastAsia="en-US"/>
        </w:rPr>
        <w:t>T</w:t>
      </w:r>
      <w:r w:rsidR="00DB38BA">
        <w:rPr>
          <w:rFonts w:ascii="Arial" w:hAnsi="Arial" w:cs="Arial"/>
          <w:lang w:val="en-GB" w:eastAsia="en-US"/>
        </w:rPr>
        <w:t xml:space="preserve">erms </w:t>
      </w:r>
      <w:r w:rsidR="001C4E60" w:rsidRPr="006D35D5">
        <w:rPr>
          <w:rFonts w:ascii="Arial" w:hAnsi="Arial" w:cs="Arial"/>
          <w:lang w:val="en-GB" w:eastAsia="en-US"/>
        </w:rPr>
        <w:t>o</w:t>
      </w:r>
      <w:r w:rsidR="00DB38BA">
        <w:rPr>
          <w:rFonts w:ascii="Arial" w:hAnsi="Arial" w:cs="Arial"/>
          <w:lang w:val="en-GB" w:eastAsia="en-US"/>
        </w:rPr>
        <w:t xml:space="preserve">f </w:t>
      </w:r>
      <w:r w:rsidR="001C4E60" w:rsidRPr="006D35D5">
        <w:rPr>
          <w:rFonts w:ascii="Arial" w:hAnsi="Arial" w:cs="Arial"/>
          <w:lang w:val="en-GB" w:eastAsia="en-US"/>
        </w:rPr>
        <w:t>R</w:t>
      </w:r>
      <w:r w:rsidR="00DB38BA">
        <w:rPr>
          <w:rFonts w:ascii="Arial" w:hAnsi="Arial" w:cs="Arial"/>
          <w:lang w:val="en-GB" w:eastAsia="en-US"/>
        </w:rPr>
        <w:t>eferenc</w:t>
      </w:r>
      <w:r>
        <w:rPr>
          <w:rFonts w:ascii="Arial" w:hAnsi="Arial" w:cs="Arial"/>
          <w:lang w:val="en-GB" w:eastAsia="en-US"/>
        </w:rPr>
        <w:t>e</w:t>
      </w:r>
      <w:r w:rsidR="00DB38BA">
        <w:rPr>
          <w:rFonts w:ascii="Arial" w:hAnsi="Arial" w:cs="Arial"/>
          <w:lang w:val="en-GB" w:eastAsia="en-US"/>
        </w:rPr>
        <w:t xml:space="preserve"> (TOR)</w:t>
      </w:r>
      <w:r w:rsidR="001C4E60" w:rsidRPr="006D35D5">
        <w:rPr>
          <w:rFonts w:ascii="Arial" w:hAnsi="Arial" w:cs="Arial"/>
          <w:lang w:val="en-GB" w:eastAsia="en-US"/>
        </w:rPr>
        <w:t xml:space="preserve"> has been developed to seek responses to the Authority’s requirements.</w:t>
      </w:r>
    </w:p>
    <w:p w14:paraId="43A820D8" w14:textId="48F6E1A7" w:rsidR="001C4E60" w:rsidRDefault="001C4E60" w:rsidP="00C2640C">
      <w:pPr>
        <w:pStyle w:val="Heading2"/>
        <w:keepLines w:val="0"/>
        <w:spacing w:before="0"/>
        <w:ind w:left="720"/>
        <w:jc w:val="both"/>
        <w:rPr>
          <w:b w:val="0"/>
          <w:lang w:val="en-GB"/>
        </w:rPr>
      </w:pPr>
    </w:p>
    <w:p w14:paraId="0AC443B8" w14:textId="39A0DF95" w:rsidR="001D6888" w:rsidRPr="006D35D5" w:rsidRDefault="005F1F81" w:rsidP="003979F1">
      <w:pPr>
        <w:pStyle w:val="ListParagraph"/>
        <w:numPr>
          <w:ilvl w:val="0"/>
          <w:numId w:val="1"/>
        </w:numPr>
        <w:spacing w:after="0"/>
        <w:jc w:val="both"/>
        <w:rPr>
          <w:rFonts w:ascii="Arial" w:hAnsi="Arial" w:cs="Arial"/>
          <w:b/>
          <w:lang w:val="en-GB"/>
        </w:rPr>
      </w:pPr>
      <w:r w:rsidRPr="006D35D5">
        <w:rPr>
          <w:rFonts w:ascii="Arial" w:hAnsi="Arial" w:cs="Arial"/>
          <w:lang w:val="en-GB" w:eastAsia="en-US"/>
        </w:rPr>
        <w:t>The</w:t>
      </w:r>
      <w:r w:rsidRPr="006D35D5">
        <w:rPr>
          <w:rFonts w:ascii="Arial" w:eastAsia="Calibri" w:hAnsi="Arial" w:cs="Arial"/>
          <w:lang w:val="en-GB" w:eastAsia="en-US"/>
        </w:rPr>
        <w:t xml:space="preserve"> Supplier will </w:t>
      </w:r>
      <w:r w:rsidR="007F26F1" w:rsidRPr="006D35D5">
        <w:rPr>
          <w:rFonts w:ascii="Arial" w:eastAsia="Calibri" w:hAnsi="Arial" w:cs="Arial"/>
          <w:lang w:val="en-GB" w:eastAsia="en-US"/>
        </w:rPr>
        <w:t>need to</w:t>
      </w:r>
      <w:r w:rsidR="0089436F">
        <w:rPr>
          <w:rFonts w:ascii="Arial" w:eastAsia="Calibri" w:hAnsi="Arial" w:cs="Arial"/>
          <w:lang w:val="en-GB" w:eastAsia="en-US"/>
        </w:rPr>
        <w:t xml:space="preserve"> deliver</w:t>
      </w:r>
      <w:r w:rsidR="007F26F1" w:rsidRPr="006D35D5">
        <w:rPr>
          <w:rFonts w:ascii="Arial" w:eastAsia="Calibri" w:hAnsi="Arial" w:cs="Arial"/>
          <w:lang w:val="en-GB" w:eastAsia="en-US"/>
        </w:rPr>
        <w:t xml:space="preserve"> </w:t>
      </w:r>
      <w:r w:rsidR="0089436F">
        <w:rPr>
          <w:rFonts w:ascii="Arial" w:hAnsi="Arial" w:cs="Arial"/>
          <w:b/>
          <w:lang w:val="en-GB"/>
        </w:rPr>
        <w:t xml:space="preserve">one scoping report outlining the leading areas of Green Finance in Mexico that represent commercial opportunities for </w:t>
      </w:r>
      <w:r w:rsidR="00890E23">
        <w:rPr>
          <w:rFonts w:ascii="Arial" w:hAnsi="Arial" w:cs="Arial"/>
          <w:b/>
          <w:lang w:val="en-GB"/>
        </w:rPr>
        <w:t xml:space="preserve">UK </w:t>
      </w:r>
      <w:r w:rsidR="0089436F">
        <w:rPr>
          <w:rFonts w:ascii="Arial" w:hAnsi="Arial" w:cs="Arial"/>
          <w:b/>
          <w:lang w:val="en-GB"/>
        </w:rPr>
        <w:t xml:space="preserve">companies, including a preliminary list profiling </w:t>
      </w:r>
      <w:r w:rsidR="00890E23">
        <w:rPr>
          <w:rFonts w:ascii="Arial" w:hAnsi="Arial" w:cs="Arial"/>
          <w:b/>
          <w:lang w:val="en-GB"/>
        </w:rPr>
        <w:t>those</w:t>
      </w:r>
      <w:r w:rsidR="00862C1B">
        <w:rPr>
          <w:rFonts w:ascii="Arial" w:hAnsi="Arial" w:cs="Arial"/>
          <w:b/>
          <w:lang w:val="en-GB"/>
        </w:rPr>
        <w:t xml:space="preserve"> UK</w:t>
      </w:r>
      <w:r w:rsidR="00890E23">
        <w:rPr>
          <w:rFonts w:ascii="Arial" w:hAnsi="Arial" w:cs="Arial"/>
          <w:b/>
          <w:lang w:val="en-GB"/>
        </w:rPr>
        <w:t xml:space="preserve"> </w:t>
      </w:r>
      <w:r w:rsidR="0089436F">
        <w:rPr>
          <w:rFonts w:ascii="Arial" w:hAnsi="Arial" w:cs="Arial"/>
          <w:b/>
          <w:lang w:val="en-GB"/>
        </w:rPr>
        <w:t>companies that are actively</w:t>
      </w:r>
      <w:r w:rsidR="00E87FEF">
        <w:rPr>
          <w:rFonts w:ascii="Arial" w:hAnsi="Arial" w:cs="Arial"/>
          <w:b/>
          <w:lang w:val="en-GB"/>
        </w:rPr>
        <w:t xml:space="preserve"> or planning on</w:t>
      </w:r>
      <w:r w:rsidR="0089436F">
        <w:rPr>
          <w:rFonts w:ascii="Arial" w:hAnsi="Arial" w:cs="Arial"/>
          <w:b/>
          <w:lang w:val="en-GB"/>
        </w:rPr>
        <w:t xml:space="preserve"> participating in the sector internationally</w:t>
      </w:r>
      <w:r w:rsidRPr="00D159BA">
        <w:rPr>
          <w:rFonts w:ascii="Arial" w:hAnsi="Arial" w:cs="Arial"/>
          <w:b/>
          <w:lang w:val="en-GB"/>
        </w:rPr>
        <w:t>.</w:t>
      </w:r>
      <w:r w:rsidRPr="006D35D5">
        <w:rPr>
          <w:rFonts w:ascii="Arial" w:hAnsi="Arial" w:cs="Arial"/>
          <w:lang w:val="en-GB"/>
        </w:rPr>
        <w:t xml:space="preserve"> We expect that the delivery of </w:t>
      </w:r>
      <w:r w:rsidR="007F26F1" w:rsidRPr="006D35D5">
        <w:rPr>
          <w:rFonts w:ascii="Arial" w:hAnsi="Arial" w:cs="Arial"/>
          <w:lang w:val="en-GB"/>
        </w:rPr>
        <w:t xml:space="preserve">the </w:t>
      </w:r>
      <w:r w:rsidRPr="006D35D5">
        <w:rPr>
          <w:rFonts w:ascii="Arial" w:hAnsi="Arial" w:cs="Arial"/>
          <w:lang w:val="en-GB"/>
        </w:rPr>
        <w:t xml:space="preserve">analysis will foster Mexico’s </w:t>
      </w:r>
      <w:r w:rsidR="0089436F">
        <w:rPr>
          <w:rFonts w:ascii="Arial" w:hAnsi="Arial" w:cs="Arial"/>
          <w:lang w:val="en-GB"/>
        </w:rPr>
        <w:t xml:space="preserve">Green Finance </w:t>
      </w:r>
      <w:r w:rsidRPr="006D35D5">
        <w:rPr>
          <w:rFonts w:ascii="Arial" w:hAnsi="Arial" w:cs="Arial"/>
          <w:lang w:val="en-GB"/>
        </w:rPr>
        <w:t>agenda</w:t>
      </w:r>
      <w:r w:rsidR="00730B0F">
        <w:rPr>
          <w:rFonts w:ascii="Arial" w:hAnsi="Arial" w:cs="Arial"/>
          <w:lang w:val="en-GB"/>
        </w:rPr>
        <w:t xml:space="preserve"> and contribute to an increase in UK trade and investment ties with Mexico in this sector</w:t>
      </w:r>
      <w:r w:rsidR="00D93E3D" w:rsidRPr="006D35D5">
        <w:rPr>
          <w:rFonts w:ascii="Arial" w:hAnsi="Arial" w:cs="Arial"/>
          <w:lang w:val="en-GB"/>
        </w:rPr>
        <w:t>.</w:t>
      </w:r>
    </w:p>
    <w:p w14:paraId="1630D513" w14:textId="77777777" w:rsidR="00B6468E" w:rsidRPr="00B6468E" w:rsidRDefault="00B6468E" w:rsidP="00B172D0">
      <w:pPr>
        <w:spacing w:after="0"/>
        <w:jc w:val="both"/>
        <w:rPr>
          <w:lang w:val="en-GB" w:eastAsia="en-GB"/>
        </w:rPr>
      </w:pPr>
    </w:p>
    <w:p w14:paraId="4B0ECEFE" w14:textId="4EBA0B15" w:rsidR="00DB38BA" w:rsidRDefault="0036469E" w:rsidP="003979F1">
      <w:pPr>
        <w:pStyle w:val="ListParagraph"/>
        <w:numPr>
          <w:ilvl w:val="0"/>
          <w:numId w:val="1"/>
        </w:numPr>
        <w:spacing w:after="0"/>
        <w:jc w:val="both"/>
        <w:rPr>
          <w:rFonts w:ascii="Arial" w:eastAsia="Calibri" w:hAnsi="Arial" w:cs="Arial"/>
          <w:lang w:val="en-GB" w:eastAsia="en-US"/>
        </w:rPr>
      </w:pPr>
      <w:r w:rsidRPr="0036469E">
        <w:rPr>
          <w:rFonts w:ascii="Arial" w:eastAsia="Calibri" w:hAnsi="Arial" w:cs="Arial"/>
          <w:lang w:val="en-GB" w:eastAsia="en-US"/>
        </w:rPr>
        <w:t xml:space="preserve">In order to achieve </w:t>
      </w:r>
      <w:r w:rsidR="00242019">
        <w:rPr>
          <w:rFonts w:ascii="Arial" w:eastAsia="Calibri" w:hAnsi="Arial" w:cs="Arial"/>
          <w:lang w:val="en-GB" w:eastAsia="en-US"/>
        </w:rPr>
        <w:t>this</w:t>
      </w:r>
      <w:r w:rsidRPr="0036469E">
        <w:rPr>
          <w:rFonts w:ascii="Arial" w:eastAsia="Calibri" w:hAnsi="Arial" w:cs="Arial"/>
          <w:lang w:val="en-GB" w:eastAsia="en-US"/>
        </w:rPr>
        <w:t xml:space="preserve"> objective, the </w:t>
      </w:r>
      <w:r w:rsidR="00DB38BA">
        <w:rPr>
          <w:rFonts w:ascii="Arial" w:eastAsia="Calibri" w:hAnsi="Arial" w:cs="Arial"/>
          <w:lang w:val="en-GB" w:eastAsia="en-US"/>
        </w:rPr>
        <w:t>Supplier</w:t>
      </w:r>
      <w:r w:rsidR="00DB38BA" w:rsidRPr="0036469E">
        <w:rPr>
          <w:rFonts w:ascii="Arial" w:eastAsia="Calibri" w:hAnsi="Arial" w:cs="Arial"/>
          <w:lang w:val="en-GB" w:eastAsia="en-US"/>
        </w:rPr>
        <w:t xml:space="preserve"> </w:t>
      </w:r>
      <w:r w:rsidRPr="0036469E">
        <w:rPr>
          <w:rFonts w:ascii="Arial" w:eastAsia="Calibri" w:hAnsi="Arial" w:cs="Arial"/>
          <w:lang w:val="en-GB" w:eastAsia="en-US"/>
        </w:rPr>
        <w:t xml:space="preserve">must focus its </w:t>
      </w:r>
      <w:r w:rsidR="00DB38BA">
        <w:rPr>
          <w:rFonts w:ascii="Arial" w:eastAsia="Calibri" w:hAnsi="Arial" w:cs="Arial"/>
          <w:lang w:val="en-GB" w:eastAsia="en-US"/>
        </w:rPr>
        <w:t xml:space="preserve">analysis </w:t>
      </w:r>
      <w:r w:rsidRPr="0036469E">
        <w:rPr>
          <w:rFonts w:ascii="Arial" w:eastAsia="Calibri" w:hAnsi="Arial" w:cs="Arial"/>
          <w:lang w:val="en-GB" w:eastAsia="en-US"/>
        </w:rPr>
        <w:t xml:space="preserve">on the </w:t>
      </w:r>
      <w:r>
        <w:rPr>
          <w:rFonts w:ascii="Arial" w:eastAsia="Calibri" w:hAnsi="Arial" w:cs="Arial"/>
          <w:lang w:val="en-GB" w:eastAsia="en-US"/>
        </w:rPr>
        <w:t>identification</w:t>
      </w:r>
      <w:r w:rsidRPr="0036469E">
        <w:rPr>
          <w:rFonts w:ascii="Arial" w:eastAsia="Calibri" w:hAnsi="Arial" w:cs="Arial"/>
          <w:lang w:val="en-GB" w:eastAsia="en-US"/>
        </w:rPr>
        <w:t xml:space="preserve"> of </w:t>
      </w:r>
      <w:r w:rsidR="00B7712B">
        <w:rPr>
          <w:rFonts w:ascii="Arial" w:eastAsia="Calibri" w:hAnsi="Arial" w:cs="Arial"/>
          <w:lang w:val="en-GB" w:eastAsia="en-US"/>
        </w:rPr>
        <w:t xml:space="preserve">commercial opportunities for </w:t>
      </w:r>
      <w:r w:rsidR="00AC005A">
        <w:rPr>
          <w:rFonts w:ascii="Arial" w:eastAsia="Calibri" w:hAnsi="Arial" w:cs="Arial"/>
          <w:lang w:val="en-GB" w:eastAsia="en-US"/>
        </w:rPr>
        <w:t>UK</w:t>
      </w:r>
      <w:r w:rsidR="00B7712B">
        <w:rPr>
          <w:rFonts w:ascii="Arial" w:eastAsia="Calibri" w:hAnsi="Arial" w:cs="Arial"/>
          <w:lang w:val="en-GB" w:eastAsia="en-US"/>
        </w:rPr>
        <w:t xml:space="preserve"> companies</w:t>
      </w:r>
      <w:r w:rsidR="00AF7065">
        <w:rPr>
          <w:rFonts w:ascii="Arial" w:eastAsia="Calibri" w:hAnsi="Arial" w:cs="Arial"/>
          <w:lang w:val="en-GB" w:eastAsia="en-US"/>
        </w:rPr>
        <w:t xml:space="preserve"> </w:t>
      </w:r>
      <w:r w:rsidRPr="0036469E">
        <w:rPr>
          <w:rFonts w:ascii="Arial" w:eastAsia="Calibri" w:hAnsi="Arial" w:cs="Arial"/>
          <w:lang w:val="en-GB" w:eastAsia="en-US"/>
        </w:rPr>
        <w:t>in Mexico</w:t>
      </w:r>
      <w:r w:rsidR="0082535C">
        <w:rPr>
          <w:rFonts w:ascii="Arial" w:eastAsia="Calibri" w:hAnsi="Arial" w:cs="Arial"/>
          <w:lang w:val="en-GB" w:eastAsia="en-US"/>
        </w:rPr>
        <w:t xml:space="preserve"> in the area of Green Finance</w:t>
      </w:r>
      <w:r w:rsidRPr="0036469E">
        <w:rPr>
          <w:rFonts w:ascii="Arial" w:eastAsia="Calibri" w:hAnsi="Arial" w:cs="Arial"/>
          <w:lang w:val="en-GB" w:eastAsia="en-US"/>
        </w:rPr>
        <w:t xml:space="preserve">. </w:t>
      </w:r>
    </w:p>
    <w:p w14:paraId="74FD9786" w14:textId="77777777" w:rsidR="00B648BE" w:rsidRPr="00B648BE" w:rsidRDefault="00B648BE" w:rsidP="00B648BE">
      <w:pPr>
        <w:pStyle w:val="ListParagraph"/>
        <w:rPr>
          <w:rFonts w:ascii="Arial" w:eastAsia="Calibri" w:hAnsi="Arial" w:cs="Arial"/>
          <w:lang w:val="en-GB" w:eastAsia="en-US"/>
        </w:rPr>
      </w:pPr>
    </w:p>
    <w:p w14:paraId="6EB09E9D" w14:textId="77777777" w:rsidR="00B648BE" w:rsidRDefault="00B648BE" w:rsidP="00B648BE">
      <w:pPr>
        <w:pStyle w:val="Heading2"/>
        <w:spacing w:before="0"/>
        <w:jc w:val="both"/>
        <w:rPr>
          <w:rFonts w:ascii="Arial" w:hAnsi="Arial" w:cs="Arial"/>
          <w:b w:val="0"/>
          <w:szCs w:val="22"/>
          <w:lang w:val="en-GB"/>
        </w:rPr>
      </w:pPr>
      <w:bookmarkStart w:id="4" w:name="_Toc488660142"/>
      <w:bookmarkStart w:id="5" w:name="_Toc527384900"/>
      <w:r>
        <w:rPr>
          <w:rFonts w:ascii="Arial" w:hAnsi="Arial" w:cs="Arial"/>
          <w:szCs w:val="22"/>
          <w:lang w:val="en-GB"/>
        </w:rPr>
        <w:lastRenderedPageBreak/>
        <w:t>METHODOLOGY</w:t>
      </w:r>
      <w:bookmarkEnd w:id="4"/>
      <w:bookmarkEnd w:id="5"/>
      <w:r>
        <w:rPr>
          <w:rFonts w:ascii="Arial" w:hAnsi="Arial" w:cs="Arial"/>
          <w:szCs w:val="22"/>
          <w:lang w:val="en-GB"/>
        </w:rPr>
        <w:t xml:space="preserve"> </w:t>
      </w:r>
    </w:p>
    <w:p w14:paraId="08C1DB42" w14:textId="77777777" w:rsidR="00B648BE" w:rsidRDefault="00B648BE" w:rsidP="00B648BE">
      <w:pPr>
        <w:pStyle w:val="Heading2"/>
        <w:spacing w:before="0"/>
        <w:jc w:val="both"/>
        <w:rPr>
          <w:rFonts w:ascii="Arial" w:hAnsi="Arial" w:cs="Arial"/>
          <w:b w:val="0"/>
          <w:szCs w:val="22"/>
          <w:lang w:val="en-GB"/>
        </w:rPr>
      </w:pPr>
    </w:p>
    <w:p w14:paraId="4436CEB6" w14:textId="082B1CB6" w:rsidR="00730B0F" w:rsidRDefault="00B648BE" w:rsidP="00B648BE">
      <w:pPr>
        <w:pStyle w:val="ListParagraph"/>
        <w:numPr>
          <w:ilvl w:val="0"/>
          <w:numId w:val="1"/>
        </w:numPr>
        <w:spacing w:after="0"/>
        <w:jc w:val="both"/>
        <w:rPr>
          <w:rFonts w:ascii="Arial" w:eastAsia="Calibri" w:hAnsi="Arial" w:cs="Arial"/>
          <w:lang w:val="en-GB" w:eastAsia="en-US"/>
        </w:rPr>
      </w:pPr>
      <w:r w:rsidRPr="00B648BE">
        <w:rPr>
          <w:rFonts w:ascii="Arial" w:eastAsia="Calibri" w:hAnsi="Arial" w:cs="Arial"/>
          <w:lang w:val="en-GB" w:eastAsia="en-US"/>
        </w:rPr>
        <w:t xml:space="preserve">Interested parties are asked to tender an outline methodology of how they would deliver the above mentioned services, both on a theoretical and practical basis. That may include, but is not limited to: desk and field research, stakeholder consultations in Mexico and the UK, and draft reports, etc. </w:t>
      </w:r>
    </w:p>
    <w:p w14:paraId="78F9352D" w14:textId="77777777" w:rsidR="00730B0F" w:rsidRDefault="00730B0F" w:rsidP="0028141B">
      <w:pPr>
        <w:pStyle w:val="ListParagraph"/>
        <w:spacing w:after="0"/>
        <w:ind w:left="360"/>
        <w:jc w:val="both"/>
        <w:rPr>
          <w:rFonts w:ascii="Arial" w:eastAsia="Calibri" w:hAnsi="Arial" w:cs="Arial"/>
          <w:lang w:val="en-GB" w:eastAsia="en-US"/>
        </w:rPr>
      </w:pPr>
    </w:p>
    <w:p w14:paraId="10052DF3" w14:textId="68977A03" w:rsidR="00B648BE" w:rsidRPr="00B648BE" w:rsidRDefault="00B648BE" w:rsidP="00B648BE">
      <w:pPr>
        <w:pStyle w:val="ListParagraph"/>
        <w:numPr>
          <w:ilvl w:val="0"/>
          <w:numId w:val="1"/>
        </w:numPr>
        <w:spacing w:after="0"/>
        <w:jc w:val="both"/>
        <w:rPr>
          <w:rFonts w:ascii="Arial" w:eastAsia="Calibri" w:hAnsi="Arial" w:cs="Arial"/>
          <w:lang w:val="en-GB" w:eastAsia="en-US"/>
        </w:rPr>
      </w:pPr>
      <w:r w:rsidRPr="00B648BE">
        <w:rPr>
          <w:rFonts w:ascii="Arial" w:eastAsia="Calibri" w:hAnsi="Arial" w:cs="Arial"/>
          <w:lang w:val="en-GB" w:eastAsia="en-US"/>
        </w:rPr>
        <w:t>The methodology should be accompanied by a detailed budget for the cost of proposed activities and the CVs of the team members that would conduct the work. UK organisations may wish to consider including local experts in their proposed teams</w:t>
      </w:r>
      <w:r w:rsidR="0028141B">
        <w:rPr>
          <w:rFonts w:ascii="Arial" w:eastAsia="Calibri" w:hAnsi="Arial" w:cs="Arial"/>
          <w:lang w:val="en-GB" w:eastAsia="en-US"/>
        </w:rPr>
        <w:t>, and vice versa</w:t>
      </w:r>
      <w:r w:rsidRPr="00B648BE">
        <w:rPr>
          <w:rFonts w:ascii="Arial" w:eastAsia="Calibri" w:hAnsi="Arial" w:cs="Arial"/>
          <w:lang w:val="en-GB" w:eastAsia="en-US"/>
        </w:rPr>
        <w:t>.</w:t>
      </w:r>
    </w:p>
    <w:p w14:paraId="0E29B5AF" w14:textId="77777777" w:rsidR="00DB38BA" w:rsidRPr="003979F1" w:rsidRDefault="00DB38BA" w:rsidP="003979F1">
      <w:pPr>
        <w:pStyle w:val="ListParagraph"/>
        <w:rPr>
          <w:rFonts w:ascii="Arial" w:eastAsia="Calibri" w:hAnsi="Arial" w:cs="Arial"/>
          <w:lang w:val="en-GB" w:eastAsia="en-US"/>
        </w:rPr>
      </w:pPr>
    </w:p>
    <w:p w14:paraId="11EDEB5E" w14:textId="67648C50" w:rsidR="0036469E" w:rsidRDefault="0036469E" w:rsidP="003979F1">
      <w:pPr>
        <w:pStyle w:val="ListParagraph"/>
        <w:numPr>
          <w:ilvl w:val="0"/>
          <w:numId w:val="1"/>
        </w:numPr>
        <w:spacing w:after="0"/>
        <w:jc w:val="both"/>
        <w:rPr>
          <w:rFonts w:ascii="Arial" w:eastAsia="Calibri" w:hAnsi="Arial" w:cs="Arial"/>
          <w:lang w:val="en-GB" w:eastAsia="en-US"/>
        </w:rPr>
      </w:pPr>
      <w:r w:rsidRPr="0036469E">
        <w:rPr>
          <w:rFonts w:ascii="Arial" w:eastAsia="Calibri" w:hAnsi="Arial" w:cs="Arial"/>
          <w:lang w:val="en-GB" w:eastAsia="en-US"/>
        </w:rPr>
        <w:t xml:space="preserve">The </w:t>
      </w:r>
      <w:r w:rsidR="00046167">
        <w:rPr>
          <w:rFonts w:ascii="Arial" w:eastAsia="Calibri" w:hAnsi="Arial" w:cs="Arial"/>
          <w:lang w:val="en-GB" w:eastAsia="en-US"/>
        </w:rPr>
        <w:t>Supplier</w:t>
      </w:r>
      <w:r w:rsidR="00046167" w:rsidRPr="0036469E">
        <w:rPr>
          <w:rFonts w:ascii="Arial" w:eastAsia="Calibri" w:hAnsi="Arial" w:cs="Arial"/>
          <w:lang w:val="en-GB" w:eastAsia="en-US"/>
        </w:rPr>
        <w:t xml:space="preserve"> </w:t>
      </w:r>
      <w:r w:rsidRPr="0036469E">
        <w:rPr>
          <w:rFonts w:ascii="Arial" w:eastAsia="Calibri" w:hAnsi="Arial" w:cs="Arial"/>
          <w:lang w:val="en-GB" w:eastAsia="en-US"/>
        </w:rPr>
        <w:t>must</w:t>
      </w:r>
      <w:r w:rsidR="004D34C7">
        <w:rPr>
          <w:rFonts w:ascii="Arial" w:eastAsia="Calibri" w:hAnsi="Arial" w:cs="Arial"/>
          <w:lang w:val="en-GB" w:eastAsia="en-US"/>
        </w:rPr>
        <w:t xml:space="preserve"> take into account previous work</w:t>
      </w:r>
      <w:r w:rsidR="00862C1B">
        <w:rPr>
          <w:rFonts w:ascii="Arial" w:eastAsia="Calibri" w:hAnsi="Arial" w:cs="Arial"/>
          <w:lang w:val="en-GB" w:eastAsia="en-US"/>
        </w:rPr>
        <w:t xml:space="preserve"> carried out by the British Embassy</w:t>
      </w:r>
      <w:r w:rsidR="004D34C7">
        <w:rPr>
          <w:rFonts w:ascii="Arial" w:eastAsia="Calibri" w:hAnsi="Arial" w:cs="Arial"/>
          <w:lang w:val="en-GB" w:eastAsia="en-US"/>
        </w:rPr>
        <w:t xml:space="preserve"> and</w:t>
      </w:r>
      <w:r w:rsidRPr="0036469E">
        <w:rPr>
          <w:rFonts w:ascii="Arial" w:eastAsia="Calibri" w:hAnsi="Arial" w:cs="Arial"/>
          <w:lang w:val="en-GB" w:eastAsia="en-US"/>
        </w:rPr>
        <w:t xml:space="preserve"> collaborate with </w:t>
      </w:r>
      <w:r w:rsidR="00BC542B">
        <w:rPr>
          <w:rFonts w:ascii="Arial" w:eastAsia="Calibri" w:hAnsi="Arial" w:cs="Arial"/>
          <w:lang w:val="en-GB" w:eastAsia="en-US"/>
        </w:rPr>
        <w:t>different teams within the</w:t>
      </w:r>
      <w:r w:rsidRPr="0036469E">
        <w:rPr>
          <w:rFonts w:ascii="Arial" w:eastAsia="Calibri" w:hAnsi="Arial" w:cs="Arial"/>
          <w:lang w:val="en-GB" w:eastAsia="en-US"/>
        </w:rPr>
        <w:t xml:space="preserve"> British</w:t>
      </w:r>
      <w:r w:rsidR="004D34C7">
        <w:rPr>
          <w:rFonts w:ascii="Arial" w:eastAsia="Calibri" w:hAnsi="Arial" w:cs="Arial"/>
          <w:lang w:val="en-GB" w:eastAsia="en-US"/>
        </w:rPr>
        <w:t xml:space="preserve"> Embassy in Mexico City. Additionally, the Supplier is expected to engage with o</w:t>
      </w:r>
      <w:r w:rsidR="00B7712B">
        <w:rPr>
          <w:rFonts w:ascii="Arial" w:eastAsia="Calibri" w:hAnsi="Arial" w:cs="Arial"/>
          <w:lang w:val="en-GB" w:eastAsia="en-US"/>
        </w:rPr>
        <w:t xml:space="preserve">ther stakeholders </w:t>
      </w:r>
      <w:r w:rsidR="00046167">
        <w:rPr>
          <w:rFonts w:ascii="Arial" w:eastAsia="Calibri" w:hAnsi="Arial" w:cs="Arial"/>
          <w:lang w:val="en-GB" w:eastAsia="en-US"/>
        </w:rPr>
        <w:t>in</w:t>
      </w:r>
      <w:r w:rsidR="004D34C7">
        <w:rPr>
          <w:rFonts w:ascii="Arial" w:eastAsia="Calibri" w:hAnsi="Arial" w:cs="Arial"/>
          <w:lang w:val="en-GB" w:eastAsia="en-US"/>
        </w:rPr>
        <w:t xml:space="preserve"> Mexico </w:t>
      </w:r>
      <w:r w:rsidR="00730B0F">
        <w:rPr>
          <w:rFonts w:ascii="Arial" w:eastAsia="Calibri" w:hAnsi="Arial" w:cs="Arial"/>
          <w:lang w:val="en-GB" w:eastAsia="en-US"/>
        </w:rPr>
        <w:t xml:space="preserve">and the UK, including </w:t>
      </w:r>
      <w:r w:rsidR="004D34C7">
        <w:rPr>
          <w:rFonts w:ascii="Arial" w:eastAsia="Calibri" w:hAnsi="Arial" w:cs="Arial"/>
          <w:lang w:val="en-GB" w:eastAsia="en-US"/>
        </w:rPr>
        <w:t xml:space="preserve"> other relevant </w:t>
      </w:r>
      <w:r w:rsidR="00730B0F">
        <w:rPr>
          <w:rFonts w:ascii="Arial" w:eastAsia="Calibri" w:hAnsi="Arial" w:cs="Arial"/>
          <w:lang w:val="en-GB" w:eastAsia="en-US"/>
        </w:rPr>
        <w:t xml:space="preserve">embassies </w:t>
      </w:r>
      <w:r w:rsidR="004D34C7">
        <w:rPr>
          <w:rFonts w:ascii="Arial" w:eastAsia="Calibri" w:hAnsi="Arial" w:cs="Arial"/>
          <w:lang w:val="en-GB" w:eastAsia="en-US"/>
        </w:rPr>
        <w:t>to identify commercial opportunities and ensure that there is no overlapping or duplication of work</w:t>
      </w:r>
      <w:r w:rsidR="00B7712B">
        <w:rPr>
          <w:rFonts w:ascii="Arial" w:eastAsia="Calibri" w:hAnsi="Arial" w:cs="Arial"/>
          <w:lang w:val="en-GB" w:eastAsia="en-US"/>
        </w:rPr>
        <w:t xml:space="preserve"> (e.g. DIT’s Financial Services Organisation, </w:t>
      </w:r>
      <w:r w:rsidR="001808FF">
        <w:rPr>
          <w:rFonts w:ascii="Arial" w:eastAsia="Calibri" w:hAnsi="Arial" w:cs="Arial"/>
          <w:lang w:val="en-GB" w:eastAsia="en-US"/>
        </w:rPr>
        <w:t xml:space="preserve">the City of London’s </w:t>
      </w:r>
      <w:r w:rsidR="00B7712B">
        <w:rPr>
          <w:rFonts w:ascii="Arial" w:eastAsia="Calibri" w:hAnsi="Arial" w:cs="Arial"/>
          <w:lang w:val="en-GB" w:eastAsia="en-US"/>
        </w:rPr>
        <w:t xml:space="preserve">Green Finance Initiative, and </w:t>
      </w:r>
      <w:r w:rsidR="004D34C7">
        <w:rPr>
          <w:rFonts w:ascii="Arial" w:eastAsia="Calibri" w:hAnsi="Arial" w:cs="Arial"/>
          <w:lang w:val="en-GB" w:eastAsia="en-US"/>
        </w:rPr>
        <w:t xml:space="preserve">other relevant </w:t>
      </w:r>
      <w:r w:rsidR="001808FF">
        <w:rPr>
          <w:rFonts w:ascii="Arial" w:eastAsia="Calibri" w:hAnsi="Arial" w:cs="Arial"/>
          <w:lang w:val="en-GB" w:eastAsia="en-US"/>
        </w:rPr>
        <w:t>institutions</w:t>
      </w:r>
      <w:r w:rsidR="004D34C7">
        <w:rPr>
          <w:rFonts w:ascii="Arial" w:eastAsia="Calibri" w:hAnsi="Arial" w:cs="Arial"/>
          <w:lang w:val="en-GB" w:eastAsia="en-US"/>
        </w:rPr>
        <w:t xml:space="preserve">). </w:t>
      </w:r>
      <w:r w:rsidR="00BC542B">
        <w:rPr>
          <w:rFonts w:ascii="Arial" w:eastAsia="Calibri" w:hAnsi="Arial" w:cs="Arial"/>
          <w:lang w:val="en-GB" w:eastAsia="en-US"/>
        </w:rPr>
        <w:t>The Authority may also request the presence of the Supplier at relevant events</w:t>
      </w:r>
      <w:r w:rsidR="004D34C7">
        <w:rPr>
          <w:rFonts w:ascii="Arial" w:eastAsia="Calibri" w:hAnsi="Arial" w:cs="Arial"/>
          <w:lang w:val="en-GB" w:eastAsia="en-US"/>
        </w:rPr>
        <w:t>, as well as a sensible revision of the project’s scope as a result of related work conducted by the Embassy.</w:t>
      </w:r>
    </w:p>
    <w:p w14:paraId="3160A9AB" w14:textId="77777777" w:rsidR="00B648BE" w:rsidRDefault="00B648BE" w:rsidP="00B648BE">
      <w:pPr>
        <w:pStyle w:val="ListParagraph"/>
        <w:spacing w:after="0"/>
        <w:ind w:left="360"/>
        <w:jc w:val="both"/>
        <w:rPr>
          <w:rFonts w:ascii="Arial" w:eastAsia="Calibri" w:hAnsi="Arial" w:cs="Arial"/>
          <w:lang w:val="en-GB" w:eastAsia="en-US"/>
        </w:rPr>
      </w:pPr>
    </w:p>
    <w:p w14:paraId="06E5CE4D" w14:textId="269B59AC" w:rsidR="00B648BE" w:rsidRPr="00B648BE" w:rsidRDefault="001808FF" w:rsidP="003302A1">
      <w:pPr>
        <w:pStyle w:val="ListParagraph"/>
        <w:numPr>
          <w:ilvl w:val="0"/>
          <w:numId w:val="1"/>
        </w:numPr>
        <w:spacing w:after="0"/>
        <w:jc w:val="both"/>
        <w:rPr>
          <w:rFonts w:ascii="Arial" w:eastAsia="Calibri" w:hAnsi="Arial" w:cs="Arial"/>
          <w:lang w:val="en-GB" w:eastAsia="en-US"/>
        </w:rPr>
      </w:pPr>
      <w:r>
        <w:rPr>
          <w:rFonts w:ascii="Arial" w:eastAsia="Calibri" w:hAnsi="Arial" w:cs="Arial"/>
          <w:lang w:val="en-GB" w:eastAsia="en-US"/>
        </w:rPr>
        <w:t>As mentioned above, t</w:t>
      </w:r>
      <w:r w:rsidR="00B648BE" w:rsidRPr="00B648BE">
        <w:rPr>
          <w:rFonts w:ascii="Arial" w:eastAsia="Calibri" w:hAnsi="Arial" w:cs="Arial"/>
          <w:lang w:val="en-GB" w:eastAsia="en-US"/>
        </w:rPr>
        <w:t xml:space="preserve">he Supplier will be expected to engage with other UK Government departments, notably DIT (Department of International Trade), BEIS (Department for Business, Energy and Industrial Strategy), HMT (HM Treasury), DFID (Department for International Development); as well as devolved administrations, where applicable, in Scotland, Wales and Northern Ireland, to determine complementarities to existing policies and initiatives. </w:t>
      </w:r>
    </w:p>
    <w:p w14:paraId="6F6B29F8" w14:textId="77777777" w:rsidR="0036469E" w:rsidRPr="0036469E" w:rsidRDefault="0036469E" w:rsidP="0036469E">
      <w:pPr>
        <w:pStyle w:val="ListParagraph"/>
        <w:spacing w:after="0"/>
        <w:ind w:left="360"/>
        <w:jc w:val="both"/>
        <w:rPr>
          <w:rFonts w:ascii="Arial" w:eastAsia="Calibri" w:hAnsi="Arial" w:cs="Arial"/>
          <w:lang w:val="en-GB" w:eastAsia="en-US"/>
        </w:rPr>
      </w:pPr>
    </w:p>
    <w:p w14:paraId="7D361177" w14:textId="4B1D6316" w:rsidR="0036469E" w:rsidRPr="0036469E" w:rsidRDefault="0036469E" w:rsidP="003979F1">
      <w:pPr>
        <w:pStyle w:val="ListParagraph"/>
        <w:numPr>
          <w:ilvl w:val="0"/>
          <w:numId w:val="1"/>
        </w:numPr>
        <w:spacing w:after="0"/>
        <w:jc w:val="both"/>
        <w:rPr>
          <w:rFonts w:ascii="Arial" w:eastAsia="Calibri" w:hAnsi="Arial" w:cs="Arial"/>
          <w:lang w:val="en-GB" w:eastAsia="en-US"/>
        </w:rPr>
      </w:pPr>
      <w:r w:rsidRPr="0036469E">
        <w:rPr>
          <w:rFonts w:ascii="Arial" w:eastAsia="Calibri" w:hAnsi="Arial" w:cs="Arial"/>
          <w:lang w:val="en-GB" w:eastAsia="en-US"/>
        </w:rPr>
        <w:t>In developing an implementation approach for the activity the supplier must consider relevant actors, institutions, formal and informal norms and incentives that shape the financial sector in Mexico, to better understand the economic</w:t>
      </w:r>
      <w:r w:rsidR="00046167">
        <w:rPr>
          <w:rFonts w:ascii="Arial" w:eastAsia="Calibri" w:hAnsi="Arial" w:cs="Arial"/>
          <w:lang w:val="en-GB" w:eastAsia="en-US"/>
        </w:rPr>
        <w:t>, commercial</w:t>
      </w:r>
      <w:r w:rsidRPr="0036469E">
        <w:rPr>
          <w:rFonts w:ascii="Arial" w:eastAsia="Calibri" w:hAnsi="Arial" w:cs="Arial"/>
          <w:lang w:val="en-GB" w:eastAsia="en-US"/>
        </w:rPr>
        <w:t xml:space="preserve"> and political dynamics that affect the </w:t>
      </w:r>
      <w:r w:rsidR="00046167">
        <w:rPr>
          <w:rFonts w:ascii="Arial" w:eastAsia="Calibri" w:hAnsi="Arial" w:cs="Arial"/>
          <w:lang w:val="en-GB" w:eastAsia="en-US"/>
        </w:rPr>
        <w:t>sector</w:t>
      </w:r>
      <w:r w:rsidRPr="0036469E">
        <w:rPr>
          <w:rFonts w:ascii="Arial" w:eastAsia="Calibri" w:hAnsi="Arial" w:cs="Arial"/>
          <w:lang w:val="en-GB" w:eastAsia="en-US"/>
        </w:rPr>
        <w:t>.</w:t>
      </w:r>
    </w:p>
    <w:p w14:paraId="62149205" w14:textId="2B79970C" w:rsidR="005C53FA" w:rsidRPr="0036469E" w:rsidRDefault="005C53FA" w:rsidP="0036469E">
      <w:pPr>
        <w:spacing w:after="0"/>
        <w:jc w:val="both"/>
        <w:rPr>
          <w:rFonts w:ascii="Arial" w:hAnsi="Arial" w:cs="Arial"/>
          <w:lang w:val="en-GB"/>
        </w:rPr>
      </w:pPr>
    </w:p>
    <w:p w14:paraId="7EAD8BF2" w14:textId="77777777" w:rsidR="00B50077" w:rsidRPr="007509DA" w:rsidRDefault="00F32EAB" w:rsidP="006D35D5">
      <w:pPr>
        <w:pStyle w:val="Heading2"/>
        <w:rPr>
          <w:rFonts w:ascii="Arial" w:hAnsi="Arial" w:cs="Arial"/>
          <w:sz w:val="24"/>
        </w:rPr>
      </w:pPr>
      <w:bookmarkStart w:id="6" w:name="_Toc527384901"/>
      <w:r w:rsidRPr="007509DA">
        <w:rPr>
          <w:rFonts w:ascii="Arial" w:hAnsi="Arial" w:cs="Arial"/>
          <w:sz w:val="24"/>
        </w:rPr>
        <w:t>O</w:t>
      </w:r>
      <w:r w:rsidR="00ED14C4" w:rsidRPr="007509DA">
        <w:rPr>
          <w:rFonts w:ascii="Arial" w:hAnsi="Arial" w:cs="Arial"/>
          <w:sz w:val="24"/>
        </w:rPr>
        <w:t xml:space="preserve">UTPUTS </w:t>
      </w:r>
      <w:r w:rsidR="00915098" w:rsidRPr="007509DA">
        <w:rPr>
          <w:rFonts w:ascii="Arial" w:hAnsi="Arial" w:cs="Arial"/>
          <w:sz w:val="24"/>
        </w:rPr>
        <w:t>/ DELIVERABLES</w:t>
      </w:r>
      <w:bookmarkEnd w:id="6"/>
    </w:p>
    <w:p w14:paraId="62DEC224" w14:textId="77777777" w:rsidR="00B6468E" w:rsidRPr="00B91877" w:rsidRDefault="00B6468E" w:rsidP="00B172D0">
      <w:pPr>
        <w:pStyle w:val="Heading2"/>
        <w:spacing w:before="0"/>
        <w:jc w:val="both"/>
        <w:rPr>
          <w:rFonts w:ascii="Arial" w:hAnsi="Arial" w:cs="Arial"/>
          <w:b w:val="0"/>
          <w:szCs w:val="22"/>
          <w:lang w:val="en-GB"/>
        </w:rPr>
      </w:pPr>
    </w:p>
    <w:p w14:paraId="16CAC967" w14:textId="3D08AD6D" w:rsidR="001D6888" w:rsidRPr="00D159BA" w:rsidRDefault="002B1085" w:rsidP="003979F1">
      <w:pPr>
        <w:pStyle w:val="ListParagraph"/>
        <w:numPr>
          <w:ilvl w:val="0"/>
          <w:numId w:val="1"/>
        </w:numPr>
        <w:rPr>
          <w:rFonts w:ascii="Arial" w:hAnsi="Arial" w:cs="Arial"/>
          <w:b/>
          <w:lang w:val="en-GB"/>
        </w:rPr>
      </w:pPr>
      <w:r w:rsidRPr="00B04B7A">
        <w:rPr>
          <w:rFonts w:ascii="Arial" w:hAnsi="Arial" w:cs="Arial"/>
          <w:lang w:val="en-GB"/>
        </w:rPr>
        <w:t xml:space="preserve">There </w:t>
      </w:r>
      <w:r w:rsidR="001808FF">
        <w:rPr>
          <w:rFonts w:ascii="Arial" w:hAnsi="Arial" w:cs="Arial"/>
          <w:lang w:val="en-GB"/>
        </w:rPr>
        <w:t>is</w:t>
      </w:r>
      <w:r w:rsidR="00417984">
        <w:rPr>
          <w:rFonts w:ascii="Arial" w:hAnsi="Arial" w:cs="Arial"/>
          <w:lang w:val="en-GB"/>
        </w:rPr>
        <w:t xml:space="preserve"> </w:t>
      </w:r>
      <w:r w:rsidR="001808FF">
        <w:rPr>
          <w:rFonts w:ascii="Arial" w:hAnsi="Arial" w:cs="Arial"/>
          <w:lang w:val="en-GB"/>
        </w:rPr>
        <w:t>one</w:t>
      </w:r>
      <w:r w:rsidR="005F1F81" w:rsidRPr="00B04B7A">
        <w:rPr>
          <w:rFonts w:ascii="Arial" w:hAnsi="Arial" w:cs="Arial"/>
          <w:lang w:val="en-GB"/>
        </w:rPr>
        <w:t xml:space="preserve"> </w:t>
      </w:r>
      <w:r w:rsidR="00417984">
        <w:rPr>
          <w:rFonts w:ascii="Arial" w:hAnsi="Arial" w:cs="Arial"/>
          <w:lang w:val="en-GB"/>
        </w:rPr>
        <w:t xml:space="preserve">specific </w:t>
      </w:r>
      <w:r w:rsidRPr="00B04B7A">
        <w:rPr>
          <w:rFonts w:ascii="Arial" w:hAnsi="Arial" w:cs="Arial"/>
          <w:lang w:val="en-GB"/>
        </w:rPr>
        <w:t xml:space="preserve">output </w:t>
      </w:r>
      <w:r w:rsidR="009A14AD" w:rsidRPr="00B04B7A">
        <w:rPr>
          <w:rFonts w:ascii="Arial" w:hAnsi="Arial" w:cs="Arial"/>
          <w:lang w:val="en-GB"/>
        </w:rPr>
        <w:t>for this pro</w:t>
      </w:r>
      <w:r w:rsidR="00046167">
        <w:rPr>
          <w:rFonts w:ascii="Arial" w:hAnsi="Arial" w:cs="Arial"/>
          <w:lang w:val="en-GB"/>
        </w:rPr>
        <w:t>ject</w:t>
      </w:r>
      <w:r w:rsidRPr="00B04B7A">
        <w:rPr>
          <w:rFonts w:ascii="Arial" w:hAnsi="Arial" w:cs="Arial"/>
          <w:lang w:val="en-GB"/>
        </w:rPr>
        <w:t xml:space="preserve">: </w:t>
      </w:r>
    </w:p>
    <w:p w14:paraId="45C65B86" w14:textId="77777777" w:rsidR="00D159BA" w:rsidRPr="00B04B7A" w:rsidRDefault="00D159BA" w:rsidP="00D159BA">
      <w:pPr>
        <w:pStyle w:val="ListParagraph"/>
        <w:ind w:left="360"/>
        <w:rPr>
          <w:rFonts w:ascii="Arial" w:hAnsi="Arial" w:cs="Arial"/>
          <w:b/>
          <w:lang w:val="en-GB"/>
        </w:rPr>
      </w:pPr>
    </w:p>
    <w:p w14:paraId="484CF97A" w14:textId="7BFEFADD" w:rsidR="00992846" w:rsidRPr="001808FF" w:rsidRDefault="00431127" w:rsidP="001808FF">
      <w:pPr>
        <w:pStyle w:val="ListParagraph"/>
        <w:numPr>
          <w:ilvl w:val="0"/>
          <w:numId w:val="21"/>
        </w:numPr>
        <w:jc w:val="both"/>
        <w:rPr>
          <w:rFonts w:ascii="Arial" w:hAnsi="Arial" w:cs="Arial"/>
          <w:lang w:val="en-GB"/>
        </w:rPr>
      </w:pPr>
      <w:r w:rsidRPr="00992846">
        <w:rPr>
          <w:rFonts w:ascii="Arial" w:hAnsi="Arial" w:cs="Arial"/>
          <w:lang w:val="en-GB"/>
        </w:rPr>
        <w:t xml:space="preserve">One scoping </w:t>
      </w:r>
      <w:r w:rsidRPr="00992846">
        <w:rPr>
          <w:rFonts w:ascii="Arial" w:hAnsi="Arial" w:cs="Arial"/>
          <w:u w:val="single"/>
          <w:lang w:val="en-GB"/>
        </w:rPr>
        <w:t>report</w:t>
      </w:r>
      <w:r w:rsidR="00992846" w:rsidRPr="00992846">
        <w:rPr>
          <w:rFonts w:ascii="Arial" w:hAnsi="Arial" w:cs="Arial"/>
          <w:lang w:val="en-GB"/>
        </w:rPr>
        <w:t>, in English and Spanish,</w:t>
      </w:r>
      <w:r w:rsidRPr="00992846">
        <w:rPr>
          <w:rFonts w:ascii="Arial" w:hAnsi="Arial" w:cs="Arial"/>
          <w:lang w:val="en-GB"/>
        </w:rPr>
        <w:t xml:space="preserve"> outlining the leading areas of Green Finance in Mexico that represent commercial opportunities for </w:t>
      </w:r>
      <w:r w:rsidR="00890E23" w:rsidRPr="00992846">
        <w:rPr>
          <w:rFonts w:ascii="Arial" w:hAnsi="Arial" w:cs="Arial"/>
          <w:lang w:val="en-GB"/>
        </w:rPr>
        <w:t xml:space="preserve">UK </w:t>
      </w:r>
      <w:r w:rsidRPr="00992846">
        <w:rPr>
          <w:rFonts w:ascii="Arial" w:hAnsi="Arial" w:cs="Arial"/>
          <w:lang w:val="en-GB"/>
        </w:rPr>
        <w:t xml:space="preserve">companies, including a preliminary list profiling </w:t>
      </w:r>
      <w:r w:rsidR="00890E23" w:rsidRPr="00992846">
        <w:rPr>
          <w:rFonts w:ascii="Arial" w:hAnsi="Arial" w:cs="Arial"/>
          <w:lang w:val="en-GB"/>
        </w:rPr>
        <w:t xml:space="preserve">those </w:t>
      </w:r>
      <w:r w:rsidRPr="00992846">
        <w:rPr>
          <w:rFonts w:ascii="Arial" w:hAnsi="Arial" w:cs="Arial"/>
          <w:lang w:val="en-GB"/>
        </w:rPr>
        <w:t xml:space="preserve">companies that are actively </w:t>
      </w:r>
      <w:r w:rsidR="00E87FEF">
        <w:rPr>
          <w:rFonts w:ascii="Arial" w:hAnsi="Arial" w:cs="Arial"/>
          <w:lang w:val="en-GB"/>
        </w:rPr>
        <w:t xml:space="preserve">or planning on </w:t>
      </w:r>
      <w:r w:rsidRPr="00992846">
        <w:rPr>
          <w:rFonts w:ascii="Arial" w:hAnsi="Arial" w:cs="Arial"/>
          <w:lang w:val="en-GB"/>
        </w:rPr>
        <w:t>participating in the sector internationally</w:t>
      </w:r>
      <w:r w:rsidR="002C3AF0" w:rsidRPr="00992846">
        <w:rPr>
          <w:rFonts w:ascii="Arial" w:hAnsi="Arial" w:cs="Arial"/>
          <w:lang w:val="en-GB"/>
        </w:rPr>
        <w:t>.</w:t>
      </w:r>
      <w:r w:rsidR="00417984" w:rsidRPr="00992846">
        <w:rPr>
          <w:rFonts w:ascii="Arial" w:hAnsi="Arial" w:cs="Arial"/>
          <w:lang w:val="en-GB"/>
        </w:rPr>
        <w:t xml:space="preserve"> The report should map out specific areas of UK strength</w:t>
      </w:r>
      <w:r w:rsidR="00730B0F">
        <w:rPr>
          <w:rFonts w:ascii="Arial" w:hAnsi="Arial" w:cs="Arial"/>
          <w:lang w:val="en-GB"/>
        </w:rPr>
        <w:t xml:space="preserve"> and expertise</w:t>
      </w:r>
      <w:r w:rsidR="00417984" w:rsidRPr="00992846">
        <w:rPr>
          <w:rFonts w:ascii="Arial" w:hAnsi="Arial" w:cs="Arial"/>
          <w:lang w:val="en-GB"/>
        </w:rPr>
        <w:t xml:space="preserve">, match them to Mexican opportunities and needs, identify UK companies with capabilities in these areas, and provide their profile and </w:t>
      </w:r>
      <w:r w:rsidR="00992846" w:rsidRPr="00992846">
        <w:rPr>
          <w:rFonts w:ascii="Arial" w:hAnsi="Arial" w:cs="Arial"/>
          <w:lang w:val="en-GB"/>
        </w:rPr>
        <w:t>contact information.</w:t>
      </w:r>
      <w:r w:rsidR="001808FF">
        <w:rPr>
          <w:rFonts w:ascii="Arial" w:hAnsi="Arial" w:cs="Arial"/>
          <w:lang w:val="en-GB"/>
        </w:rPr>
        <w:t xml:space="preserve"> The report must include a</w:t>
      </w:r>
      <w:r w:rsidR="00992846" w:rsidRPr="001808FF">
        <w:rPr>
          <w:rFonts w:ascii="Arial" w:hAnsi="Arial" w:cs="Arial"/>
          <w:lang w:val="en-GB"/>
        </w:rPr>
        <w:t xml:space="preserve"> well-designed, clear and concise one-page </w:t>
      </w:r>
      <w:r w:rsidR="00992846" w:rsidRPr="001808FF">
        <w:rPr>
          <w:rFonts w:ascii="Arial" w:hAnsi="Arial" w:cs="Arial"/>
          <w:u w:val="single"/>
          <w:lang w:val="en-GB"/>
        </w:rPr>
        <w:lastRenderedPageBreak/>
        <w:t>infographic</w:t>
      </w:r>
      <w:r w:rsidR="00992846" w:rsidRPr="001808FF">
        <w:rPr>
          <w:rFonts w:ascii="Arial" w:hAnsi="Arial" w:cs="Arial"/>
          <w:lang w:val="en-GB"/>
        </w:rPr>
        <w:t xml:space="preserve"> summarising the main findings of the report, which </w:t>
      </w:r>
      <w:r w:rsidR="00730B0F">
        <w:rPr>
          <w:rFonts w:ascii="Arial" w:hAnsi="Arial" w:cs="Arial"/>
          <w:lang w:val="en-GB"/>
        </w:rPr>
        <w:t>may</w:t>
      </w:r>
      <w:r w:rsidR="00730B0F" w:rsidRPr="001808FF">
        <w:rPr>
          <w:rFonts w:ascii="Arial" w:hAnsi="Arial" w:cs="Arial"/>
          <w:lang w:val="en-GB"/>
        </w:rPr>
        <w:t xml:space="preserve"> </w:t>
      </w:r>
      <w:r w:rsidR="00992846" w:rsidRPr="001808FF">
        <w:rPr>
          <w:rFonts w:ascii="Arial" w:hAnsi="Arial" w:cs="Arial"/>
          <w:lang w:val="en-GB"/>
        </w:rPr>
        <w:t>be publicly shared</w:t>
      </w:r>
      <w:r w:rsidR="00730B0F">
        <w:rPr>
          <w:rFonts w:ascii="Arial" w:hAnsi="Arial" w:cs="Arial"/>
          <w:lang w:val="en-GB"/>
        </w:rPr>
        <w:t xml:space="preserve"> by the Authority</w:t>
      </w:r>
      <w:r w:rsidR="00992846" w:rsidRPr="001808FF">
        <w:rPr>
          <w:rFonts w:ascii="Arial" w:hAnsi="Arial" w:cs="Arial"/>
          <w:lang w:val="en-GB"/>
        </w:rPr>
        <w:t>.</w:t>
      </w:r>
    </w:p>
    <w:p w14:paraId="52200409" w14:textId="77777777" w:rsidR="00431127" w:rsidRPr="00D159BA" w:rsidRDefault="00431127" w:rsidP="00431127">
      <w:pPr>
        <w:pStyle w:val="ListParagraph"/>
        <w:rPr>
          <w:rFonts w:ascii="Arial" w:hAnsi="Arial" w:cs="Arial"/>
          <w:lang w:val="en-GB"/>
        </w:rPr>
      </w:pPr>
    </w:p>
    <w:p w14:paraId="1957C89B" w14:textId="64E63B06" w:rsidR="001D6888" w:rsidRPr="00B04B7A" w:rsidRDefault="00046167" w:rsidP="003979F1">
      <w:pPr>
        <w:pStyle w:val="ListParagraph"/>
        <w:numPr>
          <w:ilvl w:val="0"/>
          <w:numId w:val="1"/>
        </w:numPr>
        <w:rPr>
          <w:rFonts w:ascii="Arial" w:hAnsi="Arial" w:cs="Arial"/>
          <w:lang w:val="en-GB"/>
        </w:rPr>
      </w:pPr>
      <w:r>
        <w:rPr>
          <w:rFonts w:ascii="Arial" w:hAnsi="Arial" w:cs="Arial"/>
          <w:lang w:val="en-GB"/>
        </w:rPr>
        <w:t>The</w:t>
      </w:r>
      <w:r w:rsidR="009A14AD" w:rsidRPr="004A2315">
        <w:rPr>
          <w:rFonts w:ascii="Arial" w:hAnsi="Arial" w:cs="Arial"/>
          <w:lang w:val="en-GB"/>
        </w:rPr>
        <w:t xml:space="preserve"> report shall be delivered in both English and Spanish</w:t>
      </w:r>
      <w:r w:rsidR="009A14AD" w:rsidRPr="00B04B7A">
        <w:rPr>
          <w:rFonts w:ascii="Arial" w:hAnsi="Arial" w:cs="Arial"/>
          <w:lang w:val="en-GB"/>
        </w:rPr>
        <w:t xml:space="preserve">. </w:t>
      </w:r>
      <w:r>
        <w:rPr>
          <w:rFonts w:ascii="Arial" w:hAnsi="Arial" w:cs="Arial"/>
          <w:lang w:val="en-GB"/>
        </w:rPr>
        <w:t xml:space="preserve"> Expected tasks are outlined below.  </w:t>
      </w:r>
    </w:p>
    <w:p w14:paraId="467E16A5" w14:textId="77777777" w:rsidR="00B50077" w:rsidRPr="007509DA" w:rsidRDefault="00FA7548" w:rsidP="006D35D5">
      <w:pPr>
        <w:pStyle w:val="Heading2"/>
        <w:rPr>
          <w:rFonts w:ascii="Arial" w:hAnsi="Arial" w:cs="Arial"/>
          <w:sz w:val="24"/>
          <w:szCs w:val="24"/>
        </w:rPr>
      </w:pPr>
      <w:bookmarkStart w:id="7" w:name="_Toc527384902"/>
      <w:r w:rsidRPr="007509DA">
        <w:rPr>
          <w:rFonts w:ascii="Arial" w:hAnsi="Arial" w:cs="Arial"/>
          <w:sz w:val="24"/>
          <w:szCs w:val="24"/>
        </w:rPr>
        <w:t>EXPECTED TASKS</w:t>
      </w:r>
      <w:bookmarkEnd w:id="7"/>
      <w:r w:rsidRPr="007509DA">
        <w:rPr>
          <w:rFonts w:ascii="Arial" w:hAnsi="Arial" w:cs="Arial"/>
          <w:sz w:val="24"/>
          <w:szCs w:val="24"/>
        </w:rPr>
        <w:t xml:space="preserve"> </w:t>
      </w:r>
    </w:p>
    <w:p w14:paraId="6E37A02A" w14:textId="77777777" w:rsidR="00B6468E" w:rsidRPr="00B91877" w:rsidRDefault="00B6468E" w:rsidP="00B172D0">
      <w:pPr>
        <w:pStyle w:val="Heading2"/>
        <w:spacing w:before="0"/>
        <w:jc w:val="both"/>
        <w:rPr>
          <w:rFonts w:ascii="Arial" w:hAnsi="Arial" w:cs="Arial"/>
          <w:b w:val="0"/>
          <w:szCs w:val="22"/>
          <w:lang w:val="en-GB"/>
        </w:rPr>
      </w:pPr>
    </w:p>
    <w:p w14:paraId="67085E7F" w14:textId="5304240D" w:rsidR="001D6888" w:rsidRPr="00B04B7A" w:rsidRDefault="00B91877" w:rsidP="003979F1">
      <w:pPr>
        <w:pStyle w:val="ListParagraph"/>
        <w:numPr>
          <w:ilvl w:val="0"/>
          <w:numId w:val="1"/>
        </w:numPr>
        <w:jc w:val="both"/>
        <w:rPr>
          <w:rFonts w:ascii="Arial" w:hAnsi="Arial" w:cs="Arial"/>
          <w:lang w:val="en-GB"/>
        </w:rPr>
      </w:pPr>
      <w:r w:rsidRPr="00B04B7A">
        <w:rPr>
          <w:rFonts w:ascii="Arial" w:hAnsi="Arial" w:cs="Arial"/>
          <w:lang w:val="en-GB"/>
        </w:rPr>
        <w:t>The Supplier is</w:t>
      </w:r>
      <w:r w:rsidR="00FA7548" w:rsidRPr="00B04B7A">
        <w:rPr>
          <w:rFonts w:ascii="Arial" w:hAnsi="Arial" w:cs="Arial"/>
          <w:lang w:val="en-GB"/>
        </w:rPr>
        <w:t xml:space="preserve"> expected to carry out </w:t>
      </w:r>
      <w:r w:rsidRPr="00B04B7A">
        <w:rPr>
          <w:rFonts w:ascii="Arial" w:hAnsi="Arial" w:cs="Arial"/>
          <w:lang w:val="en-GB"/>
        </w:rPr>
        <w:t xml:space="preserve">the </w:t>
      </w:r>
      <w:r w:rsidR="00FA7548" w:rsidRPr="00B04B7A">
        <w:rPr>
          <w:rFonts w:ascii="Arial" w:hAnsi="Arial" w:cs="Arial"/>
          <w:lang w:val="en-GB"/>
        </w:rPr>
        <w:t>following tasks in the course of the work</w:t>
      </w:r>
      <w:r w:rsidR="00730B0F">
        <w:rPr>
          <w:rFonts w:ascii="Arial" w:hAnsi="Arial" w:cs="Arial"/>
          <w:lang w:val="en-GB"/>
        </w:rPr>
        <w:t>, but may also propose other innovative approaches to meet the requirements of the TORs within their bid</w:t>
      </w:r>
      <w:r w:rsidR="00FA7548" w:rsidRPr="00B04B7A">
        <w:rPr>
          <w:rFonts w:ascii="Arial" w:hAnsi="Arial" w:cs="Arial"/>
          <w:lang w:val="en-GB"/>
        </w:rPr>
        <w:t>:</w:t>
      </w:r>
    </w:p>
    <w:p w14:paraId="69B94C9C" w14:textId="7EAFF178" w:rsidR="00D93E3D" w:rsidRDefault="00C31FCB" w:rsidP="00512824">
      <w:pPr>
        <w:jc w:val="both"/>
        <w:rPr>
          <w:rFonts w:ascii="Arial" w:eastAsiaTheme="majorEastAsia" w:hAnsi="Arial" w:cs="Arial"/>
          <w:bCs/>
          <w:u w:val="single"/>
          <w:lang w:val="en-GB" w:eastAsia="en-GB"/>
        </w:rPr>
      </w:pPr>
      <w:r w:rsidRPr="00B91877">
        <w:rPr>
          <w:rFonts w:ascii="Arial" w:eastAsiaTheme="majorEastAsia" w:hAnsi="Arial" w:cs="Arial"/>
          <w:bCs/>
          <w:u w:val="single"/>
          <w:lang w:val="en-GB" w:eastAsia="en-GB"/>
        </w:rPr>
        <w:t xml:space="preserve">Tasks for Output </w:t>
      </w:r>
      <w:r w:rsidR="00F020D5" w:rsidRPr="00B91877">
        <w:rPr>
          <w:rFonts w:ascii="Arial" w:eastAsiaTheme="majorEastAsia" w:hAnsi="Arial" w:cs="Arial"/>
          <w:bCs/>
          <w:u w:val="single"/>
          <w:lang w:val="en-GB" w:eastAsia="en-GB"/>
        </w:rPr>
        <w:t>1</w:t>
      </w:r>
      <w:r w:rsidRPr="00B91877">
        <w:rPr>
          <w:rFonts w:ascii="Arial" w:eastAsiaTheme="majorEastAsia" w:hAnsi="Arial" w:cs="Arial"/>
          <w:bCs/>
          <w:u w:val="single"/>
          <w:lang w:val="en-GB" w:eastAsia="en-GB"/>
        </w:rPr>
        <w:t>:</w:t>
      </w:r>
    </w:p>
    <w:p w14:paraId="3DC9ED26" w14:textId="6DEC009B" w:rsidR="00D51019" w:rsidRPr="000C3A57" w:rsidRDefault="00D51019" w:rsidP="00890E23">
      <w:pPr>
        <w:pStyle w:val="ListParagraph"/>
        <w:numPr>
          <w:ilvl w:val="1"/>
          <w:numId w:val="22"/>
        </w:numPr>
        <w:spacing w:after="160" w:line="252" w:lineRule="auto"/>
        <w:ind w:left="426" w:hanging="426"/>
        <w:rPr>
          <w:rFonts w:ascii="Arial" w:hAnsi="Arial" w:cs="Arial"/>
          <w:lang w:val="en-GB"/>
        </w:rPr>
      </w:pPr>
      <w:r w:rsidRPr="000C3A57">
        <w:rPr>
          <w:rFonts w:ascii="Arial" w:hAnsi="Arial" w:cs="Arial"/>
          <w:lang w:val="en-GB"/>
        </w:rPr>
        <w:t xml:space="preserve">Strategic scoping and </w:t>
      </w:r>
      <w:r w:rsidR="00890E23" w:rsidRPr="000C3A57">
        <w:rPr>
          <w:rFonts w:ascii="Arial" w:hAnsi="Arial" w:cs="Arial"/>
          <w:lang w:val="en-GB"/>
        </w:rPr>
        <w:t xml:space="preserve">literature review </w:t>
      </w:r>
      <w:r w:rsidRPr="000C3A57">
        <w:rPr>
          <w:rFonts w:ascii="Arial" w:hAnsi="Arial" w:cs="Arial"/>
          <w:lang w:val="en-GB"/>
        </w:rPr>
        <w:t>of existing research</w:t>
      </w:r>
      <w:r w:rsidR="00701C58">
        <w:rPr>
          <w:rFonts w:ascii="Arial" w:hAnsi="Arial" w:cs="Arial"/>
          <w:lang w:val="en-GB"/>
        </w:rPr>
        <w:t xml:space="preserve"> (including that commissioned by other government departments)</w:t>
      </w:r>
      <w:r w:rsidRPr="000C3A57">
        <w:rPr>
          <w:rFonts w:ascii="Arial" w:hAnsi="Arial" w:cs="Arial"/>
          <w:lang w:val="en-GB"/>
        </w:rPr>
        <w:t xml:space="preserve"> that highlights specific areas of UK strength and expertise in Green Finance</w:t>
      </w:r>
      <w:r w:rsidR="00890E23" w:rsidRPr="000C3A57">
        <w:rPr>
          <w:rFonts w:ascii="Arial" w:hAnsi="Arial" w:cs="Arial"/>
          <w:lang w:val="en-GB"/>
        </w:rPr>
        <w:t>, and how these match existing opportunities in Mexico</w:t>
      </w:r>
      <w:r w:rsidRPr="000C3A57">
        <w:rPr>
          <w:rFonts w:ascii="Arial" w:hAnsi="Arial" w:cs="Arial"/>
          <w:lang w:val="en-GB"/>
        </w:rPr>
        <w:t xml:space="preserve">. </w:t>
      </w:r>
    </w:p>
    <w:p w14:paraId="064E73AC" w14:textId="796D4176" w:rsidR="00701C58" w:rsidRDefault="00D51019" w:rsidP="00701C58">
      <w:pPr>
        <w:ind w:left="426" w:hanging="426"/>
        <w:jc w:val="both"/>
        <w:rPr>
          <w:rFonts w:ascii="Arial" w:hAnsi="Arial" w:cs="Arial"/>
          <w:lang w:val="en-GB"/>
        </w:rPr>
      </w:pPr>
      <w:r w:rsidRPr="000C3A57">
        <w:rPr>
          <w:rFonts w:ascii="Arial" w:hAnsi="Arial" w:cs="Arial"/>
          <w:lang w:val="en-GB"/>
        </w:rPr>
        <w:t xml:space="preserve">1.2 </w:t>
      </w:r>
      <w:r w:rsidR="00890E23" w:rsidRPr="000C3A57">
        <w:rPr>
          <w:rFonts w:ascii="Arial" w:hAnsi="Arial" w:cs="Arial"/>
          <w:lang w:val="en-GB"/>
        </w:rPr>
        <w:tab/>
      </w:r>
      <w:r w:rsidR="00046167" w:rsidRPr="000C3A57">
        <w:rPr>
          <w:rFonts w:ascii="Arial" w:hAnsi="Arial" w:cs="Arial"/>
          <w:lang w:val="en-GB"/>
        </w:rPr>
        <w:t>Mapping and i</w:t>
      </w:r>
      <w:r w:rsidRPr="000C3A57">
        <w:rPr>
          <w:rFonts w:ascii="Arial" w:hAnsi="Arial" w:cs="Arial"/>
          <w:lang w:val="en-GB"/>
        </w:rPr>
        <w:t>dentif</w:t>
      </w:r>
      <w:r w:rsidR="00046167" w:rsidRPr="000C3A57">
        <w:rPr>
          <w:rFonts w:ascii="Arial" w:hAnsi="Arial" w:cs="Arial"/>
          <w:lang w:val="en-GB"/>
        </w:rPr>
        <w:t>ication of</w:t>
      </w:r>
      <w:r w:rsidR="003979F1" w:rsidRPr="000C3A57">
        <w:rPr>
          <w:rFonts w:ascii="Arial" w:hAnsi="Arial" w:cs="Arial"/>
          <w:lang w:val="en-GB"/>
        </w:rPr>
        <w:t xml:space="preserve"> </w:t>
      </w:r>
      <w:r w:rsidRPr="000C3A57">
        <w:rPr>
          <w:rFonts w:ascii="Arial" w:hAnsi="Arial" w:cs="Arial"/>
          <w:lang w:val="en-GB"/>
        </w:rPr>
        <w:t>UK companies with capabilities in these areas of expertise</w:t>
      </w:r>
      <w:r w:rsidR="00890E23" w:rsidRPr="000C3A57">
        <w:rPr>
          <w:rFonts w:ascii="Arial" w:hAnsi="Arial" w:cs="Arial"/>
          <w:lang w:val="en-GB"/>
        </w:rPr>
        <w:t xml:space="preserve">, and their </w:t>
      </w:r>
      <w:r w:rsidR="0028141B">
        <w:rPr>
          <w:rFonts w:ascii="Arial" w:hAnsi="Arial" w:cs="Arial"/>
          <w:lang w:val="en-GB"/>
        </w:rPr>
        <w:t xml:space="preserve">existing </w:t>
      </w:r>
      <w:r w:rsidR="00890E23" w:rsidRPr="000C3A57">
        <w:rPr>
          <w:rFonts w:ascii="Arial" w:hAnsi="Arial" w:cs="Arial"/>
          <w:lang w:val="en-GB"/>
        </w:rPr>
        <w:t xml:space="preserve">links to the Mexican </w:t>
      </w:r>
      <w:r w:rsidR="00701C58">
        <w:rPr>
          <w:rFonts w:ascii="Arial" w:hAnsi="Arial" w:cs="Arial"/>
          <w:lang w:val="en-GB"/>
        </w:rPr>
        <w:t xml:space="preserve">and Latin American </w:t>
      </w:r>
      <w:r w:rsidR="00890E23" w:rsidRPr="000C3A57">
        <w:rPr>
          <w:rFonts w:ascii="Arial" w:hAnsi="Arial" w:cs="Arial"/>
          <w:lang w:val="en-GB"/>
        </w:rPr>
        <w:t>market</w:t>
      </w:r>
      <w:r w:rsidR="006A0A5B">
        <w:rPr>
          <w:rFonts w:ascii="Arial" w:hAnsi="Arial" w:cs="Arial"/>
          <w:lang w:val="en-GB"/>
        </w:rPr>
        <w:t>.</w:t>
      </w:r>
    </w:p>
    <w:p w14:paraId="069BA89E" w14:textId="0F9462A6" w:rsidR="00D51019" w:rsidRPr="006A0A5B" w:rsidRDefault="00701C58" w:rsidP="00701C58">
      <w:pPr>
        <w:ind w:left="426" w:hanging="426"/>
        <w:jc w:val="both"/>
        <w:rPr>
          <w:rFonts w:ascii="Arial" w:hAnsi="Arial" w:cs="Arial"/>
          <w:lang w:val="en-GB"/>
        </w:rPr>
      </w:pPr>
      <w:r>
        <w:rPr>
          <w:rFonts w:ascii="Arial" w:hAnsi="Arial" w:cs="Arial"/>
          <w:lang w:val="en-GB"/>
        </w:rPr>
        <w:t xml:space="preserve">1.3 </w:t>
      </w:r>
      <w:r>
        <w:rPr>
          <w:rFonts w:ascii="Arial" w:hAnsi="Arial" w:cs="Arial"/>
          <w:lang w:val="en-GB"/>
        </w:rPr>
        <w:tab/>
        <w:t>In line with HMG best practice, e</w:t>
      </w:r>
      <w:r w:rsidRPr="00B648BE">
        <w:rPr>
          <w:rFonts w:ascii="Arial" w:hAnsi="Arial" w:cs="Arial"/>
          <w:lang w:val="en-GB"/>
        </w:rPr>
        <w:t>nsure a gender and inclusion sensitive approach while executing the research phase</w:t>
      </w:r>
      <w:r>
        <w:rPr>
          <w:rFonts w:ascii="Arial" w:hAnsi="Arial" w:cs="Arial"/>
          <w:lang w:val="en-GB"/>
        </w:rPr>
        <w:t xml:space="preserve"> is carried out, ensuring that this approach is</w:t>
      </w:r>
      <w:r w:rsidRPr="00B648BE">
        <w:rPr>
          <w:rFonts w:ascii="Arial" w:hAnsi="Arial" w:cs="Arial"/>
          <w:lang w:val="en-GB"/>
        </w:rPr>
        <w:t xml:space="preserve"> integrated throughout the written report.</w:t>
      </w:r>
    </w:p>
    <w:p w14:paraId="40F8DE99" w14:textId="65709C2F" w:rsidR="003979F1" w:rsidRDefault="00D51019" w:rsidP="00701C58">
      <w:pPr>
        <w:jc w:val="both"/>
        <w:rPr>
          <w:rFonts w:ascii="Arial" w:hAnsi="Arial" w:cs="Arial"/>
          <w:lang w:val="en-GB"/>
        </w:rPr>
      </w:pPr>
      <w:r w:rsidRPr="00701C58">
        <w:rPr>
          <w:rFonts w:ascii="Arial" w:hAnsi="Arial" w:cs="Arial"/>
          <w:lang w:val="en-GB"/>
        </w:rPr>
        <w:t>1.</w:t>
      </w:r>
      <w:r w:rsidR="00701C58">
        <w:rPr>
          <w:rFonts w:ascii="Arial" w:hAnsi="Arial" w:cs="Arial"/>
          <w:lang w:val="en-GB"/>
        </w:rPr>
        <w:t>4</w:t>
      </w:r>
      <w:r w:rsidRPr="00701C58">
        <w:rPr>
          <w:rFonts w:ascii="Arial" w:hAnsi="Arial" w:cs="Arial"/>
          <w:lang w:val="en-GB"/>
        </w:rPr>
        <w:t xml:space="preserve"> </w:t>
      </w:r>
      <w:r w:rsidR="00890E23" w:rsidRPr="00701C58">
        <w:rPr>
          <w:rFonts w:ascii="Arial" w:hAnsi="Arial" w:cs="Arial"/>
          <w:lang w:val="en-GB"/>
        </w:rPr>
        <w:tab/>
      </w:r>
      <w:r w:rsidRPr="00701C58">
        <w:rPr>
          <w:rFonts w:ascii="Arial" w:hAnsi="Arial" w:cs="Arial"/>
          <w:lang w:val="en-GB"/>
        </w:rPr>
        <w:t xml:space="preserve">Produce </w:t>
      </w:r>
      <w:r w:rsidR="00046167" w:rsidRPr="00701C58">
        <w:rPr>
          <w:rFonts w:ascii="Arial" w:hAnsi="Arial" w:cs="Arial"/>
          <w:lang w:val="en-GB"/>
        </w:rPr>
        <w:t>a</w:t>
      </w:r>
      <w:r w:rsidR="00890E23" w:rsidRPr="00701C58">
        <w:rPr>
          <w:rFonts w:ascii="Arial" w:hAnsi="Arial" w:cs="Arial"/>
          <w:lang w:val="en-GB"/>
        </w:rPr>
        <w:t xml:space="preserve"> 20 to 30</w:t>
      </w:r>
      <w:r w:rsidR="009956D7" w:rsidRPr="00701C58">
        <w:rPr>
          <w:rFonts w:ascii="Arial" w:hAnsi="Arial" w:cs="Arial"/>
          <w:lang w:val="en-GB"/>
        </w:rPr>
        <w:t>-</w:t>
      </w:r>
      <w:r w:rsidR="00890E23" w:rsidRPr="00701C58">
        <w:rPr>
          <w:rFonts w:ascii="Arial" w:hAnsi="Arial" w:cs="Arial"/>
          <w:lang w:val="en-GB"/>
        </w:rPr>
        <w:t>page</w:t>
      </w:r>
      <w:r w:rsidR="00046167" w:rsidRPr="00701C58">
        <w:rPr>
          <w:rFonts w:ascii="Arial" w:hAnsi="Arial" w:cs="Arial"/>
          <w:lang w:val="en-GB"/>
        </w:rPr>
        <w:t xml:space="preserve"> </w:t>
      </w:r>
      <w:r w:rsidRPr="00701C58">
        <w:rPr>
          <w:rFonts w:ascii="Arial" w:hAnsi="Arial" w:cs="Arial"/>
          <w:lang w:val="en-GB"/>
        </w:rPr>
        <w:t xml:space="preserve">report </w:t>
      </w:r>
      <w:r w:rsidR="00046167" w:rsidRPr="00701C58">
        <w:rPr>
          <w:rFonts w:ascii="Arial" w:hAnsi="Arial" w:cs="Arial"/>
          <w:lang w:val="en-GB"/>
        </w:rPr>
        <w:t xml:space="preserve">in English and Spanish </w:t>
      </w:r>
      <w:r w:rsidRPr="00701C58">
        <w:rPr>
          <w:rFonts w:ascii="Arial" w:hAnsi="Arial" w:cs="Arial"/>
          <w:lang w:val="en-GB"/>
        </w:rPr>
        <w:t xml:space="preserve">that offers a comprehensive overview of key commercial opportunities </w:t>
      </w:r>
      <w:r w:rsidR="006A0A5B" w:rsidRPr="00701C58">
        <w:rPr>
          <w:rFonts w:ascii="Arial" w:hAnsi="Arial" w:cs="Arial"/>
          <w:lang w:val="en-GB"/>
        </w:rPr>
        <w:t xml:space="preserve">for </w:t>
      </w:r>
      <w:r w:rsidRPr="00701C58">
        <w:rPr>
          <w:rFonts w:ascii="Arial" w:hAnsi="Arial" w:cs="Arial"/>
          <w:lang w:val="en-GB"/>
        </w:rPr>
        <w:t>Green Finance</w:t>
      </w:r>
      <w:r w:rsidR="006A0A5B" w:rsidRPr="00701C58">
        <w:rPr>
          <w:rFonts w:ascii="Arial" w:hAnsi="Arial" w:cs="Arial"/>
          <w:lang w:val="en-GB"/>
        </w:rPr>
        <w:t xml:space="preserve"> in Mexico</w:t>
      </w:r>
      <w:r w:rsidR="009956D7" w:rsidRPr="00701C58">
        <w:rPr>
          <w:rFonts w:ascii="Arial" w:hAnsi="Arial" w:cs="Arial"/>
          <w:lang w:val="en-GB"/>
        </w:rPr>
        <w:t>. The report should</w:t>
      </w:r>
      <w:r w:rsidRPr="00701C58">
        <w:rPr>
          <w:rFonts w:ascii="Arial" w:hAnsi="Arial" w:cs="Arial"/>
          <w:lang w:val="en-GB"/>
        </w:rPr>
        <w:t xml:space="preserve">, </w:t>
      </w:r>
      <w:r w:rsidR="009956D7" w:rsidRPr="00701C58">
        <w:rPr>
          <w:rFonts w:ascii="Arial" w:hAnsi="Arial" w:cs="Arial"/>
          <w:lang w:val="en-GB"/>
        </w:rPr>
        <w:t>include</w:t>
      </w:r>
      <w:r w:rsidR="006A0A5B" w:rsidRPr="00701C58">
        <w:rPr>
          <w:rFonts w:ascii="Arial" w:hAnsi="Arial" w:cs="Arial"/>
          <w:lang w:val="en-GB"/>
        </w:rPr>
        <w:t xml:space="preserve"> a one</w:t>
      </w:r>
      <w:r w:rsidR="00701C58" w:rsidRPr="00701C58">
        <w:rPr>
          <w:rFonts w:ascii="Arial" w:hAnsi="Arial" w:cs="Arial"/>
          <w:lang w:val="en-GB"/>
        </w:rPr>
        <w:t>-</w:t>
      </w:r>
      <w:r w:rsidR="006A0A5B" w:rsidRPr="00701C58">
        <w:rPr>
          <w:rFonts w:ascii="Arial" w:hAnsi="Arial" w:cs="Arial"/>
          <w:lang w:val="en-GB"/>
        </w:rPr>
        <w:t xml:space="preserve"> page </w:t>
      </w:r>
      <w:r w:rsidRPr="00701C58">
        <w:rPr>
          <w:rFonts w:ascii="Arial" w:hAnsi="Arial" w:cs="Arial"/>
          <w:lang w:val="en-GB"/>
        </w:rPr>
        <w:t xml:space="preserve">profile </w:t>
      </w:r>
      <w:r w:rsidR="006A0A5B" w:rsidRPr="00701C58">
        <w:rPr>
          <w:rFonts w:ascii="Arial" w:hAnsi="Arial" w:cs="Arial"/>
          <w:lang w:val="en-GB"/>
        </w:rPr>
        <w:t xml:space="preserve">that includes key </w:t>
      </w:r>
      <w:r w:rsidRPr="00701C58">
        <w:rPr>
          <w:rFonts w:ascii="Arial" w:hAnsi="Arial" w:cs="Arial"/>
          <w:lang w:val="en-GB"/>
        </w:rPr>
        <w:t>contact information of UK companies specialised in these strands</w:t>
      </w:r>
      <w:r w:rsidR="009956D7" w:rsidRPr="00701C58">
        <w:rPr>
          <w:rFonts w:ascii="Arial" w:hAnsi="Arial" w:cs="Arial"/>
          <w:lang w:val="en-GB"/>
        </w:rPr>
        <w:t xml:space="preserve"> </w:t>
      </w:r>
      <w:r w:rsidRPr="00701C58">
        <w:rPr>
          <w:rFonts w:ascii="Arial" w:hAnsi="Arial" w:cs="Arial"/>
          <w:lang w:val="en-GB"/>
        </w:rPr>
        <w:t>—</w:t>
      </w:r>
      <w:r w:rsidR="009956D7" w:rsidRPr="00701C58">
        <w:rPr>
          <w:rFonts w:ascii="Arial" w:hAnsi="Arial" w:cs="Arial"/>
          <w:lang w:val="en-GB"/>
        </w:rPr>
        <w:t xml:space="preserve"> </w:t>
      </w:r>
      <w:r w:rsidRPr="00701C58">
        <w:rPr>
          <w:rFonts w:ascii="Arial" w:hAnsi="Arial" w:cs="Arial"/>
          <w:lang w:val="en-GB"/>
        </w:rPr>
        <w:t xml:space="preserve">highlighting those that are already doing business </w:t>
      </w:r>
      <w:r w:rsidR="00046167" w:rsidRPr="00701C58">
        <w:rPr>
          <w:rFonts w:ascii="Arial" w:hAnsi="Arial" w:cs="Arial"/>
          <w:lang w:val="en-GB"/>
        </w:rPr>
        <w:t>internationally</w:t>
      </w:r>
      <w:r w:rsidR="001808FF" w:rsidRPr="00701C58">
        <w:rPr>
          <w:rFonts w:ascii="Arial" w:hAnsi="Arial" w:cs="Arial"/>
          <w:lang w:val="en-GB"/>
        </w:rPr>
        <w:t xml:space="preserve"> or are planning to do so in the near future.</w:t>
      </w:r>
      <w:r w:rsidR="00701C58" w:rsidRPr="00701C58">
        <w:rPr>
          <w:rFonts w:ascii="Arial" w:hAnsi="Arial" w:cs="Arial"/>
          <w:lang w:val="en-GB"/>
        </w:rPr>
        <w:t xml:space="preserve"> </w:t>
      </w:r>
    </w:p>
    <w:p w14:paraId="4BD1AA1B" w14:textId="0496CD59" w:rsidR="00D51019" w:rsidRDefault="00D51019" w:rsidP="00890E23">
      <w:pPr>
        <w:ind w:left="426" w:hanging="426"/>
        <w:jc w:val="both"/>
        <w:rPr>
          <w:rFonts w:ascii="Arial" w:hAnsi="Arial" w:cs="Arial"/>
          <w:lang w:val="en-GB"/>
        </w:rPr>
      </w:pPr>
      <w:r w:rsidRPr="000C3A57">
        <w:rPr>
          <w:rFonts w:ascii="Arial" w:hAnsi="Arial" w:cs="Arial"/>
          <w:lang w:val="en-GB"/>
        </w:rPr>
        <w:t>1.</w:t>
      </w:r>
      <w:r w:rsidR="00B648BE">
        <w:rPr>
          <w:rFonts w:ascii="Arial" w:hAnsi="Arial" w:cs="Arial"/>
          <w:lang w:val="en-GB"/>
        </w:rPr>
        <w:t>5</w:t>
      </w:r>
      <w:r w:rsidRPr="000C3A57">
        <w:rPr>
          <w:rFonts w:ascii="Arial" w:hAnsi="Arial" w:cs="Arial"/>
          <w:lang w:val="en-GB"/>
        </w:rPr>
        <w:t xml:space="preserve"> </w:t>
      </w:r>
      <w:r w:rsidR="00890E23" w:rsidRPr="000C3A57">
        <w:rPr>
          <w:rFonts w:ascii="Arial" w:hAnsi="Arial" w:cs="Arial"/>
          <w:lang w:val="en-GB"/>
        </w:rPr>
        <w:tab/>
      </w:r>
      <w:r w:rsidRPr="000C3A57">
        <w:rPr>
          <w:rFonts w:ascii="Arial" w:hAnsi="Arial" w:cs="Arial"/>
          <w:lang w:val="en-GB"/>
        </w:rPr>
        <w:t>Develop a</w:t>
      </w:r>
      <w:r w:rsidR="0028141B">
        <w:rPr>
          <w:rFonts w:ascii="Arial" w:hAnsi="Arial" w:cs="Arial"/>
          <w:lang w:val="en-GB"/>
        </w:rPr>
        <w:t xml:space="preserve"> well-designed, clear and concise</w:t>
      </w:r>
      <w:r w:rsidRPr="000C3A57">
        <w:rPr>
          <w:rFonts w:ascii="Arial" w:hAnsi="Arial" w:cs="Arial"/>
          <w:lang w:val="en-GB"/>
        </w:rPr>
        <w:t xml:space="preserve"> one-</w:t>
      </w:r>
      <w:r w:rsidR="0028141B" w:rsidRPr="000C3A57">
        <w:rPr>
          <w:rFonts w:ascii="Arial" w:hAnsi="Arial" w:cs="Arial"/>
          <w:lang w:val="en-GB"/>
        </w:rPr>
        <w:t xml:space="preserve">page </w:t>
      </w:r>
      <w:r w:rsidR="0028141B" w:rsidRPr="0028141B">
        <w:rPr>
          <w:rFonts w:ascii="Arial" w:hAnsi="Arial" w:cs="Arial"/>
          <w:u w:val="single"/>
          <w:lang w:val="en-GB"/>
        </w:rPr>
        <w:t>infographic</w:t>
      </w:r>
      <w:r w:rsidR="0028141B" w:rsidRPr="00701C58">
        <w:rPr>
          <w:rFonts w:ascii="Arial" w:hAnsi="Arial" w:cs="Arial"/>
          <w:lang w:val="en-GB"/>
        </w:rPr>
        <w:t xml:space="preserve"> </w:t>
      </w:r>
      <w:r w:rsidR="0028141B">
        <w:rPr>
          <w:rFonts w:ascii="Arial" w:hAnsi="Arial" w:cs="Arial"/>
          <w:lang w:val="en-GB"/>
        </w:rPr>
        <w:t>summarising the main findings of the report</w:t>
      </w:r>
      <w:r w:rsidR="009428CE" w:rsidRPr="000C3A57">
        <w:rPr>
          <w:rFonts w:ascii="Arial" w:hAnsi="Arial" w:cs="Arial"/>
          <w:lang w:val="en-GB"/>
        </w:rPr>
        <w:t xml:space="preserve">, </w:t>
      </w:r>
      <w:r w:rsidR="0028141B">
        <w:rPr>
          <w:rFonts w:ascii="Arial" w:hAnsi="Arial" w:cs="Arial"/>
          <w:lang w:val="en-GB"/>
        </w:rPr>
        <w:t xml:space="preserve">and </w:t>
      </w:r>
      <w:r w:rsidR="009428CE" w:rsidRPr="000C3A57">
        <w:rPr>
          <w:rFonts w:ascii="Arial" w:hAnsi="Arial" w:cs="Arial"/>
          <w:lang w:val="en-GB"/>
        </w:rPr>
        <w:t>incorporating relevant HMG branding, using the branding guidelines provided by the Authority</w:t>
      </w:r>
      <w:r w:rsidRPr="000C3A57">
        <w:rPr>
          <w:rFonts w:ascii="Arial" w:hAnsi="Arial" w:cs="Arial"/>
          <w:lang w:val="en-GB"/>
        </w:rPr>
        <w:t xml:space="preserve"> (in English and Spanish).</w:t>
      </w:r>
    </w:p>
    <w:p w14:paraId="0E329A52" w14:textId="18974788" w:rsidR="00B648BE" w:rsidRDefault="00B648BE" w:rsidP="00B648BE">
      <w:pPr>
        <w:pStyle w:val="Default"/>
        <w:numPr>
          <w:ilvl w:val="1"/>
          <w:numId w:val="36"/>
        </w:numPr>
        <w:spacing w:after="120" w:line="276" w:lineRule="auto"/>
        <w:jc w:val="both"/>
        <w:rPr>
          <w:rFonts w:ascii="Arial" w:eastAsia="Times New Roman" w:hAnsi="Arial" w:cs="Arial"/>
          <w:color w:val="auto"/>
          <w:sz w:val="22"/>
          <w:szCs w:val="22"/>
          <w:lang w:val="en-GB" w:eastAsia="es-CO"/>
        </w:rPr>
      </w:pPr>
      <w:r>
        <w:rPr>
          <w:rFonts w:ascii="Arial" w:eastAsia="Times New Roman" w:hAnsi="Arial" w:cs="Arial"/>
          <w:color w:val="auto"/>
          <w:sz w:val="22"/>
          <w:szCs w:val="22"/>
          <w:lang w:val="en-GB" w:eastAsia="es-CO"/>
        </w:rPr>
        <w:t xml:space="preserve"> Quality control of the report </w:t>
      </w:r>
      <w:r w:rsidR="00242019">
        <w:rPr>
          <w:rFonts w:ascii="Arial" w:eastAsia="Times New Roman" w:hAnsi="Arial" w:cs="Arial"/>
          <w:color w:val="auto"/>
          <w:sz w:val="22"/>
          <w:szCs w:val="22"/>
          <w:lang w:val="en-GB" w:eastAsia="es-CO"/>
        </w:rPr>
        <w:t xml:space="preserve">and its infographic </w:t>
      </w:r>
      <w:r>
        <w:rPr>
          <w:rFonts w:ascii="Arial" w:eastAsia="Times New Roman" w:hAnsi="Arial" w:cs="Arial"/>
          <w:color w:val="auto"/>
          <w:sz w:val="22"/>
          <w:szCs w:val="22"/>
          <w:lang w:val="en-GB" w:eastAsia="es-CO"/>
        </w:rPr>
        <w:t>to include spelling, grammar, formatting, colour, image   resolution, graphics, readability, and any other necessary changes, in consultation with the Authority.</w:t>
      </w:r>
    </w:p>
    <w:p w14:paraId="0742DBCB" w14:textId="531BD98E" w:rsidR="00242019" w:rsidRDefault="00242019" w:rsidP="00B648BE">
      <w:pPr>
        <w:pStyle w:val="Default"/>
        <w:numPr>
          <w:ilvl w:val="1"/>
          <w:numId w:val="36"/>
        </w:numPr>
        <w:spacing w:after="120" w:line="276" w:lineRule="auto"/>
        <w:jc w:val="both"/>
        <w:rPr>
          <w:rFonts w:ascii="Arial" w:eastAsia="Times New Roman" w:hAnsi="Arial" w:cs="Arial"/>
          <w:color w:val="auto"/>
          <w:sz w:val="22"/>
          <w:szCs w:val="22"/>
          <w:lang w:val="en-GB" w:eastAsia="es-CO"/>
        </w:rPr>
      </w:pPr>
      <w:r>
        <w:rPr>
          <w:rFonts w:ascii="Arial" w:eastAsia="Times New Roman" w:hAnsi="Arial" w:cs="Arial"/>
          <w:color w:val="auto"/>
          <w:sz w:val="22"/>
          <w:szCs w:val="22"/>
          <w:lang w:val="en-GB" w:eastAsia="es-CO"/>
        </w:rPr>
        <w:t xml:space="preserve"> Organise and implement an internal presentation of results to Embassy staff</w:t>
      </w:r>
      <w:r w:rsidR="006A0A5B">
        <w:rPr>
          <w:rFonts w:ascii="Arial" w:eastAsia="Times New Roman" w:hAnsi="Arial" w:cs="Arial"/>
          <w:color w:val="auto"/>
          <w:sz w:val="22"/>
          <w:szCs w:val="22"/>
          <w:lang w:val="en-GB" w:eastAsia="es-CO"/>
        </w:rPr>
        <w:t xml:space="preserve"> and relevant stakeholders</w:t>
      </w:r>
      <w:r>
        <w:rPr>
          <w:rFonts w:ascii="Arial" w:eastAsia="Times New Roman" w:hAnsi="Arial" w:cs="Arial"/>
          <w:color w:val="auto"/>
          <w:sz w:val="22"/>
          <w:szCs w:val="22"/>
          <w:lang w:val="en-GB" w:eastAsia="es-CO"/>
        </w:rPr>
        <w:t>.</w:t>
      </w:r>
    </w:p>
    <w:p w14:paraId="2B2234C1" w14:textId="1A584C53" w:rsidR="000C3A57" w:rsidRDefault="000C3A57" w:rsidP="002C3AF0">
      <w:pPr>
        <w:jc w:val="both"/>
        <w:rPr>
          <w:rFonts w:ascii="Arial" w:hAnsi="Arial" w:cs="Arial"/>
          <w:lang w:val="en-GB"/>
        </w:rPr>
      </w:pPr>
    </w:p>
    <w:p w14:paraId="4874BD4E" w14:textId="34F7E00B" w:rsidR="0033342B" w:rsidRDefault="0033342B" w:rsidP="002C3AF0">
      <w:pPr>
        <w:jc w:val="both"/>
        <w:rPr>
          <w:rFonts w:ascii="Arial" w:hAnsi="Arial" w:cs="Arial"/>
          <w:lang w:val="en-GB"/>
        </w:rPr>
      </w:pPr>
    </w:p>
    <w:p w14:paraId="245AE1B6" w14:textId="1BF41B3D" w:rsidR="0033342B" w:rsidRDefault="0033342B" w:rsidP="002C3AF0">
      <w:pPr>
        <w:jc w:val="both"/>
        <w:rPr>
          <w:rFonts w:ascii="Arial" w:hAnsi="Arial" w:cs="Arial"/>
          <w:lang w:val="en-GB"/>
        </w:rPr>
      </w:pPr>
    </w:p>
    <w:p w14:paraId="7EC5AD73" w14:textId="07152EC4" w:rsidR="0033342B" w:rsidRDefault="0033342B" w:rsidP="002C3AF0">
      <w:pPr>
        <w:jc w:val="both"/>
        <w:rPr>
          <w:rFonts w:ascii="Arial" w:hAnsi="Arial" w:cs="Arial"/>
          <w:lang w:val="en-GB"/>
        </w:rPr>
      </w:pPr>
    </w:p>
    <w:p w14:paraId="52AFD198" w14:textId="77777777" w:rsidR="0033342B" w:rsidRPr="000C3A57" w:rsidRDefault="0033342B" w:rsidP="002C3AF0">
      <w:pPr>
        <w:jc w:val="both"/>
        <w:rPr>
          <w:rFonts w:ascii="Arial" w:hAnsi="Arial" w:cs="Arial"/>
          <w:lang w:val="en-GB"/>
        </w:rPr>
      </w:pPr>
    </w:p>
    <w:p w14:paraId="7B7A5FDE" w14:textId="0B2EB410" w:rsidR="001D6888" w:rsidRPr="001808FF" w:rsidRDefault="00B91877" w:rsidP="001808FF">
      <w:pPr>
        <w:pStyle w:val="Heading2"/>
        <w:rPr>
          <w:rFonts w:ascii="Arial" w:hAnsi="Arial" w:cs="Arial"/>
          <w:sz w:val="24"/>
          <w:lang w:val="en-GB"/>
        </w:rPr>
      </w:pPr>
      <w:bookmarkStart w:id="8" w:name="_Toc527384903"/>
      <w:r w:rsidRPr="001808FF">
        <w:rPr>
          <w:rFonts w:ascii="Arial" w:hAnsi="Arial" w:cs="Arial"/>
          <w:sz w:val="24"/>
          <w:lang w:val="en-GB"/>
        </w:rPr>
        <w:t>KEY DATES</w:t>
      </w:r>
      <w:bookmarkEnd w:id="8"/>
      <w:r w:rsidR="00915098" w:rsidRPr="001808FF">
        <w:rPr>
          <w:rFonts w:ascii="Arial" w:hAnsi="Arial" w:cs="Arial"/>
          <w:sz w:val="24"/>
          <w:lang w:val="en-GB"/>
        </w:rPr>
        <w:t xml:space="preserve"> </w:t>
      </w:r>
    </w:p>
    <w:p w14:paraId="20BCC9CD" w14:textId="77777777" w:rsidR="008801E7" w:rsidRPr="00B50077" w:rsidRDefault="008801E7" w:rsidP="00B172D0">
      <w:pPr>
        <w:spacing w:after="0"/>
        <w:jc w:val="both"/>
        <w:rPr>
          <w:rFonts w:ascii="Arial" w:eastAsia="Times New Roman" w:hAnsi="Arial" w:cs="Arial"/>
          <w:u w:val="single"/>
          <w:lang w:val="en-GB"/>
        </w:rPr>
      </w:pPr>
    </w:p>
    <w:tbl>
      <w:tblPr>
        <w:tblStyle w:val="TableGrid"/>
        <w:tblW w:w="0" w:type="auto"/>
        <w:tblLook w:val="04A0" w:firstRow="1" w:lastRow="0" w:firstColumn="1" w:lastColumn="0" w:noHBand="0" w:noVBand="1"/>
      </w:tblPr>
      <w:tblGrid>
        <w:gridCol w:w="2892"/>
        <w:gridCol w:w="3062"/>
        <w:gridCol w:w="3062"/>
      </w:tblGrid>
      <w:tr w:rsidR="008F287B" w:rsidRPr="00B50077" w14:paraId="56BE5D8B" w14:textId="77777777" w:rsidTr="005D03E2">
        <w:trPr>
          <w:trHeight w:val="990"/>
        </w:trPr>
        <w:tc>
          <w:tcPr>
            <w:tcW w:w="2892" w:type="dxa"/>
            <w:vMerge w:val="restart"/>
          </w:tcPr>
          <w:p w14:paraId="243708E5" w14:textId="28BE0EB3" w:rsidR="00D51019" w:rsidRPr="00D51019" w:rsidRDefault="008F287B" w:rsidP="00701C58">
            <w:pPr>
              <w:pStyle w:val="ListParagraph"/>
              <w:numPr>
                <w:ilvl w:val="0"/>
                <w:numId w:val="40"/>
              </w:numPr>
              <w:ind w:left="310"/>
              <w:rPr>
                <w:rFonts w:ascii="Arial" w:hAnsi="Arial" w:cs="Arial"/>
                <w:lang w:val="en-GB"/>
              </w:rPr>
            </w:pPr>
            <w:r w:rsidRPr="00D51019">
              <w:rPr>
                <w:rFonts w:ascii="Arial" w:hAnsi="Arial" w:cs="Arial"/>
                <w:u w:val="single"/>
                <w:lang w:val="en-GB"/>
              </w:rPr>
              <w:t xml:space="preserve">Output 1: </w:t>
            </w:r>
            <w:r w:rsidR="00D51019" w:rsidRPr="00D51019">
              <w:rPr>
                <w:rFonts w:ascii="Arial" w:hAnsi="Arial" w:cs="Arial"/>
                <w:lang w:val="en-GB"/>
              </w:rPr>
              <w:t xml:space="preserve">One scoping report outlining the leading areas of Green Finance in Mexico that represent commercial opportunities for </w:t>
            </w:r>
            <w:r w:rsidR="00890E23">
              <w:rPr>
                <w:rFonts w:ascii="Arial" w:hAnsi="Arial" w:cs="Arial"/>
                <w:lang w:val="en-GB"/>
              </w:rPr>
              <w:t>UK</w:t>
            </w:r>
            <w:r w:rsidR="00890E23" w:rsidRPr="00D51019">
              <w:rPr>
                <w:rFonts w:ascii="Arial" w:hAnsi="Arial" w:cs="Arial"/>
                <w:lang w:val="en-GB"/>
              </w:rPr>
              <w:t xml:space="preserve"> </w:t>
            </w:r>
            <w:r w:rsidR="00D51019" w:rsidRPr="00D51019">
              <w:rPr>
                <w:rFonts w:ascii="Arial" w:hAnsi="Arial" w:cs="Arial"/>
                <w:lang w:val="en-GB"/>
              </w:rPr>
              <w:t xml:space="preserve">companies, including a preliminary list profiling </w:t>
            </w:r>
            <w:r w:rsidR="00890E23">
              <w:rPr>
                <w:rFonts w:ascii="Arial" w:hAnsi="Arial" w:cs="Arial"/>
                <w:lang w:val="en-GB"/>
              </w:rPr>
              <w:t>those</w:t>
            </w:r>
            <w:r w:rsidR="00890E23" w:rsidRPr="00D51019">
              <w:rPr>
                <w:rFonts w:ascii="Arial" w:hAnsi="Arial" w:cs="Arial"/>
                <w:lang w:val="en-GB"/>
              </w:rPr>
              <w:t xml:space="preserve"> </w:t>
            </w:r>
            <w:r w:rsidR="00D51019" w:rsidRPr="00D51019">
              <w:rPr>
                <w:rFonts w:ascii="Arial" w:hAnsi="Arial" w:cs="Arial"/>
                <w:lang w:val="en-GB"/>
              </w:rPr>
              <w:t>companies that are actively participating in the sector internationally</w:t>
            </w:r>
            <w:r w:rsidR="001B4751">
              <w:rPr>
                <w:rFonts w:ascii="Arial" w:hAnsi="Arial" w:cs="Arial"/>
                <w:lang w:val="en-GB"/>
              </w:rPr>
              <w:t>.</w:t>
            </w:r>
          </w:p>
          <w:p w14:paraId="7A690A10" w14:textId="1830D3B8" w:rsidR="008F287B" w:rsidRPr="006D35D5" w:rsidRDefault="008F287B" w:rsidP="006D35D5">
            <w:pPr>
              <w:rPr>
                <w:rFonts w:ascii="Arial" w:hAnsi="Arial" w:cs="Arial"/>
                <w:lang w:val="en-GB"/>
              </w:rPr>
            </w:pPr>
          </w:p>
        </w:tc>
        <w:tc>
          <w:tcPr>
            <w:tcW w:w="3062" w:type="dxa"/>
          </w:tcPr>
          <w:p w14:paraId="28DF34D4" w14:textId="4CEB43A0" w:rsidR="008F287B" w:rsidRPr="006D35D5" w:rsidRDefault="005C53FA" w:rsidP="00E9477C">
            <w:pPr>
              <w:rPr>
                <w:rFonts w:ascii="Arial" w:hAnsi="Arial" w:cs="Arial"/>
                <w:lang w:val="en-GB"/>
              </w:rPr>
            </w:pPr>
            <w:r w:rsidRPr="006D35D5">
              <w:rPr>
                <w:rFonts w:ascii="Arial" w:hAnsi="Arial" w:cs="Arial"/>
                <w:lang w:val="en-GB"/>
              </w:rPr>
              <w:t>Kick-off session wi</w:t>
            </w:r>
            <w:r w:rsidR="009428CE">
              <w:rPr>
                <w:rFonts w:ascii="Arial" w:hAnsi="Arial" w:cs="Arial"/>
                <w:lang w:val="en-GB"/>
              </w:rPr>
              <w:t>th the Authority</w:t>
            </w:r>
            <w:r w:rsidR="00E9477C">
              <w:rPr>
                <w:rFonts w:ascii="Arial" w:hAnsi="Arial" w:cs="Arial"/>
                <w:lang w:val="en-GB"/>
              </w:rPr>
              <w:t>.</w:t>
            </w:r>
          </w:p>
        </w:tc>
        <w:tc>
          <w:tcPr>
            <w:tcW w:w="3062" w:type="dxa"/>
          </w:tcPr>
          <w:p w14:paraId="2AB40206" w14:textId="64FAA040" w:rsidR="008F287B" w:rsidRPr="006D35D5" w:rsidRDefault="000F5C85" w:rsidP="00B648BE">
            <w:pPr>
              <w:rPr>
                <w:rFonts w:ascii="Arial" w:hAnsi="Arial" w:cs="Arial"/>
                <w:b/>
                <w:lang w:val="en-GB"/>
              </w:rPr>
            </w:pPr>
            <w:r>
              <w:rPr>
                <w:rFonts w:ascii="Arial" w:hAnsi="Arial" w:cs="Arial"/>
                <w:b/>
                <w:lang w:val="en-GB"/>
              </w:rPr>
              <w:t xml:space="preserve">w/c </w:t>
            </w:r>
            <w:r w:rsidR="00027BD2">
              <w:rPr>
                <w:rFonts w:ascii="Arial" w:hAnsi="Arial" w:cs="Arial"/>
                <w:b/>
                <w:lang w:val="en-GB"/>
              </w:rPr>
              <w:t>1</w:t>
            </w:r>
            <w:r w:rsidR="0028141B">
              <w:rPr>
                <w:rFonts w:ascii="Arial" w:hAnsi="Arial" w:cs="Arial"/>
                <w:b/>
                <w:lang w:val="en-GB"/>
              </w:rPr>
              <w:t>9</w:t>
            </w:r>
            <w:r w:rsidR="00B648BE" w:rsidRPr="00B648BE">
              <w:rPr>
                <w:rFonts w:ascii="Arial" w:hAnsi="Arial" w:cs="Arial"/>
                <w:b/>
                <w:vertAlign w:val="superscript"/>
                <w:lang w:val="en-GB"/>
              </w:rPr>
              <w:t>th</w:t>
            </w:r>
            <w:r w:rsidR="00B648BE">
              <w:rPr>
                <w:rFonts w:ascii="Arial" w:hAnsi="Arial" w:cs="Arial"/>
                <w:b/>
                <w:lang w:val="en-GB"/>
              </w:rPr>
              <w:t xml:space="preserve"> November</w:t>
            </w:r>
            <w:r>
              <w:rPr>
                <w:rFonts w:ascii="Arial" w:hAnsi="Arial" w:cs="Arial"/>
                <w:b/>
                <w:lang w:val="en-GB"/>
              </w:rPr>
              <w:t xml:space="preserve"> 2018</w:t>
            </w:r>
          </w:p>
        </w:tc>
      </w:tr>
      <w:tr w:rsidR="008F287B" w:rsidRPr="00B50077" w14:paraId="0B8045BF" w14:textId="77777777" w:rsidTr="005D03E2">
        <w:trPr>
          <w:trHeight w:val="1401"/>
        </w:trPr>
        <w:tc>
          <w:tcPr>
            <w:tcW w:w="2892" w:type="dxa"/>
            <w:vMerge/>
          </w:tcPr>
          <w:p w14:paraId="7A5B6523" w14:textId="77777777" w:rsidR="008F287B" w:rsidRPr="006D35D5" w:rsidRDefault="008F287B" w:rsidP="006D35D5">
            <w:pPr>
              <w:rPr>
                <w:rFonts w:ascii="Arial" w:hAnsi="Arial" w:cs="Arial"/>
                <w:b/>
                <w:u w:val="single"/>
                <w:lang w:val="en-GB"/>
              </w:rPr>
            </w:pPr>
          </w:p>
        </w:tc>
        <w:tc>
          <w:tcPr>
            <w:tcW w:w="3062" w:type="dxa"/>
          </w:tcPr>
          <w:p w14:paraId="75D02B9A" w14:textId="2EFE39CC" w:rsidR="008F287B" w:rsidRPr="006D35D5" w:rsidRDefault="005C53FA" w:rsidP="009428CE">
            <w:pPr>
              <w:rPr>
                <w:rFonts w:ascii="Arial" w:hAnsi="Arial" w:cs="Arial"/>
                <w:b/>
                <w:lang w:val="en-GB"/>
              </w:rPr>
            </w:pPr>
            <w:r w:rsidRPr="006D35D5">
              <w:rPr>
                <w:rFonts w:ascii="Arial" w:hAnsi="Arial" w:cs="Arial"/>
                <w:lang w:val="en-GB"/>
              </w:rPr>
              <w:t xml:space="preserve">Final </w:t>
            </w:r>
            <w:r w:rsidR="009428CE">
              <w:rPr>
                <w:rFonts w:ascii="Arial" w:hAnsi="Arial" w:cs="Arial"/>
                <w:lang w:val="en-GB"/>
              </w:rPr>
              <w:t>d</w:t>
            </w:r>
            <w:r w:rsidR="009428CE" w:rsidRPr="006D35D5">
              <w:rPr>
                <w:rFonts w:ascii="Arial" w:hAnsi="Arial" w:cs="Arial"/>
                <w:lang w:val="en-GB"/>
              </w:rPr>
              <w:t xml:space="preserve">raft </w:t>
            </w:r>
            <w:r w:rsidR="009428CE">
              <w:rPr>
                <w:rFonts w:ascii="Arial" w:hAnsi="Arial" w:cs="Arial"/>
                <w:lang w:val="en-GB"/>
              </w:rPr>
              <w:t>deliverables</w:t>
            </w:r>
            <w:r w:rsidR="009428CE" w:rsidRPr="006D35D5">
              <w:rPr>
                <w:rFonts w:ascii="Arial" w:hAnsi="Arial" w:cs="Arial"/>
                <w:lang w:val="en-GB"/>
              </w:rPr>
              <w:t xml:space="preserve"> </w:t>
            </w:r>
            <w:r w:rsidRPr="006D35D5">
              <w:rPr>
                <w:rFonts w:ascii="Arial" w:hAnsi="Arial" w:cs="Arial"/>
                <w:lang w:val="en-GB"/>
              </w:rPr>
              <w:t xml:space="preserve">to be delivered to </w:t>
            </w:r>
            <w:r w:rsidR="009428CE">
              <w:rPr>
                <w:rFonts w:ascii="Arial" w:hAnsi="Arial" w:cs="Arial"/>
                <w:lang w:val="en-GB"/>
              </w:rPr>
              <w:t xml:space="preserve">the Authority </w:t>
            </w:r>
            <w:r w:rsidRPr="006D35D5">
              <w:rPr>
                <w:rFonts w:ascii="Arial" w:hAnsi="Arial" w:cs="Arial"/>
                <w:lang w:val="en-GB"/>
              </w:rPr>
              <w:t xml:space="preserve"> </w:t>
            </w:r>
          </w:p>
        </w:tc>
        <w:tc>
          <w:tcPr>
            <w:tcW w:w="3062" w:type="dxa"/>
          </w:tcPr>
          <w:p w14:paraId="1F43EA4D" w14:textId="023B80B1" w:rsidR="008F287B" w:rsidRPr="006D35D5" w:rsidRDefault="005C53FA" w:rsidP="000F5C85">
            <w:pPr>
              <w:rPr>
                <w:rFonts w:ascii="Arial" w:hAnsi="Arial" w:cs="Arial"/>
                <w:b/>
                <w:lang w:val="en-GB"/>
              </w:rPr>
            </w:pPr>
            <w:r w:rsidRPr="006D35D5">
              <w:rPr>
                <w:rFonts w:ascii="Arial" w:hAnsi="Arial" w:cs="Arial"/>
                <w:b/>
                <w:lang w:val="en-GB"/>
              </w:rPr>
              <w:t xml:space="preserve">w/c </w:t>
            </w:r>
            <w:r w:rsidR="0028141B">
              <w:rPr>
                <w:rFonts w:ascii="Arial" w:hAnsi="Arial" w:cs="Arial"/>
                <w:b/>
                <w:lang w:val="en-GB"/>
              </w:rPr>
              <w:t>25</w:t>
            </w:r>
            <w:r w:rsidR="005D03E2" w:rsidRPr="006D35D5">
              <w:rPr>
                <w:rFonts w:ascii="Arial" w:hAnsi="Arial" w:cs="Arial"/>
                <w:b/>
                <w:vertAlign w:val="superscript"/>
                <w:lang w:val="en-GB"/>
              </w:rPr>
              <w:t>th</w:t>
            </w:r>
            <w:r w:rsidR="005D03E2" w:rsidRPr="006D35D5">
              <w:rPr>
                <w:rFonts w:ascii="Arial" w:hAnsi="Arial" w:cs="Arial"/>
                <w:b/>
                <w:lang w:val="en-GB"/>
              </w:rPr>
              <w:t xml:space="preserve"> </w:t>
            </w:r>
            <w:r w:rsidR="000F5C85">
              <w:rPr>
                <w:rFonts w:ascii="Arial" w:hAnsi="Arial" w:cs="Arial"/>
                <w:b/>
                <w:lang w:val="en-GB"/>
              </w:rPr>
              <w:t>February 2019</w:t>
            </w:r>
            <w:r w:rsidR="005D03E2" w:rsidRPr="006D35D5">
              <w:rPr>
                <w:rFonts w:ascii="Arial" w:hAnsi="Arial" w:cs="Arial"/>
                <w:b/>
                <w:lang w:val="en-GB"/>
              </w:rPr>
              <w:t>*</w:t>
            </w:r>
          </w:p>
        </w:tc>
      </w:tr>
      <w:tr w:rsidR="008F287B" w:rsidRPr="00B50077" w14:paraId="0613A1E2" w14:textId="77777777" w:rsidTr="00461C2F">
        <w:trPr>
          <w:trHeight w:val="679"/>
        </w:trPr>
        <w:tc>
          <w:tcPr>
            <w:tcW w:w="2892" w:type="dxa"/>
            <w:vMerge/>
          </w:tcPr>
          <w:p w14:paraId="53006596" w14:textId="77777777" w:rsidR="008F287B" w:rsidRPr="006D35D5" w:rsidRDefault="008F287B" w:rsidP="006D35D5">
            <w:pPr>
              <w:rPr>
                <w:rFonts w:ascii="Arial" w:hAnsi="Arial" w:cs="Arial"/>
                <w:b/>
                <w:u w:val="single"/>
                <w:lang w:val="en-GB"/>
              </w:rPr>
            </w:pPr>
          </w:p>
        </w:tc>
        <w:tc>
          <w:tcPr>
            <w:tcW w:w="3062" w:type="dxa"/>
          </w:tcPr>
          <w:p w14:paraId="23BFF60D" w14:textId="600C2BF0" w:rsidR="008F287B" w:rsidRPr="006D35D5" w:rsidRDefault="004A2315" w:rsidP="00E9477C">
            <w:pPr>
              <w:rPr>
                <w:rFonts w:ascii="Arial" w:hAnsi="Arial" w:cs="Arial"/>
                <w:lang w:val="en-GB"/>
              </w:rPr>
            </w:pPr>
            <w:r>
              <w:rPr>
                <w:rFonts w:ascii="Arial" w:hAnsi="Arial" w:cs="Arial"/>
                <w:lang w:val="en-GB"/>
              </w:rPr>
              <w:t>Delivery of Final Report and p</w:t>
            </w:r>
            <w:r w:rsidR="008F287B" w:rsidRPr="006D35D5">
              <w:rPr>
                <w:rFonts w:ascii="Arial" w:hAnsi="Arial" w:cs="Arial"/>
                <w:lang w:val="en-GB"/>
              </w:rPr>
              <w:t xml:space="preserve">resentation of results to </w:t>
            </w:r>
            <w:r w:rsidR="009428CE">
              <w:rPr>
                <w:rFonts w:ascii="Arial" w:hAnsi="Arial" w:cs="Arial"/>
                <w:lang w:val="en-GB"/>
              </w:rPr>
              <w:t>the Authority</w:t>
            </w:r>
            <w:r w:rsidR="00E9477C">
              <w:rPr>
                <w:rFonts w:ascii="Arial" w:hAnsi="Arial" w:cs="Arial"/>
                <w:lang w:val="en-GB"/>
              </w:rPr>
              <w:t>.</w:t>
            </w:r>
          </w:p>
        </w:tc>
        <w:tc>
          <w:tcPr>
            <w:tcW w:w="3062" w:type="dxa"/>
          </w:tcPr>
          <w:p w14:paraId="3AB62B1A" w14:textId="115523CB" w:rsidR="008F287B" w:rsidRPr="006D35D5" w:rsidRDefault="000F5C85" w:rsidP="006D35D5">
            <w:pPr>
              <w:rPr>
                <w:rFonts w:ascii="Arial" w:hAnsi="Arial" w:cs="Arial"/>
                <w:b/>
                <w:lang w:val="en-GB"/>
              </w:rPr>
            </w:pPr>
            <w:r>
              <w:rPr>
                <w:rFonts w:ascii="Arial" w:hAnsi="Arial" w:cs="Arial"/>
                <w:b/>
                <w:lang w:val="en-GB"/>
              </w:rPr>
              <w:t>February, 2019</w:t>
            </w:r>
            <w:r w:rsidR="005D03E2" w:rsidRPr="006D35D5">
              <w:rPr>
                <w:rFonts w:ascii="Arial" w:hAnsi="Arial" w:cs="Arial"/>
                <w:b/>
                <w:lang w:val="en-GB"/>
              </w:rPr>
              <w:t>*</w:t>
            </w:r>
            <w:r w:rsidR="005C53FA" w:rsidRPr="006D35D5">
              <w:rPr>
                <w:rFonts w:ascii="Arial" w:hAnsi="Arial" w:cs="Arial"/>
                <w:b/>
                <w:lang w:val="en-GB"/>
              </w:rPr>
              <w:t xml:space="preserve"> </w:t>
            </w:r>
          </w:p>
          <w:p w14:paraId="514603FB" w14:textId="56D9B837" w:rsidR="005C53FA" w:rsidRPr="006D35D5" w:rsidRDefault="005C53FA" w:rsidP="006D35D5">
            <w:pPr>
              <w:rPr>
                <w:rFonts w:ascii="Arial" w:hAnsi="Arial" w:cs="Arial"/>
                <w:b/>
                <w:lang w:val="en-GB"/>
              </w:rPr>
            </w:pPr>
          </w:p>
        </w:tc>
      </w:tr>
      <w:tr w:rsidR="0095597C" w:rsidRPr="00E87FEF" w14:paraId="03ADDD5A" w14:textId="77777777" w:rsidTr="008F287B">
        <w:tc>
          <w:tcPr>
            <w:tcW w:w="9016" w:type="dxa"/>
            <w:gridSpan w:val="3"/>
          </w:tcPr>
          <w:p w14:paraId="601794A1" w14:textId="7DCC1AB0" w:rsidR="0095597C" w:rsidRPr="006D35D5" w:rsidRDefault="0095597C" w:rsidP="00250EFE">
            <w:pPr>
              <w:rPr>
                <w:rFonts w:ascii="Arial" w:hAnsi="Arial" w:cs="Arial"/>
                <w:b/>
                <w:lang w:val="en-GB"/>
              </w:rPr>
            </w:pPr>
            <w:r w:rsidRPr="006D35D5">
              <w:rPr>
                <w:rFonts w:ascii="Arial" w:hAnsi="Arial" w:cs="Arial"/>
                <w:lang w:val="en-GB"/>
              </w:rPr>
              <w:t xml:space="preserve">*Subject to previous agreement between the </w:t>
            </w:r>
            <w:r w:rsidR="00250EFE">
              <w:rPr>
                <w:rFonts w:ascii="Arial" w:hAnsi="Arial" w:cs="Arial"/>
                <w:lang w:val="en-GB"/>
              </w:rPr>
              <w:t xml:space="preserve">Authority </w:t>
            </w:r>
            <w:r w:rsidRPr="006D35D5">
              <w:rPr>
                <w:rFonts w:ascii="Arial" w:hAnsi="Arial" w:cs="Arial"/>
                <w:lang w:val="en-GB"/>
              </w:rPr>
              <w:t xml:space="preserve">and the </w:t>
            </w:r>
            <w:r w:rsidR="00495855" w:rsidRPr="006D35D5">
              <w:rPr>
                <w:rFonts w:ascii="Arial" w:hAnsi="Arial" w:cs="Arial"/>
                <w:lang w:val="en-GB"/>
              </w:rPr>
              <w:t>Service S</w:t>
            </w:r>
            <w:r w:rsidRPr="006D35D5">
              <w:rPr>
                <w:rFonts w:ascii="Arial" w:hAnsi="Arial" w:cs="Arial"/>
                <w:lang w:val="en-GB"/>
              </w:rPr>
              <w:t xml:space="preserve">upplier, dates for delivering </w:t>
            </w:r>
            <w:r w:rsidR="00495855" w:rsidRPr="006D35D5">
              <w:rPr>
                <w:rFonts w:ascii="Arial" w:hAnsi="Arial" w:cs="Arial"/>
                <w:lang w:val="en-GB"/>
              </w:rPr>
              <w:t xml:space="preserve">the output </w:t>
            </w:r>
            <w:r w:rsidRPr="006D35D5">
              <w:rPr>
                <w:rFonts w:ascii="Arial" w:hAnsi="Arial" w:cs="Arial"/>
                <w:lang w:val="en-GB"/>
              </w:rPr>
              <w:t>might change.</w:t>
            </w:r>
          </w:p>
        </w:tc>
      </w:tr>
    </w:tbl>
    <w:p w14:paraId="401178A6" w14:textId="0BCA9F28" w:rsidR="00B50077" w:rsidRDefault="00B50077" w:rsidP="00B172D0">
      <w:pPr>
        <w:pStyle w:val="ListParagraph"/>
        <w:spacing w:after="0"/>
        <w:jc w:val="both"/>
        <w:rPr>
          <w:rFonts w:ascii="Arial" w:hAnsi="Arial" w:cs="Arial"/>
          <w:lang w:val="en-GB"/>
        </w:rPr>
      </w:pPr>
    </w:p>
    <w:p w14:paraId="73433D1D" w14:textId="512D7A23" w:rsidR="00B94F7B" w:rsidRPr="00701C58" w:rsidRDefault="005C53FA" w:rsidP="003979F1">
      <w:pPr>
        <w:pStyle w:val="ListParagraph"/>
        <w:numPr>
          <w:ilvl w:val="0"/>
          <w:numId w:val="1"/>
        </w:numPr>
        <w:jc w:val="both"/>
        <w:rPr>
          <w:rFonts w:ascii="Arial" w:hAnsi="Arial" w:cs="Arial"/>
          <w:sz w:val="10"/>
          <w:szCs w:val="10"/>
          <w:lang w:val="en-GB" w:eastAsia="en-GB"/>
        </w:rPr>
      </w:pPr>
      <w:r w:rsidRPr="00B94F7B">
        <w:rPr>
          <w:rFonts w:ascii="Arial" w:hAnsi="Arial" w:cs="Arial"/>
          <w:lang w:val="en-GB" w:eastAsia="en-GB"/>
        </w:rPr>
        <w:t xml:space="preserve">The </w:t>
      </w:r>
      <w:r w:rsidR="00250EFE">
        <w:rPr>
          <w:rFonts w:ascii="Arial" w:hAnsi="Arial" w:cs="Arial"/>
          <w:lang w:val="en-GB" w:eastAsia="en-GB"/>
        </w:rPr>
        <w:t>C</w:t>
      </w:r>
      <w:r w:rsidRPr="00B94F7B">
        <w:rPr>
          <w:rFonts w:ascii="Arial" w:hAnsi="Arial" w:cs="Arial"/>
          <w:lang w:val="en-GB" w:eastAsia="en-GB"/>
        </w:rPr>
        <w:t>ontract will start as soon as possible in accordance with the procurement timeline</w:t>
      </w:r>
      <w:r w:rsidR="00027BD2">
        <w:rPr>
          <w:rFonts w:ascii="Arial" w:hAnsi="Arial" w:cs="Arial"/>
          <w:lang w:val="en-GB" w:eastAsia="en-GB"/>
        </w:rPr>
        <w:t xml:space="preserve"> as outlined in ATT1</w:t>
      </w:r>
      <w:r w:rsidR="00CE4338">
        <w:rPr>
          <w:rFonts w:ascii="Arial" w:hAnsi="Arial" w:cs="Arial"/>
          <w:lang w:val="en-GB" w:eastAsia="en-GB"/>
        </w:rPr>
        <w:t xml:space="preserve"> Cover Letter and Instructions</w:t>
      </w:r>
      <w:r w:rsidR="00027BD2">
        <w:rPr>
          <w:rFonts w:ascii="Arial" w:hAnsi="Arial" w:cs="Arial"/>
          <w:lang w:val="en-GB" w:eastAsia="en-GB"/>
        </w:rPr>
        <w:t>,</w:t>
      </w:r>
      <w:r w:rsidRPr="00B94F7B">
        <w:rPr>
          <w:rFonts w:ascii="Arial" w:hAnsi="Arial" w:cs="Arial"/>
          <w:lang w:val="en-GB" w:eastAsia="en-GB"/>
        </w:rPr>
        <w:t xml:space="preserve"> and</w:t>
      </w:r>
      <w:r w:rsidR="003979F1">
        <w:rPr>
          <w:rFonts w:ascii="Arial" w:hAnsi="Arial" w:cs="Arial"/>
          <w:lang w:val="en-GB" w:eastAsia="en-GB"/>
        </w:rPr>
        <w:t xml:space="preserve"> </w:t>
      </w:r>
      <w:r w:rsidR="009428CE">
        <w:rPr>
          <w:rFonts w:ascii="Arial" w:hAnsi="Arial" w:cs="Arial"/>
          <w:lang w:val="en-GB" w:eastAsia="en-GB"/>
        </w:rPr>
        <w:t xml:space="preserve">will </w:t>
      </w:r>
      <w:r w:rsidR="00CE4338">
        <w:rPr>
          <w:rFonts w:ascii="Arial" w:hAnsi="Arial" w:cs="Arial"/>
          <w:lang w:val="en-GB" w:eastAsia="en-GB"/>
        </w:rPr>
        <w:t>end</w:t>
      </w:r>
      <w:r w:rsidRPr="00B94F7B">
        <w:rPr>
          <w:rFonts w:ascii="Arial" w:hAnsi="Arial" w:cs="Arial"/>
          <w:lang w:val="en-GB" w:eastAsia="en-GB"/>
        </w:rPr>
        <w:t xml:space="preserve"> once the project has been completed within 1</w:t>
      </w:r>
      <w:r w:rsidR="0028141B">
        <w:rPr>
          <w:rFonts w:ascii="Arial" w:hAnsi="Arial" w:cs="Arial"/>
          <w:lang w:val="en-GB" w:eastAsia="en-GB"/>
        </w:rPr>
        <w:t>6</w:t>
      </w:r>
      <w:r w:rsidRPr="00B94F7B">
        <w:rPr>
          <w:rFonts w:ascii="Arial" w:hAnsi="Arial" w:cs="Arial"/>
          <w:lang w:val="en-GB" w:eastAsia="en-GB"/>
        </w:rPr>
        <w:t xml:space="preserve"> weeks of commencement date. </w:t>
      </w:r>
    </w:p>
    <w:p w14:paraId="3F2ADF97" w14:textId="77777777" w:rsidR="00701C58" w:rsidRPr="00701C58" w:rsidRDefault="00701C58" w:rsidP="00701C58">
      <w:pPr>
        <w:pStyle w:val="ListParagraph"/>
        <w:ind w:left="360"/>
        <w:jc w:val="both"/>
        <w:rPr>
          <w:rFonts w:ascii="Arial" w:hAnsi="Arial" w:cs="Arial"/>
          <w:sz w:val="10"/>
          <w:szCs w:val="10"/>
          <w:lang w:val="en-GB" w:eastAsia="en-GB"/>
        </w:rPr>
      </w:pPr>
    </w:p>
    <w:p w14:paraId="1FBE1E54" w14:textId="40128A95" w:rsidR="00701C58" w:rsidRDefault="00701C58" w:rsidP="00701C58">
      <w:pPr>
        <w:pStyle w:val="ListParagraph"/>
        <w:numPr>
          <w:ilvl w:val="0"/>
          <w:numId w:val="1"/>
        </w:numPr>
        <w:spacing w:after="0"/>
        <w:jc w:val="both"/>
        <w:rPr>
          <w:rFonts w:ascii="Arial" w:hAnsi="Arial" w:cs="Arial"/>
          <w:lang w:val="en-GB"/>
        </w:rPr>
      </w:pPr>
      <w:r w:rsidRPr="00701C58">
        <w:rPr>
          <w:rFonts w:ascii="Arial" w:hAnsi="Arial" w:cs="Arial"/>
          <w:lang w:val="en-GB"/>
        </w:rPr>
        <w:t>The above timetable is indicative and the Authority reserves the right to vary it.</w:t>
      </w:r>
    </w:p>
    <w:p w14:paraId="00A86586" w14:textId="77777777" w:rsidR="0033342B" w:rsidRPr="0033342B" w:rsidRDefault="0033342B" w:rsidP="0033342B">
      <w:pPr>
        <w:pStyle w:val="ListParagraph"/>
        <w:rPr>
          <w:rFonts w:ascii="Arial" w:hAnsi="Arial" w:cs="Arial"/>
          <w:lang w:val="en-GB"/>
        </w:rPr>
      </w:pPr>
    </w:p>
    <w:p w14:paraId="225B507F" w14:textId="77777777" w:rsidR="0033342B" w:rsidRPr="00701C58" w:rsidRDefault="0033342B" w:rsidP="0033342B">
      <w:pPr>
        <w:pStyle w:val="ListParagraph"/>
        <w:spacing w:after="0"/>
        <w:ind w:left="360"/>
        <w:jc w:val="both"/>
        <w:rPr>
          <w:rFonts w:ascii="Arial" w:hAnsi="Arial" w:cs="Arial"/>
          <w:lang w:val="en-GB"/>
        </w:rPr>
      </w:pPr>
    </w:p>
    <w:p w14:paraId="063360C9" w14:textId="77777777" w:rsidR="00B94F7B" w:rsidRPr="00B94F7B" w:rsidRDefault="00B94F7B" w:rsidP="00B94F7B">
      <w:pPr>
        <w:pStyle w:val="ListParagraph"/>
        <w:ind w:left="360"/>
        <w:jc w:val="both"/>
        <w:rPr>
          <w:rFonts w:ascii="Arial" w:hAnsi="Arial" w:cs="Arial"/>
          <w:sz w:val="10"/>
          <w:szCs w:val="10"/>
          <w:lang w:val="en-GB" w:eastAsia="en-GB"/>
        </w:rPr>
      </w:pPr>
    </w:p>
    <w:p w14:paraId="3AA94DB3" w14:textId="77777777" w:rsidR="000C3A57" w:rsidRDefault="00E4537B" w:rsidP="006D35D5">
      <w:pPr>
        <w:pStyle w:val="Heading2"/>
        <w:rPr>
          <w:rFonts w:ascii="Arial" w:hAnsi="Arial" w:cs="Arial"/>
          <w:sz w:val="24"/>
          <w:lang w:val="en-GB"/>
        </w:rPr>
      </w:pPr>
      <w:bookmarkStart w:id="9" w:name="_Toc527384904"/>
      <w:r w:rsidRPr="004A2315">
        <w:rPr>
          <w:rFonts w:ascii="Arial" w:hAnsi="Arial" w:cs="Arial"/>
          <w:sz w:val="24"/>
          <w:lang w:val="en-GB"/>
        </w:rPr>
        <w:t>REPORTING STRUCTURE, LOGISTICS AND OTHER ARRANGEMENTS</w:t>
      </w:r>
      <w:bookmarkEnd w:id="9"/>
    </w:p>
    <w:p w14:paraId="2378CBC8" w14:textId="5A6047A4" w:rsidR="00B50077" w:rsidRPr="004A2315" w:rsidRDefault="00E4537B" w:rsidP="006D35D5">
      <w:pPr>
        <w:pStyle w:val="Heading2"/>
        <w:rPr>
          <w:rFonts w:ascii="Arial" w:hAnsi="Arial" w:cs="Arial"/>
          <w:sz w:val="24"/>
          <w:lang w:val="en-GB"/>
        </w:rPr>
      </w:pPr>
      <w:r w:rsidRPr="004A2315">
        <w:rPr>
          <w:rFonts w:ascii="Arial" w:hAnsi="Arial" w:cs="Arial"/>
          <w:sz w:val="24"/>
          <w:lang w:val="en-GB"/>
        </w:rPr>
        <w:t xml:space="preserve"> </w:t>
      </w:r>
    </w:p>
    <w:p w14:paraId="061E5C9A" w14:textId="5A15E22D" w:rsidR="00E9477C" w:rsidRPr="00B648BE" w:rsidRDefault="00E9477C" w:rsidP="00592C5A">
      <w:pPr>
        <w:pStyle w:val="ListParagraph"/>
        <w:numPr>
          <w:ilvl w:val="0"/>
          <w:numId w:val="1"/>
        </w:numPr>
        <w:spacing w:after="0"/>
        <w:jc w:val="both"/>
        <w:rPr>
          <w:lang w:val="en-GB"/>
        </w:rPr>
      </w:pPr>
      <w:r w:rsidRPr="00C50327">
        <w:rPr>
          <w:rFonts w:ascii="Arial" w:hAnsi="Arial" w:cs="Arial"/>
          <w:lang w:val="en-GB"/>
        </w:rPr>
        <w:t>The Supplier will report to the Authority’s Prosperity Fund Programme Team and will appoint a member of staff to liaise with the Authority on contract management issues.</w:t>
      </w:r>
    </w:p>
    <w:p w14:paraId="1492B9C2" w14:textId="4D986DE8" w:rsidR="00B648BE" w:rsidRDefault="00B648BE" w:rsidP="00B648BE">
      <w:pPr>
        <w:spacing w:after="0"/>
        <w:jc w:val="both"/>
        <w:rPr>
          <w:lang w:val="en-GB"/>
        </w:rPr>
      </w:pPr>
    </w:p>
    <w:p w14:paraId="6BBD4B59" w14:textId="5F0B2593" w:rsidR="00B648BE" w:rsidRPr="00B648BE" w:rsidRDefault="00B648BE" w:rsidP="00B648BE">
      <w:pPr>
        <w:pStyle w:val="ListParagraph"/>
        <w:numPr>
          <w:ilvl w:val="0"/>
          <w:numId w:val="1"/>
        </w:numPr>
        <w:spacing w:after="0"/>
        <w:jc w:val="both"/>
        <w:rPr>
          <w:rFonts w:ascii="Arial" w:hAnsi="Arial" w:cs="Arial"/>
          <w:lang w:val="en-GB"/>
        </w:rPr>
      </w:pPr>
      <w:r w:rsidRPr="00B648BE">
        <w:rPr>
          <w:rFonts w:ascii="Arial" w:hAnsi="Arial" w:cs="Arial"/>
          <w:lang w:val="en-GB"/>
        </w:rPr>
        <w:t>A project kick-off workshop will be held with the Authority</w:t>
      </w:r>
      <w:r>
        <w:rPr>
          <w:rFonts w:ascii="Arial" w:hAnsi="Arial" w:cs="Arial"/>
          <w:lang w:val="en-GB"/>
        </w:rPr>
        <w:t>,</w:t>
      </w:r>
      <w:r w:rsidRPr="00B648BE">
        <w:rPr>
          <w:rFonts w:ascii="Arial" w:hAnsi="Arial" w:cs="Arial"/>
          <w:lang w:val="en-GB"/>
        </w:rPr>
        <w:t xml:space="preserve"> which will be used to establish a shared understanding of the project goals and methodology and clarify key knowledge gaps. This should result in an updated work-plan (where required) within one week of this meeting being held. The approval of this updated work plan by the Authority will provide the basis for the commencement of the activities agreed in said work plan and their subsequent payment.</w:t>
      </w:r>
    </w:p>
    <w:p w14:paraId="3BBCF042" w14:textId="77777777" w:rsidR="00E9477C" w:rsidRPr="00592C5A" w:rsidRDefault="00E9477C" w:rsidP="00E9477C">
      <w:pPr>
        <w:pStyle w:val="ListParagraph"/>
        <w:spacing w:after="0"/>
        <w:ind w:left="360"/>
        <w:jc w:val="both"/>
        <w:rPr>
          <w:lang w:val="en-GB"/>
        </w:rPr>
      </w:pPr>
    </w:p>
    <w:p w14:paraId="7A97BF3D" w14:textId="73A53D60" w:rsidR="00E9477C" w:rsidRPr="0033342B" w:rsidRDefault="009428CE" w:rsidP="0028141B">
      <w:pPr>
        <w:pStyle w:val="ListParagraph"/>
        <w:numPr>
          <w:ilvl w:val="0"/>
          <w:numId w:val="1"/>
        </w:numPr>
        <w:spacing w:after="0"/>
        <w:jc w:val="both"/>
        <w:rPr>
          <w:lang w:val="en-GB"/>
        </w:rPr>
      </w:pPr>
      <w:r w:rsidRPr="00F745FD">
        <w:rPr>
          <w:rFonts w:ascii="Arial" w:hAnsi="Arial" w:cs="Arial"/>
          <w:lang w:val="en-GB"/>
        </w:rPr>
        <w:t xml:space="preserve">Starting in </w:t>
      </w:r>
      <w:r w:rsidR="00B648BE" w:rsidRPr="00F745FD">
        <w:rPr>
          <w:rFonts w:ascii="Arial" w:hAnsi="Arial" w:cs="Arial"/>
          <w:b/>
          <w:lang w:val="en-GB"/>
        </w:rPr>
        <w:t>December</w:t>
      </w:r>
      <w:r w:rsidR="00E9477C" w:rsidRPr="00F745FD">
        <w:rPr>
          <w:rFonts w:ascii="Arial" w:hAnsi="Arial" w:cs="Arial"/>
          <w:b/>
          <w:lang w:val="en-GB"/>
        </w:rPr>
        <w:t xml:space="preserve"> </w:t>
      </w:r>
      <w:r w:rsidRPr="00F745FD">
        <w:rPr>
          <w:rFonts w:ascii="Arial" w:hAnsi="Arial" w:cs="Arial"/>
          <w:b/>
          <w:lang w:val="en-GB"/>
        </w:rPr>
        <w:t>2018</w:t>
      </w:r>
      <w:r w:rsidRPr="00F745FD">
        <w:rPr>
          <w:rFonts w:ascii="Arial" w:hAnsi="Arial" w:cs="Arial"/>
          <w:lang w:val="en-GB"/>
        </w:rPr>
        <w:t xml:space="preserve">, the Service Supplier will issue monthly narrative and financial reports to the Authority’s Prosperity Fund Programme Team anytime during the </w:t>
      </w:r>
      <w:r w:rsidRPr="00F745FD">
        <w:rPr>
          <w:rFonts w:ascii="Arial" w:hAnsi="Arial" w:cs="Arial"/>
          <w:b/>
          <w:lang w:val="en-GB"/>
        </w:rPr>
        <w:t>first five working days of the month</w:t>
      </w:r>
      <w:r w:rsidRPr="00F745FD">
        <w:rPr>
          <w:rFonts w:ascii="Arial" w:hAnsi="Arial" w:cs="Arial"/>
          <w:lang w:val="en-GB"/>
        </w:rPr>
        <w:t xml:space="preserve">. It must be noted that the Authority will request expenditure evidence (invoices, signed pay slips, receipts, etc.) prior to releasing any payments. </w:t>
      </w:r>
    </w:p>
    <w:p w14:paraId="25308CAE" w14:textId="59C668C6" w:rsidR="0028141B" w:rsidRPr="0028141B" w:rsidRDefault="0028141B" w:rsidP="0028141B">
      <w:pPr>
        <w:spacing w:after="0"/>
        <w:jc w:val="both"/>
        <w:rPr>
          <w:lang w:val="en-GB"/>
        </w:rPr>
      </w:pPr>
    </w:p>
    <w:p w14:paraId="014CF17D" w14:textId="561EAA8A" w:rsidR="00E9477C" w:rsidRPr="00BC542B" w:rsidRDefault="00E9477C" w:rsidP="000C3A57">
      <w:pPr>
        <w:pStyle w:val="ListParagraph"/>
        <w:numPr>
          <w:ilvl w:val="0"/>
          <w:numId w:val="1"/>
        </w:numPr>
        <w:spacing w:after="0"/>
        <w:jc w:val="both"/>
        <w:rPr>
          <w:rFonts w:ascii="Arial" w:hAnsi="Arial" w:cs="Arial"/>
          <w:lang w:val="en-GB"/>
        </w:rPr>
      </w:pPr>
      <w:r w:rsidRPr="00592C5A">
        <w:rPr>
          <w:rFonts w:ascii="Arial" w:hAnsi="Arial" w:cs="Arial"/>
          <w:lang w:val="en-GB"/>
        </w:rPr>
        <w:lastRenderedPageBreak/>
        <w:t xml:space="preserve">When the service has been </w:t>
      </w:r>
      <w:r w:rsidR="00862C1B" w:rsidRPr="00592C5A">
        <w:rPr>
          <w:rFonts w:ascii="Arial" w:hAnsi="Arial" w:cs="Arial"/>
          <w:lang w:val="en-GB"/>
        </w:rPr>
        <w:t>completed,</w:t>
      </w:r>
      <w:r w:rsidRPr="00592C5A">
        <w:rPr>
          <w:rFonts w:ascii="Arial" w:hAnsi="Arial" w:cs="Arial"/>
          <w:lang w:val="en-GB"/>
        </w:rPr>
        <w:t xml:space="preserve"> the Service Supplier shall prepare and send a final report (the “Project Completion Report”) to the Authority within the period that the Authority requests, prior to the processing of final payment.</w:t>
      </w:r>
    </w:p>
    <w:p w14:paraId="02F5EA2F" w14:textId="77777777" w:rsidR="003979F1" w:rsidRPr="009428CE" w:rsidRDefault="003979F1" w:rsidP="00E9477C">
      <w:pPr>
        <w:pStyle w:val="ListParagraph"/>
        <w:spacing w:after="0"/>
        <w:ind w:left="360"/>
        <w:jc w:val="both"/>
        <w:rPr>
          <w:lang w:val="en-GB"/>
        </w:rPr>
      </w:pPr>
    </w:p>
    <w:p w14:paraId="4210D79D" w14:textId="77777777" w:rsidR="00E9477C" w:rsidRPr="000C3A57" w:rsidRDefault="00E4537B" w:rsidP="00E9477C">
      <w:pPr>
        <w:pStyle w:val="ListParagraph"/>
        <w:numPr>
          <w:ilvl w:val="0"/>
          <w:numId w:val="1"/>
        </w:numPr>
        <w:ind w:left="426" w:hanging="426"/>
        <w:jc w:val="both"/>
        <w:rPr>
          <w:rFonts w:ascii="Arial" w:hAnsi="Arial" w:cs="Arial"/>
          <w:lang w:val="en-GB"/>
        </w:rPr>
      </w:pPr>
      <w:r w:rsidRPr="004A2315">
        <w:rPr>
          <w:rFonts w:ascii="Arial" w:hAnsi="Arial" w:cs="Arial"/>
          <w:lang w:val="en-GB"/>
        </w:rPr>
        <w:t xml:space="preserve">In terms of logistics, the Supplier will work independently in setting up </w:t>
      </w:r>
      <w:r w:rsidR="0027146B" w:rsidRPr="004A2315">
        <w:rPr>
          <w:rFonts w:ascii="Arial" w:hAnsi="Arial" w:cs="Arial"/>
          <w:lang w:val="en-GB"/>
        </w:rPr>
        <w:t xml:space="preserve">the </w:t>
      </w:r>
      <w:r w:rsidRPr="004A2315">
        <w:rPr>
          <w:rFonts w:ascii="Arial" w:hAnsi="Arial" w:cs="Arial"/>
          <w:lang w:val="en-GB"/>
        </w:rPr>
        <w:t>meetings with key stakeholders, arranging transport</w:t>
      </w:r>
      <w:r w:rsidR="00446F57" w:rsidRPr="004A2315">
        <w:rPr>
          <w:rFonts w:ascii="Arial" w:hAnsi="Arial" w:cs="Arial"/>
          <w:lang w:val="en-GB"/>
        </w:rPr>
        <w:t>, agenda, programmes,</w:t>
      </w:r>
      <w:r w:rsidRPr="004A2315">
        <w:rPr>
          <w:rFonts w:ascii="Arial" w:hAnsi="Arial" w:cs="Arial"/>
          <w:lang w:val="en-GB"/>
        </w:rPr>
        <w:t xml:space="preserve"> etc. Where appropriate, the </w:t>
      </w:r>
      <w:r w:rsidR="00250EFE">
        <w:rPr>
          <w:rFonts w:ascii="Arial" w:hAnsi="Arial" w:cs="Arial"/>
          <w:lang w:val="en-GB"/>
        </w:rPr>
        <w:t>Authority</w:t>
      </w:r>
      <w:r w:rsidR="003979F1">
        <w:rPr>
          <w:rFonts w:ascii="Arial" w:hAnsi="Arial" w:cs="Arial"/>
          <w:lang w:val="en-GB"/>
        </w:rPr>
        <w:t xml:space="preserve"> </w:t>
      </w:r>
      <w:r w:rsidRPr="004A2315">
        <w:rPr>
          <w:rFonts w:ascii="Arial" w:hAnsi="Arial" w:cs="Arial"/>
          <w:lang w:val="en-GB"/>
        </w:rPr>
        <w:t>may assist in accessing government agencies or other ke</w:t>
      </w:r>
      <w:r w:rsidR="00446F57" w:rsidRPr="004A2315">
        <w:rPr>
          <w:rFonts w:ascii="Arial" w:hAnsi="Arial" w:cs="Arial"/>
          <w:lang w:val="en-GB"/>
        </w:rPr>
        <w:t>y</w:t>
      </w:r>
      <w:r w:rsidRPr="004A2315">
        <w:rPr>
          <w:rFonts w:ascii="Arial" w:hAnsi="Arial" w:cs="Arial"/>
          <w:lang w:val="en-GB"/>
        </w:rPr>
        <w:t xml:space="preserve"> senior stakeholders if this should prove necessary.</w:t>
      </w:r>
      <w:r w:rsidR="00446F57" w:rsidRPr="004A2315">
        <w:rPr>
          <w:rFonts w:ascii="Arial" w:hAnsi="Arial" w:cs="Arial"/>
          <w:lang w:val="en-GB"/>
        </w:rPr>
        <w:t xml:space="preserve"> </w:t>
      </w:r>
      <w:r w:rsidR="00E9477C" w:rsidRPr="000C3A57">
        <w:rPr>
          <w:rFonts w:ascii="Arial" w:hAnsi="Arial" w:cs="Arial"/>
          <w:lang w:val="en-GB"/>
        </w:rPr>
        <w:t>The Authority reserves the right to attend all meetings and events relevant to this project, subject to the Authority’s staff availability. The Service Supplier must therefore inform the Authority of all events and meetings relevant to this project in a timely manner.</w:t>
      </w:r>
    </w:p>
    <w:p w14:paraId="09B1FE3C" w14:textId="147447EB" w:rsidR="009428CE" w:rsidRPr="00592C5A" w:rsidRDefault="009428CE" w:rsidP="000C3A57">
      <w:pPr>
        <w:pStyle w:val="ListParagraph"/>
        <w:ind w:left="360"/>
        <w:jc w:val="both"/>
        <w:rPr>
          <w:rFonts w:ascii="Arial" w:hAnsi="Arial" w:cs="Arial"/>
          <w:lang w:val="en-GB"/>
        </w:rPr>
      </w:pPr>
    </w:p>
    <w:p w14:paraId="51D35653" w14:textId="019BDA7A" w:rsidR="001D6888" w:rsidRPr="003979F1" w:rsidRDefault="0027146B" w:rsidP="00592C5A">
      <w:pPr>
        <w:pStyle w:val="ListParagraph"/>
        <w:numPr>
          <w:ilvl w:val="0"/>
          <w:numId w:val="1"/>
        </w:numPr>
        <w:jc w:val="both"/>
        <w:rPr>
          <w:rFonts w:ascii="Arial" w:hAnsi="Arial" w:cs="Arial"/>
          <w:lang w:val="en-GB"/>
        </w:rPr>
      </w:pPr>
      <w:r w:rsidRPr="004A2315">
        <w:rPr>
          <w:rFonts w:ascii="Arial" w:hAnsi="Arial" w:cs="Arial"/>
          <w:lang w:val="en-GB"/>
        </w:rPr>
        <w:t xml:space="preserve">The </w:t>
      </w:r>
      <w:r w:rsidR="00250EFE">
        <w:rPr>
          <w:rFonts w:ascii="Arial" w:hAnsi="Arial" w:cs="Arial"/>
          <w:lang w:val="en-GB"/>
        </w:rPr>
        <w:t xml:space="preserve">Authority </w:t>
      </w:r>
      <w:r w:rsidR="00BC542B">
        <w:rPr>
          <w:rFonts w:ascii="Arial" w:hAnsi="Arial" w:cs="Arial"/>
          <w:lang w:val="en-GB"/>
        </w:rPr>
        <w:t>will also request the Supplier to set up monthly steering meetings with the Embassy, to report on the progress of the project.</w:t>
      </w:r>
    </w:p>
    <w:p w14:paraId="23AAACB0" w14:textId="77777777" w:rsidR="00D8216E" w:rsidRPr="004A2315" w:rsidRDefault="00D8216E" w:rsidP="006D35D5">
      <w:pPr>
        <w:pStyle w:val="Heading2"/>
        <w:rPr>
          <w:rFonts w:ascii="Arial" w:hAnsi="Arial" w:cs="Arial"/>
          <w:sz w:val="24"/>
          <w:lang w:val="en-GB"/>
        </w:rPr>
      </w:pPr>
      <w:bookmarkStart w:id="10" w:name="_Toc527384905"/>
      <w:r w:rsidRPr="004A2315">
        <w:rPr>
          <w:rFonts w:ascii="Arial" w:hAnsi="Arial" w:cs="Arial"/>
          <w:sz w:val="24"/>
          <w:lang w:val="en-GB"/>
        </w:rPr>
        <w:t>MONITORING, REPORTING, EVALUATION AND LEARNING (MREL)</w:t>
      </w:r>
      <w:bookmarkEnd w:id="10"/>
      <w:r w:rsidRPr="004A2315">
        <w:rPr>
          <w:rFonts w:ascii="Arial" w:hAnsi="Arial" w:cs="Arial"/>
          <w:sz w:val="24"/>
          <w:lang w:val="en-GB"/>
        </w:rPr>
        <w:t xml:space="preserve"> </w:t>
      </w:r>
    </w:p>
    <w:p w14:paraId="65AFAD15" w14:textId="77777777" w:rsidR="00D8216E" w:rsidRPr="00B91877" w:rsidRDefault="00D8216E" w:rsidP="00B172D0">
      <w:pPr>
        <w:autoSpaceDE w:val="0"/>
        <w:autoSpaceDN w:val="0"/>
        <w:adjustRightInd w:val="0"/>
        <w:spacing w:after="0"/>
        <w:jc w:val="both"/>
        <w:rPr>
          <w:rFonts w:ascii="Arial" w:eastAsiaTheme="majorEastAsia" w:hAnsi="Arial" w:cs="Arial"/>
          <w:bCs/>
          <w:lang w:val="en-GB" w:eastAsia="en-GB"/>
        </w:rPr>
      </w:pPr>
    </w:p>
    <w:p w14:paraId="1F8FF3F8" w14:textId="6E30F0F8" w:rsidR="00D8216E" w:rsidRDefault="00D8216E" w:rsidP="00592C5A">
      <w:pPr>
        <w:pStyle w:val="ListParagraph"/>
        <w:numPr>
          <w:ilvl w:val="0"/>
          <w:numId w:val="1"/>
        </w:numPr>
        <w:spacing w:after="0"/>
        <w:jc w:val="both"/>
        <w:rPr>
          <w:rFonts w:ascii="Arial" w:eastAsia="Calibri" w:hAnsi="Arial" w:cs="Arial"/>
          <w:lang w:val="en-GB"/>
        </w:rPr>
      </w:pPr>
      <w:r w:rsidRPr="00B91877">
        <w:rPr>
          <w:rFonts w:ascii="Arial" w:eastAsia="Calibri" w:hAnsi="Arial" w:cs="Arial"/>
          <w:lang w:val="en-GB"/>
        </w:rPr>
        <w:t xml:space="preserve">The </w:t>
      </w:r>
      <w:r w:rsidR="00250EFE">
        <w:rPr>
          <w:rFonts w:ascii="Arial" w:eastAsia="Calibri" w:hAnsi="Arial" w:cs="Arial"/>
          <w:lang w:val="en-GB"/>
        </w:rPr>
        <w:t>Authority</w:t>
      </w:r>
      <w:r w:rsidR="0027146B" w:rsidRPr="00B91877">
        <w:rPr>
          <w:rFonts w:ascii="Arial" w:eastAsia="Calibri" w:hAnsi="Arial" w:cs="Arial"/>
          <w:lang w:val="en-GB"/>
        </w:rPr>
        <w:t xml:space="preserve"> </w:t>
      </w:r>
      <w:r w:rsidRPr="00B91877">
        <w:rPr>
          <w:rFonts w:ascii="Arial" w:eastAsia="Calibri" w:hAnsi="Arial" w:cs="Arial"/>
          <w:lang w:val="en-GB"/>
        </w:rPr>
        <w:t>will require successful suppliers to engage constructively with contractor(s) appointed to deliver the Cross Whitehall Prosperity Fund Monitoring, Reporting, Evaluation and Learning (MREL) contract to ensure data flows and evaluations are captured effectively.</w:t>
      </w:r>
    </w:p>
    <w:p w14:paraId="05FDC66E" w14:textId="549BE9AF" w:rsidR="004A2315" w:rsidRDefault="004A2315" w:rsidP="004A2315">
      <w:pPr>
        <w:spacing w:after="0"/>
        <w:jc w:val="both"/>
        <w:rPr>
          <w:rFonts w:ascii="Arial" w:eastAsia="Calibri" w:hAnsi="Arial" w:cs="Arial"/>
          <w:lang w:val="en-GB"/>
        </w:rPr>
      </w:pPr>
    </w:p>
    <w:p w14:paraId="3F9C5109" w14:textId="3EDFF5BC" w:rsidR="00E637FE" w:rsidRDefault="00E637FE" w:rsidP="00592C5A">
      <w:pPr>
        <w:pStyle w:val="ListParagraph"/>
        <w:numPr>
          <w:ilvl w:val="0"/>
          <w:numId w:val="1"/>
        </w:numPr>
        <w:spacing w:after="0"/>
        <w:jc w:val="both"/>
        <w:rPr>
          <w:rFonts w:ascii="Arial" w:eastAsia="Calibri" w:hAnsi="Arial" w:cs="Arial"/>
          <w:lang w:val="en-GB"/>
        </w:rPr>
      </w:pPr>
      <w:r w:rsidRPr="00E637FE">
        <w:rPr>
          <w:rFonts w:ascii="Arial" w:eastAsia="Calibri" w:hAnsi="Arial" w:cs="Arial"/>
          <w:lang w:val="en-GB"/>
        </w:rPr>
        <w:t xml:space="preserve">The Service Supplier shall provide a monthly monitoring report and a financial report starting from </w:t>
      </w:r>
      <w:r w:rsidR="00B648BE">
        <w:rPr>
          <w:rFonts w:ascii="Arial" w:eastAsia="Calibri" w:hAnsi="Arial" w:cs="Arial"/>
          <w:b/>
          <w:lang w:val="en-GB"/>
        </w:rPr>
        <w:t>December</w:t>
      </w:r>
      <w:r w:rsidRPr="00E637FE">
        <w:rPr>
          <w:rFonts w:ascii="Arial" w:eastAsia="Calibri" w:hAnsi="Arial" w:cs="Arial"/>
          <w:b/>
          <w:lang w:val="en-GB"/>
        </w:rPr>
        <w:t xml:space="preserve"> 2018</w:t>
      </w:r>
      <w:r w:rsidRPr="00E637FE">
        <w:rPr>
          <w:rFonts w:ascii="Arial" w:eastAsia="Calibri" w:hAnsi="Arial" w:cs="Arial"/>
          <w:lang w:val="en-GB"/>
        </w:rPr>
        <w:t>.</w:t>
      </w:r>
    </w:p>
    <w:p w14:paraId="16E96CB2" w14:textId="77777777" w:rsidR="00E9477C" w:rsidRPr="00592C5A" w:rsidRDefault="00E9477C" w:rsidP="000C3A57">
      <w:pPr>
        <w:pStyle w:val="ListParagraph"/>
        <w:rPr>
          <w:rFonts w:ascii="Arial" w:eastAsia="Calibri" w:hAnsi="Arial" w:cs="Arial"/>
          <w:lang w:val="en-GB"/>
        </w:rPr>
      </w:pPr>
    </w:p>
    <w:p w14:paraId="29CAB8D6" w14:textId="7DC3B226" w:rsidR="00E637FE" w:rsidRPr="000C3A57" w:rsidRDefault="00E9477C" w:rsidP="000C3A57">
      <w:pPr>
        <w:pStyle w:val="ListParagraph"/>
        <w:numPr>
          <w:ilvl w:val="0"/>
          <w:numId w:val="1"/>
        </w:numPr>
        <w:spacing w:after="0"/>
        <w:jc w:val="both"/>
        <w:rPr>
          <w:rFonts w:ascii="Arial" w:eastAsia="Calibri" w:hAnsi="Arial" w:cs="Arial"/>
          <w:lang w:val="en-GB"/>
        </w:rPr>
      </w:pPr>
      <w:r w:rsidRPr="00592C5A">
        <w:rPr>
          <w:rFonts w:ascii="Arial" w:eastAsia="Calibri" w:hAnsi="Arial" w:cs="Arial"/>
          <w:lang w:val="en-GB"/>
        </w:rPr>
        <w:t xml:space="preserve">Strand Indicators will be gathered through MREL and will monitor the longer-term impact of the Strand against the Theory of Change, gathering data, which will demonstrate and evaluate the Strand’s impact.  </w:t>
      </w:r>
    </w:p>
    <w:p w14:paraId="7FEB0785" w14:textId="77777777" w:rsidR="00E637FE" w:rsidRPr="002B469E" w:rsidRDefault="00E637FE" w:rsidP="00E637FE">
      <w:pPr>
        <w:pStyle w:val="ListParagraph"/>
        <w:spacing w:after="0"/>
        <w:ind w:left="360"/>
        <w:jc w:val="both"/>
        <w:rPr>
          <w:lang w:val="en-GB"/>
        </w:rPr>
      </w:pPr>
    </w:p>
    <w:p w14:paraId="410FE8F7" w14:textId="54D59BEF" w:rsidR="00B50077" w:rsidRPr="008801E7" w:rsidRDefault="00ED14C4" w:rsidP="00B172D0">
      <w:pPr>
        <w:pStyle w:val="Heading2"/>
        <w:spacing w:before="0"/>
        <w:jc w:val="both"/>
        <w:rPr>
          <w:rFonts w:ascii="Arial" w:hAnsi="Arial" w:cs="Arial"/>
          <w:sz w:val="24"/>
          <w:szCs w:val="22"/>
          <w:lang w:val="en-GB"/>
        </w:rPr>
      </w:pPr>
      <w:bookmarkStart w:id="11" w:name="_Toc527384906"/>
      <w:r w:rsidRPr="008801E7">
        <w:rPr>
          <w:rFonts w:ascii="Arial" w:hAnsi="Arial" w:cs="Arial"/>
          <w:sz w:val="24"/>
          <w:szCs w:val="22"/>
          <w:lang w:val="en-GB"/>
        </w:rPr>
        <w:t>SKILLS AND COMPETENCES</w:t>
      </w:r>
      <w:bookmarkEnd w:id="11"/>
    </w:p>
    <w:p w14:paraId="1A69305D" w14:textId="77777777" w:rsidR="008801E7" w:rsidRDefault="008801E7" w:rsidP="00B172D0">
      <w:pPr>
        <w:pStyle w:val="Heading2"/>
        <w:spacing w:before="0"/>
        <w:jc w:val="both"/>
        <w:rPr>
          <w:rFonts w:ascii="Arial" w:hAnsi="Arial" w:cs="Arial"/>
          <w:b w:val="0"/>
          <w:szCs w:val="22"/>
          <w:lang w:val="en-GB"/>
        </w:rPr>
      </w:pPr>
    </w:p>
    <w:p w14:paraId="50711116" w14:textId="4F06A5CD" w:rsidR="008801E7" w:rsidRPr="006D35D5" w:rsidRDefault="0064075C" w:rsidP="000C3A57">
      <w:pPr>
        <w:pStyle w:val="ListParagraph"/>
        <w:numPr>
          <w:ilvl w:val="0"/>
          <w:numId w:val="1"/>
        </w:numPr>
        <w:spacing w:after="0"/>
        <w:jc w:val="both"/>
        <w:rPr>
          <w:rFonts w:ascii="Arial" w:hAnsi="Arial" w:cs="Arial"/>
          <w:lang w:val="en-GB"/>
        </w:rPr>
      </w:pPr>
      <w:r w:rsidRPr="006D35D5">
        <w:rPr>
          <w:rFonts w:ascii="Arial" w:hAnsi="Arial" w:cs="Arial"/>
          <w:lang w:val="en-GB"/>
        </w:rPr>
        <w:t xml:space="preserve">The </w:t>
      </w:r>
      <w:r w:rsidR="00BE7FD7" w:rsidRPr="006D35D5">
        <w:rPr>
          <w:rFonts w:ascii="Arial" w:hAnsi="Arial" w:cs="Arial"/>
          <w:lang w:val="en-GB"/>
        </w:rPr>
        <w:t>research expert</w:t>
      </w:r>
      <w:r w:rsidRPr="006D35D5">
        <w:rPr>
          <w:rFonts w:ascii="Arial" w:hAnsi="Arial" w:cs="Arial"/>
          <w:lang w:val="en-GB"/>
        </w:rPr>
        <w:t>(s) will hav</w:t>
      </w:r>
      <w:r w:rsidR="00A465C0" w:rsidRPr="006D35D5">
        <w:rPr>
          <w:rFonts w:ascii="Arial" w:hAnsi="Arial" w:cs="Arial"/>
          <w:lang w:val="en-GB"/>
        </w:rPr>
        <w:t>e to demonstrate knowledge or capability in:</w:t>
      </w:r>
    </w:p>
    <w:p w14:paraId="4D139A9D" w14:textId="77777777" w:rsidR="006D35D5" w:rsidRPr="006D35D5" w:rsidRDefault="006D35D5" w:rsidP="006D35D5">
      <w:pPr>
        <w:pStyle w:val="ListParagraph"/>
        <w:spacing w:after="0"/>
        <w:ind w:left="360"/>
        <w:jc w:val="both"/>
        <w:rPr>
          <w:rFonts w:ascii="Arial" w:hAnsi="Arial" w:cs="Arial"/>
          <w:lang w:val="en-GB"/>
        </w:rPr>
      </w:pPr>
    </w:p>
    <w:p w14:paraId="4F5D60DE" w14:textId="77777777" w:rsidR="00F745FD" w:rsidRPr="006D35D5" w:rsidRDefault="00F745FD" w:rsidP="00F745FD">
      <w:pPr>
        <w:pStyle w:val="ListParagraph"/>
        <w:numPr>
          <w:ilvl w:val="0"/>
          <w:numId w:val="18"/>
        </w:numPr>
        <w:jc w:val="both"/>
        <w:rPr>
          <w:rFonts w:ascii="Arial" w:hAnsi="Arial" w:cs="Arial"/>
          <w:color w:val="000000"/>
          <w:lang w:val="en-GB"/>
        </w:rPr>
      </w:pPr>
      <w:r w:rsidRPr="006D35D5">
        <w:rPr>
          <w:rFonts w:ascii="Arial" w:hAnsi="Arial" w:cs="Arial"/>
          <w:color w:val="000000"/>
          <w:lang w:val="en-GB"/>
        </w:rPr>
        <w:t>The ability to provide timely access to high quality, cost-effective professional and technical advisory and management services. Particular attention will be given to the ability of organisations to mobilise high quality, cost effective personnel relatively rapidly in response, and flex inputs to tailor delivery to multiple and often complex environments</w:t>
      </w:r>
      <w:r>
        <w:rPr>
          <w:rFonts w:ascii="Arial" w:hAnsi="Arial" w:cs="Arial"/>
          <w:color w:val="000000"/>
          <w:lang w:val="en-GB"/>
        </w:rPr>
        <w:t xml:space="preserve">; </w:t>
      </w:r>
    </w:p>
    <w:p w14:paraId="48EF4F87" w14:textId="0B738D52" w:rsidR="00592C5A" w:rsidRPr="00592C5A" w:rsidRDefault="00F745FD" w:rsidP="00B648BE">
      <w:pPr>
        <w:pStyle w:val="ListParagraph"/>
        <w:numPr>
          <w:ilvl w:val="0"/>
          <w:numId w:val="18"/>
        </w:numPr>
        <w:autoSpaceDE w:val="0"/>
        <w:autoSpaceDN w:val="0"/>
        <w:adjustRightInd w:val="0"/>
        <w:spacing w:after="0" w:line="240" w:lineRule="auto"/>
        <w:jc w:val="both"/>
        <w:rPr>
          <w:rFonts w:ascii="Arial" w:hAnsi="Arial" w:cs="Arial"/>
          <w:color w:val="000000"/>
          <w:sz w:val="24"/>
          <w:szCs w:val="24"/>
          <w:lang w:val="en-GB"/>
        </w:rPr>
      </w:pPr>
      <w:r>
        <w:rPr>
          <w:rFonts w:ascii="Arial" w:hAnsi="Arial" w:cs="Arial"/>
          <w:color w:val="000000"/>
          <w:sz w:val="23"/>
          <w:szCs w:val="23"/>
          <w:lang w:val="en-GB"/>
        </w:rPr>
        <w:t>A demonstrable understanding of d</w:t>
      </w:r>
      <w:r w:rsidR="00592C5A" w:rsidRPr="00592C5A">
        <w:rPr>
          <w:rFonts w:ascii="Arial" w:hAnsi="Arial" w:cs="Arial"/>
          <w:color w:val="000000"/>
          <w:sz w:val="23"/>
          <w:szCs w:val="23"/>
          <w:lang w:val="en-GB"/>
        </w:rPr>
        <w:t xml:space="preserve">eepening of financial markets through providing advice on </w:t>
      </w:r>
      <w:r w:rsidR="00592C5A">
        <w:rPr>
          <w:rFonts w:ascii="Arial" w:hAnsi="Arial" w:cs="Arial"/>
          <w:color w:val="000000"/>
          <w:sz w:val="23"/>
          <w:szCs w:val="23"/>
          <w:lang w:val="en-GB"/>
        </w:rPr>
        <w:t xml:space="preserve">Green Finance </w:t>
      </w:r>
      <w:r w:rsidR="00592C5A" w:rsidRPr="00592C5A">
        <w:rPr>
          <w:rFonts w:ascii="Arial" w:hAnsi="Arial" w:cs="Arial"/>
          <w:color w:val="000000"/>
          <w:sz w:val="23"/>
          <w:szCs w:val="23"/>
          <w:lang w:val="en-GB"/>
        </w:rPr>
        <w:t>instruments likely to attract additional commercial investment for development</w:t>
      </w:r>
      <w:r>
        <w:rPr>
          <w:rFonts w:ascii="Arial" w:hAnsi="Arial" w:cs="Arial"/>
          <w:color w:val="000000"/>
          <w:sz w:val="23"/>
          <w:szCs w:val="23"/>
          <w:lang w:val="en-GB"/>
        </w:rPr>
        <w:t>;</w:t>
      </w:r>
      <w:r w:rsidR="00592C5A" w:rsidRPr="00592C5A">
        <w:rPr>
          <w:rFonts w:ascii="Arial" w:hAnsi="Arial" w:cs="Arial"/>
          <w:color w:val="000000"/>
          <w:sz w:val="23"/>
          <w:szCs w:val="23"/>
          <w:lang w:val="en-GB"/>
        </w:rPr>
        <w:t xml:space="preserve"> </w:t>
      </w:r>
    </w:p>
    <w:p w14:paraId="53EE6FA9" w14:textId="3D264F54" w:rsidR="00592C5A" w:rsidRPr="00592C5A" w:rsidRDefault="00592C5A" w:rsidP="00B648BE">
      <w:pPr>
        <w:pStyle w:val="ListParagraph"/>
        <w:numPr>
          <w:ilvl w:val="0"/>
          <w:numId w:val="18"/>
        </w:numPr>
        <w:autoSpaceDE w:val="0"/>
        <w:autoSpaceDN w:val="0"/>
        <w:adjustRightInd w:val="0"/>
        <w:spacing w:after="0" w:line="240" w:lineRule="auto"/>
        <w:jc w:val="both"/>
        <w:rPr>
          <w:rFonts w:ascii="Arial" w:hAnsi="Arial" w:cs="Arial"/>
          <w:color w:val="000000"/>
          <w:sz w:val="23"/>
          <w:szCs w:val="23"/>
          <w:lang w:val="en-GB"/>
        </w:rPr>
      </w:pPr>
      <w:r w:rsidRPr="00592C5A">
        <w:rPr>
          <w:rFonts w:ascii="Arial" w:hAnsi="Arial" w:cs="Arial"/>
          <w:color w:val="000000"/>
          <w:sz w:val="23"/>
          <w:szCs w:val="23"/>
          <w:lang w:val="en-GB"/>
        </w:rPr>
        <w:t>Strengthening and deepening financial markets in specialist areas</w:t>
      </w:r>
      <w:r>
        <w:rPr>
          <w:rFonts w:ascii="Arial" w:hAnsi="Arial" w:cs="Arial"/>
          <w:color w:val="000000"/>
          <w:sz w:val="23"/>
          <w:szCs w:val="23"/>
          <w:lang w:val="en-GB"/>
        </w:rPr>
        <w:t xml:space="preserve"> such as Green Finance</w:t>
      </w:r>
      <w:r w:rsidRPr="00592C5A">
        <w:rPr>
          <w:rFonts w:ascii="Arial" w:hAnsi="Arial" w:cs="Arial"/>
          <w:color w:val="000000"/>
          <w:sz w:val="23"/>
          <w:szCs w:val="23"/>
          <w:lang w:val="en-GB"/>
        </w:rPr>
        <w:t xml:space="preserve"> through policy advice, advocacy, consultation, product development and capacity building</w:t>
      </w:r>
      <w:r w:rsidR="00F745FD">
        <w:rPr>
          <w:rFonts w:ascii="Arial" w:hAnsi="Arial" w:cs="Arial"/>
          <w:color w:val="000000"/>
          <w:sz w:val="23"/>
          <w:szCs w:val="23"/>
          <w:lang w:val="en-GB"/>
        </w:rPr>
        <w:t>;</w:t>
      </w:r>
      <w:r w:rsidRPr="00592C5A">
        <w:rPr>
          <w:rFonts w:ascii="Arial" w:hAnsi="Arial" w:cs="Arial"/>
          <w:color w:val="000000"/>
          <w:sz w:val="23"/>
          <w:szCs w:val="23"/>
          <w:lang w:val="en-GB"/>
        </w:rPr>
        <w:t xml:space="preserve"> </w:t>
      </w:r>
    </w:p>
    <w:p w14:paraId="22869E55" w14:textId="77777777" w:rsidR="006D35D5" w:rsidRPr="006D35D5" w:rsidRDefault="00A465C0" w:rsidP="00D159BA">
      <w:pPr>
        <w:pStyle w:val="ListParagraph"/>
        <w:numPr>
          <w:ilvl w:val="0"/>
          <w:numId w:val="18"/>
        </w:numPr>
        <w:jc w:val="both"/>
        <w:rPr>
          <w:rFonts w:ascii="Arial" w:hAnsi="Arial" w:cs="Arial"/>
          <w:color w:val="000000"/>
          <w:lang w:val="en-GB"/>
        </w:rPr>
      </w:pPr>
      <w:r w:rsidRPr="006D35D5">
        <w:rPr>
          <w:rFonts w:ascii="Arial" w:hAnsi="Arial" w:cs="Arial"/>
          <w:color w:val="000000"/>
          <w:lang w:val="en-GB"/>
        </w:rPr>
        <w:t xml:space="preserve">The ability to provide access to high quality, politically-aware, cost-effective professional assessment, project and high value overseas programme design skills including </w:t>
      </w:r>
      <w:r w:rsidRPr="006D35D5">
        <w:rPr>
          <w:rFonts w:ascii="Arial" w:hAnsi="Arial" w:cs="Arial"/>
          <w:color w:val="000000"/>
          <w:lang w:val="en-GB"/>
        </w:rPr>
        <w:lastRenderedPageBreak/>
        <w:t xml:space="preserve">management, delivery and monitoring and evaluation expertise. Particular attention will be given to how individuals will be managed as teams e.g. including where various sector or thematic interests need to be incorporated into a single programme; </w:t>
      </w:r>
    </w:p>
    <w:p w14:paraId="44005F2D" w14:textId="7CFBC3ED" w:rsidR="006D35D5" w:rsidRPr="006D35D5" w:rsidRDefault="00A465C0" w:rsidP="00D159BA">
      <w:pPr>
        <w:pStyle w:val="ListParagraph"/>
        <w:numPr>
          <w:ilvl w:val="0"/>
          <w:numId w:val="18"/>
        </w:numPr>
        <w:jc w:val="both"/>
        <w:rPr>
          <w:rFonts w:ascii="Arial" w:hAnsi="Arial" w:cs="Arial"/>
          <w:color w:val="000000"/>
          <w:lang w:val="en-GB"/>
        </w:rPr>
      </w:pPr>
      <w:r w:rsidRPr="006D35D5">
        <w:rPr>
          <w:rFonts w:ascii="Arial" w:hAnsi="Arial" w:cs="Arial"/>
          <w:color w:val="000000"/>
          <w:lang w:val="en-GB"/>
        </w:rPr>
        <w:t>Ability to demonstrate strong management and reporting skills, high levels of customer engagement, responsiveness, accountability, service delivery and delivery of value for money, as well as effective mechanisms for all aspects of management (including both international and local staff) including dealing with poor performance</w:t>
      </w:r>
      <w:r w:rsidR="00F745FD">
        <w:rPr>
          <w:rFonts w:ascii="Arial" w:hAnsi="Arial" w:cs="Arial"/>
          <w:color w:val="000000"/>
          <w:lang w:val="en-GB"/>
        </w:rPr>
        <w:t>;</w:t>
      </w:r>
      <w:r w:rsidRPr="006D35D5">
        <w:rPr>
          <w:rFonts w:ascii="Arial" w:hAnsi="Arial" w:cs="Arial"/>
          <w:color w:val="000000"/>
          <w:lang w:val="en-GB"/>
        </w:rPr>
        <w:t xml:space="preserve"> </w:t>
      </w:r>
    </w:p>
    <w:p w14:paraId="1ACA9C7F" w14:textId="77777777" w:rsidR="006D35D5" w:rsidRPr="006D35D5" w:rsidRDefault="00A465C0" w:rsidP="00D159BA">
      <w:pPr>
        <w:pStyle w:val="ListParagraph"/>
        <w:numPr>
          <w:ilvl w:val="0"/>
          <w:numId w:val="18"/>
        </w:numPr>
        <w:jc w:val="both"/>
        <w:rPr>
          <w:rFonts w:ascii="Arial" w:hAnsi="Arial" w:cs="Arial"/>
          <w:color w:val="000000"/>
          <w:lang w:val="en-GB"/>
        </w:rPr>
      </w:pPr>
      <w:r w:rsidRPr="006D35D5">
        <w:rPr>
          <w:rFonts w:ascii="Arial" w:hAnsi="Arial" w:cs="Arial"/>
          <w:color w:val="000000"/>
          <w:lang w:val="en-GB"/>
        </w:rPr>
        <w:t xml:space="preserve">Demonstrated ability to provide operational support services overseas including local procurement of accommodation, material and services; experience of recruiting and managing local staff (including interpreters) and ensuring that they, and any related equipment is safely operated, maintained and accounted for; </w:t>
      </w:r>
    </w:p>
    <w:p w14:paraId="178E0EA8" w14:textId="7D262266" w:rsidR="00F745FD" w:rsidRDefault="00F745FD" w:rsidP="00D159BA">
      <w:pPr>
        <w:pStyle w:val="ListParagraph"/>
        <w:numPr>
          <w:ilvl w:val="0"/>
          <w:numId w:val="18"/>
        </w:numPr>
        <w:jc w:val="both"/>
        <w:rPr>
          <w:rFonts w:ascii="Arial" w:hAnsi="Arial" w:cs="Arial"/>
          <w:color w:val="000000"/>
          <w:lang w:val="en-GB"/>
        </w:rPr>
      </w:pPr>
      <w:r>
        <w:rPr>
          <w:rFonts w:ascii="Arial" w:hAnsi="Arial" w:cs="Arial"/>
          <w:color w:val="000000"/>
          <w:lang w:val="en-GB"/>
        </w:rPr>
        <w:t>T</w:t>
      </w:r>
      <w:r w:rsidR="00A465C0" w:rsidRPr="006D35D5">
        <w:rPr>
          <w:rFonts w:ascii="Arial" w:hAnsi="Arial" w:cs="Arial"/>
          <w:color w:val="000000"/>
          <w:lang w:val="en-GB"/>
        </w:rPr>
        <w:t>he ability to demonstrate appropriate cultural awareness, sensitivity and a partnership approach, adapting concepts and materials to local needs and audiences</w:t>
      </w:r>
      <w:r>
        <w:rPr>
          <w:rFonts w:ascii="Arial" w:hAnsi="Arial" w:cs="Arial"/>
          <w:color w:val="000000"/>
          <w:lang w:val="en-GB"/>
        </w:rPr>
        <w:t>.  This should include the ability to incorporate gender considerations throughout the design and delivery of the project;</w:t>
      </w:r>
    </w:p>
    <w:p w14:paraId="27791B44" w14:textId="41B290C1" w:rsidR="006D35D5" w:rsidRPr="006D35D5" w:rsidRDefault="00F745FD" w:rsidP="00D159BA">
      <w:pPr>
        <w:pStyle w:val="ListParagraph"/>
        <w:numPr>
          <w:ilvl w:val="0"/>
          <w:numId w:val="18"/>
        </w:numPr>
        <w:jc w:val="both"/>
        <w:rPr>
          <w:rFonts w:ascii="Arial" w:hAnsi="Arial" w:cs="Arial"/>
          <w:color w:val="000000"/>
          <w:lang w:val="en-GB"/>
        </w:rPr>
      </w:pPr>
      <w:r>
        <w:rPr>
          <w:rFonts w:ascii="Arial" w:hAnsi="Arial" w:cs="Arial"/>
          <w:color w:val="000000"/>
          <w:lang w:val="en-GB"/>
        </w:rPr>
        <w:t>D</w:t>
      </w:r>
      <w:r w:rsidR="00A465C0" w:rsidRPr="006D35D5">
        <w:rPr>
          <w:rFonts w:ascii="Arial" w:hAnsi="Arial" w:cs="Arial"/>
          <w:color w:val="000000"/>
          <w:lang w:val="en-GB"/>
        </w:rPr>
        <w:t xml:space="preserve">emonstrable experience of political </w:t>
      </w:r>
      <w:r>
        <w:rPr>
          <w:rFonts w:ascii="Arial" w:hAnsi="Arial" w:cs="Arial"/>
          <w:color w:val="000000"/>
          <w:lang w:val="en-GB"/>
        </w:rPr>
        <w:t xml:space="preserve">and business sector </w:t>
      </w:r>
      <w:r w:rsidR="00A465C0" w:rsidRPr="006D35D5">
        <w:rPr>
          <w:rFonts w:ascii="Arial" w:hAnsi="Arial" w:cs="Arial"/>
          <w:color w:val="000000"/>
          <w:lang w:val="en-GB"/>
        </w:rPr>
        <w:t xml:space="preserve">stakeholder engagement, management and </w:t>
      </w:r>
      <w:r>
        <w:rPr>
          <w:rFonts w:ascii="Arial" w:hAnsi="Arial" w:cs="Arial"/>
          <w:color w:val="000000"/>
          <w:lang w:val="en-GB"/>
        </w:rPr>
        <w:t>influence;</w:t>
      </w:r>
    </w:p>
    <w:p w14:paraId="17B8825F" w14:textId="0DE48505" w:rsidR="00E9477C" w:rsidRPr="00592C5A" w:rsidRDefault="00A465C0" w:rsidP="00E9477C">
      <w:pPr>
        <w:pStyle w:val="ListParagraph"/>
        <w:numPr>
          <w:ilvl w:val="0"/>
          <w:numId w:val="18"/>
        </w:numPr>
        <w:jc w:val="both"/>
        <w:rPr>
          <w:rFonts w:ascii="Arial" w:hAnsi="Arial" w:cs="Arial"/>
          <w:b/>
          <w:lang w:val="en-GB"/>
        </w:rPr>
      </w:pPr>
      <w:r w:rsidRPr="006D35D5">
        <w:rPr>
          <w:rFonts w:ascii="Arial" w:hAnsi="Arial" w:cs="Arial"/>
          <w:lang w:val="en-GB"/>
        </w:rPr>
        <w:t xml:space="preserve">Ability to work in English and Spanish. </w:t>
      </w:r>
    </w:p>
    <w:p w14:paraId="12CFC3B3" w14:textId="77777777" w:rsidR="00E9477C" w:rsidRPr="00592C5A" w:rsidRDefault="00E9477C" w:rsidP="00592C5A">
      <w:pPr>
        <w:pStyle w:val="ListParagraph"/>
        <w:jc w:val="both"/>
        <w:rPr>
          <w:rFonts w:ascii="Arial" w:hAnsi="Arial" w:cs="Arial"/>
          <w:b/>
          <w:lang w:val="en-GB"/>
        </w:rPr>
      </w:pPr>
    </w:p>
    <w:p w14:paraId="5FC046CD" w14:textId="77777777" w:rsidR="00E9477C" w:rsidRPr="000C3A57" w:rsidRDefault="00E9477C" w:rsidP="000C3A57">
      <w:pPr>
        <w:pStyle w:val="Heading2"/>
        <w:spacing w:before="0"/>
        <w:jc w:val="both"/>
        <w:rPr>
          <w:rFonts w:ascii="Arial" w:hAnsi="Arial" w:cs="Arial"/>
          <w:sz w:val="24"/>
          <w:szCs w:val="22"/>
          <w:lang w:val="en-GB"/>
        </w:rPr>
      </w:pPr>
      <w:bookmarkStart w:id="12" w:name="_Toc527384907"/>
      <w:r w:rsidRPr="000C3A57">
        <w:rPr>
          <w:rFonts w:ascii="Arial" w:hAnsi="Arial" w:cs="Arial"/>
          <w:sz w:val="24"/>
          <w:szCs w:val="22"/>
          <w:lang w:val="en-GB"/>
        </w:rPr>
        <w:t>DUTY OF CARE</w:t>
      </w:r>
      <w:bookmarkEnd w:id="12"/>
    </w:p>
    <w:p w14:paraId="6E690B19" w14:textId="77777777" w:rsidR="00E9477C" w:rsidRDefault="00E9477C" w:rsidP="00E9477C">
      <w:pPr>
        <w:pStyle w:val="ListParagraph"/>
        <w:ind w:left="0"/>
        <w:jc w:val="both"/>
        <w:rPr>
          <w:rFonts w:cs="Arial"/>
          <w:color w:val="000000"/>
        </w:rPr>
      </w:pPr>
    </w:p>
    <w:p w14:paraId="4EDBBC1C" w14:textId="77777777" w:rsidR="00E9477C" w:rsidRPr="00592C5A" w:rsidRDefault="00E9477C" w:rsidP="000C3A57">
      <w:pPr>
        <w:pStyle w:val="ListParagraph"/>
        <w:numPr>
          <w:ilvl w:val="0"/>
          <w:numId w:val="1"/>
        </w:numPr>
        <w:spacing w:after="0"/>
        <w:jc w:val="both"/>
        <w:rPr>
          <w:rFonts w:ascii="Arial" w:hAnsi="Arial" w:cs="Arial"/>
          <w:lang w:val="en-GB"/>
        </w:rPr>
      </w:pPr>
      <w:r w:rsidRPr="00592C5A">
        <w:rPr>
          <w:rFonts w:ascii="Arial" w:hAnsi="Arial" w:cs="Arial"/>
          <w:lang w:val="en-GB"/>
        </w:rPr>
        <w:t xml:space="preserve">The Supplier is responsible for the safety and well-being of their Personnel and Third Parties affected by their activities under this Contract, including appropriate security arrangements. They will also be responsible for the provision of suitable security arrangements for their domestic and business property. </w:t>
      </w:r>
    </w:p>
    <w:p w14:paraId="5ECC6C17" w14:textId="77777777" w:rsidR="00E9477C" w:rsidRPr="00592C5A" w:rsidRDefault="00E9477C" w:rsidP="000C3A57">
      <w:pPr>
        <w:pStyle w:val="ListParagraph"/>
        <w:spacing w:after="0"/>
        <w:ind w:left="360"/>
        <w:jc w:val="both"/>
        <w:rPr>
          <w:rFonts w:ascii="Arial" w:hAnsi="Arial" w:cs="Arial"/>
          <w:lang w:val="en-GB"/>
        </w:rPr>
      </w:pPr>
    </w:p>
    <w:p w14:paraId="635B9A1A" w14:textId="77777777" w:rsidR="00E9477C" w:rsidRPr="00592C5A" w:rsidRDefault="00E9477C" w:rsidP="000C3A57">
      <w:pPr>
        <w:pStyle w:val="ListParagraph"/>
        <w:numPr>
          <w:ilvl w:val="0"/>
          <w:numId w:val="1"/>
        </w:numPr>
        <w:spacing w:after="0"/>
        <w:jc w:val="both"/>
        <w:rPr>
          <w:rFonts w:ascii="Arial" w:hAnsi="Arial" w:cs="Arial"/>
          <w:lang w:val="en-GB"/>
        </w:rPr>
      </w:pPr>
      <w:r w:rsidRPr="00592C5A">
        <w:rPr>
          <w:rFonts w:ascii="Arial" w:hAnsi="Arial" w:cs="Arial"/>
          <w:lang w:val="en-GB"/>
        </w:rPr>
        <w:t>The Supplier is responsible for ensuring appropriate safety and security briefings for all of their Personnel working under this Contract and ensuring that their Personnel register and receive briefing as outlined above. Travel advice is also available on the FCO website and the Supplier must ensure they (and their Personnel) are up to date with the latest position.</w:t>
      </w:r>
    </w:p>
    <w:p w14:paraId="4C33B8ED" w14:textId="1CDDE939" w:rsidR="00E9477C" w:rsidRPr="00592C5A" w:rsidRDefault="00E9477C" w:rsidP="000C3A57">
      <w:pPr>
        <w:pStyle w:val="ListParagraph"/>
        <w:spacing w:after="0"/>
        <w:ind w:left="360"/>
        <w:jc w:val="both"/>
        <w:rPr>
          <w:rFonts w:ascii="Arial" w:hAnsi="Arial" w:cs="Arial"/>
          <w:lang w:val="en-GB"/>
        </w:rPr>
      </w:pPr>
    </w:p>
    <w:p w14:paraId="774A41FF" w14:textId="77777777" w:rsidR="00E9477C" w:rsidRPr="00592C5A" w:rsidRDefault="00E9477C" w:rsidP="000C3A57">
      <w:pPr>
        <w:pStyle w:val="ListParagraph"/>
        <w:numPr>
          <w:ilvl w:val="0"/>
          <w:numId w:val="1"/>
        </w:numPr>
        <w:spacing w:after="0"/>
        <w:jc w:val="both"/>
        <w:rPr>
          <w:rFonts w:ascii="Arial" w:hAnsi="Arial" w:cs="Arial"/>
          <w:lang w:val="en-GB"/>
        </w:rPr>
      </w:pPr>
      <w:r w:rsidRPr="00592C5A">
        <w:rPr>
          <w:rFonts w:ascii="Arial" w:hAnsi="Arial" w:cs="Arial"/>
          <w:lang w:val="en-GB"/>
        </w:rPr>
        <w:t xml:space="preserve">Service Suppliers must deliver the contract on the basis of being fully responsible for Duty of Care: </w:t>
      </w:r>
    </w:p>
    <w:p w14:paraId="76D2D509" w14:textId="77777777" w:rsidR="00E9477C" w:rsidRPr="00592C5A" w:rsidRDefault="00E9477C" w:rsidP="000C3A57">
      <w:pPr>
        <w:pStyle w:val="ListParagraph"/>
        <w:numPr>
          <w:ilvl w:val="0"/>
          <w:numId w:val="31"/>
        </w:numPr>
        <w:ind w:left="1418"/>
        <w:jc w:val="both"/>
        <w:rPr>
          <w:rFonts w:ascii="Arial" w:hAnsi="Arial" w:cs="Arial"/>
          <w:color w:val="000000"/>
          <w:lang w:val="en-GB"/>
        </w:rPr>
      </w:pPr>
      <w:r w:rsidRPr="00592C5A">
        <w:rPr>
          <w:rFonts w:ascii="Arial" w:hAnsi="Arial" w:cs="Arial"/>
          <w:color w:val="000000"/>
          <w:lang w:val="en-GB"/>
        </w:rPr>
        <w:t xml:space="preserve">They fully accept responsibility for Security and Duty of Care. </w:t>
      </w:r>
    </w:p>
    <w:p w14:paraId="1143AEC9" w14:textId="77777777" w:rsidR="00E9477C" w:rsidRPr="00592C5A" w:rsidRDefault="00E9477C" w:rsidP="000C3A57">
      <w:pPr>
        <w:pStyle w:val="ListParagraph"/>
        <w:numPr>
          <w:ilvl w:val="0"/>
          <w:numId w:val="31"/>
        </w:numPr>
        <w:ind w:left="1418"/>
        <w:jc w:val="both"/>
        <w:rPr>
          <w:rFonts w:ascii="Arial" w:hAnsi="Arial" w:cs="Arial"/>
          <w:color w:val="000000"/>
          <w:lang w:val="en-GB"/>
        </w:rPr>
      </w:pPr>
      <w:r w:rsidRPr="00592C5A">
        <w:rPr>
          <w:rFonts w:ascii="Arial" w:hAnsi="Arial" w:cs="Arial"/>
          <w:color w:val="000000"/>
          <w:lang w:val="en-GB"/>
        </w:rPr>
        <w:t xml:space="preserve">They understand the potential risks and have the knowledge and experience to develop an effective risk plan. </w:t>
      </w:r>
    </w:p>
    <w:p w14:paraId="70129D61" w14:textId="3707433D" w:rsidR="00E9477C" w:rsidRDefault="00E9477C" w:rsidP="000C3A57">
      <w:pPr>
        <w:pStyle w:val="ListParagraph"/>
        <w:numPr>
          <w:ilvl w:val="0"/>
          <w:numId w:val="31"/>
        </w:numPr>
        <w:ind w:left="1418"/>
        <w:jc w:val="both"/>
        <w:rPr>
          <w:rFonts w:ascii="Arial" w:hAnsi="Arial" w:cs="Arial"/>
          <w:color w:val="000000"/>
          <w:lang w:val="en-GB"/>
        </w:rPr>
      </w:pPr>
      <w:r w:rsidRPr="00592C5A">
        <w:rPr>
          <w:rFonts w:ascii="Arial" w:hAnsi="Arial" w:cs="Arial"/>
          <w:color w:val="000000"/>
          <w:lang w:val="en-GB"/>
        </w:rPr>
        <w:t>They have the capability to manage their Duty of Care responsibilities throughout the life of the contract.</w:t>
      </w:r>
    </w:p>
    <w:p w14:paraId="2CAB4A10" w14:textId="2C732439" w:rsidR="0033342B" w:rsidRDefault="0033342B" w:rsidP="0033342B">
      <w:pPr>
        <w:pStyle w:val="ListParagraph"/>
        <w:ind w:left="1418"/>
        <w:jc w:val="both"/>
        <w:rPr>
          <w:rFonts w:ascii="Arial" w:hAnsi="Arial" w:cs="Arial"/>
          <w:color w:val="000000"/>
          <w:lang w:val="en-GB"/>
        </w:rPr>
      </w:pPr>
    </w:p>
    <w:p w14:paraId="584161EB" w14:textId="536EDC58" w:rsidR="0033342B" w:rsidRDefault="0033342B" w:rsidP="0033342B">
      <w:pPr>
        <w:pStyle w:val="ListParagraph"/>
        <w:ind w:left="1418"/>
        <w:jc w:val="both"/>
        <w:rPr>
          <w:rFonts w:ascii="Arial" w:hAnsi="Arial" w:cs="Arial"/>
          <w:color w:val="000000"/>
          <w:lang w:val="en-GB"/>
        </w:rPr>
      </w:pPr>
    </w:p>
    <w:p w14:paraId="5F07EB2B" w14:textId="77777777" w:rsidR="0033342B" w:rsidRPr="000C3A57" w:rsidRDefault="0033342B" w:rsidP="0033342B">
      <w:pPr>
        <w:pStyle w:val="ListParagraph"/>
        <w:ind w:left="1418"/>
        <w:jc w:val="both"/>
        <w:rPr>
          <w:rFonts w:ascii="Arial" w:hAnsi="Arial" w:cs="Arial"/>
          <w:color w:val="000000"/>
          <w:lang w:val="en-GB"/>
        </w:rPr>
      </w:pPr>
    </w:p>
    <w:p w14:paraId="75C1462D" w14:textId="524918B6" w:rsidR="003803EF" w:rsidRPr="003979F1" w:rsidRDefault="000C3A57" w:rsidP="000C3A57">
      <w:pPr>
        <w:pStyle w:val="Heading2"/>
        <w:spacing w:before="0"/>
        <w:jc w:val="both"/>
        <w:rPr>
          <w:rFonts w:ascii="Arial" w:hAnsi="Arial" w:cs="Arial"/>
          <w:b w:val="0"/>
          <w:bCs w:val="0"/>
          <w:sz w:val="24"/>
          <w:lang w:val="en-GB"/>
        </w:rPr>
      </w:pPr>
      <w:bookmarkStart w:id="13" w:name="_Toc527384908"/>
      <w:r>
        <w:rPr>
          <w:rFonts w:ascii="Arial" w:hAnsi="Arial" w:cs="Arial"/>
          <w:sz w:val="24"/>
          <w:szCs w:val="22"/>
          <w:lang w:val="en-GB"/>
        </w:rPr>
        <w:t>TENDER’S PACKAGE</w:t>
      </w:r>
      <w:bookmarkEnd w:id="13"/>
    </w:p>
    <w:p w14:paraId="12AE1912" w14:textId="77777777" w:rsidR="003803EF" w:rsidRPr="000C3A57" w:rsidRDefault="003803EF" w:rsidP="003803EF">
      <w:pPr>
        <w:tabs>
          <w:tab w:val="left" w:pos="946"/>
        </w:tabs>
        <w:spacing w:after="0"/>
        <w:jc w:val="both"/>
        <w:rPr>
          <w:rFonts w:ascii="Arial" w:eastAsia="MS Mincho" w:hAnsi="Arial" w:cs="Arial"/>
          <w:sz w:val="10"/>
          <w:szCs w:val="10"/>
          <w:lang w:val="en-GB"/>
        </w:rPr>
      </w:pPr>
      <w:r w:rsidRPr="000C3A57">
        <w:rPr>
          <w:rFonts w:ascii="Arial" w:eastAsia="MS Mincho" w:hAnsi="Arial" w:cs="Arial"/>
          <w:lang w:val="en-GB"/>
        </w:rPr>
        <w:tab/>
      </w:r>
    </w:p>
    <w:p w14:paraId="3C049098" w14:textId="132EC302" w:rsidR="003803EF" w:rsidRPr="000C3A57" w:rsidRDefault="003803EF" w:rsidP="000C3A57">
      <w:pPr>
        <w:pStyle w:val="ListParagraph"/>
        <w:numPr>
          <w:ilvl w:val="0"/>
          <w:numId w:val="1"/>
        </w:numPr>
        <w:spacing w:after="0"/>
        <w:jc w:val="both"/>
        <w:rPr>
          <w:rFonts w:ascii="Arial" w:eastAsia="MS Mincho" w:hAnsi="Arial" w:cs="Arial"/>
          <w:lang w:val="en-GB"/>
        </w:rPr>
      </w:pPr>
      <w:r w:rsidRPr="000C3A57">
        <w:rPr>
          <w:rFonts w:ascii="Arial" w:eastAsia="MS Mincho" w:hAnsi="Arial" w:cs="Arial"/>
          <w:lang w:val="en-GB"/>
        </w:rPr>
        <w:t>Tenders should include:</w:t>
      </w:r>
    </w:p>
    <w:p w14:paraId="03FBE930" w14:textId="77777777" w:rsidR="00D159BA" w:rsidRPr="000C3A57" w:rsidRDefault="00D159BA" w:rsidP="003803EF">
      <w:pPr>
        <w:spacing w:after="0"/>
        <w:jc w:val="both"/>
        <w:rPr>
          <w:rFonts w:ascii="Arial" w:eastAsia="MS Mincho" w:hAnsi="Arial" w:cs="Arial"/>
          <w:lang w:val="en-GB"/>
        </w:rPr>
      </w:pPr>
    </w:p>
    <w:p w14:paraId="162BF4E2" w14:textId="10EA4596" w:rsidR="003803EF" w:rsidRPr="00AE2E76" w:rsidRDefault="003803EF" w:rsidP="005D03E2">
      <w:pPr>
        <w:numPr>
          <w:ilvl w:val="0"/>
          <w:numId w:val="7"/>
        </w:numPr>
        <w:spacing w:after="0"/>
        <w:jc w:val="both"/>
        <w:rPr>
          <w:rFonts w:ascii="Arial" w:eastAsia="MS Mincho" w:hAnsi="Arial" w:cs="Arial"/>
          <w:lang w:val="en-GB"/>
        </w:rPr>
      </w:pPr>
      <w:r w:rsidRPr="009956D7">
        <w:rPr>
          <w:rFonts w:ascii="Arial" w:eastAsia="MS Mincho" w:hAnsi="Arial" w:cs="Arial"/>
          <w:lang w:val="en-GB"/>
        </w:rPr>
        <w:t>A</w:t>
      </w:r>
      <w:r w:rsidR="00B648BE" w:rsidRPr="009956D7">
        <w:rPr>
          <w:rFonts w:ascii="Arial" w:eastAsia="MS Mincho" w:hAnsi="Arial" w:cs="Arial"/>
          <w:lang w:val="en-GB"/>
        </w:rPr>
        <w:t xml:space="preserve"> two-page</w:t>
      </w:r>
      <w:r w:rsidRPr="009956D7">
        <w:rPr>
          <w:rFonts w:ascii="Arial" w:eastAsia="MS Mincho" w:hAnsi="Arial" w:cs="Arial"/>
          <w:lang w:val="en-GB"/>
        </w:rPr>
        <w:t xml:space="preserve"> cover letter introducing the evaluators/organisation and how the skills and competencies described above are met, with concrete examples. </w:t>
      </w:r>
    </w:p>
    <w:p w14:paraId="2F5E3787" w14:textId="2FDDF474" w:rsidR="003803EF" w:rsidRPr="009956D7" w:rsidRDefault="003803EF" w:rsidP="005D03E2">
      <w:pPr>
        <w:numPr>
          <w:ilvl w:val="0"/>
          <w:numId w:val="7"/>
        </w:numPr>
        <w:spacing w:after="0"/>
        <w:jc w:val="both"/>
        <w:rPr>
          <w:rFonts w:ascii="Arial" w:eastAsia="MS Mincho" w:hAnsi="Arial" w:cs="Arial"/>
          <w:lang w:val="en-GB"/>
        </w:rPr>
      </w:pPr>
      <w:r w:rsidRPr="009956D7">
        <w:rPr>
          <w:rFonts w:ascii="Arial" w:eastAsia="MS Mincho" w:hAnsi="Arial" w:cs="Arial"/>
          <w:lang w:val="en-GB"/>
        </w:rPr>
        <w:t>A 4</w:t>
      </w:r>
      <w:r w:rsidR="00DD7605">
        <w:rPr>
          <w:rFonts w:ascii="Arial" w:eastAsia="MS Mincho" w:hAnsi="Arial" w:cs="Arial"/>
          <w:lang w:val="en-GB"/>
        </w:rPr>
        <w:t>-</w:t>
      </w:r>
      <w:r w:rsidRPr="009956D7">
        <w:rPr>
          <w:rFonts w:ascii="Arial" w:eastAsia="MS Mincho" w:hAnsi="Arial" w:cs="Arial"/>
          <w:lang w:val="en-GB"/>
        </w:rPr>
        <w:t xml:space="preserve"> page outline of the proposed review process including:</w:t>
      </w:r>
    </w:p>
    <w:p w14:paraId="4C84FD13" w14:textId="2000BBCB" w:rsidR="003803EF" w:rsidRPr="009956D7" w:rsidRDefault="003803EF" w:rsidP="005D03E2">
      <w:pPr>
        <w:numPr>
          <w:ilvl w:val="1"/>
          <w:numId w:val="7"/>
        </w:numPr>
        <w:spacing w:after="0"/>
        <w:jc w:val="both"/>
        <w:rPr>
          <w:rFonts w:ascii="Arial" w:eastAsia="MS Mincho" w:hAnsi="Arial" w:cs="Arial"/>
          <w:lang w:val="en-GB"/>
        </w:rPr>
      </w:pPr>
      <w:r w:rsidRPr="009956D7">
        <w:rPr>
          <w:rFonts w:ascii="Arial" w:eastAsia="MS Mincho" w:hAnsi="Arial" w:cs="Arial"/>
          <w:lang w:val="en-GB"/>
        </w:rPr>
        <w:t>Proposed outline methodology</w:t>
      </w:r>
      <w:r w:rsidR="006A0A5B" w:rsidRPr="009956D7">
        <w:rPr>
          <w:rFonts w:ascii="Arial" w:eastAsia="MS Mincho" w:hAnsi="Arial" w:cs="Arial"/>
          <w:lang w:val="en-GB"/>
        </w:rPr>
        <w:t xml:space="preserve"> (2 pages).</w:t>
      </w:r>
    </w:p>
    <w:p w14:paraId="2089D781" w14:textId="150ECAC1" w:rsidR="00592C5A" w:rsidRPr="009956D7" w:rsidRDefault="0033342B" w:rsidP="00CE30AA">
      <w:pPr>
        <w:numPr>
          <w:ilvl w:val="1"/>
          <w:numId w:val="7"/>
        </w:numPr>
        <w:spacing w:after="0"/>
        <w:jc w:val="both"/>
        <w:rPr>
          <w:rFonts w:ascii="Arial" w:eastAsia="MS Mincho" w:hAnsi="Arial" w:cs="Arial"/>
          <w:lang w:val="en-GB"/>
        </w:rPr>
      </w:pPr>
      <w:r>
        <w:rPr>
          <w:rFonts w:ascii="Arial" w:eastAsia="MS Mincho" w:hAnsi="Arial" w:cs="Arial"/>
          <w:lang w:val="en-GB"/>
        </w:rPr>
        <w:t>A stakeholder engagement plan</w:t>
      </w:r>
      <w:r w:rsidR="006A0A5B" w:rsidRPr="009956D7">
        <w:rPr>
          <w:rFonts w:ascii="Arial" w:eastAsia="MS Mincho" w:hAnsi="Arial" w:cs="Arial"/>
          <w:lang w:val="en-GB"/>
        </w:rPr>
        <w:t xml:space="preserve"> (1 page)</w:t>
      </w:r>
      <w:r w:rsidR="00592C5A" w:rsidRPr="009956D7">
        <w:rPr>
          <w:rFonts w:ascii="Arial" w:eastAsia="MS Mincho" w:hAnsi="Arial" w:cs="Arial"/>
          <w:lang w:val="en-GB"/>
        </w:rPr>
        <w:t xml:space="preserve">. </w:t>
      </w:r>
    </w:p>
    <w:p w14:paraId="631D3399" w14:textId="0A1D3E52" w:rsidR="00592C5A" w:rsidRPr="00AE2E76" w:rsidRDefault="00592C5A" w:rsidP="00CE30AA">
      <w:pPr>
        <w:numPr>
          <w:ilvl w:val="1"/>
          <w:numId w:val="7"/>
        </w:numPr>
        <w:spacing w:after="0"/>
        <w:jc w:val="both"/>
        <w:rPr>
          <w:rFonts w:ascii="Arial" w:eastAsia="MS Mincho" w:hAnsi="Arial" w:cs="Arial"/>
          <w:lang w:val="en-GB"/>
        </w:rPr>
      </w:pPr>
      <w:r w:rsidRPr="00AE2E76">
        <w:rPr>
          <w:rFonts w:ascii="Arial" w:eastAsia="MS Mincho" w:hAnsi="Arial" w:cs="Arial"/>
          <w:lang w:val="en-GB"/>
        </w:rPr>
        <w:t>Timeline / Project plan for the delivery of the project</w:t>
      </w:r>
      <w:r w:rsidR="006A0A5B" w:rsidRPr="00AE2E76">
        <w:rPr>
          <w:rFonts w:ascii="Arial" w:eastAsia="MS Mincho" w:hAnsi="Arial" w:cs="Arial"/>
          <w:lang w:val="en-GB"/>
        </w:rPr>
        <w:t xml:space="preserve"> (1 page)</w:t>
      </w:r>
    </w:p>
    <w:p w14:paraId="4B9C0CC3" w14:textId="5665F3D4" w:rsidR="003803EF" w:rsidRPr="009956D7" w:rsidRDefault="003803EF" w:rsidP="005D03E2">
      <w:pPr>
        <w:numPr>
          <w:ilvl w:val="0"/>
          <w:numId w:val="7"/>
        </w:numPr>
        <w:spacing w:after="0"/>
        <w:jc w:val="both"/>
        <w:rPr>
          <w:rFonts w:ascii="Arial" w:eastAsia="MS Mincho" w:hAnsi="Arial" w:cs="Arial"/>
          <w:lang w:val="en-GB"/>
        </w:rPr>
      </w:pPr>
      <w:r w:rsidRPr="009956D7">
        <w:rPr>
          <w:rFonts w:ascii="Arial" w:eastAsia="MS Mincho" w:hAnsi="Arial" w:cs="Arial"/>
          <w:lang w:val="en-GB"/>
        </w:rPr>
        <w:t>A one-page budget covering all major costs</w:t>
      </w:r>
      <w:r w:rsidR="004A2315" w:rsidRPr="009956D7">
        <w:rPr>
          <w:rFonts w:ascii="Arial" w:eastAsia="MS Mincho" w:hAnsi="Arial" w:cs="Arial"/>
          <w:lang w:val="en-GB"/>
        </w:rPr>
        <w:t xml:space="preserve"> (See ATT5 Schedule of Prices and Rates)</w:t>
      </w:r>
      <w:r w:rsidRPr="009956D7">
        <w:rPr>
          <w:rFonts w:ascii="Arial" w:eastAsia="MS Mincho" w:hAnsi="Arial" w:cs="Arial"/>
          <w:lang w:val="en-GB"/>
        </w:rPr>
        <w:t>:</w:t>
      </w:r>
    </w:p>
    <w:p w14:paraId="3CA2781F" w14:textId="77777777" w:rsidR="003803EF" w:rsidRPr="009956D7" w:rsidRDefault="003803EF" w:rsidP="005D03E2">
      <w:pPr>
        <w:numPr>
          <w:ilvl w:val="0"/>
          <w:numId w:val="8"/>
        </w:numPr>
        <w:spacing w:after="0"/>
        <w:jc w:val="both"/>
        <w:rPr>
          <w:rFonts w:ascii="Arial" w:eastAsia="MS Mincho" w:hAnsi="Arial" w:cs="Arial"/>
          <w:lang w:val="en-GB"/>
        </w:rPr>
      </w:pPr>
      <w:r w:rsidRPr="009956D7">
        <w:rPr>
          <w:rFonts w:ascii="Arial" w:eastAsia="MS Mincho" w:hAnsi="Arial" w:cs="Arial"/>
          <w:lang w:val="en-GB"/>
        </w:rPr>
        <w:t>Researcher fees.</w:t>
      </w:r>
    </w:p>
    <w:p w14:paraId="3FE70A97" w14:textId="3E85A6FB" w:rsidR="003803EF" w:rsidRPr="009956D7" w:rsidRDefault="00242019" w:rsidP="005D03E2">
      <w:pPr>
        <w:numPr>
          <w:ilvl w:val="0"/>
          <w:numId w:val="8"/>
        </w:numPr>
        <w:spacing w:after="0"/>
        <w:jc w:val="both"/>
        <w:rPr>
          <w:rFonts w:ascii="Arial" w:eastAsia="MS Mincho" w:hAnsi="Arial" w:cs="Arial"/>
          <w:lang w:val="en-GB"/>
        </w:rPr>
      </w:pPr>
      <w:r w:rsidRPr="009956D7">
        <w:rPr>
          <w:rFonts w:ascii="Arial" w:eastAsia="MS Mincho" w:hAnsi="Arial" w:cs="Arial"/>
          <w:lang w:val="en-GB"/>
        </w:rPr>
        <w:t>Additional costs/expenses</w:t>
      </w:r>
    </w:p>
    <w:p w14:paraId="1D8E07B8" w14:textId="7EEDEE8B" w:rsidR="003803EF" w:rsidRPr="00AE2E76" w:rsidRDefault="003803EF" w:rsidP="005D03E2">
      <w:pPr>
        <w:numPr>
          <w:ilvl w:val="0"/>
          <w:numId w:val="7"/>
        </w:numPr>
        <w:spacing w:after="0"/>
        <w:jc w:val="both"/>
        <w:rPr>
          <w:rFonts w:ascii="Arial" w:eastAsia="MS Mincho" w:hAnsi="Arial" w:cs="Arial"/>
          <w:lang w:val="en-GB"/>
        </w:rPr>
      </w:pPr>
      <w:r w:rsidRPr="009956D7">
        <w:rPr>
          <w:rFonts w:ascii="Arial" w:eastAsia="MS Mincho" w:hAnsi="Arial" w:cs="Arial"/>
          <w:lang w:val="en-GB"/>
        </w:rPr>
        <w:t xml:space="preserve">A </w:t>
      </w:r>
      <w:r w:rsidR="009914C9">
        <w:rPr>
          <w:rFonts w:ascii="Arial" w:eastAsia="MS Mincho" w:hAnsi="Arial" w:cs="Arial"/>
          <w:lang w:val="en-GB"/>
        </w:rPr>
        <w:t>one</w:t>
      </w:r>
      <w:r w:rsidR="00E726D7" w:rsidRPr="009956D7">
        <w:rPr>
          <w:rFonts w:ascii="Arial" w:eastAsia="MS Mincho" w:hAnsi="Arial" w:cs="Arial"/>
          <w:lang w:val="en-GB"/>
        </w:rPr>
        <w:t>-page project team/resource plan, accompanied by a</w:t>
      </w:r>
      <w:r w:rsidR="002129DE">
        <w:rPr>
          <w:rFonts w:ascii="Arial" w:eastAsia="MS Mincho" w:hAnsi="Arial" w:cs="Arial"/>
          <w:lang w:val="en-GB"/>
        </w:rPr>
        <w:t xml:space="preserve"> 1-page organogram and a</w:t>
      </w:r>
      <w:r w:rsidR="00E726D7" w:rsidRPr="009956D7">
        <w:rPr>
          <w:rFonts w:ascii="Arial" w:eastAsia="MS Mincho" w:hAnsi="Arial" w:cs="Arial"/>
          <w:lang w:val="en-GB"/>
        </w:rPr>
        <w:t xml:space="preserve"> </w:t>
      </w:r>
      <w:r w:rsidR="00D159BA" w:rsidRPr="009956D7">
        <w:rPr>
          <w:rFonts w:ascii="Arial" w:eastAsia="MS Mincho" w:hAnsi="Arial" w:cs="Arial"/>
          <w:lang w:val="en-GB"/>
        </w:rPr>
        <w:t>1</w:t>
      </w:r>
      <w:r w:rsidRPr="009956D7">
        <w:rPr>
          <w:rFonts w:ascii="Arial" w:eastAsia="MS Mincho" w:hAnsi="Arial" w:cs="Arial"/>
          <w:lang w:val="en-GB"/>
        </w:rPr>
        <w:t>-page CV for each team member</w:t>
      </w:r>
      <w:r w:rsidR="00E726D7" w:rsidRPr="00AE2E76">
        <w:rPr>
          <w:rFonts w:ascii="Arial" w:eastAsia="MS Mincho" w:hAnsi="Arial" w:cs="Arial"/>
          <w:lang w:val="en-GB"/>
        </w:rPr>
        <w:t xml:space="preserve"> involved in the project.</w:t>
      </w:r>
    </w:p>
    <w:p w14:paraId="573F2FB0" w14:textId="2761737C" w:rsidR="00E726D7" w:rsidRPr="009956D7" w:rsidRDefault="009914C9" w:rsidP="005D03E2">
      <w:pPr>
        <w:numPr>
          <w:ilvl w:val="0"/>
          <w:numId w:val="7"/>
        </w:numPr>
        <w:spacing w:after="0"/>
        <w:jc w:val="both"/>
        <w:rPr>
          <w:rFonts w:ascii="Arial" w:eastAsia="MS Mincho" w:hAnsi="Arial" w:cs="Arial"/>
          <w:lang w:val="en-GB"/>
        </w:rPr>
      </w:pPr>
      <w:r>
        <w:rPr>
          <w:rFonts w:ascii="Arial" w:eastAsia="MS Mincho" w:hAnsi="Arial" w:cs="Arial"/>
          <w:lang w:val="en-GB"/>
        </w:rPr>
        <w:t>A one</w:t>
      </w:r>
      <w:r w:rsidR="00DD7605">
        <w:rPr>
          <w:rFonts w:ascii="Arial" w:eastAsia="MS Mincho" w:hAnsi="Arial" w:cs="Arial"/>
          <w:lang w:val="en-GB"/>
        </w:rPr>
        <w:t>-</w:t>
      </w:r>
      <w:r w:rsidR="00E726D7" w:rsidRPr="009956D7">
        <w:rPr>
          <w:rFonts w:ascii="Arial" w:eastAsia="MS Mincho" w:hAnsi="Arial" w:cs="Arial"/>
          <w:lang w:val="en-GB"/>
        </w:rPr>
        <w:t xml:space="preserve"> page risk management strategy.</w:t>
      </w:r>
    </w:p>
    <w:p w14:paraId="6CCACE8B" w14:textId="00E26647" w:rsidR="003803EF" w:rsidRPr="009956D7" w:rsidRDefault="009914C9" w:rsidP="005D03E2">
      <w:pPr>
        <w:numPr>
          <w:ilvl w:val="0"/>
          <w:numId w:val="7"/>
        </w:numPr>
        <w:spacing w:after="0"/>
        <w:jc w:val="both"/>
        <w:rPr>
          <w:rFonts w:ascii="Arial" w:eastAsia="MS Mincho" w:hAnsi="Arial" w:cs="Arial"/>
          <w:lang w:val="en-GB"/>
        </w:rPr>
      </w:pPr>
      <w:r>
        <w:rPr>
          <w:rFonts w:ascii="Arial" w:eastAsia="MS Mincho" w:hAnsi="Arial" w:cs="Arial"/>
          <w:lang w:val="en-GB"/>
        </w:rPr>
        <w:t>A two</w:t>
      </w:r>
      <w:r w:rsidR="00CE30AA" w:rsidRPr="009956D7">
        <w:rPr>
          <w:rFonts w:ascii="Arial" w:eastAsia="MS Mincho" w:hAnsi="Arial" w:cs="Arial"/>
          <w:lang w:val="en-GB"/>
        </w:rPr>
        <w:t>-page summary of previous work, where you have conducted research, analysis, or reports in the relevant areas of work.</w:t>
      </w:r>
    </w:p>
    <w:p w14:paraId="463D482D" w14:textId="77777777" w:rsidR="006D35D5" w:rsidRPr="009956D7" w:rsidRDefault="006D35D5" w:rsidP="005D03E2">
      <w:pPr>
        <w:pStyle w:val="Heading2"/>
        <w:spacing w:before="0"/>
        <w:ind w:left="720"/>
        <w:jc w:val="both"/>
        <w:rPr>
          <w:rFonts w:ascii="Arial" w:eastAsia="MS Mincho" w:hAnsi="Arial" w:cs="Arial"/>
          <w:lang w:val="en-GB"/>
        </w:rPr>
      </w:pPr>
      <w:bookmarkStart w:id="14" w:name="_Toc489255513"/>
    </w:p>
    <w:p w14:paraId="588FE4AC" w14:textId="71CFA6C2" w:rsidR="008C10A2" w:rsidRPr="009956D7" w:rsidRDefault="008C10A2" w:rsidP="000C3A57">
      <w:pPr>
        <w:pStyle w:val="ListParagraph"/>
        <w:numPr>
          <w:ilvl w:val="0"/>
          <w:numId w:val="1"/>
        </w:numPr>
        <w:spacing w:after="0"/>
        <w:jc w:val="both"/>
        <w:rPr>
          <w:rFonts w:ascii="Arial" w:eastAsia="MS Mincho" w:hAnsi="Arial" w:cs="Arial"/>
          <w:lang w:val="en-GB"/>
        </w:rPr>
      </w:pPr>
      <w:r w:rsidRPr="009956D7">
        <w:rPr>
          <w:rFonts w:ascii="Arial" w:eastAsia="MS Mincho" w:hAnsi="Arial" w:cs="Arial"/>
          <w:lang w:val="en-GB"/>
        </w:rPr>
        <w:t>Assessment</w:t>
      </w:r>
      <w:bookmarkEnd w:id="14"/>
      <w:r w:rsidRPr="009956D7">
        <w:rPr>
          <w:rFonts w:ascii="Arial" w:eastAsia="MS Mincho" w:hAnsi="Arial" w:cs="Arial"/>
          <w:lang w:val="en-GB"/>
        </w:rPr>
        <w:t xml:space="preserve"> </w:t>
      </w:r>
    </w:p>
    <w:p w14:paraId="234490CC" w14:textId="77777777" w:rsidR="008C10A2" w:rsidRPr="009956D7" w:rsidRDefault="008C10A2" w:rsidP="008C10A2">
      <w:pPr>
        <w:spacing w:after="0"/>
        <w:rPr>
          <w:sz w:val="10"/>
          <w:szCs w:val="10"/>
          <w:lang w:val="en-GB" w:eastAsia="en-GB"/>
        </w:rPr>
      </w:pPr>
    </w:p>
    <w:p w14:paraId="1873B4AF" w14:textId="77777777" w:rsidR="008C10A2" w:rsidRPr="009956D7" w:rsidRDefault="008C10A2" w:rsidP="008C10A2">
      <w:pPr>
        <w:spacing w:after="0"/>
        <w:jc w:val="both"/>
        <w:rPr>
          <w:rFonts w:ascii="Arial" w:eastAsia="MS Mincho" w:hAnsi="Arial" w:cs="Arial"/>
          <w:lang w:val="en-GB"/>
        </w:rPr>
      </w:pPr>
      <w:r w:rsidRPr="009956D7">
        <w:rPr>
          <w:rFonts w:ascii="Arial" w:eastAsia="MS Mincho" w:hAnsi="Arial" w:cs="Arial"/>
          <w:lang w:val="en-GB"/>
        </w:rPr>
        <w:t>Evaluation Criteria for selection will be based on quality, technical and commercial supports as follow:</w:t>
      </w:r>
    </w:p>
    <w:p w14:paraId="29E7577F" w14:textId="30F815CE" w:rsidR="008C10A2" w:rsidRPr="009956D7" w:rsidRDefault="008C10A2" w:rsidP="008C10A2">
      <w:pPr>
        <w:numPr>
          <w:ilvl w:val="0"/>
          <w:numId w:val="9"/>
        </w:numPr>
        <w:spacing w:after="0"/>
        <w:jc w:val="both"/>
        <w:rPr>
          <w:rFonts w:ascii="Arial" w:eastAsia="MS Mincho" w:hAnsi="Arial" w:cs="Arial"/>
          <w:i/>
          <w:lang w:val="en-GB"/>
        </w:rPr>
      </w:pPr>
      <w:r w:rsidRPr="009956D7">
        <w:rPr>
          <w:rFonts w:ascii="Arial" w:eastAsia="MS Mincho" w:hAnsi="Arial" w:cs="Arial"/>
          <w:i/>
          <w:lang w:val="en-GB"/>
        </w:rPr>
        <w:t>Methodology</w:t>
      </w:r>
      <w:r w:rsidR="004A2315" w:rsidRPr="009956D7">
        <w:rPr>
          <w:rFonts w:ascii="Arial" w:eastAsia="MS Mincho" w:hAnsi="Arial" w:cs="Arial"/>
          <w:i/>
          <w:lang w:val="en-GB"/>
        </w:rPr>
        <w:t xml:space="preserve"> and Project Management</w:t>
      </w:r>
    </w:p>
    <w:p w14:paraId="2B146646" w14:textId="19F0DD30" w:rsidR="008C10A2" w:rsidRPr="009956D7" w:rsidRDefault="000D323C" w:rsidP="008C10A2">
      <w:pPr>
        <w:numPr>
          <w:ilvl w:val="0"/>
          <w:numId w:val="9"/>
        </w:numPr>
        <w:spacing w:after="0"/>
        <w:jc w:val="both"/>
        <w:rPr>
          <w:rFonts w:ascii="Arial" w:eastAsia="MS Mincho" w:hAnsi="Arial" w:cs="Arial"/>
          <w:i/>
          <w:lang w:val="en-GB"/>
        </w:rPr>
      </w:pPr>
      <w:r w:rsidRPr="009956D7">
        <w:rPr>
          <w:rFonts w:ascii="Arial" w:eastAsia="MS Mincho" w:hAnsi="Arial" w:cs="Arial"/>
          <w:i/>
          <w:lang w:val="en-GB"/>
        </w:rPr>
        <w:t>Expertise</w:t>
      </w:r>
    </w:p>
    <w:p w14:paraId="48A45BAD" w14:textId="77777777" w:rsidR="008C10A2" w:rsidRPr="009956D7" w:rsidRDefault="008C10A2" w:rsidP="008C10A2">
      <w:pPr>
        <w:numPr>
          <w:ilvl w:val="0"/>
          <w:numId w:val="9"/>
        </w:numPr>
        <w:spacing w:after="0"/>
        <w:jc w:val="both"/>
        <w:rPr>
          <w:rFonts w:ascii="Arial" w:eastAsia="MS Mincho" w:hAnsi="Arial" w:cs="Arial"/>
          <w:i/>
          <w:lang w:val="en-GB"/>
        </w:rPr>
      </w:pPr>
      <w:r w:rsidRPr="009956D7">
        <w:rPr>
          <w:rFonts w:ascii="Arial" w:eastAsia="MS Mincho" w:hAnsi="Arial" w:cs="Arial"/>
          <w:i/>
          <w:lang w:val="en-GB"/>
        </w:rPr>
        <w:t xml:space="preserve">Risk Management </w:t>
      </w:r>
    </w:p>
    <w:p w14:paraId="01F20F0D" w14:textId="7CB3AA83" w:rsidR="008C10A2" w:rsidRPr="009956D7" w:rsidRDefault="008C10A2" w:rsidP="008C10A2">
      <w:pPr>
        <w:numPr>
          <w:ilvl w:val="0"/>
          <w:numId w:val="9"/>
        </w:numPr>
        <w:spacing w:after="0"/>
        <w:jc w:val="both"/>
        <w:rPr>
          <w:rFonts w:ascii="Arial" w:eastAsia="MS Mincho" w:hAnsi="Arial" w:cs="Arial"/>
          <w:i/>
          <w:lang w:val="en-GB"/>
        </w:rPr>
      </w:pPr>
      <w:r w:rsidRPr="009956D7">
        <w:rPr>
          <w:rFonts w:ascii="Arial" w:eastAsia="MS Mincho" w:hAnsi="Arial" w:cs="Arial"/>
          <w:i/>
          <w:lang w:val="en-GB"/>
        </w:rPr>
        <w:t xml:space="preserve">Project team / </w:t>
      </w:r>
      <w:r w:rsidR="00DD7605" w:rsidRPr="009956D7">
        <w:rPr>
          <w:rFonts w:ascii="Arial" w:eastAsia="MS Mincho" w:hAnsi="Arial" w:cs="Arial"/>
          <w:i/>
          <w:lang w:val="en-GB"/>
        </w:rPr>
        <w:t>Resource</w:t>
      </w:r>
      <w:r w:rsidRPr="009956D7">
        <w:rPr>
          <w:rFonts w:ascii="Arial" w:eastAsia="MS Mincho" w:hAnsi="Arial" w:cs="Arial"/>
          <w:i/>
          <w:lang w:val="en-GB"/>
        </w:rPr>
        <w:t xml:space="preserve"> Plan</w:t>
      </w:r>
    </w:p>
    <w:p w14:paraId="3E3803FE" w14:textId="77777777" w:rsidR="008C10A2" w:rsidRPr="009956D7" w:rsidRDefault="008C10A2" w:rsidP="008C10A2">
      <w:pPr>
        <w:numPr>
          <w:ilvl w:val="0"/>
          <w:numId w:val="9"/>
        </w:numPr>
        <w:spacing w:after="0"/>
        <w:jc w:val="both"/>
        <w:rPr>
          <w:rFonts w:ascii="Arial" w:eastAsia="MS Mincho" w:hAnsi="Arial" w:cs="Arial"/>
          <w:i/>
          <w:lang w:val="en-GB"/>
        </w:rPr>
      </w:pPr>
      <w:r w:rsidRPr="009956D7">
        <w:rPr>
          <w:rFonts w:ascii="Arial" w:eastAsia="MS Mincho" w:hAnsi="Arial" w:cs="Arial"/>
          <w:i/>
          <w:lang w:val="en-GB"/>
        </w:rPr>
        <w:t>Value for money</w:t>
      </w:r>
    </w:p>
    <w:p w14:paraId="05FE0FCE" w14:textId="77777777" w:rsidR="008C10A2" w:rsidRDefault="008C10A2" w:rsidP="008C10A2">
      <w:pPr>
        <w:pStyle w:val="ListParagraph"/>
        <w:numPr>
          <w:ilvl w:val="0"/>
          <w:numId w:val="10"/>
        </w:numPr>
        <w:spacing w:after="0"/>
        <w:jc w:val="both"/>
        <w:rPr>
          <w:rFonts w:ascii="Arial" w:eastAsia="MS Mincho" w:hAnsi="Arial" w:cs="Arial"/>
          <w:lang w:val="en-GB"/>
        </w:rPr>
      </w:pPr>
      <w:r w:rsidRPr="00080B45">
        <w:rPr>
          <w:rFonts w:ascii="Arial" w:eastAsia="MS Mincho" w:hAnsi="Arial" w:cs="Arial"/>
          <w:lang w:val="en-GB"/>
        </w:rPr>
        <w:t xml:space="preserve">Cost competitiveness in achieving the volume and quality of activities and outputs that will deliver the best results and outcomes anticipated, including activity costs and administrative fees. </w:t>
      </w:r>
      <w:r w:rsidRPr="00723F60">
        <w:rPr>
          <w:rFonts w:ascii="Arial" w:eastAsia="MS Mincho" w:hAnsi="Arial" w:cs="Arial"/>
          <w:lang w:val="en-GB"/>
        </w:rPr>
        <w:t xml:space="preserve">The </w:t>
      </w:r>
      <w:r>
        <w:rPr>
          <w:rFonts w:ascii="Arial" w:eastAsia="MS Mincho" w:hAnsi="Arial" w:cs="Arial"/>
          <w:lang w:val="en-GB"/>
        </w:rPr>
        <w:t>successful bidder</w:t>
      </w:r>
      <w:r w:rsidRPr="00723F60">
        <w:rPr>
          <w:rFonts w:ascii="Arial" w:eastAsia="MS Mincho" w:hAnsi="Arial" w:cs="Arial"/>
          <w:lang w:val="en-GB"/>
        </w:rPr>
        <w:t xml:space="preserve"> undertakes to make all reasonable efforts to ensure that all goods and Services purchased in support of this Contract are purchased at the best possible market price, in line with the Authority’s r</w:t>
      </w:r>
      <w:r>
        <w:rPr>
          <w:rFonts w:ascii="Arial" w:eastAsia="MS Mincho" w:hAnsi="Arial" w:cs="Arial"/>
          <w:lang w:val="en-GB"/>
        </w:rPr>
        <w:t>equirements</w:t>
      </w:r>
      <w:r w:rsidRPr="00723F60">
        <w:rPr>
          <w:rFonts w:ascii="Arial" w:eastAsia="MS Mincho" w:hAnsi="Arial" w:cs="Arial"/>
          <w:lang w:val="en-GB"/>
        </w:rPr>
        <w:t>.</w:t>
      </w:r>
    </w:p>
    <w:p w14:paraId="7EB104DC" w14:textId="77777777" w:rsidR="008C10A2" w:rsidRDefault="008C10A2" w:rsidP="008C10A2">
      <w:pPr>
        <w:spacing w:after="0"/>
        <w:jc w:val="both"/>
        <w:rPr>
          <w:rFonts w:ascii="Arial" w:eastAsia="MS Mincho" w:hAnsi="Arial" w:cs="Arial"/>
          <w:lang w:val="en-GB"/>
        </w:rPr>
      </w:pPr>
    </w:p>
    <w:p w14:paraId="7E61BFDC" w14:textId="5B4C847B" w:rsidR="008C10A2" w:rsidRPr="005D03E2" w:rsidRDefault="008C10A2" w:rsidP="005D03E2">
      <w:pPr>
        <w:rPr>
          <w:b/>
          <w:lang w:val="en-GB"/>
        </w:rPr>
      </w:pPr>
      <w:r w:rsidRPr="001B5B0B">
        <w:rPr>
          <w:rFonts w:ascii="Arial" w:eastAsia="MS Mincho" w:hAnsi="Arial" w:cs="Arial"/>
          <w:lang w:val="en-GB"/>
        </w:rPr>
        <w:t>For detaile</w:t>
      </w:r>
      <w:r>
        <w:rPr>
          <w:rFonts w:ascii="Arial" w:eastAsia="MS Mincho" w:hAnsi="Arial" w:cs="Arial"/>
          <w:lang w:val="en-GB"/>
        </w:rPr>
        <w:t>d</w:t>
      </w:r>
      <w:r w:rsidRPr="001B5B0B">
        <w:rPr>
          <w:rFonts w:ascii="Arial" w:eastAsia="MS Mincho" w:hAnsi="Arial" w:cs="Arial"/>
          <w:lang w:val="en-GB"/>
        </w:rPr>
        <w:t xml:space="preserve"> information </w:t>
      </w:r>
      <w:r>
        <w:rPr>
          <w:rFonts w:ascii="Arial" w:eastAsia="MS Mincho" w:hAnsi="Arial" w:cs="Arial"/>
          <w:lang w:val="en-GB"/>
        </w:rPr>
        <w:t xml:space="preserve">in this section </w:t>
      </w:r>
      <w:r w:rsidRPr="001B5B0B">
        <w:rPr>
          <w:rFonts w:ascii="Arial" w:eastAsia="MS Mincho" w:hAnsi="Arial" w:cs="Arial"/>
          <w:lang w:val="en-GB"/>
        </w:rPr>
        <w:t xml:space="preserve">see </w:t>
      </w:r>
      <w:r w:rsidR="00592C5A">
        <w:rPr>
          <w:rFonts w:ascii="Arial" w:eastAsia="MS Mincho" w:hAnsi="Arial" w:cs="Arial"/>
          <w:u w:val="single"/>
          <w:lang w:val="en-GB"/>
        </w:rPr>
        <w:t>ATT 2</w:t>
      </w:r>
      <w:r w:rsidRPr="001B5B0B">
        <w:rPr>
          <w:rFonts w:ascii="Arial" w:eastAsia="MS Mincho" w:hAnsi="Arial" w:cs="Arial"/>
          <w:u w:val="single"/>
          <w:lang w:val="en-GB"/>
        </w:rPr>
        <w:t xml:space="preserve"> Information Required from </w:t>
      </w:r>
      <w:r w:rsidR="002D5C79" w:rsidRPr="001B5B0B">
        <w:rPr>
          <w:rFonts w:ascii="Arial" w:eastAsia="MS Mincho" w:hAnsi="Arial" w:cs="Arial"/>
          <w:u w:val="single"/>
          <w:lang w:val="en-GB"/>
        </w:rPr>
        <w:t>Tenderers</w:t>
      </w:r>
      <w:r w:rsidRPr="001B5B0B">
        <w:rPr>
          <w:rFonts w:ascii="Arial" w:eastAsia="MS Mincho" w:hAnsi="Arial" w:cs="Arial"/>
          <w:u w:val="single"/>
          <w:lang w:val="en-GB"/>
        </w:rPr>
        <w:t xml:space="preserve"> Evaluation Criteria</w:t>
      </w:r>
    </w:p>
    <w:p w14:paraId="39D82C27" w14:textId="77777777" w:rsidR="00B50077" w:rsidRDefault="00ED14C4" w:rsidP="00B172D0">
      <w:pPr>
        <w:pStyle w:val="Heading2"/>
        <w:spacing w:before="0"/>
        <w:jc w:val="both"/>
        <w:rPr>
          <w:rFonts w:ascii="Arial" w:hAnsi="Arial" w:cs="Arial"/>
          <w:sz w:val="24"/>
          <w:szCs w:val="22"/>
          <w:lang w:val="en-GB"/>
        </w:rPr>
      </w:pPr>
      <w:bookmarkStart w:id="15" w:name="_Toc527384909"/>
      <w:r w:rsidRPr="00DC3280">
        <w:rPr>
          <w:rFonts w:ascii="Arial" w:hAnsi="Arial" w:cs="Arial"/>
          <w:sz w:val="24"/>
          <w:szCs w:val="22"/>
          <w:lang w:val="en-GB"/>
        </w:rPr>
        <w:t>BUDGET</w:t>
      </w:r>
      <w:bookmarkEnd w:id="15"/>
    </w:p>
    <w:p w14:paraId="3522B846" w14:textId="77777777" w:rsidR="00DC3280" w:rsidRPr="00DC3280" w:rsidRDefault="00DC3280" w:rsidP="00B172D0">
      <w:pPr>
        <w:spacing w:after="0"/>
        <w:jc w:val="both"/>
        <w:rPr>
          <w:lang w:val="en-GB" w:eastAsia="en-GB"/>
        </w:rPr>
      </w:pPr>
    </w:p>
    <w:p w14:paraId="100422AF" w14:textId="7BD9292F" w:rsidR="001D6888" w:rsidRPr="006D35D5" w:rsidRDefault="002B1085" w:rsidP="000C3A57">
      <w:pPr>
        <w:pStyle w:val="ListParagraph"/>
        <w:numPr>
          <w:ilvl w:val="0"/>
          <w:numId w:val="1"/>
        </w:numPr>
        <w:spacing w:after="0"/>
        <w:jc w:val="both"/>
        <w:rPr>
          <w:rFonts w:ascii="Arial" w:hAnsi="Arial" w:cs="Arial"/>
          <w:b/>
          <w:lang w:val="en-GB"/>
        </w:rPr>
      </w:pPr>
      <w:r w:rsidRPr="006D35D5">
        <w:rPr>
          <w:rFonts w:ascii="Arial" w:hAnsi="Arial" w:cs="Arial"/>
          <w:lang w:val="en-GB"/>
        </w:rPr>
        <w:t>The</w:t>
      </w:r>
      <w:r w:rsidR="00C7498A" w:rsidRPr="006D35D5">
        <w:rPr>
          <w:rFonts w:ascii="Arial" w:hAnsi="Arial" w:cs="Arial"/>
          <w:lang w:val="en-GB"/>
        </w:rPr>
        <w:t xml:space="preserve"> maximum budget for th</w:t>
      </w:r>
      <w:r w:rsidR="00FA41F8" w:rsidRPr="006D35D5">
        <w:rPr>
          <w:rFonts w:ascii="Arial" w:hAnsi="Arial" w:cs="Arial"/>
          <w:lang w:val="en-GB"/>
        </w:rPr>
        <w:t>e</w:t>
      </w:r>
      <w:r w:rsidR="00BE7FD7" w:rsidRPr="006D35D5">
        <w:rPr>
          <w:rFonts w:ascii="Arial" w:hAnsi="Arial" w:cs="Arial"/>
          <w:lang w:val="en-GB"/>
        </w:rPr>
        <w:t xml:space="preserve"> </w:t>
      </w:r>
      <w:r w:rsidR="00DF0261" w:rsidRPr="006D35D5">
        <w:rPr>
          <w:rFonts w:ascii="Arial" w:hAnsi="Arial" w:cs="Arial"/>
          <w:lang w:val="en-GB"/>
        </w:rPr>
        <w:t>service</w:t>
      </w:r>
      <w:r w:rsidR="00C53581" w:rsidRPr="006D35D5">
        <w:rPr>
          <w:rFonts w:ascii="Arial" w:hAnsi="Arial" w:cs="Arial"/>
          <w:lang w:val="en-GB"/>
        </w:rPr>
        <w:t xml:space="preserve">, covered under these </w:t>
      </w:r>
      <w:r w:rsidR="00250EFE">
        <w:rPr>
          <w:rFonts w:ascii="Arial" w:hAnsi="Arial" w:cs="Arial"/>
          <w:lang w:val="en-GB"/>
        </w:rPr>
        <w:t>T</w:t>
      </w:r>
      <w:r w:rsidR="00C53581" w:rsidRPr="006D35D5">
        <w:rPr>
          <w:rFonts w:ascii="Arial" w:hAnsi="Arial" w:cs="Arial"/>
          <w:lang w:val="en-GB"/>
        </w:rPr>
        <w:t xml:space="preserve">erms of </w:t>
      </w:r>
      <w:r w:rsidR="00250EFE">
        <w:rPr>
          <w:rFonts w:ascii="Arial" w:hAnsi="Arial" w:cs="Arial"/>
          <w:lang w:val="en-GB"/>
        </w:rPr>
        <w:t>R</w:t>
      </w:r>
      <w:r w:rsidR="00C53581" w:rsidRPr="006D35D5">
        <w:rPr>
          <w:rFonts w:ascii="Arial" w:hAnsi="Arial" w:cs="Arial"/>
          <w:lang w:val="en-GB"/>
        </w:rPr>
        <w:t>eference</w:t>
      </w:r>
      <w:r w:rsidR="00FA41F8" w:rsidRPr="006D35D5">
        <w:rPr>
          <w:rFonts w:ascii="Arial" w:hAnsi="Arial" w:cs="Arial"/>
          <w:lang w:val="en-GB"/>
        </w:rPr>
        <w:t>,</w:t>
      </w:r>
      <w:r w:rsidR="00C53581" w:rsidRPr="006D35D5">
        <w:rPr>
          <w:rFonts w:ascii="Arial" w:hAnsi="Arial" w:cs="Arial"/>
          <w:lang w:val="en-GB"/>
        </w:rPr>
        <w:t xml:space="preserve"> will be no more than </w:t>
      </w:r>
      <w:r w:rsidR="00C7498A" w:rsidRPr="006D35D5">
        <w:rPr>
          <w:rFonts w:ascii="Arial" w:hAnsi="Arial" w:cs="Arial"/>
          <w:b/>
          <w:lang w:val="en-GB"/>
        </w:rPr>
        <w:t>£</w:t>
      </w:r>
      <w:r w:rsidR="0005019C">
        <w:rPr>
          <w:rFonts w:ascii="Arial" w:hAnsi="Arial" w:cs="Arial"/>
          <w:b/>
          <w:lang w:val="en-GB"/>
        </w:rPr>
        <w:t>24,950</w:t>
      </w:r>
      <w:r w:rsidR="00C7498A" w:rsidRPr="006D35D5">
        <w:rPr>
          <w:rFonts w:ascii="Arial" w:hAnsi="Arial" w:cs="Arial"/>
          <w:b/>
          <w:lang w:val="en-GB"/>
        </w:rPr>
        <w:t>.</w:t>
      </w:r>
      <w:r w:rsidR="00C502E6" w:rsidRPr="006D35D5">
        <w:rPr>
          <w:rFonts w:ascii="Arial" w:hAnsi="Arial" w:cs="Arial"/>
          <w:b/>
          <w:lang w:val="en-GB"/>
        </w:rPr>
        <w:t>00</w:t>
      </w:r>
      <w:r w:rsidR="00C7498A" w:rsidRPr="006D35D5">
        <w:rPr>
          <w:rFonts w:ascii="Arial" w:hAnsi="Arial" w:cs="Arial"/>
          <w:lang w:val="en-GB"/>
        </w:rPr>
        <w:t xml:space="preserve"> </w:t>
      </w:r>
    </w:p>
    <w:p w14:paraId="09B35178" w14:textId="77777777" w:rsidR="00DC3280" w:rsidRPr="00B91877" w:rsidRDefault="00DC3280" w:rsidP="00B172D0">
      <w:pPr>
        <w:spacing w:after="0"/>
        <w:jc w:val="both"/>
        <w:rPr>
          <w:lang w:val="en-GB" w:eastAsia="en-GB"/>
        </w:rPr>
      </w:pPr>
    </w:p>
    <w:p w14:paraId="6494B668" w14:textId="43FB76AF" w:rsidR="00F47549" w:rsidRDefault="00C7498A" w:rsidP="000C3A57">
      <w:pPr>
        <w:pStyle w:val="ListParagraph"/>
        <w:numPr>
          <w:ilvl w:val="0"/>
          <w:numId w:val="1"/>
        </w:numPr>
        <w:spacing w:after="0"/>
        <w:jc w:val="both"/>
        <w:rPr>
          <w:rFonts w:ascii="Arial" w:hAnsi="Arial" w:cs="Arial"/>
          <w:lang w:val="en-GB"/>
        </w:rPr>
      </w:pPr>
      <w:r w:rsidRPr="006D35D5">
        <w:rPr>
          <w:rFonts w:ascii="Arial" w:hAnsi="Arial" w:cs="Arial"/>
          <w:lang w:val="en-GB"/>
        </w:rPr>
        <w:t>The</w:t>
      </w:r>
      <w:r w:rsidR="002B1085" w:rsidRPr="006D35D5">
        <w:rPr>
          <w:rFonts w:ascii="Arial" w:hAnsi="Arial" w:cs="Arial"/>
          <w:lang w:val="en-GB"/>
        </w:rPr>
        <w:t xml:space="preserve"> </w:t>
      </w:r>
      <w:r w:rsidR="00250EFE">
        <w:rPr>
          <w:rFonts w:ascii="Arial" w:hAnsi="Arial" w:cs="Arial"/>
          <w:lang w:val="en-GB"/>
        </w:rPr>
        <w:t>Service Supplier</w:t>
      </w:r>
      <w:r w:rsidR="002B1085" w:rsidRPr="006D35D5">
        <w:rPr>
          <w:rFonts w:ascii="Arial" w:hAnsi="Arial" w:cs="Arial"/>
          <w:lang w:val="en-GB"/>
        </w:rPr>
        <w:t xml:space="preserve"> will propose the overall budget for th</w:t>
      </w:r>
      <w:r w:rsidR="00A346D6" w:rsidRPr="006D35D5">
        <w:rPr>
          <w:rFonts w:ascii="Arial" w:hAnsi="Arial" w:cs="Arial"/>
          <w:lang w:val="en-GB"/>
        </w:rPr>
        <w:t xml:space="preserve">is </w:t>
      </w:r>
      <w:r w:rsidR="00BF74D2" w:rsidRPr="006D35D5">
        <w:rPr>
          <w:rFonts w:ascii="Arial" w:hAnsi="Arial" w:cs="Arial"/>
          <w:lang w:val="en-GB"/>
        </w:rPr>
        <w:t>work, which</w:t>
      </w:r>
      <w:r w:rsidR="00A346D6" w:rsidRPr="006D35D5">
        <w:rPr>
          <w:rFonts w:ascii="Arial" w:hAnsi="Arial" w:cs="Arial"/>
          <w:lang w:val="en-GB"/>
        </w:rPr>
        <w:t xml:space="preserve"> must be </w:t>
      </w:r>
      <w:r w:rsidR="002B1085" w:rsidRPr="006D35D5">
        <w:rPr>
          <w:rFonts w:ascii="Arial" w:hAnsi="Arial" w:cs="Arial"/>
          <w:lang w:val="en-GB"/>
        </w:rPr>
        <w:t>inclusive of all applicable taxes</w:t>
      </w:r>
      <w:r w:rsidR="00592C5A">
        <w:rPr>
          <w:rFonts w:ascii="Arial" w:hAnsi="Arial" w:cs="Arial"/>
          <w:lang w:val="en-GB"/>
        </w:rPr>
        <w:t xml:space="preserve"> (including VAT)</w:t>
      </w:r>
      <w:r w:rsidR="002B1085" w:rsidRPr="006D35D5">
        <w:rPr>
          <w:rFonts w:ascii="Arial" w:hAnsi="Arial" w:cs="Arial"/>
          <w:lang w:val="en-GB"/>
        </w:rPr>
        <w:t xml:space="preserve">, overheads and </w:t>
      </w:r>
      <w:r w:rsidR="00592C5A" w:rsidRPr="000200BC">
        <w:rPr>
          <w:rFonts w:ascii="Arial" w:eastAsia="MS Mincho" w:hAnsi="Arial" w:cs="Arial"/>
          <w:lang w:val="en-GB"/>
        </w:rPr>
        <w:t>any logistical costs including, but not limited to, travel, catering, venue, translation etc.</w:t>
      </w:r>
      <w:r w:rsidR="002B1085" w:rsidRPr="006D35D5">
        <w:rPr>
          <w:rFonts w:ascii="Arial" w:hAnsi="Arial" w:cs="Arial"/>
          <w:lang w:val="en-GB"/>
        </w:rPr>
        <w:t xml:space="preserve">. </w:t>
      </w:r>
      <w:r w:rsidR="00B91877" w:rsidRPr="006D35D5">
        <w:rPr>
          <w:rFonts w:ascii="Arial" w:hAnsi="Arial" w:cs="Arial"/>
          <w:lang w:val="en-GB"/>
        </w:rPr>
        <w:t xml:space="preserve">The </w:t>
      </w:r>
      <w:r w:rsidR="00250EFE">
        <w:rPr>
          <w:rFonts w:ascii="Arial" w:hAnsi="Arial" w:cs="Arial"/>
          <w:lang w:val="en-GB"/>
        </w:rPr>
        <w:t>Service S</w:t>
      </w:r>
      <w:r w:rsidR="00B91877" w:rsidRPr="006D35D5">
        <w:rPr>
          <w:rFonts w:ascii="Arial" w:hAnsi="Arial" w:cs="Arial"/>
          <w:lang w:val="en-GB"/>
        </w:rPr>
        <w:t>upplier is</w:t>
      </w:r>
      <w:r w:rsidR="00C53581" w:rsidRPr="006D35D5">
        <w:rPr>
          <w:rFonts w:ascii="Arial" w:hAnsi="Arial" w:cs="Arial"/>
          <w:lang w:val="en-GB"/>
        </w:rPr>
        <w:t xml:space="preserve"> expected to show V</w:t>
      </w:r>
      <w:r w:rsidR="00A346D6" w:rsidRPr="006D35D5">
        <w:rPr>
          <w:rFonts w:ascii="Arial" w:hAnsi="Arial" w:cs="Arial"/>
          <w:lang w:val="en-GB"/>
        </w:rPr>
        <w:t>f</w:t>
      </w:r>
      <w:r w:rsidR="00C53581" w:rsidRPr="006D35D5">
        <w:rPr>
          <w:rFonts w:ascii="Arial" w:hAnsi="Arial" w:cs="Arial"/>
          <w:lang w:val="en-GB"/>
        </w:rPr>
        <w:t xml:space="preserve">M </w:t>
      </w:r>
      <w:r w:rsidR="00A346D6" w:rsidRPr="006D35D5">
        <w:rPr>
          <w:rFonts w:ascii="Arial" w:hAnsi="Arial" w:cs="Arial"/>
          <w:lang w:val="en-GB"/>
        </w:rPr>
        <w:t>and not reach t</w:t>
      </w:r>
      <w:r w:rsidR="00C53581" w:rsidRPr="006D35D5">
        <w:rPr>
          <w:rFonts w:ascii="Arial" w:hAnsi="Arial" w:cs="Arial"/>
          <w:lang w:val="en-GB"/>
        </w:rPr>
        <w:t xml:space="preserve">he budget ceiling if costs can be lower. </w:t>
      </w:r>
    </w:p>
    <w:p w14:paraId="6ADDAEE7" w14:textId="77777777" w:rsidR="00F47549" w:rsidRPr="00F47549" w:rsidRDefault="00F47549" w:rsidP="00F47549">
      <w:pPr>
        <w:pStyle w:val="ListParagraph"/>
        <w:rPr>
          <w:rFonts w:ascii="Arial" w:hAnsi="Arial" w:cs="Arial"/>
          <w:b/>
          <w:lang w:val="en-GB"/>
        </w:rPr>
      </w:pPr>
    </w:p>
    <w:p w14:paraId="3F491D6B" w14:textId="218B2DE2" w:rsidR="001D6888" w:rsidRPr="003979F1" w:rsidRDefault="00F47549" w:rsidP="003979F1">
      <w:pPr>
        <w:spacing w:after="0"/>
        <w:jc w:val="both"/>
        <w:rPr>
          <w:rFonts w:ascii="Arial" w:hAnsi="Arial" w:cs="Arial"/>
          <w:lang w:val="en-GB"/>
        </w:rPr>
      </w:pPr>
      <w:r>
        <w:rPr>
          <w:rFonts w:ascii="Arial" w:hAnsi="Arial" w:cs="Arial"/>
          <w:b/>
          <w:lang w:val="en-GB"/>
        </w:rPr>
        <w:lastRenderedPageBreak/>
        <w:t>Monthly p</w:t>
      </w:r>
      <w:r w:rsidRPr="007509DA">
        <w:rPr>
          <w:rFonts w:ascii="Arial" w:hAnsi="Arial" w:cs="Arial"/>
          <w:b/>
          <w:lang w:val="en-GB"/>
        </w:rPr>
        <w:t xml:space="preserve">ayments will be made in arrears </w:t>
      </w:r>
      <w:r>
        <w:rPr>
          <w:rFonts w:ascii="Arial" w:hAnsi="Arial" w:cs="Arial"/>
          <w:b/>
          <w:lang w:val="en-GB"/>
        </w:rPr>
        <w:t xml:space="preserve">from </w:t>
      </w:r>
      <w:r w:rsidR="00586E73">
        <w:rPr>
          <w:rFonts w:ascii="Arial" w:hAnsi="Arial" w:cs="Arial"/>
          <w:b/>
          <w:lang w:val="en-GB"/>
        </w:rPr>
        <w:t>December</w:t>
      </w:r>
      <w:r>
        <w:rPr>
          <w:rFonts w:ascii="Arial" w:hAnsi="Arial" w:cs="Arial"/>
          <w:b/>
          <w:lang w:val="en-GB"/>
        </w:rPr>
        <w:t xml:space="preserve"> 2018 </w:t>
      </w:r>
      <w:r w:rsidRPr="007509DA">
        <w:rPr>
          <w:rFonts w:ascii="Arial" w:hAnsi="Arial" w:cs="Arial"/>
          <w:b/>
          <w:lang w:val="en-GB"/>
        </w:rPr>
        <w:t xml:space="preserve">upon receipt of the </w:t>
      </w:r>
      <w:r>
        <w:rPr>
          <w:rFonts w:ascii="Arial" w:hAnsi="Arial" w:cs="Arial"/>
          <w:b/>
          <w:lang w:val="en-GB"/>
        </w:rPr>
        <w:t xml:space="preserve">monthly financial and narrative reporting. </w:t>
      </w:r>
      <w:r w:rsidRPr="00895259">
        <w:rPr>
          <w:rFonts w:ascii="Arial" w:hAnsi="Arial" w:cs="Arial"/>
          <w:lang w:val="en-GB"/>
        </w:rPr>
        <w:t xml:space="preserve">Final payment will be made after the final </w:t>
      </w:r>
      <w:r>
        <w:rPr>
          <w:rFonts w:ascii="Arial" w:hAnsi="Arial" w:cs="Arial"/>
          <w:lang w:val="en-GB"/>
        </w:rPr>
        <w:t>deliverables</w:t>
      </w:r>
      <w:r w:rsidRPr="00895259">
        <w:rPr>
          <w:rFonts w:ascii="Arial" w:hAnsi="Arial" w:cs="Arial"/>
          <w:lang w:val="en-GB"/>
        </w:rPr>
        <w:t xml:space="preserve"> are approved</w:t>
      </w:r>
      <w:r>
        <w:rPr>
          <w:rFonts w:ascii="Arial" w:hAnsi="Arial" w:cs="Arial"/>
          <w:lang w:val="en-GB"/>
        </w:rPr>
        <w:t xml:space="preserve"> by </w:t>
      </w:r>
      <w:r w:rsidRPr="00895259">
        <w:rPr>
          <w:rFonts w:ascii="Arial" w:hAnsi="Arial" w:cs="Arial"/>
          <w:lang w:val="en-GB"/>
        </w:rPr>
        <w:t>the Authority, and the Project Completion Report</w:t>
      </w:r>
      <w:r>
        <w:rPr>
          <w:rFonts w:ascii="Arial" w:hAnsi="Arial" w:cs="Arial"/>
          <w:lang w:val="en-GB"/>
        </w:rPr>
        <w:t xml:space="preserve"> (template to be delivered by the Authority</w:t>
      </w:r>
      <w:r w:rsidRPr="00895259">
        <w:rPr>
          <w:rFonts w:ascii="Arial" w:hAnsi="Arial" w:cs="Arial"/>
          <w:lang w:val="en-GB"/>
        </w:rPr>
        <w:t xml:space="preserve"> is delivered.</w:t>
      </w:r>
      <w:r w:rsidRPr="006D35D5">
        <w:rPr>
          <w:rFonts w:ascii="Arial" w:hAnsi="Arial" w:cs="Arial"/>
          <w:lang w:val="en-GB"/>
        </w:rPr>
        <w:t xml:space="preserve"> </w:t>
      </w:r>
    </w:p>
    <w:sectPr w:rsidR="001D6888" w:rsidRPr="003979F1" w:rsidSect="00513DAE">
      <w:headerReference w:type="even" r:id="rId10"/>
      <w:headerReference w:type="default" r:id="rId11"/>
      <w:footerReference w:type="even" r:id="rId12"/>
      <w:footerReference w:type="default" r:id="rId13"/>
      <w:headerReference w:type="first" r:id="rId14"/>
      <w:footerReference w:type="first" r:id="rId15"/>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BAB8C" w14:textId="77777777" w:rsidR="001D2805" w:rsidRDefault="001D2805" w:rsidP="00700FB2">
      <w:pPr>
        <w:spacing w:after="0" w:line="240" w:lineRule="auto"/>
      </w:pPr>
      <w:r>
        <w:separator/>
      </w:r>
    </w:p>
  </w:endnote>
  <w:endnote w:type="continuationSeparator" w:id="0">
    <w:p w14:paraId="128480DB" w14:textId="77777777" w:rsidR="001D2805" w:rsidRDefault="001D2805" w:rsidP="00700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Humanist777BT-LightB">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B5F9E" w14:textId="77777777" w:rsidR="0095597C" w:rsidRDefault="0095597C">
    <w:pPr>
      <w:pStyle w:val="Footer"/>
    </w:pPr>
  </w:p>
  <w:p w14:paraId="090001A0" w14:textId="77777777" w:rsidR="0095597C" w:rsidRPr="00933DAD" w:rsidRDefault="0095597C" w:rsidP="00700FB2">
    <w:pPr>
      <w:pStyle w:val="Footer"/>
      <w:jc w:val="center"/>
      <w:rPr>
        <w:rFonts w:ascii="Arial" w:hAnsi="Arial" w:cs="Arial"/>
        <w:b/>
        <w:sz w:val="20"/>
        <w:lang w:val="en-GB"/>
      </w:rPr>
    </w:pPr>
    <w:r w:rsidRPr="00933DAD">
      <w:rPr>
        <w:rFonts w:ascii="Arial" w:hAnsi="Arial" w:cs="Arial"/>
        <w:b/>
        <w:sz w:val="20"/>
        <w:lang w:val="en-GB"/>
      </w:rPr>
      <w:t xml:space="preserve"> </w:t>
    </w:r>
  </w:p>
  <w:p w14:paraId="604B06B4" w14:textId="77777777" w:rsidR="0095597C" w:rsidRPr="00735DA0" w:rsidRDefault="000F0727" w:rsidP="00735DA0">
    <w:pPr>
      <w:pBdr>
        <w:top w:val="single" w:sz="4" w:space="1" w:color="D9D9D9" w:themeColor="background1" w:themeShade="D9"/>
      </w:pBdr>
      <w:tabs>
        <w:tab w:val="center" w:pos="4513"/>
        <w:tab w:val="right" w:pos="9026"/>
      </w:tabs>
      <w:spacing w:after="0" w:line="240" w:lineRule="auto"/>
      <w:jc w:val="right"/>
      <w:rPr>
        <w:color w:val="7F7F7F" w:themeColor="background1" w:themeShade="7F"/>
        <w:spacing w:val="60"/>
        <w:lang w:val="en-GB"/>
      </w:rPr>
    </w:pPr>
    <w:r>
      <w:fldChar w:fldCharType="begin"/>
    </w:r>
    <w:r w:rsidRPr="007F26F1">
      <w:rPr>
        <w:lang w:val="en-GB"/>
      </w:rPr>
      <w:instrText xml:space="preserve"> FILENAME \p \* MERGEFORMAT </w:instrText>
    </w:r>
    <w:r>
      <w:fldChar w:fldCharType="separate"/>
    </w:r>
    <w:r w:rsidR="0095597C" w:rsidRPr="00752C18">
      <w:rPr>
        <w:rFonts w:ascii="Arial" w:hAnsi="Arial" w:cs="Arial"/>
        <w:noProof/>
        <w:sz w:val="12"/>
        <w:lang w:val="en-GB"/>
      </w:rPr>
      <w:t>S</w:t>
    </w:r>
    <w:r w:rsidR="0095597C" w:rsidRPr="00752C18">
      <w:rPr>
        <w:noProof/>
        <w:lang w:val="en-GB"/>
      </w:rPr>
      <w:t>:\CCEP\PROGRAMME WORK\PROSPERITY FUND\FY 17-18\YEAR TWO PROGRAMME - PROCUREMENT\TORs\Future Cities\Non-ODA\ToR - Future Cities (NAICM).docx</w:t>
    </w:r>
    <w:r>
      <w:rPr>
        <w:noProof/>
        <w:lang w:val="en-GB"/>
      </w:rPr>
      <w:fldChar w:fldCharType="end"/>
    </w:r>
    <w:r w:rsidR="0095597C" w:rsidRPr="00735DA0">
      <w:rPr>
        <w:lang w:val="en-GB"/>
      </w:rPr>
      <w:t xml:space="preserve"> </w:t>
    </w:r>
    <w:sdt>
      <w:sdtPr>
        <w:id w:val="91265662"/>
        <w:docPartObj>
          <w:docPartGallery w:val="Page Numbers (Bottom of Page)"/>
          <w:docPartUnique/>
        </w:docPartObj>
      </w:sdtPr>
      <w:sdtEndPr>
        <w:rPr>
          <w:color w:val="7F7F7F" w:themeColor="background1" w:themeShade="7F"/>
          <w:spacing w:val="60"/>
        </w:rPr>
      </w:sdtEndPr>
      <w:sdtContent>
        <w:r w:rsidR="002D1426">
          <w:fldChar w:fldCharType="begin"/>
        </w:r>
        <w:r w:rsidR="0095597C" w:rsidRPr="00C06BC7">
          <w:rPr>
            <w:lang w:val="en-GB"/>
          </w:rPr>
          <w:instrText xml:space="preserve"> PAGE   \* MERGEFORMAT </w:instrText>
        </w:r>
        <w:r w:rsidR="002D1426">
          <w:fldChar w:fldCharType="separate"/>
        </w:r>
        <w:r w:rsidR="0095597C">
          <w:rPr>
            <w:noProof/>
            <w:lang w:val="en-GB"/>
          </w:rPr>
          <w:t>1</w:t>
        </w:r>
        <w:r w:rsidR="002D1426">
          <w:fldChar w:fldCharType="end"/>
        </w:r>
        <w:r w:rsidR="0095597C" w:rsidRPr="00735DA0">
          <w:rPr>
            <w:lang w:val="en-GB"/>
          </w:rPr>
          <w:t xml:space="preserve"> | </w:t>
        </w:r>
        <w:r w:rsidR="0095597C" w:rsidRPr="00735DA0">
          <w:rPr>
            <w:color w:val="7F7F7F" w:themeColor="background1" w:themeShade="7F"/>
            <w:spacing w:val="60"/>
            <w:lang w:val="en-GB"/>
          </w:rPr>
          <w:t>Page</w:t>
        </w:r>
      </w:sdtContent>
    </w:sdt>
  </w:p>
  <w:p w14:paraId="394D0E58" w14:textId="77777777" w:rsidR="0095597C" w:rsidRPr="00884669" w:rsidRDefault="0095597C" w:rsidP="00735DA0">
    <w:pPr>
      <w:pStyle w:val="Footer"/>
      <w:spacing w:before="120"/>
      <w:jc w:val="right"/>
      <w:rPr>
        <w:rFonts w:ascii="Arial" w:hAnsi="Arial" w:cs="Arial"/>
        <w:b/>
        <w:sz w:val="20"/>
        <w:lang w:val="en-GB"/>
      </w:rPr>
    </w:pPr>
    <w:r w:rsidRPr="00884669">
      <w:rPr>
        <w:rFonts w:ascii="Arial" w:hAnsi="Arial" w:cs="Arial"/>
        <w:b/>
        <w:sz w:val="20"/>
        <w:lang w:val="en-GB"/>
      </w:rPr>
      <w:t xml:space="preserve"> </w:t>
    </w:r>
    <w:r w:rsidR="002D1426">
      <w:fldChar w:fldCharType="begin"/>
    </w:r>
    <w:r>
      <w:instrText xml:space="preserve"> DOCPROPERTY PRIVACY  \* MERGEFORMAT </w:instrText>
    </w:r>
    <w:r w:rsidR="002D14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A7611" w14:textId="77777777" w:rsidR="0095597C" w:rsidRDefault="0095597C">
    <w:pPr>
      <w:pStyle w:val="Footer"/>
      <w:jc w:val="center"/>
    </w:pPr>
  </w:p>
  <w:p w14:paraId="26702D3D" w14:textId="77777777" w:rsidR="0095597C" w:rsidRPr="00884669" w:rsidRDefault="0095597C" w:rsidP="00884669">
    <w:pPr>
      <w:pStyle w:val="Footer"/>
      <w:jc w:val="center"/>
      <w:rPr>
        <w:rFonts w:ascii="Arial" w:hAnsi="Arial" w:cs="Arial"/>
        <w:b/>
        <w:sz w:val="20"/>
        <w:lang w:val="en-GB"/>
      </w:rPr>
    </w:pPr>
    <w:r w:rsidRPr="00884669">
      <w:rPr>
        <w:rFonts w:ascii="Arial" w:hAnsi="Arial" w:cs="Arial"/>
        <w:b/>
        <w:sz w:val="20"/>
        <w:lang w:val="en-GB"/>
      </w:rPr>
      <w:t xml:space="preserve"> </w:t>
    </w:r>
  </w:p>
  <w:sdt>
    <w:sdtPr>
      <w:id w:val="96627488"/>
      <w:docPartObj>
        <w:docPartGallery w:val="Page Numbers (Bottom of Page)"/>
        <w:docPartUnique/>
      </w:docPartObj>
    </w:sdtPr>
    <w:sdtEndPr>
      <w:rPr>
        <w:color w:val="7F7F7F" w:themeColor="background1" w:themeShade="7F"/>
        <w:spacing w:val="60"/>
      </w:rPr>
    </w:sdtEndPr>
    <w:sdtContent>
      <w:p w14:paraId="38844671" w14:textId="090E837A" w:rsidR="0095597C" w:rsidRPr="0027404E" w:rsidRDefault="002D1426" w:rsidP="00884669">
        <w:pPr>
          <w:pBdr>
            <w:top w:val="single" w:sz="4" w:space="1" w:color="D9D9D9" w:themeColor="background1" w:themeShade="D9"/>
          </w:pBdr>
          <w:tabs>
            <w:tab w:val="center" w:pos="4513"/>
            <w:tab w:val="right" w:pos="9026"/>
          </w:tabs>
          <w:spacing w:after="0" w:line="240" w:lineRule="auto"/>
          <w:jc w:val="right"/>
          <w:rPr>
            <w:color w:val="7F7F7F" w:themeColor="background1" w:themeShade="7F"/>
            <w:spacing w:val="60"/>
          </w:rPr>
        </w:pPr>
        <w:r>
          <w:fldChar w:fldCharType="begin"/>
        </w:r>
        <w:r w:rsidR="0095597C">
          <w:instrText xml:space="preserve"> PAGE   \* MERGEFORMAT </w:instrText>
        </w:r>
        <w:r>
          <w:fldChar w:fldCharType="separate"/>
        </w:r>
        <w:r w:rsidR="002129DE">
          <w:rPr>
            <w:noProof/>
          </w:rPr>
          <w:t>1</w:t>
        </w:r>
        <w:r>
          <w:rPr>
            <w:noProof/>
          </w:rPr>
          <w:fldChar w:fldCharType="end"/>
        </w:r>
        <w:r w:rsidR="0095597C" w:rsidRPr="006A3AFA">
          <w:t xml:space="preserve"> | </w:t>
        </w:r>
        <w:r w:rsidR="0095597C" w:rsidRPr="006A3AFA">
          <w:rPr>
            <w:color w:val="7F7F7F" w:themeColor="background1" w:themeShade="7F"/>
            <w:spacing w:val="60"/>
          </w:rPr>
          <w:t>Page</w:t>
        </w:r>
      </w:p>
    </w:sdtContent>
  </w:sdt>
  <w:p w14:paraId="458F2941" w14:textId="77777777" w:rsidR="0095597C" w:rsidRPr="00884669" w:rsidRDefault="0095597C" w:rsidP="00700FB2">
    <w:pPr>
      <w:pStyle w:val="Footer"/>
      <w:spacing w:before="120"/>
      <w:jc w:val="right"/>
      <w:rPr>
        <w:rFonts w:ascii="Arial" w:hAnsi="Arial" w:cs="Arial"/>
        <w:sz w:val="12"/>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C0868" w14:textId="77777777" w:rsidR="0095597C" w:rsidRDefault="0095597C">
    <w:pPr>
      <w:pStyle w:val="Footer"/>
    </w:pPr>
  </w:p>
  <w:p w14:paraId="597B259B" w14:textId="77777777" w:rsidR="0095597C" w:rsidRPr="00080B45" w:rsidRDefault="0095597C" w:rsidP="00700FB2">
    <w:pPr>
      <w:pStyle w:val="Footer"/>
      <w:jc w:val="center"/>
      <w:rPr>
        <w:rFonts w:ascii="Arial" w:hAnsi="Arial" w:cs="Arial"/>
        <w:b/>
        <w:sz w:val="20"/>
        <w:lang w:val="en-GB"/>
      </w:rPr>
    </w:pPr>
    <w:r w:rsidRPr="00080B45">
      <w:rPr>
        <w:rFonts w:ascii="Arial" w:hAnsi="Arial" w:cs="Arial"/>
        <w:b/>
        <w:sz w:val="20"/>
        <w:lang w:val="en-GB"/>
      </w:rPr>
      <w:t xml:space="preserve"> </w:t>
    </w:r>
  </w:p>
  <w:p w14:paraId="645E86C2" w14:textId="77777777" w:rsidR="0095597C" w:rsidRPr="00884669" w:rsidRDefault="000F0727" w:rsidP="00700FB2">
    <w:pPr>
      <w:pStyle w:val="Footer"/>
      <w:spacing w:before="120"/>
      <w:jc w:val="right"/>
      <w:rPr>
        <w:lang w:val="en-GB"/>
      </w:rPr>
    </w:pPr>
    <w:r>
      <w:fldChar w:fldCharType="begin"/>
    </w:r>
    <w:r w:rsidRPr="007F26F1">
      <w:rPr>
        <w:lang w:val="en-GB"/>
      </w:rPr>
      <w:instrText xml:space="preserve"> FILENAME \p \* MERGEFORMAT </w:instrText>
    </w:r>
    <w:r>
      <w:fldChar w:fldCharType="separate"/>
    </w:r>
    <w:r w:rsidR="0095597C" w:rsidRPr="00752C18">
      <w:rPr>
        <w:rFonts w:ascii="Arial" w:hAnsi="Arial" w:cs="Arial"/>
        <w:noProof/>
        <w:sz w:val="12"/>
        <w:lang w:val="en-GB"/>
      </w:rPr>
      <w:t>S</w:t>
    </w:r>
    <w:r w:rsidR="0095597C" w:rsidRPr="00752C18">
      <w:rPr>
        <w:noProof/>
        <w:lang w:val="en-GB"/>
      </w:rPr>
      <w:t>:\CCEP\PROGRAMME WORK\PROSPERITY FUND\FY 17-18\YEAR TWO PROGRAMME - PROCUREMENT\TORs\Future Cities\Non-ODA\ToR - Future Cities (NAICM).docx</w:t>
    </w:r>
    <w:r>
      <w:rPr>
        <w:noProof/>
        <w:lang w:val="en-GB"/>
      </w:rPr>
      <w:fldChar w:fldCharType="end"/>
    </w:r>
  </w:p>
  <w:p w14:paraId="1964A1BC" w14:textId="77777777" w:rsidR="0095597C" w:rsidRPr="00884669" w:rsidRDefault="0095597C" w:rsidP="00735DA0">
    <w:pPr>
      <w:pStyle w:val="Footer"/>
      <w:spacing w:before="120"/>
      <w:jc w:val="right"/>
      <w:rPr>
        <w:rFonts w:ascii="Arial" w:hAnsi="Arial" w:cs="Arial"/>
        <w:b/>
        <w:sz w:val="20"/>
        <w:lang w:val="en-GB"/>
      </w:rPr>
    </w:pPr>
    <w:r w:rsidRPr="00884669">
      <w:rPr>
        <w:rFonts w:ascii="Arial" w:hAnsi="Arial" w:cs="Arial"/>
        <w:b/>
        <w:sz w:val="20"/>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26C09" w14:textId="77777777" w:rsidR="001D2805" w:rsidRDefault="001D2805" w:rsidP="00700FB2">
      <w:pPr>
        <w:spacing w:after="0" w:line="240" w:lineRule="auto"/>
      </w:pPr>
      <w:r>
        <w:separator/>
      </w:r>
    </w:p>
  </w:footnote>
  <w:footnote w:type="continuationSeparator" w:id="0">
    <w:p w14:paraId="590E990F" w14:textId="77777777" w:rsidR="001D2805" w:rsidRDefault="001D2805" w:rsidP="00700FB2">
      <w:pPr>
        <w:spacing w:after="0" w:line="240" w:lineRule="auto"/>
      </w:pPr>
      <w:r>
        <w:continuationSeparator/>
      </w:r>
    </w:p>
  </w:footnote>
  <w:footnote w:id="1">
    <w:p w14:paraId="242D9D71" w14:textId="77777777" w:rsidR="008E6395" w:rsidRPr="00DB7127" w:rsidRDefault="008E6395" w:rsidP="008E6395">
      <w:pPr>
        <w:pStyle w:val="FootnoteText"/>
      </w:pPr>
      <w:r>
        <w:rPr>
          <w:rStyle w:val="FootnoteReference"/>
        </w:rPr>
        <w:footnoteRef/>
      </w:r>
      <w:r w:rsidRPr="00DB7127">
        <w:t xml:space="preserve"> </w:t>
      </w:r>
      <w:r w:rsidRPr="008F587D">
        <w:t>https://www.gov.uk/government/publications/cross-government-prosperity-fund-programme/cross-government-prosperity-fund-update</w:t>
      </w:r>
    </w:p>
  </w:footnote>
  <w:footnote w:id="2">
    <w:p w14:paraId="60E582D2" w14:textId="003D270E" w:rsidR="003979F1" w:rsidRPr="003979F1" w:rsidRDefault="003979F1">
      <w:pPr>
        <w:pStyle w:val="FootnoteText"/>
        <w:rPr>
          <w:lang w:val="en-GB"/>
        </w:rPr>
      </w:pPr>
      <w:r>
        <w:rPr>
          <w:rStyle w:val="FootnoteReference"/>
        </w:rPr>
        <w:footnoteRef/>
      </w:r>
      <w:r w:rsidRPr="003979F1">
        <w:rPr>
          <w:lang w:val="en-GB"/>
        </w:rPr>
        <w:t xml:space="preserve"> </w:t>
      </w:r>
      <w:r w:rsidRPr="003979F1">
        <w:rPr>
          <w:sz w:val="18"/>
          <w:szCs w:val="18"/>
          <w:lang w:val="en-GB"/>
        </w:rPr>
        <w:t>“Financing Green Growth in a Resource Constrained World”, World Economic Forum, 2012.</w:t>
      </w:r>
    </w:p>
  </w:footnote>
  <w:footnote w:id="3">
    <w:p w14:paraId="65E2365F" w14:textId="4C850CEC" w:rsidR="002129DE" w:rsidRPr="002129DE" w:rsidRDefault="002129DE" w:rsidP="002129DE">
      <w:pPr>
        <w:pStyle w:val="NoSpacing"/>
      </w:pPr>
      <w:r>
        <w:rPr>
          <w:rStyle w:val="FootnoteReference"/>
        </w:rPr>
        <w:footnoteRef/>
      </w:r>
      <w:r>
        <w:t xml:space="preserve"> </w:t>
      </w:r>
      <w:r w:rsidRPr="0018264E">
        <w:rPr>
          <w:rStyle w:val="FootnoteReference"/>
          <w:sz w:val="18"/>
          <w:szCs w:val="18"/>
        </w:rPr>
        <w:footnoteRef/>
      </w:r>
      <w:r w:rsidRPr="0018264E">
        <w:rPr>
          <w:sz w:val="18"/>
          <w:szCs w:val="18"/>
        </w:rPr>
        <w:t xml:space="preserve"> “Global Non linear effects of temperature on economic production</w:t>
      </w:r>
      <w:r w:rsidRPr="0018264E">
        <w:rPr>
          <w:i/>
          <w:sz w:val="18"/>
          <w:szCs w:val="18"/>
        </w:rPr>
        <w:t>”</w:t>
      </w:r>
      <w:r w:rsidRPr="0018264E">
        <w:rPr>
          <w:sz w:val="18"/>
          <w:szCs w:val="18"/>
        </w:rPr>
        <w:t>, Burke, M., Hsiang, S. &amp; Miguel 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C5FC4" w14:textId="77777777" w:rsidR="0095597C" w:rsidRPr="00884669" w:rsidRDefault="0095597C" w:rsidP="00884669">
    <w:pPr>
      <w:pStyle w:val="Header"/>
      <w:jc w:val="center"/>
      <w:rPr>
        <w:rFonts w:ascii="Arial" w:hAnsi="Arial" w:cs="Arial"/>
        <w:b/>
        <w:sz w:val="20"/>
      </w:rPr>
    </w:pPr>
    <w:r w:rsidRPr="00884669">
      <w:rPr>
        <w:rFonts w:ascii="Arial" w:hAnsi="Arial" w:cs="Arial"/>
        <w:b/>
        <w:sz w:val="20"/>
      </w:rPr>
      <w:t xml:space="preserve"> </w:t>
    </w:r>
  </w:p>
  <w:p w14:paraId="21E2C064" w14:textId="77777777" w:rsidR="0095597C" w:rsidRPr="00700FB2" w:rsidRDefault="0095597C" w:rsidP="00700FB2">
    <w:pPr>
      <w:pStyle w:val="Header"/>
      <w:jc w:val="center"/>
      <w:rPr>
        <w:rFonts w:ascii="Arial" w:hAnsi="Arial" w:cs="Arial"/>
        <w:b/>
        <w:sz w:val="20"/>
      </w:rPr>
    </w:pPr>
    <w:r w:rsidRPr="00700FB2">
      <w:rPr>
        <w:rFonts w:ascii="Arial" w:hAnsi="Arial" w:cs="Arial"/>
        <w:b/>
        <w:sz w:val="20"/>
      </w:rPr>
      <w:t xml:space="preserve"> </w:t>
    </w:r>
  </w:p>
  <w:p w14:paraId="12FB7C2C" w14:textId="77777777" w:rsidR="0095597C" w:rsidRDefault="009559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EAB93" w14:textId="77777777" w:rsidR="0095597C" w:rsidRPr="00884669" w:rsidRDefault="0095597C" w:rsidP="00752C18">
    <w:pPr>
      <w:pStyle w:val="Header"/>
      <w:tabs>
        <w:tab w:val="clear" w:pos="9026"/>
        <w:tab w:val="right" w:pos="9072"/>
      </w:tabs>
      <w:ind w:right="-46"/>
      <w:jc w:val="center"/>
      <w:rPr>
        <w:rFonts w:ascii="Arial" w:hAnsi="Arial" w:cs="Arial"/>
        <w:b/>
        <w:sz w:val="20"/>
        <w:szCs w:val="18"/>
        <w:lang w:val="en-GB"/>
      </w:rPr>
    </w:pPr>
  </w:p>
  <w:p w14:paraId="400147C3" w14:textId="77777777" w:rsidR="0095597C" w:rsidRPr="00F924E4" w:rsidRDefault="0095597C" w:rsidP="00752C18">
    <w:pPr>
      <w:pStyle w:val="Header"/>
      <w:jc w:val="both"/>
      <w:rPr>
        <w:rFonts w:ascii="Arial" w:hAnsi="Arial" w:cs="Arial"/>
        <w:b/>
        <w:sz w:val="18"/>
        <w:szCs w:val="18"/>
        <w:lang w:val="en-GB"/>
      </w:rPr>
    </w:pPr>
  </w:p>
  <w:p w14:paraId="0C2ADE48" w14:textId="4F84A634" w:rsidR="0095597C" w:rsidRPr="00B944E3" w:rsidRDefault="0095597C">
    <w:pPr>
      <w:pStyle w:val="Header"/>
      <w:rPr>
        <w:lang w:val="en-GB"/>
      </w:rPr>
    </w:pPr>
    <w:r w:rsidRPr="00F924E4">
      <w:rPr>
        <w:rFonts w:ascii="Arial" w:hAnsi="Arial" w:cs="Arial"/>
        <w:b/>
        <w:sz w:val="18"/>
        <w:szCs w:val="18"/>
        <w:lang w:val="en-GB"/>
      </w:rPr>
      <w:t>ATT</w:t>
    </w:r>
    <w:r w:rsidRPr="00A77C90">
      <w:rPr>
        <w:rFonts w:ascii="Arial" w:eastAsiaTheme="minorHAnsi" w:hAnsi="Arial" w:cs="Arial"/>
        <w:b/>
        <w:sz w:val="18"/>
        <w:szCs w:val="18"/>
        <w:lang w:val="en-GB" w:eastAsia="en-US"/>
      </w:rPr>
      <w:t xml:space="preserve"> </w:t>
    </w:r>
    <w:r w:rsidR="00BF2D4C">
      <w:rPr>
        <w:rFonts w:ascii="Arial" w:eastAsiaTheme="minorHAnsi" w:hAnsi="Arial" w:cs="Arial"/>
        <w:b/>
        <w:sz w:val="18"/>
        <w:szCs w:val="18"/>
        <w:lang w:val="en-GB" w:eastAsia="en-US"/>
      </w:rPr>
      <w:t>2</w:t>
    </w:r>
    <w:r w:rsidRPr="00A77C90">
      <w:rPr>
        <w:rFonts w:ascii="Arial" w:eastAsiaTheme="minorHAnsi" w:hAnsi="Arial" w:cs="Arial"/>
        <w:b/>
        <w:sz w:val="18"/>
        <w:szCs w:val="18"/>
        <w:lang w:val="en-GB" w:eastAsia="en-US"/>
      </w:rPr>
      <w:t xml:space="preserve"> – TERMS OF REFERENCE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9B1CA" w14:textId="77777777" w:rsidR="0095597C" w:rsidRPr="00884669" w:rsidRDefault="0095597C" w:rsidP="00884669">
    <w:pPr>
      <w:pStyle w:val="Header"/>
      <w:jc w:val="center"/>
      <w:rPr>
        <w:rFonts w:ascii="Arial" w:hAnsi="Arial" w:cs="Arial"/>
        <w:b/>
        <w:sz w:val="20"/>
      </w:rPr>
    </w:pPr>
    <w:r w:rsidRPr="00884669">
      <w:rPr>
        <w:rFonts w:ascii="Arial" w:hAnsi="Arial" w:cs="Arial"/>
        <w:b/>
        <w:sz w:val="20"/>
      </w:rPr>
      <w:t xml:space="preserve"> </w:t>
    </w:r>
  </w:p>
  <w:p w14:paraId="2A866927" w14:textId="77777777" w:rsidR="0095597C" w:rsidRPr="00700FB2" w:rsidRDefault="0095597C" w:rsidP="00700FB2">
    <w:pPr>
      <w:pStyle w:val="Header"/>
      <w:jc w:val="center"/>
      <w:rPr>
        <w:rFonts w:ascii="Arial" w:hAnsi="Arial" w:cs="Arial"/>
        <w:b/>
        <w:sz w:val="20"/>
      </w:rPr>
    </w:pPr>
    <w:r w:rsidRPr="00700FB2">
      <w:rPr>
        <w:rFonts w:ascii="Arial" w:hAnsi="Arial" w:cs="Arial"/>
        <w:b/>
        <w:sz w:val="20"/>
      </w:rPr>
      <w:t xml:space="preserve"> </w:t>
    </w:r>
  </w:p>
  <w:p w14:paraId="017CBDAF" w14:textId="77777777" w:rsidR="0095597C" w:rsidRDefault="00955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0E8A"/>
    <w:multiLevelType w:val="hybridMultilevel"/>
    <w:tmpl w:val="D168209C"/>
    <w:lvl w:ilvl="0" w:tplc="FCF04550">
      <w:start w:val="1"/>
      <w:numFmt w:val="decimal"/>
      <w:lvlText w:val="%1."/>
      <w:lvlJc w:val="left"/>
      <w:pPr>
        <w:ind w:left="360" w:hanging="360"/>
      </w:pPr>
      <w:rPr>
        <w:rFonts w:ascii="Arial" w:hAnsi="Arial" w:cs="Arial" w:hint="default"/>
        <w:b/>
        <w:sz w:val="22"/>
        <w:szCs w:val="22"/>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691C82"/>
    <w:multiLevelType w:val="hybridMultilevel"/>
    <w:tmpl w:val="5D503DB0"/>
    <w:lvl w:ilvl="0" w:tplc="0809001B">
      <w:start w:val="1"/>
      <w:numFmt w:val="lowerRoman"/>
      <w:lvlText w:val="%1."/>
      <w:lvlJc w:val="right"/>
      <w:pPr>
        <w:ind w:left="1353" w:hanging="360"/>
      </w:pPr>
    </w:lvl>
    <w:lvl w:ilvl="1" w:tplc="0809001B">
      <w:start w:val="1"/>
      <w:numFmt w:val="lowerRoman"/>
      <w:lvlText w:val="%2."/>
      <w:lvlJc w:val="righ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 w15:restartNumberingAfterBreak="0">
    <w:nsid w:val="085E34DD"/>
    <w:multiLevelType w:val="hybridMultilevel"/>
    <w:tmpl w:val="8FCC1732"/>
    <w:lvl w:ilvl="0" w:tplc="0809001B">
      <w:start w:val="1"/>
      <w:numFmt w:val="lowerRoman"/>
      <w:lvlText w:val="%1."/>
      <w:lvlJc w:val="righ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0F7A779C"/>
    <w:multiLevelType w:val="hybridMultilevel"/>
    <w:tmpl w:val="DAC2EE0E"/>
    <w:lvl w:ilvl="0" w:tplc="FCF04550">
      <w:start w:val="1"/>
      <w:numFmt w:val="decimal"/>
      <w:lvlText w:val="%1."/>
      <w:lvlJc w:val="left"/>
      <w:pPr>
        <w:ind w:left="360" w:hanging="360"/>
      </w:pPr>
      <w:rPr>
        <w:rFonts w:ascii="Arial" w:hAnsi="Arial" w:cs="Arial" w:hint="default"/>
        <w:b/>
        <w:sz w:val="22"/>
        <w:szCs w:val="22"/>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0DE588F"/>
    <w:multiLevelType w:val="multilevel"/>
    <w:tmpl w:val="59C2CB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A805283"/>
    <w:multiLevelType w:val="hybridMultilevel"/>
    <w:tmpl w:val="867E117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4942C0"/>
    <w:multiLevelType w:val="hybridMultilevel"/>
    <w:tmpl w:val="8F7641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806A73"/>
    <w:multiLevelType w:val="hybridMultilevel"/>
    <w:tmpl w:val="24FA0742"/>
    <w:lvl w:ilvl="0" w:tplc="B574D4A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8B6F51"/>
    <w:multiLevelType w:val="hybridMultilevel"/>
    <w:tmpl w:val="AFD40058"/>
    <w:lvl w:ilvl="0" w:tplc="0BE48864">
      <w:start w:val="1"/>
      <w:numFmt w:val="lowerRoman"/>
      <w:lvlText w:val="%1."/>
      <w:lvlJc w:val="right"/>
      <w:pPr>
        <w:ind w:left="502"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B3694F"/>
    <w:multiLevelType w:val="hybridMultilevel"/>
    <w:tmpl w:val="91F02D40"/>
    <w:lvl w:ilvl="0" w:tplc="FCF04550">
      <w:start w:val="1"/>
      <w:numFmt w:val="decimal"/>
      <w:lvlText w:val="%1."/>
      <w:lvlJc w:val="left"/>
      <w:pPr>
        <w:ind w:left="360" w:hanging="360"/>
      </w:pPr>
      <w:rPr>
        <w:rFonts w:ascii="Arial" w:hAnsi="Arial" w:cs="Arial"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0E5FAE"/>
    <w:multiLevelType w:val="hybridMultilevel"/>
    <w:tmpl w:val="1312E262"/>
    <w:lvl w:ilvl="0" w:tplc="FCF04550">
      <w:start w:val="1"/>
      <w:numFmt w:val="decimal"/>
      <w:lvlText w:val="%1."/>
      <w:lvlJc w:val="left"/>
      <w:pPr>
        <w:ind w:left="360" w:hanging="360"/>
      </w:pPr>
      <w:rPr>
        <w:rFonts w:ascii="Arial" w:hAnsi="Arial" w:cs="Arial" w:hint="default"/>
        <w:b/>
        <w:sz w:val="22"/>
        <w:szCs w:val="22"/>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FA343E"/>
    <w:multiLevelType w:val="hybridMultilevel"/>
    <w:tmpl w:val="DAC2EE0E"/>
    <w:lvl w:ilvl="0" w:tplc="FCF04550">
      <w:start w:val="1"/>
      <w:numFmt w:val="decimal"/>
      <w:lvlText w:val="%1."/>
      <w:lvlJc w:val="left"/>
      <w:pPr>
        <w:ind w:left="360" w:hanging="360"/>
      </w:pPr>
      <w:rPr>
        <w:rFonts w:ascii="Arial" w:hAnsi="Arial" w:cs="Arial" w:hint="default"/>
        <w:b/>
        <w:sz w:val="22"/>
        <w:szCs w:val="22"/>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4014FA0"/>
    <w:multiLevelType w:val="hybridMultilevel"/>
    <w:tmpl w:val="A01CDC54"/>
    <w:lvl w:ilvl="0" w:tplc="235C018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777BA5"/>
    <w:multiLevelType w:val="multilevel"/>
    <w:tmpl w:val="88DE21F6"/>
    <w:lvl w:ilvl="0">
      <w:start w:val="1"/>
      <w:numFmt w:val="decimal"/>
      <w:lvlText w:val="%1"/>
      <w:lvlJc w:val="left"/>
      <w:pPr>
        <w:ind w:left="440" w:hanging="440"/>
      </w:pPr>
      <w:rPr>
        <w:rFonts w:hint="default"/>
      </w:rPr>
    </w:lvl>
    <w:lvl w:ilvl="1">
      <w:start w:val="1"/>
      <w:numFmt w:val="decimal"/>
      <w:pStyle w:val="listpara2"/>
      <w:lvlText w:val="3.%2"/>
      <w:lvlJc w:val="left"/>
      <w:pPr>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A10315B"/>
    <w:multiLevelType w:val="hybridMultilevel"/>
    <w:tmpl w:val="7B283242"/>
    <w:lvl w:ilvl="0" w:tplc="FCF04550">
      <w:start w:val="1"/>
      <w:numFmt w:val="decimal"/>
      <w:lvlText w:val="%1."/>
      <w:lvlJc w:val="left"/>
      <w:pPr>
        <w:ind w:left="360" w:hanging="360"/>
      </w:pPr>
      <w:rPr>
        <w:rFonts w:ascii="Arial" w:hAnsi="Arial" w:cs="Arial" w:hint="default"/>
        <w:b/>
        <w:sz w:val="22"/>
        <w:szCs w:val="22"/>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A2B31A1"/>
    <w:multiLevelType w:val="hybridMultilevel"/>
    <w:tmpl w:val="B16CEA02"/>
    <w:lvl w:ilvl="0" w:tplc="FCF04550">
      <w:start w:val="1"/>
      <w:numFmt w:val="decimal"/>
      <w:lvlText w:val="%1."/>
      <w:lvlJc w:val="left"/>
      <w:pPr>
        <w:ind w:left="360" w:hanging="360"/>
      </w:pPr>
      <w:rPr>
        <w:rFonts w:ascii="Arial" w:hAnsi="Arial" w:cs="Arial" w:hint="default"/>
        <w:b/>
        <w:sz w:val="22"/>
        <w:szCs w:val="22"/>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E4801A6"/>
    <w:multiLevelType w:val="hybridMultilevel"/>
    <w:tmpl w:val="98881CC4"/>
    <w:lvl w:ilvl="0" w:tplc="C9BEF4E4">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1624B302">
      <w:start w:val="1"/>
      <w:numFmt w:val="lowerLetter"/>
      <w:lvlText w:val="%3)"/>
      <w:lvlJc w:val="left"/>
      <w:pPr>
        <w:ind w:left="2340" w:hanging="360"/>
      </w:pPr>
      <w:rPr>
        <w:rFonts w:eastAsiaTheme="majorEastAsia" w:hint="default"/>
        <w:u w:val="single"/>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1B41A4"/>
    <w:multiLevelType w:val="hybridMultilevel"/>
    <w:tmpl w:val="12CEF0B4"/>
    <w:lvl w:ilvl="0" w:tplc="6548129C">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4250FF"/>
    <w:multiLevelType w:val="hybridMultilevel"/>
    <w:tmpl w:val="2E50F952"/>
    <w:lvl w:ilvl="0" w:tplc="6680AAF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3F0542"/>
    <w:multiLevelType w:val="hybridMultilevel"/>
    <w:tmpl w:val="1312E262"/>
    <w:lvl w:ilvl="0" w:tplc="FCF04550">
      <w:start w:val="1"/>
      <w:numFmt w:val="decimal"/>
      <w:lvlText w:val="%1."/>
      <w:lvlJc w:val="left"/>
      <w:pPr>
        <w:ind w:left="360" w:hanging="360"/>
      </w:pPr>
      <w:rPr>
        <w:rFonts w:ascii="Arial" w:hAnsi="Arial" w:cs="Arial" w:hint="default"/>
        <w:b/>
        <w:sz w:val="22"/>
        <w:szCs w:val="22"/>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1B7209E"/>
    <w:multiLevelType w:val="hybridMultilevel"/>
    <w:tmpl w:val="7FF42F52"/>
    <w:lvl w:ilvl="0" w:tplc="802C806A">
      <w:start w:val="1"/>
      <w:numFmt w:val="lowerLetter"/>
      <w:lvlText w:val="%1)"/>
      <w:lvlJc w:val="left"/>
      <w:pPr>
        <w:ind w:left="720" w:hanging="360"/>
      </w:pPr>
    </w:lvl>
    <w:lvl w:ilvl="1" w:tplc="08090003">
      <w:start w:val="1"/>
      <w:numFmt w:val="lowerRoman"/>
      <w:lvlText w:val="%2."/>
      <w:lvlJc w:val="righ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1" w15:restartNumberingAfterBreak="0">
    <w:nsid w:val="53E77C35"/>
    <w:multiLevelType w:val="multilevel"/>
    <w:tmpl w:val="8986710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06330C"/>
    <w:multiLevelType w:val="hybridMultilevel"/>
    <w:tmpl w:val="DAC2EE0E"/>
    <w:lvl w:ilvl="0" w:tplc="FCF04550">
      <w:start w:val="1"/>
      <w:numFmt w:val="decimal"/>
      <w:lvlText w:val="%1."/>
      <w:lvlJc w:val="left"/>
      <w:pPr>
        <w:ind w:left="360" w:hanging="360"/>
      </w:pPr>
      <w:rPr>
        <w:rFonts w:ascii="Arial" w:hAnsi="Arial" w:cs="Arial" w:hint="default"/>
        <w:b/>
        <w:sz w:val="22"/>
        <w:szCs w:val="22"/>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4CC6C5B"/>
    <w:multiLevelType w:val="hybridMultilevel"/>
    <w:tmpl w:val="60AE5436"/>
    <w:lvl w:ilvl="0" w:tplc="FCF04550">
      <w:start w:val="1"/>
      <w:numFmt w:val="decimal"/>
      <w:lvlText w:val="%1."/>
      <w:lvlJc w:val="left"/>
      <w:pPr>
        <w:ind w:left="360" w:hanging="360"/>
      </w:pPr>
      <w:rPr>
        <w:rFonts w:ascii="Arial" w:hAnsi="Arial" w:cs="Arial" w:hint="default"/>
        <w:b/>
        <w:sz w:val="22"/>
        <w:szCs w:val="22"/>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8366944"/>
    <w:multiLevelType w:val="hybridMultilevel"/>
    <w:tmpl w:val="53ECDAA0"/>
    <w:lvl w:ilvl="0" w:tplc="ECF8A2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BAB7597"/>
    <w:multiLevelType w:val="hybridMultilevel"/>
    <w:tmpl w:val="A1466DD6"/>
    <w:lvl w:ilvl="0" w:tplc="DF9623F4">
      <w:start w:val="1"/>
      <w:numFmt w:val="lowerLetter"/>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44135C"/>
    <w:multiLevelType w:val="hybridMultilevel"/>
    <w:tmpl w:val="AC90C6CC"/>
    <w:lvl w:ilvl="0" w:tplc="C9BEF4E4">
      <w:start w:val="1"/>
      <w:numFmt w:val="decimal"/>
      <w:lvlText w:val="%1."/>
      <w:lvlJc w:val="left"/>
      <w:pPr>
        <w:ind w:left="720" w:hanging="360"/>
      </w:pPr>
      <w:rPr>
        <w:rFonts w:hint="default"/>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503564"/>
    <w:multiLevelType w:val="hybridMultilevel"/>
    <w:tmpl w:val="137E4224"/>
    <w:lvl w:ilvl="0" w:tplc="08090003">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047E22"/>
    <w:multiLevelType w:val="multilevel"/>
    <w:tmpl w:val="54F8122A"/>
    <w:lvl w:ilvl="0">
      <w:start w:val="1"/>
      <w:numFmt w:val="decimal"/>
      <w:lvlText w:val="%1"/>
      <w:lvlJc w:val="left"/>
      <w:pPr>
        <w:ind w:left="360" w:hanging="360"/>
      </w:pPr>
      <w:rPr>
        <w:rFonts w:eastAsia="Times New Roman"/>
        <w:color w:val="000000"/>
      </w:rPr>
    </w:lvl>
    <w:lvl w:ilvl="1">
      <w:start w:val="1"/>
      <w:numFmt w:val="decimal"/>
      <w:lvlText w:val="%1.%2"/>
      <w:lvlJc w:val="left"/>
      <w:pPr>
        <w:ind w:left="1080" w:hanging="360"/>
      </w:pPr>
      <w:rPr>
        <w:rFonts w:eastAsia="Times New Roman"/>
        <w:color w:val="000000"/>
      </w:rPr>
    </w:lvl>
    <w:lvl w:ilvl="2">
      <w:start w:val="1"/>
      <w:numFmt w:val="decimal"/>
      <w:lvlText w:val="%1.%2.%3"/>
      <w:lvlJc w:val="left"/>
      <w:pPr>
        <w:ind w:left="2160" w:hanging="720"/>
      </w:pPr>
      <w:rPr>
        <w:rFonts w:eastAsia="Times New Roman"/>
        <w:color w:val="000000"/>
      </w:rPr>
    </w:lvl>
    <w:lvl w:ilvl="3">
      <w:start w:val="1"/>
      <w:numFmt w:val="decimal"/>
      <w:lvlText w:val="%1.%2.%3.%4"/>
      <w:lvlJc w:val="left"/>
      <w:pPr>
        <w:ind w:left="2880" w:hanging="720"/>
      </w:pPr>
      <w:rPr>
        <w:rFonts w:eastAsia="Times New Roman"/>
        <w:color w:val="000000"/>
      </w:rPr>
    </w:lvl>
    <w:lvl w:ilvl="4">
      <w:start w:val="1"/>
      <w:numFmt w:val="decimal"/>
      <w:lvlText w:val="%1.%2.%3.%4.%5"/>
      <w:lvlJc w:val="left"/>
      <w:pPr>
        <w:ind w:left="3960" w:hanging="1080"/>
      </w:pPr>
      <w:rPr>
        <w:rFonts w:eastAsia="Times New Roman"/>
        <w:color w:val="000000"/>
      </w:rPr>
    </w:lvl>
    <w:lvl w:ilvl="5">
      <w:start w:val="1"/>
      <w:numFmt w:val="decimal"/>
      <w:lvlText w:val="%1.%2.%3.%4.%5.%6"/>
      <w:lvlJc w:val="left"/>
      <w:pPr>
        <w:ind w:left="4680" w:hanging="1080"/>
      </w:pPr>
      <w:rPr>
        <w:rFonts w:eastAsia="Times New Roman"/>
        <w:color w:val="000000"/>
      </w:rPr>
    </w:lvl>
    <w:lvl w:ilvl="6">
      <w:start w:val="1"/>
      <w:numFmt w:val="decimal"/>
      <w:lvlText w:val="%1.%2.%3.%4.%5.%6.%7"/>
      <w:lvlJc w:val="left"/>
      <w:pPr>
        <w:ind w:left="5760" w:hanging="1440"/>
      </w:pPr>
      <w:rPr>
        <w:rFonts w:eastAsia="Times New Roman"/>
        <w:color w:val="000000"/>
      </w:rPr>
    </w:lvl>
    <w:lvl w:ilvl="7">
      <w:start w:val="1"/>
      <w:numFmt w:val="decimal"/>
      <w:lvlText w:val="%1.%2.%3.%4.%5.%6.%7.%8"/>
      <w:lvlJc w:val="left"/>
      <w:pPr>
        <w:ind w:left="6480" w:hanging="1440"/>
      </w:pPr>
      <w:rPr>
        <w:rFonts w:eastAsia="Times New Roman"/>
        <w:color w:val="000000"/>
      </w:rPr>
    </w:lvl>
    <w:lvl w:ilvl="8">
      <w:start w:val="1"/>
      <w:numFmt w:val="decimal"/>
      <w:lvlText w:val="%1.%2.%3.%4.%5.%6.%7.%8.%9"/>
      <w:lvlJc w:val="left"/>
      <w:pPr>
        <w:ind w:left="7560" w:hanging="1800"/>
      </w:pPr>
      <w:rPr>
        <w:rFonts w:eastAsia="Times New Roman"/>
        <w:color w:val="000000"/>
      </w:rPr>
    </w:lvl>
  </w:abstractNum>
  <w:abstractNum w:abstractNumId="29" w15:restartNumberingAfterBreak="0">
    <w:nsid w:val="7640455D"/>
    <w:multiLevelType w:val="hybridMultilevel"/>
    <w:tmpl w:val="AFD40058"/>
    <w:lvl w:ilvl="0" w:tplc="0BE48864">
      <w:start w:val="1"/>
      <w:numFmt w:val="lowerRoman"/>
      <w:lvlText w:val="%1."/>
      <w:lvlJc w:val="right"/>
      <w:pPr>
        <w:ind w:left="502"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622E09"/>
    <w:multiLevelType w:val="multilevel"/>
    <w:tmpl w:val="B16E5A1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8163C06"/>
    <w:multiLevelType w:val="hybridMultilevel"/>
    <w:tmpl w:val="A01CDC54"/>
    <w:lvl w:ilvl="0" w:tplc="235C018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5"/>
  </w:num>
  <w:num w:numId="3">
    <w:abstractNumId w:val="26"/>
  </w:num>
  <w:num w:numId="4">
    <w:abstractNumId w:val="14"/>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0"/>
  </w:num>
  <w:num w:numId="8">
    <w:abstractNumId w:val="1"/>
  </w:num>
  <w:num w:numId="9">
    <w:abstractNumId w:val="17"/>
  </w:num>
  <w:num w:numId="10">
    <w:abstractNumId w:val="2"/>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29"/>
  </w:num>
  <w:num w:numId="19">
    <w:abstractNumId w:val="24"/>
  </w:num>
  <w:num w:numId="20">
    <w:abstractNumId w:val="6"/>
  </w:num>
  <w:num w:numId="21">
    <w:abstractNumId w:val="12"/>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3"/>
  </w:num>
  <w:num w:numId="25">
    <w:abstractNumId w:val="22"/>
  </w:num>
  <w:num w:numId="26">
    <w:abstractNumId w:val="11"/>
  </w:num>
  <w:num w:numId="27">
    <w:abstractNumId w:val="0"/>
  </w:num>
  <w:num w:numId="28">
    <w:abstractNumId w:val="15"/>
  </w:num>
  <w:num w:numId="29">
    <w:abstractNumId w:val="19"/>
  </w:num>
  <w:num w:numId="30">
    <w:abstractNumId w:val="10"/>
  </w:num>
  <w:num w:numId="31">
    <w:abstractNumId w:val="8"/>
  </w:num>
  <w:num w:numId="32">
    <w:abstractNumId w:val="27"/>
  </w:num>
  <w:num w:numId="33">
    <w:abstractNumId w:val="9"/>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7"/>
  </w:num>
  <w:num w:numId="38">
    <w:abstractNumId w:val="13"/>
  </w:num>
  <w:num w:numId="39">
    <w:abstractNumId w:val="13"/>
    <w:lvlOverride w:ilvl="0">
      <w:lvl w:ilvl="0">
        <w:start w:val="1"/>
        <w:numFmt w:val="decimal"/>
        <w:lvlText w:val="%1"/>
        <w:lvlJc w:val="left"/>
        <w:pPr>
          <w:ind w:left="440" w:hanging="440"/>
        </w:pPr>
        <w:rPr>
          <w:rFonts w:hint="default"/>
        </w:rPr>
      </w:lvl>
    </w:lvlOverride>
    <w:lvlOverride w:ilvl="1">
      <w:lvl w:ilvl="1">
        <w:start w:val="1"/>
        <w:numFmt w:val="decimal"/>
        <w:pStyle w:val="listpara2"/>
        <w:lvlText w:val="1.%2"/>
        <w:lvlJc w:val="left"/>
        <w:pPr>
          <w:ind w:left="720" w:hanging="720"/>
        </w:pPr>
        <w:rPr>
          <w:rFonts w:cs="Times New Roman" w:hint="default"/>
          <w:b w:val="0"/>
          <w:i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2160" w:hanging="2160"/>
        </w:pPr>
        <w:rPr>
          <w:rFonts w:hint="default"/>
        </w:rPr>
      </w:lvl>
    </w:lvlOverride>
  </w:num>
  <w:num w:numId="40">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Catrina Kenny"/>
    <w:docVar w:name="PDMaintainMarking" w:val="-1"/>
    <w:docVar w:name="PDMaintainPath" w:val="-1"/>
    <w:docVar w:name="PDPhoneNo" w:val=" "/>
    <w:docVar w:name="PDSection" w:val="DIT"/>
  </w:docVars>
  <w:rsids>
    <w:rsidRoot w:val="00700FB2"/>
    <w:rsid w:val="0000457D"/>
    <w:rsid w:val="00007996"/>
    <w:rsid w:val="00014B62"/>
    <w:rsid w:val="00021442"/>
    <w:rsid w:val="00027BD2"/>
    <w:rsid w:val="00035261"/>
    <w:rsid w:val="00046167"/>
    <w:rsid w:val="00046A19"/>
    <w:rsid w:val="0005019C"/>
    <w:rsid w:val="00053FEE"/>
    <w:rsid w:val="00057504"/>
    <w:rsid w:val="000652AC"/>
    <w:rsid w:val="000753E0"/>
    <w:rsid w:val="000776F0"/>
    <w:rsid w:val="00080B45"/>
    <w:rsid w:val="0009229B"/>
    <w:rsid w:val="00097048"/>
    <w:rsid w:val="000A2954"/>
    <w:rsid w:val="000A4F63"/>
    <w:rsid w:val="000B7998"/>
    <w:rsid w:val="000C1233"/>
    <w:rsid w:val="000C3A57"/>
    <w:rsid w:val="000D323C"/>
    <w:rsid w:val="000D7052"/>
    <w:rsid w:val="000E35A7"/>
    <w:rsid w:val="000E5B4F"/>
    <w:rsid w:val="000F0727"/>
    <w:rsid w:val="000F3753"/>
    <w:rsid w:val="000F4DCD"/>
    <w:rsid w:val="000F5C85"/>
    <w:rsid w:val="000F62A6"/>
    <w:rsid w:val="00111686"/>
    <w:rsid w:val="00130EB9"/>
    <w:rsid w:val="00147519"/>
    <w:rsid w:val="00147A8D"/>
    <w:rsid w:val="00150220"/>
    <w:rsid w:val="001562CD"/>
    <w:rsid w:val="00160414"/>
    <w:rsid w:val="0016208D"/>
    <w:rsid w:val="00162BCB"/>
    <w:rsid w:val="00164E13"/>
    <w:rsid w:val="001654AC"/>
    <w:rsid w:val="001666B1"/>
    <w:rsid w:val="0016747E"/>
    <w:rsid w:val="00167D12"/>
    <w:rsid w:val="001808FF"/>
    <w:rsid w:val="001815A5"/>
    <w:rsid w:val="00184162"/>
    <w:rsid w:val="0018439E"/>
    <w:rsid w:val="00191CB6"/>
    <w:rsid w:val="00194E79"/>
    <w:rsid w:val="00195CF3"/>
    <w:rsid w:val="001A6B16"/>
    <w:rsid w:val="001A738B"/>
    <w:rsid w:val="001B4720"/>
    <w:rsid w:val="001B4751"/>
    <w:rsid w:val="001C4E60"/>
    <w:rsid w:val="001D2609"/>
    <w:rsid w:val="001D2805"/>
    <w:rsid w:val="001D6719"/>
    <w:rsid w:val="001D6888"/>
    <w:rsid w:val="001E1EE3"/>
    <w:rsid w:val="001E4AB3"/>
    <w:rsid w:val="001E5014"/>
    <w:rsid w:val="001F01B4"/>
    <w:rsid w:val="001F3D42"/>
    <w:rsid w:val="001F41DF"/>
    <w:rsid w:val="00202513"/>
    <w:rsid w:val="0020622A"/>
    <w:rsid w:val="00207736"/>
    <w:rsid w:val="00207991"/>
    <w:rsid w:val="00211996"/>
    <w:rsid w:val="002129DE"/>
    <w:rsid w:val="00214B0E"/>
    <w:rsid w:val="00227D48"/>
    <w:rsid w:val="002313AA"/>
    <w:rsid w:val="0023386A"/>
    <w:rsid w:val="00242019"/>
    <w:rsid w:val="00247D94"/>
    <w:rsid w:val="00250EFE"/>
    <w:rsid w:val="0025537F"/>
    <w:rsid w:val="00255B9B"/>
    <w:rsid w:val="00257FB8"/>
    <w:rsid w:val="002665A2"/>
    <w:rsid w:val="00267800"/>
    <w:rsid w:val="00267E84"/>
    <w:rsid w:val="0027146B"/>
    <w:rsid w:val="0027227D"/>
    <w:rsid w:val="002778D1"/>
    <w:rsid w:val="0028141B"/>
    <w:rsid w:val="00283DF6"/>
    <w:rsid w:val="002922E6"/>
    <w:rsid w:val="002937EC"/>
    <w:rsid w:val="00296F87"/>
    <w:rsid w:val="0029746C"/>
    <w:rsid w:val="002B0F64"/>
    <w:rsid w:val="002B1085"/>
    <w:rsid w:val="002B469E"/>
    <w:rsid w:val="002C2955"/>
    <w:rsid w:val="002C3AF0"/>
    <w:rsid w:val="002C7503"/>
    <w:rsid w:val="002D1426"/>
    <w:rsid w:val="002D5C79"/>
    <w:rsid w:val="002E4733"/>
    <w:rsid w:val="002F111E"/>
    <w:rsid w:val="0031447F"/>
    <w:rsid w:val="00320E9B"/>
    <w:rsid w:val="00327783"/>
    <w:rsid w:val="0033342B"/>
    <w:rsid w:val="00343BA1"/>
    <w:rsid w:val="00355082"/>
    <w:rsid w:val="00355270"/>
    <w:rsid w:val="00357813"/>
    <w:rsid w:val="00360EA8"/>
    <w:rsid w:val="00361ED0"/>
    <w:rsid w:val="00363E39"/>
    <w:rsid w:val="0036469E"/>
    <w:rsid w:val="003665D6"/>
    <w:rsid w:val="003740C5"/>
    <w:rsid w:val="0037492A"/>
    <w:rsid w:val="0037645A"/>
    <w:rsid w:val="003803EF"/>
    <w:rsid w:val="003815CA"/>
    <w:rsid w:val="00383AE6"/>
    <w:rsid w:val="00384F78"/>
    <w:rsid w:val="00386438"/>
    <w:rsid w:val="003979F1"/>
    <w:rsid w:val="003A067D"/>
    <w:rsid w:val="003A6BA3"/>
    <w:rsid w:val="003B788F"/>
    <w:rsid w:val="003C237B"/>
    <w:rsid w:val="003C7847"/>
    <w:rsid w:val="003D7E2B"/>
    <w:rsid w:val="003E006C"/>
    <w:rsid w:val="003E0247"/>
    <w:rsid w:val="003F0C38"/>
    <w:rsid w:val="003F19A6"/>
    <w:rsid w:val="003F5375"/>
    <w:rsid w:val="00417984"/>
    <w:rsid w:val="00425C0B"/>
    <w:rsid w:val="00431127"/>
    <w:rsid w:val="00432ABD"/>
    <w:rsid w:val="00435082"/>
    <w:rsid w:val="00435ABA"/>
    <w:rsid w:val="0044352C"/>
    <w:rsid w:val="00446F57"/>
    <w:rsid w:val="0044704F"/>
    <w:rsid w:val="00450343"/>
    <w:rsid w:val="004527DB"/>
    <w:rsid w:val="0046185E"/>
    <w:rsid w:val="0046207C"/>
    <w:rsid w:val="00467F42"/>
    <w:rsid w:val="00480AA7"/>
    <w:rsid w:val="00482923"/>
    <w:rsid w:val="00485702"/>
    <w:rsid w:val="004864AA"/>
    <w:rsid w:val="00491B71"/>
    <w:rsid w:val="00495855"/>
    <w:rsid w:val="004959F9"/>
    <w:rsid w:val="004A1413"/>
    <w:rsid w:val="004A2315"/>
    <w:rsid w:val="004C1894"/>
    <w:rsid w:val="004C47D5"/>
    <w:rsid w:val="004C5CCD"/>
    <w:rsid w:val="004D34C7"/>
    <w:rsid w:val="004F2A34"/>
    <w:rsid w:val="00502B69"/>
    <w:rsid w:val="00512824"/>
    <w:rsid w:val="00513D29"/>
    <w:rsid w:val="00513DAE"/>
    <w:rsid w:val="00516582"/>
    <w:rsid w:val="005216CF"/>
    <w:rsid w:val="005261AD"/>
    <w:rsid w:val="0053599F"/>
    <w:rsid w:val="00537F8E"/>
    <w:rsid w:val="00547567"/>
    <w:rsid w:val="00547EC9"/>
    <w:rsid w:val="00554B29"/>
    <w:rsid w:val="00564C72"/>
    <w:rsid w:val="005675FD"/>
    <w:rsid w:val="00574637"/>
    <w:rsid w:val="00586E73"/>
    <w:rsid w:val="00592C5A"/>
    <w:rsid w:val="005951D5"/>
    <w:rsid w:val="00596ED7"/>
    <w:rsid w:val="00597FCF"/>
    <w:rsid w:val="005A0D93"/>
    <w:rsid w:val="005A595C"/>
    <w:rsid w:val="005B74FD"/>
    <w:rsid w:val="005C00EF"/>
    <w:rsid w:val="005C53FA"/>
    <w:rsid w:val="005D03E2"/>
    <w:rsid w:val="005F059B"/>
    <w:rsid w:val="005F1F81"/>
    <w:rsid w:val="005F3F7F"/>
    <w:rsid w:val="0060131C"/>
    <w:rsid w:val="006153F5"/>
    <w:rsid w:val="00624BEF"/>
    <w:rsid w:val="00624FC5"/>
    <w:rsid w:val="00637AC6"/>
    <w:rsid w:val="00637B1C"/>
    <w:rsid w:val="0064075C"/>
    <w:rsid w:val="00640C5D"/>
    <w:rsid w:val="00644D24"/>
    <w:rsid w:val="00653E1D"/>
    <w:rsid w:val="00656425"/>
    <w:rsid w:val="00665112"/>
    <w:rsid w:val="00666276"/>
    <w:rsid w:val="00673809"/>
    <w:rsid w:val="0068177B"/>
    <w:rsid w:val="006834CA"/>
    <w:rsid w:val="0068365E"/>
    <w:rsid w:val="00683989"/>
    <w:rsid w:val="00685222"/>
    <w:rsid w:val="00685768"/>
    <w:rsid w:val="006909E8"/>
    <w:rsid w:val="006A0A5B"/>
    <w:rsid w:val="006B0226"/>
    <w:rsid w:val="006B6DEA"/>
    <w:rsid w:val="006B76CD"/>
    <w:rsid w:val="006C2E2E"/>
    <w:rsid w:val="006D35D5"/>
    <w:rsid w:val="006E72BC"/>
    <w:rsid w:val="006F0A83"/>
    <w:rsid w:val="00700FB2"/>
    <w:rsid w:val="00701C58"/>
    <w:rsid w:val="0071073A"/>
    <w:rsid w:val="0071562C"/>
    <w:rsid w:val="00723F60"/>
    <w:rsid w:val="0073051E"/>
    <w:rsid w:val="00730B0F"/>
    <w:rsid w:val="00732C0D"/>
    <w:rsid w:val="00735997"/>
    <w:rsid w:val="00735DA0"/>
    <w:rsid w:val="00742E72"/>
    <w:rsid w:val="0074412D"/>
    <w:rsid w:val="00744428"/>
    <w:rsid w:val="007509DA"/>
    <w:rsid w:val="00752C18"/>
    <w:rsid w:val="00755ED8"/>
    <w:rsid w:val="00756376"/>
    <w:rsid w:val="00772D59"/>
    <w:rsid w:val="00773456"/>
    <w:rsid w:val="00783C61"/>
    <w:rsid w:val="007972F7"/>
    <w:rsid w:val="007A5999"/>
    <w:rsid w:val="007A76FC"/>
    <w:rsid w:val="007A77E3"/>
    <w:rsid w:val="007C501C"/>
    <w:rsid w:val="007C5E38"/>
    <w:rsid w:val="007E5002"/>
    <w:rsid w:val="007F26F1"/>
    <w:rsid w:val="00803EFE"/>
    <w:rsid w:val="00816C18"/>
    <w:rsid w:val="00820D58"/>
    <w:rsid w:val="00820E85"/>
    <w:rsid w:val="0082535C"/>
    <w:rsid w:val="00827824"/>
    <w:rsid w:val="008530C3"/>
    <w:rsid w:val="00856696"/>
    <w:rsid w:val="0086193D"/>
    <w:rsid w:val="00862C1B"/>
    <w:rsid w:val="00877801"/>
    <w:rsid w:val="008801E7"/>
    <w:rsid w:val="00884669"/>
    <w:rsid w:val="00890E23"/>
    <w:rsid w:val="00891278"/>
    <w:rsid w:val="00891C80"/>
    <w:rsid w:val="008934FE"/>
    <w:rsid w:val="0089436F"/>
    <w:rsid w:val="008A48BC"/>
    <w:rsid w:val="008A5889"/>
    <w:rsid w:val="008B38F8"/>
    <w:rsid w:val="008B5F65"/>
    <w:rsid w:val="008B73CE"/>
    <w:rsid w:val="008B7A87"/>
    <w:rsid w:val="008C0AC0"/>
    <w:rsid w:val="008C10A2"/>
    <w:rsid w:val="008C3001"/>
    <w:rsid w:val="008C3F8D"/>
    <w:rsid w:val="008C6BBA"/>
    <w:rsid w:val="008D4B2F"/>
    <w:rsid w:val="008E52A2"/>
    <w:rsid w:val="008E6395"/>
    <w:rsid w:val="008E7046"/>
    <w:rsid w:val="008E788F"/>
    <w:rsid w:val="008F287B"/>
    <w:rsid w:val="008F5049"/>
    <w:rsid w:val="00910BAF"/>
    <w:rsid w:val="00914503"/>
    <w:rsid w:val="00915098"/>
    <w:rsid w:val="00920D3F"/>
    <w:rsid w:val="00933DAD"/>
    <w:rsid w:val="00935B80"/>
    <w:rsid w:val="009428CE"/>
    <w:rsid w:val="00947CED"/>
    <w:rsid w:val="0095597C"/>
    <w:rsid w:val="00955A2B"/>
    <w:rsid w:val="009564A2"/>
    <w:rsid w:val="00970D8F"/>
    <w:rsid w:val="00987FD1"/>
    <w:rsid w:val="009914C9"/>
    <w:rsid w:val="00992846"/>
    <w:rsid w:val="009956D7"/>
    <w:rsid w:val="009975E5"/>
    <w:rsid w:val="009A14AD"/>
    <w:rsid w:val="009A2366"/>
    <w:rsid w:val="009A5283"/>
    <w:rsid w:val="009B391B"/>
    <w:rsid w:val="009C48EF"/>
    <w:rsid w:val="009C4AE3"/>
    <w:rsid w:val="009D2948"/>
    <w:rsid w:val="009D2F07"/>
    <w:rsid w:val="009E0F2C"/>
    <w:rsid w:val="009E5AF6"/>
    <w:rsid w:val="009E623E"/>
    <w:rsid w:val="009E6AE7"/>
    <w:rsid w:val="009E713E"/>
    <w:rsid w:val="00A229CA"/>
    <w:rsid w:val="00A3391F"/>
    <w:rsid w:val="00A346D6"/>
    <w:rsid w:val="00A37B88"/>
    <w:rsid w:val="00A446F7"/>
    <w:rsid w:val="00A465C0"/>
    <w:rsid w:val="00A46FDF"/>
    <w:rsid w:val="00A54C12"/>
    <w:rsid w:val="00A5763C"/>
    <w:rsid w:val="00A7039F"/>
    <w:rsid w:val="00A723CF"/>
    <w:rsid w:val="00A73AB7"/>
    <w:rsid w:val="00A76A6A"/>
    <w:rsid w:val="00A80966"/>
    <w:rsid w:val="00A87A5F"/>
    <w:rsid w:val="00A90597"/>
    <w:rsid w:val="00A909CF"/>
    <w:rsid w:val="00A9116F"/>
    <w:rsid w:val="00A9417E"/>
    <w:rsid w:val="00A952C9"/>
    <w:rsid w:val="00AA1736"/>
    <w:rsid w:val="00AC005A"/>
    <w:rsid w:val="00AC1A47"/>
    <w:rsid w:val="00AC69BB"/>
    <w:rsid w:val="00AC771D"/>
    <w:rsid w:val="00AD0E8D"/>
    <w:rsid w:val="00AD6067"/>
    <w:rsid w:val="00AE2E76"/>
    <w:rsid w:val="00AF7065"/>
    <w:rsid w:val="00B00A2E"/>
    <w:rsid w:val="00B02C51"/>
    <w:rsid w:val="00B04B7A"/>
    <w:rsid w:val="00B15DCC"/>
    <w:rsid w:val="00B172D0"/>
    <w:rsid w:val="00B20F3B"/>
    <w:rsid w:val="00B26528"/>
    <w:rsid w:val="00B324AF"/>
    <w:rsid w:val="00B32BF0"/>
    <w:rsid w:val="00B40A9F"/>
    <w:rsid w:val="00B476D1"/>
    <w:rsid w:val="00B47C95"/>
    <w:rsid w:val="00B50077"/>
    <w:rsid w:val="00B6468E"/>
    <w:rsid w:val="00B648BE"/>
    <w:rsid w:val="00B65664"/>
    <w:rsid w:val="00B6601B"/>
    <w:rsid w:val="00B66AB0"/>
    <w:rsid w:val="00B7712B"/>
    <w:rsid w:val="00B806AE"/>
    <w:rsid w:val="00B84AB9"/>
    <w:rsid w:val="00B90417"/>
    <w:rsid w:val="00B91877"/>
    <w:rsid w:val="00B944E3"/>
    <w:rsid w:val="00B94F7B"/>
    <w:rsid w:val="00BA079D"/>
    <w:rsid w:val="00BA0AF8"/>
    <w:rsid w:val="00BA354E"/>
    <w:rsid w:val="00BA56C9"/>
    <w:rsid w:val="00BA70B2"/>
    <w:rsid w:val="00BB51E5"/>
    <w:rsid w:val="00BC542B"/>
    <w:rsid w:val="00BD3462"/>
    <w:rsid w:val="00BD3A9F"/>
    <w:rsid w:val="00BE3842"/>
    <w:rsid w:val="00BE7FD7"/>
    <w:rsid w:val="00BE7FFA"/>
    <w:rsid w:val="00BF2D4C"/>
    <w:rsid w:val="00BF74D2"/>
    <w:rsid w:val="00C02ADC"/>
    <w:rsid w:val="00C0694B"/>
    <w:rsid w:val="00C06BC7"/>
    <w:rsid w:val="00C157DB"/>
    <w:rsid w:val="00C16BC7"/>
    <w:rsid w:val="00C20C36"/>
    <w:rsid w:val="00C211BB"/>
    <w:rsid w:val="00C2640C"/>
    <w:rsid w:val="00C27DEE"/>
    <w:rsid w:val="00C3090A"/>
    <w:rsid w:val="00C31FCB"/>
    <w:rsid w:val="00C41B26"/>
    <w:rsid w:val="00C42FD4"/>
    <w:rsid w:val="00C502E6"/>
    <w:rsid w:val="00C5301C"/>
    <w:rsid w:val="00C53581"/>
    <w:rsid w:val="00C62610"/>
    <w:rsid w:val="00C640CB"/>
    <w:rsid w:val="00C67E76"/>
    <w:rsid w:val="00C72B61"/>
    <w:rsid w:val="00C73D95"/>
    <w:rsid w:val="00C7498A"/>
    <w:rsid w:val="00C874A2"/>
    <w:rsid w:val="00C911D5"/>
    <w:rsid w:val="00C946A1"/>
    <w:rsid w:val="00C962A1"/>
    <w:rsid w:val="00CA50F5"/>
    <w:rsid w:val="00CB3576"/>
    <w:rsid w:val="00CC3B60"/>
    <w:rsid w:val="00CC635E"/>
    <w:rsid w:val="00CD0C26"/>
    <w:rsid w:val="00CD7FDA"/>
    <w:rsid w:val="00CE30AA"/>
    <w:rsid w:val="00CE4338"/>
    <w:rsid w:val="00CE5F74"/>
    <w:rsid w:val="00D075A1"/>
    <w:rsid w:val="00D10082"/>
    <w:rsid w:val="00D11738"/>
    <w:rsid w:val="00D159BA"/>
    <w:rsid w:val="00D21440"/>
    <w:rsid w:val="00D30675"/>
    <w:rsid w:val="00D32E6F"/>
    <w:rsid w:val="00D36F32"/>
    <w:rsid w:val="00D42531"/>
    <w:rsid w:val="00D47B83"/>
    <w:rsid w:val="00D51019"/>
    <w:rsid w:val="00D537AE"/>
    <w:rsid w:val="00D55A6E"/>
    <w:rsid w:val="00D574F0"/>
    <w:rsid w:val="00D64C6D"/>
    <w:rsid w:val="00D67816"/>
    <w:rsid w:val="00D70AB1"/>
    <w:rsid w:val="00D74ABF"/>
    <w:rsid w:val="00D8216E"/>
    <w:rsid w:val="00D853C2"/>
    <w:rsid w:val="00D86AC1"/>
    <w:rsid w:val="00D86EC9"/>
    <w:rsid w:val="00D93E3D"/>
    <w:rsid w:val="00DA2A6D"/>
    <w:rsid w:val="00DA4472"/>
    <w:rsid w:val="00DB38BA"/>
    <w:rsid w:val="00DB731D"/>
    <w:rsid w:val="00DC142F"/>
    <w:rsid w:val="00DC3280"/>
    <w:rsid w:val="00DC7142"/>
    <w:rsid w:val="00DD7605"/>
    <w:rsid w:val="00DF0261"/>
    <w:rsid w:val="00DF73F9"/>
    <w:rsid w:val="00E016EA"/>
    <w:rsid w:val="00E1320E"/>
    <w:rsid w:val="00E14A6B"/>
    <w:rsid w:val="00E16349"/>
    <w:rsid w:val="00E260F1"/>
    <w:rsid w:val="00E35373"/>
    <w:rsid w:val="00E41FFA"/>
    <w:rsid w:val="00E44823"/>
    <w:rsid w:val="00E44D23"/>
    <w:rsid w:val="00E4537B"/>
    <w:rsid w:val="00E635DE"/>
    <w:rsid w:val="00E637FE"/>
    <w:rsid w:val="00E726D7"/>
    <w:rsid w:val="00E763D5"/>
    <w:rsid w:val="00E87FEF"/>
    <w:rsid w:val="00E9374A"/>
    <w:rsid w:val="00E9477C"/>
    <w:rsid w:val="00EA2984"/>
    <w:rsid w:val="00EA6FC3"/>
    <w:rsid w:val="00EB0606"/>
    <w:rsid w:val="00ED14C4"/>
    <w:rsid w:val="00ED2D63"/>
    <w:rsid w:val="00F020D5"/>
    <w:rsid w:val="00F038C8"/>
    <w:rsid w:val="00F11D05"/>
    <w:rsid w:val="00F143B3"/>
    <w:rsid w:val="00F14769"/>
    <w:rsid w:val="00F309EE"/>
    <w:rsid w:val="00F327DF"/>
    <w:rsid w:val="00F32EAB"/>
    <w:rsid w:val="00F44AFD"/>
    <w:rsid w:val="00F44F23"/>
    <w:rsid w:val="00F47549"/>
    <w:rsid w:val="00F54323"/>
    <w:rsid w:val="00F72DD3"/>
    <w:rsid w:val="00F741ED"/>
    <w:rsid w:val="00F745FD"/>
    <w:rsid w:val="00F75881"/>
    <w:rsid w:val="00F8019A"/>
    <w:rsid w:val="00F844F2"/>
    <w:rsid w:val="00F85024"/>
    <w:rsid w:val="00F854D9"/>
    <w:rsid w:val="00FA41F8"/>
    <w:rsid w:val="00FA5C9E"/>
    <w:rsid w:val="00FA6D34"/>
    <w:rsid w:val="00FA7548"/>
    <w:rsid w:val="00FB29D4"/>
    <w:rsid w:val="00FB2BDD"/>
    <w:rsid w:val="00FB51BF"/>
    <w:rsid w:val="00FB6FBF"/>
    <w:rsid w:val="00FB7CE1"/>
    <w:rsid w:val="00FD5D12"/>
    <w:rsid w:val="00FE13A7"/>
    <w:rsid w:val="00FE5DFB"/>
    <w:rsid w:val="00FF60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22284F57"/>
  <w15:docId w15:val="{4532AD49-4379-4A87-8F6C-5B49B7C6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AB0"/>
  </w:style>
  <w:style w:type="paragraph" w:styleId="Heading1">
    <w:name w:val="heading 1"/>
    <w:basedOn w:val="Normal"/>
    <w:next w:val="Normal"/>
    <w:link w:val="Heading1Char"/>
    <w:uiPriority w:val="9"/>
    <w:qFormat/>
    <w:rsid w:val="006C2E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F3D42"/>
    <w:pPr>
      <w:keepNext/>
      <w:keepLines/>
      <w:spacing w:before="200" w:after="0"/>
      <w:outlineLvl w:val="1"/>
    </w:pPr>
    <w:rPr>
      <w:rFonts w:eastAsiaTheme="majorEastAsia" w:cstheme="majorBidi"/>
      <w:b/>
      <w:b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B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00FB2"/>
  </w:style>
  <w:style w:type="paragraph" w:styleId="Footer">
    <w:name w:val="footer"/>
    <w:basedOn w:val="Normal"/>
    <w:link w:val="FooterChar"/>
    <w:uiPriority w:val="99"/>
    <w:unhideWhenUsed/>
    <w:rsid w:val="00700F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FB2"/>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Colorful List - Accent 11,L"/>
    <w:basedOn w:val="Normal"/>
    <w:link w:val="ListParagraphChar"/>
    <w:uiPriority w:val="34"/>
    <w:qFormat/>
    <w:rsid w:val="00700FB2"/>
    <w:pPr>
      <w:ind w:left="720"/>
      <w:contextualSpacing/>
    </w:pPr>
  </w:style>
  <w:style w:type="paragraph" w:customStyle="1" w:styleId="Char">
    <w:name w:val="Char"/>
    <w:basedOn w:val="Normal"/>
    <w:rsid w:val="00700FB2"/>
    <w:pPr>
      <w:spacing w:after="160" w:line="240" w:lineRule="exact"/>
    </w:pPr>
    <w:rPr>
      <w:rFonts w:ascii="Verdana" w:eastAsia="Times New Roman" w:hAnsi="Verdana" w:cs="Arial"/>
      <w:sz w:val="20"/>
      <w:szCs w:val="20"/>
      <w:lang w:val="en-US"/>
    </w:rPr>
  </w:style>
  <w:style w:type="table" w:styleId="TableGrid">
    <w:name w:val="Table Grid"/>
    <w:basedOn w:val="TableNormal"/>
    <w:uiPriority w:val="59"/>
    <w:rsid w:val="00700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L Char"/>
    <w:link w:val="ListParagraph"/>
    <w:uiPriority w:val="34"/>
    <w:qFormat/>
    <w:locked/>
    <w:rsid w:val="002B1085"/>
  </w:style>
  <w:style w:type="character" w:styleId="Hyperlink">
    <w:name w:val="Hyperlink"/>
    <w:uiPriority w:val="99"/>
    <w:rsid w:val="002B1085"/>
    <w:rPr>
      <w:color w:val="0000FF"/>
      <w:u w:val="single"/>
    </w:rPr>
  </w:style>
  <w:style w:type="paragraph" w:styleId="NormalWeb">
    <w:name w:val="Normal (Web)"/>
    <w:basedOn w:val="Normal"/>
    <w:uiPriority w:val="99"/>
    <w:rsid w:val="002B1085"/>
    <w:pPr>
      <w:spacing w:after="77" w:line="240" w:lineRule="auto"/>
    </w:pPr>
    <w:rPr>
      <w:rFonts w:ascii="Verdana" w:eastAsia="MS Mincho" w:hAnsi="Verdana" w:cs="Times New Roman"/>
      <w:sz w:val="19"/>
      <w:szCs w:val="19"/>
      <w:lang w:eastAsia="ja-JP"/>
    </w:rPr>
  </w:style>
  <w:style w:type="paragraph" w:styleId="FootnoteText">
    <w:name w:val="footnote text"/>
    <w:aliases w:val="fn,Footnote Text Char1 Char1,Footnote Text Char Char Char1,Footnote Text Char1 Char Char,Footnote Text Char Char Char Char,FIAS Rpt Footnote,ALTS FOOTNOTE,FOOTNOTES,single space,ft,Footnote Text Char Char Char Char Char Char Char,FA Fu,f"/>
    <w:basedOn w:val="Normal"/>
    <w:link w:val="FootnoteTextChar"/>
    <w:uiPriority w:val="99"/>
    <w:qFormat/>
    <w:rsid w:val="002B1085"/>
    <w:pPr>
      <w:spacing w:after="0" w:line="240" w:lineRule="auto"/>
    </w:pPr>
    <w:rPr>
      <w:rFonts w:ascii="Arial" w:eastAsia="Times New Roman" w:hAnsi="Arial" w:cs="Times New Roman"/>
      <w:sz w:val="20"/>
      <w:szCs w:val="20"/>
    </w:rPr>
  </w:style>
  <w:style w:type="character" w:customStyle="1" w:styleId="FootnoteTextChar">
    <w:name w:val="Footnote Text Char"/>
    <w:aliases w:val="fn Char,Footnote Text Char1 Char1 Char,Footnote Text Char Char Char1 Char,Footnote Text Char1 Char Char Char,Footnote Text Char Char Char Char Char,FIAS Rpt Footnote Char,ALTS FOOTNOTE Char,FOOTNOTES Char,single space Char,ft Char"/>
    <w:basedOn w:val="DefaultParagraphFont"/>
    <w:link w:val="FootnoteText"/>
    <w:uiPriority w:val="99"/>
    <w:qFormat/>
    <w:rsid w:val="002B1085"/>
    <w:rPr>
      <w:rFonts w:ascii="Arial" w:eastAsia="Times New Roman" w:hAnsi="Arial" w:cs="Times New Roman"/>
      <w:sz w:val="20"/>
      <w:szCs w:val="20"/>
    </w:rPr>
  </w:style>
  <w:style w:type="character" w:styleId="FootnoteReference">
    <w:name w:val="footnote reference"/>
    <w:aliases w:val="ftref,Footnote Reference1,Знак сноски 1,16 Point,Superscript 6 Point,BVI fnr Char Char Char Char,BVI fnr Car Car Char Char Char Char,BVI fnr Car Char Char Char Char,BVI fnr Car Car Car Car Char Char Char1 Char Char,R,BVI fnr,Footnote"/>
    <w:link w:val="FootnoteReferencePara"/>
    <w:uiPriority w:val="99"/>
    <w:qFormat/>
    <w:rsid w:val="002B1085"/>
    <w:rPr>
      <w:vertAlign w:val="superscript"/>
    </w:rPr>
  </w:style>
  <w:style w:type="character" w:customStyle="1" w:styleId="url">
    <w:name w:val="url"/>
    <w:rsid w:val="002B1085"/>
  </w:style>
  <w:style w:type="paragraph" w:styleId="CommentText">
    <w:name w:val="annotation text"/>
    <w:basedOn w:val="Normal"/>
    <w:link w:val="CommentTextChar"/>
    <w:uiPriority w:val="99"/>
    <w:unhideWhenUsed/>
    <w:rsid w:val="001F3D42"/>
    <w:pPr>
      <w:spacing w:line="240" w:lineRule="auto"/>
    </w:pPr>
    <w:rPr>
      <w:sz w:val="20"/>
      <w:szCs w:val="20"/>
      <w:lang w:eastAsia="en-GB"/>
    </w:rPr>
  </w:style>
  <w:style w:type="character" w:customStyle="1" w:styleId="CommentTextChar">
    <w:name w:val="Comment Text Char"/>
    <w:basedOn w:val="DefaultParagraphFont"/>
    <w:link w:val="CommentText"/>
    <w:uiPriority w:val="99"/>
    <w:rsid w:val="001F3D42"/>
    <w:rPr>
      <w:rFonts w:eastAsiaTheme="minorEastAsia"/>
      <w:sz w:val="20"/>
      <w:szCs w:val="20"/>
      <w:lang w:eastAsia="en-GB"/>
    </w:rPr>
  </w:style>
  <w:style w:type="paragraph" w:customStyle="1" w:styleId="Default">
    <w:name w:val="Default"/>
    <w:rsid w:val="001F3D42"/>
    <w:pPr>
      <w:autoSpaceDE w:val="0"/>
      <w:autoSpaceDN w:val="0"/>
      <w:adjustRightInd w:val="0"/>
      <w:spacing w:after="0" w:line="240" w:lineRule="auto"/>
    </w:pPr>
    <w:rPr>
      <w:rFonts w:ascii="Humanist777BT-LightB" w:hAnsi="Humanist777BT-LightB" w:cs="Humanist777BT-LightB"/>
      <w:color w:val="000000"/>
      <w:sz w:val="24"/>
      <w:szCs w:val="24"/>
      <w:lang w:eastAsia="en-GB"/>
    </w:rPr>
  </w:style>
  <w:style w:type="paragraph" w:styleId="BalloonText">
    <w:name w:val="Balloon Text"/>
    <w:basedOn w:val="Normal"/>
    <w:link w:val="BalloonTextChar"/>
    <w:uiPriority w:val="99"/>
    <w:semiHidden/>
    <w:unhideWhenUsed/>
    <w:rsid w:val="001F3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D42"/>
    <w:rPr>
      <w:rFonts w:ascii="Tahoma" w:hAnsi="Tahoma" w:cs="Tahoma"/>
      <w:sz w:val="16"/>
      <w:szCs w:val="16"/>
    </w:rPr>
  </w:style>
  <w:style w:type="character" w:customStyle="1" w:styleId="Heading2Char">
    <w:name w:val="Heading 2 Char"/>
    <w:basedOn w:val="DefaultParagraphFont"/>
    <w:link w:val="Heading2"/>
    <w:uiPriority w:val="9"/>
    <w:rsid w:val="001F3D42"/>
    <w:rPr>
      <w:rFonts w:eastAsiaTheme="majorEastAsia" w:cstheme="majorBidi"/>
      <w:b/>
      <w:bCs/>
      <w:szCs w:val="26"/>
      <w:lang w:eastAsia="en-GB"/>
    </w:rPr>
  </w:style>
  <w:style w:type="character" w:styleId="EndnoteReference">
    <w:name w:val="endnote reference"/>
    <w:basedOn w:val="DefaultParagraphFont"/>
    <w:uiPriority w:val="99"/>
    <w:semiHidden/>
    <w:unhideWhenUsed/>
    <w:rsid w:val="001F3D42"/>
    <w:rPr>
      <w:vertAlign w:val="superscript"/>
    </w:rPr>
  </w:style>
  <w:style w:type="table" w:customStyle="1" w:styleId="TableGrid1">
    <w:name w:val="Table Grid1"/>
    <w:basedOn w:val="TableNormal"/>
    <w:next w:val="TableGrid"/>
    <w:uiPriority w:val="59"/>
    <w:rsid w:val="001F3D42"/>
    <w:pPr>
      <w:spacing w:after="0" w:line="240" w:lineRule="auto"/>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53581"/>
    <w:pPr>
      <w:spacing w:after="160" w:line="240" w:lineRule="exact"/>
    </w:pPr>
    <w:rPr>
      <w:rFonts w:ascii="Verdana" w:eastAsia="Times New Roman" w:hAnsi="Verdana" w:cs="Arial"/>
      <w:sz w:val="20"/>
      <w:szCs w:val="20"/>
      <w:lang w:val="en-US"/>
    </w:rPr>
  </w:style>
  <w:style w:type="character" w:customStyle="1" w:styleId="Fuentedeprrafopredeter1">
    <w:name w:val="Fuente de párrafo predeter.1"/>
    <w:rsid w:val="00FD5D12"/>
  </w:style>
  <w:style w:type="character" w:customStyle="1" w:styleId="Heading1Char">
    <w:name w:val="Heading 1 Char"/>
    <w:basedOn w:val="DefaultParagraphFont"/>
    <w:link w:val="Heading1"/>
    <w:uiPriority w:val="9"/>
    <w:rsid w:val="006C2E2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C2E2E"/>
    <w:pPr>
      <w:outlineLvl w:val="9"/>
    </w:pPr>
    <w:rPr>
      <w:lang w:val="en-US"/>
    </w:rPr>
  </w:style>
  <w:style w:type="paragraph" w:styleId="TOC2">
    <w:name w:val="toc 2"/>
    <w:basedOn w:val="Normal"/>
    <w:next w:val="Normal"/>
    <w:autoRedefine/>
    <w:uiPriority w:val="39"/>
    <w:unhideWhenUsed/>
    <w:rsid w:val="006C2E2E"/>
    <w:pPr>
      <w:spacing w:after="100"/>
      <w:ind w:left="220"/>
    </w:pPr>
  </w:style>
  <w:style w:type="character" w:styleId="CommentReference">
    <w:name w:val="annotation reference"/>
    <w:basedOn w:val="DefaultParagraphFont"/>
    <w:uiPriority w:val="99"/>
    <w:semiHidden/>
    <w:unhideWhenUsed/>
    <w:rsid w:val="009975E5"/>
    <w:rPr>
      <w:sz w:val="16"/>
      <w:szCs w:val="16"/>
    </w:rPr>
  </w:style>
  <w:style w:type="paragraph" w:styleId="CommentSubject">
    <w:name w:val="annotation subject"/>
    <w:basedOn w:val="CommentText"/>
    <w:next w:val="CommentText"/>
    <w:link w:val="CommentSubjectChar"/>
    <w:uiPriority w:val="99"/>
    <w:semiHidden/>
    <w:unhideWhenUsed/>
    <w:rsid w:val="009975E5"/>
    <w:rPr>
      <w:b/>
      <w:bCs/>
      <w:lang w:eastAsia="es-CO"/>
    </w:rPr>
  </w:style>
  <w:style w:type="character" w:customStyle="1" w:styleId="CommentSubjectChar">
    <w:name w:val="Comment Subject Char"/>
    <w:basedOn w:val="CommentTextChar"/>
    <w:link w:val="CommentSubject"/>
    <w:uiPriority w:val="99"/>
    <w:semiHidden/>
    <w:rsid w:val="009975E5"/>
    <w:rPr>
      <w:rFonts w:eastAsiaTheme="minorEastAsia"/>
      <w:b/>
      <w:bCs/>
      <w:sz w:val="20"/>
      <w:szCs w:val="20"/>
      <w:lang w:eastAsia="en-GB"/>
    </w:rPr>
  </w:style>
  <w:style w:type="paragraph" w:styleId="Revision">
    <w:name w:val="Revision"/>
    <w:hidden/>
    <w:uiPriority w:val="99"/>
    <w:semiHidden/>
    <w:rsid w:val="00B944E3"/>
    <w:pPr>
      <w:spacing w:after="0" w:line="240" w:lineRule="auto"/>
    </w:pPr>
  </w:style>
  <w:style w:type="paragraph" w:customStyle="1" w:styleId="FootnoteReferencePara">
    <w:name w:val="Footnote Reference Para"/>
    <w:aliases w:val="ftref Para,Footnote Reference1 Para"/>
    <w:basedOn w:val="Normal"/>
    <w:link w:val="FootnoteReference"/>
    <w:uiPriority w:val="99"/>
    <w:rsid w:val="000D7052"/>
    <w:pPr>
      <w:spacing w:before="80" w:after="240" w:line="240" w:lineRule="auto"/>
      <w:jc w:val="both"/>
    </w:pPr>
    <w:rPr>
      <w:vertAlign w:val="superscript"/>
    </w:rPr>
  </w:style>
  <w:style w:type="paragraph" w:styleId="NoSpacing">
    <w:name w:val="No Spacing"/>
    <w:link w:val="NoSpacingChar"/>
    <w:uiPriority w:val="1"/>
    <w:qFormat/>
    <w:rsid w:val="00F14769"/>
    <w:pPr>
      <w:spacing w:after="0" w:line="240" w:lineRule="auto"/>
    </w:pPr>
    <w:rPr>
      <w:rFonts w:ascii="Calibri" w:eastAsia="Calibri" w:hAnsi="Calibri" w:cs="Times New Roman"/>
      <w:lang w:val="en-GB" w:eastAsia="en-US"/>
    </w:rPr>
  </w:style>
  <w:style w:type="paragraph" w:customStyle="1" w:styleId="Numbered">
    <w:name w:val="Numbered"/>
    <w:basedOn w:val="Normal"/>
    <w:link w:val="NumberedChar"/>
    <w:uiPriority w:val="99"/>
    <w:rsid w:val="00FA6D34"/>
    <w:pPr>
      <w:widowControl w:val="0"/>
      <w:overflowPunct w:val="0"/>
      <w:autoSpaceDE w:val="0"/>
      <w:autoSpaceDN w:val="0"/>
      <w:adjustRightInd w:val="0"/>
      <w:spacing w:after="240" w:line="240" w:lineRule="auto"/>
      <w:textAlignment w:val="baseline"/>
    </w:pPr>
    <w:rPr>
      <w:rFonts w:ascii="Arial" w:eastAsia="Times New Roman" w:hAnsi="Arial" w:cs="Times New Roman"/>
      <w:sz w:val="24"/>
      <w:szCs w:val="20"/>
      <w:lang w:eastAsia="en-US"/>
    </w:rPr>
  </w:style>
  <w:style w:type="character" w:customStyle="1" w:styleId="NumberedChar">
    <w:name w:val="Numbered Char"/>
    <w:link w:val="Numbered"/>
    <w:uiPriority w:val="99"/>
    <w:locked/>
    <w:rsid w:val="00FA6D34"/>
    <w:rPr>
      <w:rFonts w:ascii="Arial" w:eastAsia="Times New Roman" w:hAnsi="Arial" w:cs="Times New Roman"/>
      <w:sz w:val="24"/>
      <w:szCs w:val="20"/>
      <w:lang w:eastAsia="en-US"/>
    </w:rPr>
  </w:style>
  <w:style w:type="paragraph" w:customStyle="1" w:styleId="Normal1">
    <w:name w:val="Normal1"/>
    <w:rsid w:val="00FA6D34"/>
    <w:pPr>
      <w:spacing w:after="0"/>
    </w:pPr>
    <w:rPr>
      <w:rFonts w:ascii="Arial" w:eastAsia="Arial" w:hAnsi="Arial" w:cs="Arial"/>
      <w:color w:val="000000"/>
      <w:lang w:val="en-GB" w:eastAsia="en-GB"/>
    </w:rPr>
  </w:style>
  <w:style w:type="paragraph" w:styleId="TOC1">
    <w:name w:val="toc 1"/>
    <w:basedOn w:val="Normal"/>
    <w:next w:val="Normal"/>
    <w:autoRedefine/>
    <w:uiPriority w:val="39"/>
    <w:unhideWhenUsed/>
    <w:rsid w:val="00A7039F"/>
    <w:pPr>
      <w:spacing w:after="100"/>
    </w:pPr>
  </w:style>
  <w:style w:type="paragraph" w:customStyle="1" w:styleId="listpara2">
    <w:name w:val="list para 2"/>
    <w:basedOn w:val="Normal"/>
    <w:link w:val="listpara2Char"/>
    <w:qFormat/>
    <w:rsid w:val="008E6395"/>
    <w:pPr>
      <w:numPr>
        <w:ilvl w:val="1"/>
        <w:numId w:val="38"/>
      </w:numPr>
      <w:autoSpaceDE w:val="0"/>
      <w:autoSpaceDN w:val="0"/>
      <w:adjustRightInd w:val="0"/>
      <w:spacing w:after="240" w:line="240" w:lineRule="auto"/>
      <w:jc w:val="both"/>
    </w:pPr>
    <w:rPr>
      <w:rFonts w:ascii="Arial" w:eastAsia="Times New Roman" w:hAnsi="Arial" w:cs="Times New Roman"/>
      <w:bCs/>
      <w:iCs/>
      <w:sz w:val="24"/>
      <w:szCs w:val="24"/>
      <w:lang w:val="en-GB" w:eastAsia="en-US"/>
    </w:rPr>
  </w:style>
  <w:style w:type="character" w:customStyle="1" w:styleId="listpara2Char">
    <w:name w:val="list para 2 Char"/>
    <w:basedOn w:val="DefaultParagraphFont"/>
    <w:link w:val="listpara2"/>
    <w:rsid w:val="008E6395"/>
    <w:rPr>
      <w:rFonts w:ascii="Arial" w:eastAsia="Times New Roman" w:hAnsi="Arial" w:cs="Times New Roman"/>
      <w:bCs/>
      <w:iCs/>
      <w:sz w:val="24"/>
      <w:szCs w:val="24"/>
      <w:lang w:val="en-GB" w:eastAsia="en-US"/>
    </w:rPr>
  </w:style>
  <w:style w:type="character" w:customStyle="1" w:styleId="NoSpacingChar">
    <w:name w:val="No Spacing Char"/>
    <w:basedOn w:val="DefaultParagraphFont"/>
    <w:link w:val="NoSpacing"/>
    <w:uiPriority w:val="1"/>
    <w:locked/>
    <w:rsid w:val="002129DE"/>
    <w:rPr>
      <w:rFonts w:ascii="Calibri" w:eastAsia="Calibri" w:hAnsi="Calibri"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17123">
      <w:bodyDiv w:val="1"/>
      <w:marLeft w:val="0"/>
      <w:marRight w:val="0"/>
      <w:marTop w:val="0"/>
      <w:marBottom w:val="0"/>
      <w:divBdr>
        <w:top w:val="none" w:sz="0" w:space="0" w:color="auto"/>
        <w:left w:val="none" w:sz="0" w:space="0" w:color="auto"/>
        <w:bottom w:val="none" w:sz="0" w:space="0" w:color="auto"/>
        <w:right w:val="none" w:sz="0" w:space="0" w:color="auto"/>
      </w:divBdr>
    </w:div>
    <w:div w:id="140660350">
      <w:bodyDiv w:val="1"/>
      <w:marLeft w:val="0"/>
      <w:marRight w:val="0"/>
      <w:marTop w:val="0"/>
      <w:marBottom w:val="0"/>
      <w:divBdr>
        <w:top w:val="none" w:sz="0" w:space="0" w:color="auto"/>
        <w:left w:val="none" w:sz="0" w:space="0" w:color="auto"/>
        <w:bottom w:val="none" w:sz="0" w:space="0" w:color="auto"/>
        <w:right w:val="none" w:sz="0" w:space="0" w:color="auto"/>
      </w:divBdr>
    </w:div>
    <w:div w:id="480924810">
      <w:bodyDiv w:val="1"/>
      <w:marLeft w:val="0"/>
      <w:marRight w:val="0"/>
      <w:marTop w:val="0"/>
      <w:marBottom w:val="0"/>
      <w:divBdr>
        <w:top w:val="none" w:sz="0" w:space="0" w:color="auto"/>
        <w:left w:val="none" w:sz="0" w:space="0" w:color="auto"/>
        <w:bottom w:val="none" w:sz="0" w:space="0" w:color="auto"/>
        <w:right w:val="none" w:sz="0" w:space="0" w:color="auto"/>
      </w:divBdr>
    </w:div>
    <w:div w:id="598026703">
      <w:bodyDiv w:val="1"/>
      <w:marLeft w:val="0"/>
      <w:marRight w:val="0"/>
      <w:marTop w:val="0"/>
      <w:marBottom w:val="0"/>
      <w:divBdr>
        <w:top w:val="none" w:sz="0" w:space="0" w:color="auto"/>
        <w:left w:val="none" w:sz="0" w:space="0" w:color="auto"/>
        <w:bottom w:val="none" w:sz="0" w:space="0" w:color="auto"/>
        <w:right w:val="none" w:sz="0" w:space="0" w:color="auto"/>
      </w:divBdr>
    </w:div>
    <w:div w:id="808399210">
      <w:bodyDiv w:val="1"/>
      <w:marLeft w:val="0"/>
      <w:marRight w:val="0"/>
      <w:marTop w:val="0"/>
      <w:marBottom w:val="0"/>
      <w:divBdr>
        <w:top w:val="none" w:sz="0" w:space="0" w:color="auto"/>
        <w:left w:val="none" w:sz="0" w:space="0" w:color="auto"/>
        <w:bottom w:val="none" w:sz="0" w:space="0" w:color="auto"/>
        <w:right w:val="none" w:sz="0" w:space="0" w:color="auto"/>
      </w:divBdr>
    </w:div>
    <w:div w:id="808865162">
      <w:bodyDiv w:val="1"/>
      <w:marLeft w:val="0"/>
      <w:marRight w:val="0"/>
      <w:marTop w:val="0"/>
      <w:marBottom w:val="0"/>
      <w:divBdr>
        <w:top w:val="none" w:sz="0" w:space="0" w:color="auto"/>
        <w:left w:val="none" w:sz="0" w:space="0" w:color="auto"/>
        <w:bottom w:val="none" w:sz="0" w:space="0" w:color="auto"/>
        <w:right w:val="none" w:sz="0" w:space="0" w:color="auto"/>
      </w:divBdr>
    </w:div>
    <w:div w:id="959458633">
      <w:bodyDiv w:val="1"/>
      <w:marLeft w:val="0"/>
      <w:marRight w:val="0"/>
      <w:marTop w:val="0"/>
      <w:marBottom w:val="0"/>
      <w:divBdr>
        <w:top w:val="none" w:sz="0" w:space="0" w:color="auto"/>
        <w:left w:val="none" w:sz="0" w:space="0" w:color="auto"/>
        <w:bottom w:val="none" w:sz="0" w:space="0" w:color="auto"/>
        <w:right w:val="none" w:sz="0" w:space="0" w:color="auto"/>
      </w:divBdr>
    </w:div>
    <w:div w:id="968365238">
      <w:bodyDiv w:val="1"/>
      <w:marLeft w:val="0"/>
      <w:marRight w:val="0"/>
      <w:marTop w:val="0"/>
      <w:marBottom w:val="0"/>
      <w:divBdr>
        <w:top w:val="none" w:sz="0" w:space="0" w:color="auto"/>
        <w:left w:val="none" w:sz="0" w:space="0" w:color="auto"/>
        <w:bottom w:val="none" w:sz="0" w:space="0" w:color="auto"/>
        <w:right w:val="none" w:sz="0" w:space="0" w:color="auto"/>
      </w:divBdr>
    </w:div>
    <w:div w:id="976834427">
      <w:bodyDiv w:val="1"/>
      <w:marLeft w:val="0"/>
      <w:marRight w:val="0"/>
      <w:marTop w:val="0"/>
      <w:marBottom w:val="0"/>
      <w:divBdr>
        <w:top w:val="none" w:sz="0" w:space="0" w:color="auto"/>
        <w:left w:val="none" w:sz="0" w:space="0" w:color="auto"/>
        <w:bottom w:val="none" w:sz="0" w:space="0" w:color="auto"/>
        <w:right w:val="none" w:sz="0" w:space="0" w:color="auto"/>
      </w:divBdr>
    </w:div>
    <w:div w:id="1001084784">
      <w:bodyDiv w:val="1"/>
      <w:marLeft w:val="0"/>
      <w:marRight w:val="0"/>
      <w:marTop w:val="0"/>
      <w:marBottom w:val="0"/>
      <w:divBdr>
        <w:top w:val="none" w:sz="0" w:space="0" w:color="auto"/>
        <w:left w:val="none" w:sz="0" w:space="0" w:color="auto"/>
        <w:bottom w:val="none" w:sz="0" w:space="0" w:color="auto"/>
        <w:right w:val="none" w:sz="0" w:space="0" w:color="auto"/>
      </w:divBdr>
    </w:div>
    <w:div w:id="1096949078">
      <w:bodyDiv w:val="1"/>
      <w:marLeft w:val="0"/>
      <w:marRight w:val="0"/>
      <w:marTop w:val="0"/>
      <w:marBottom w:val="0"/>
      <w:divBdr>
        <w:top w:val="none" w:sz="0" w:space="0" w:color="auto"/>
        <w:left w:val="none" w:sz="0" w:space="0" w:color="auto"/>
        <w:bottom w:val="none" w:sz="0" w:space="0" w:color="auto"/>
        <w:right w:val="none" w:sz="0" w:space="0" w:color="auto"/>
      </w:divBdr>
    </w:div>
    <w:div w:id="1134323780">
      <w:bodyDiv w:val="1"/>
      <w:marLeft w:val="0"/>
      <w:marRight w:val="0"/>
      <w:marTop w:val="0"/>
      <w:marBottom w:val="0"/>
      <w:divBdr>
        <w:top w:val="none" w:sz="0" w:space="0" w:color="auto"/>
        <w:left w:val="none" w:sz="0" w:space="0" w:color="auto"/>
        <w:bottom w:val="none" w:sz="0" w:space="0" w:color="auto"/>
        <w:right w:val="none" w:sz="0" w:space="0" w:color="auto"/>
      </w:divBdr>
    </w:div>
    <w:div w:id="1203713236">
      <w:bodyDiv w:val="1"/>
      <w:marLeft w:val="0"/>
      <w:marRight w:val="0"/>
      <w:marTop w:val="0"/>
      <w:marBottom w:val="0"/>
      <w:divBdr>
        <w:top w:val="none" w:sz="0" w:space="0" w:color="auto"/>
        <w:left w:val="none" w:sz="0" w:space="0" w:color="auto"/>
        <w:bottom w:val="none" w:sz="0" w:space="0" w:color="auto"/>
        <w:right w:val="none" w:sz="0" w:space="0" w:color="auto"/>
      </w:divBdr>
    </w:div>
    <w:div w:id="1683703297">
      <w:bodyDiv w:val="1"/>
      <w:marLeft w:val="0"/>
      <w:marRight w:val="0"/>
      <w:marTop w:val="0"/>
      <w:marBottom w:val="0"/>
      <w:divBdr>
        <w:top w:val="none" w:sz="0" w:space="0" w:color="auto"/>
        <w:left w:val="none" w:sz="0" w:space="0" w:color="auto"/>
        <w:bottom w:val="none" w:sz="0" w:space="0" w:color="auto"/>
        <w:right w:val="none" w:sz="0" w:space="0" w:color="auto"/>
      </w:divBdr>
    </w:div>
    <w:div w:id="1815021905">
      <w:bodyDiv w:val="1"/>
      <w:marLeft w:val="0"/>
      <w:marRight w:val="0"/>
      <w:marTop w:val="0"/>
      <w:marBottom w:val="0"/>
      <w:divBdr>
        <w:top w:val="none" w:sz="0" w:space="0" w:color="auto"/>
        <w:left w:val="none" w:sz="0" w:space="0" w:color="auto"/>
        <w:bottom w:val="none" w:sz="0" w:space="0" w:color="auto"/>
        <w:right w:val="none" w:sz="0" w:space="0" w:color="auto"/>
      </w:divBdr>
    </w:div>
    <w:div w:id="1852719130">
      <w:bodyDiv w:val="1"/>
      <w:marLeft w:val="0"/>
      <w:marRight w:val="0"/>
      <w:marTop w:val="0"/>
      <w:marBottom w:val="0"/>
      <w:divBdr>
        <w:top w:val="none" w:sz="0" w:space="0" w:color="auto"/>
        <w:left w:val="none" w:sz="0" w:space="0" w:color="auto"/>
        <w:bottom w:val="none" w:sz="0" w:space="0" w:color="auto"/>
        <w:right w:val="none" w:sz="0" w:space="0" w:color="auto"/>
      </w:divBdr>
    </w:div>
    <w:div w:id="1865901863">
      <w:bodyDiv w:val="1"/>
      <w:marLeft w:val="0"/>
      <w:marRight w:val="0"/>
      <w:marTop w:val="0"/>
      <w:marBottom w:val="0"/>
      <w:divBdr>
        <w:top w:val="none" w:sz="0" w:space="0" w:color="auto"/>
        <w:left w:val="none" w:sz="0" w:space="0" w:color="auto"/>
        <w:bottom w:val="none" w:sz="0" w:space="0" w:color="auto"/>
        <w:right w:val="none" w:sz="0" w:space="0" w:color="auto"/>
      </w:divBdr>
    </w:div>
    <w:div w:id="1913003004">
      <w:bodyDiv w:val="1"/>
      <w:marLeft w:val="0"/>
      <w:marRight w:val="0"/>
      <w:marTop w:val="0"/>
      <w:marBottom w:val="0"/>
      <w:divBdr>
        <w:top w:val="none" w:sz="0" w:space="0" w:color="auto"/>
        <w:left w:val="none" w:sz="0" w:space="0" w:color="auto"/>
        <w:bottom w:val="none" w:sz="0" w:space="0" w:color="auto"/>
        <w:right w:val="none" w:sz="0" w:space="0" w:color="auto"/>
      </w:divBdr>
      <w:divsChild>
        <w:div w:id="850068940">
          <w:marLeft w:val="0"/>
          <w:marRight w:val="0"/>
          <w:marTop w:val="0"/>
          <w:marBottom w:val="0"/>
          <w:divBdr>
            <w:top w:val="none" w:sz="0" w:space="0" w:color="auto"/>
            <w:left w:val="none" w:sz="0" w:space="0" w:color="auto"/>
            <w:bottom w:val="none" w:sz="0" w:space="0" w:color="auto"/>
            <w:right w:val="none" w:sz="0" w:space="0" w:color="auto"/>
          </w:divBdr>
          <w:divsChild>
            <w:div w:id="38094588">
              <w:marLeft w:val="0"/>
              <w:marRight w:val="0"/>
              <w:marTop w:val="0"/>
              <w:marBottom w:val="0"/>
              <w:divBdr>
                <w:top w:val="none" w:sz="0" w:space="0" w:color="auto"/>
                <w:left w:val="none" w:sz="0" w:space="0" w:color="auto"/>
                <w:bottom w:val="none" w:sz="0" w:space="0" w:color="auto"/>
                <w:right w:val="none" w:sz="0" w:space="0" w:color="auto"/>
              </w:divBdr>
              <w:divsChild>
                <w:div w:id="48264450">
                  <w:marLeft w:val="0"/>
                  <w:marRight w:val="0"/>
                  <w:marTop w:val="0"/>
                  <w:marBottom w:val="0"/>
                  <w:divBdr>
                    <w:top w:val="none" w:sz="0" w:space="0" w:color="auto"/>
                    <w:left w:val="none" w:sz="0" w:space="0" w:color="auto"/>
                    <w:bottom w:val="none" w:sz="0" w:space="0" w:color="auto"/>
                    <w:right w:val="none" w:sz="0" w:space="0" w:color="auto"/>
                  </w:divBdr>
                </w:div>
              </w:divsChild>
            </w:div>
            <w:div w:id="1707564814">
              <w:marLeft w:val="0"/>
              <w:marRight w:val="0"/>
              <w:marTop w:val="0"/>
              <w:marBottom w:val="0"/>
              <w:divBdr>
                <w:top w:val="none" w:sz="0" w:space="0" w:color="auto"/>
                <w:left w:val="none" w:sz="0" w:space="0" w:color="auto"/>
                <w:bottom w:val="none" w:sz="0" w:space="0" w:color="auto"/>
                <w:right w:val="none" w:sz="0" w:space="0" w:color="auto"/>
              </w:divBdr>
              <w:divsChild>
                <w:div w:id="13806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19253">
          <w:marLeft w:val="0"/>
          <w:marRight w:val="0"/>
          <w:marTop w:val="0"/>
          <w:marBottom w:val="0"/>
          <w:divBdr>
            <w:top w:val="none" w:sz="0" w:space="0" w:color="auto"/>
            <w:left w:val="none" w:sz="0" w:space="0" w:color="auto"/>
            <w:bottom w:val="none" w:sz="0" w:space="0" w:color="auto"/>
            <w:right w:val="none" w:sz="0" w:space="0" w:color="auto"/>
          </w:divBdr>
          <w:divsChild>
            <w:div w:id="1140000173">
              <w:marLeft w:val="0"/>
              <w:marRight w:val="0"/>
              <w:marTop w:val="0"/>
              <w:marBottom w:val="0"/>
              <w:divBdr>
                <w:top w:val="none" w:sz="0" w:space="0" w:color="auto"/>
                <w:left w:val="none" w:sz="0" w:space="0" w:color="auto"/>
                <w:bottom w:val="none" w:sz="0" w:space="0" w:color="auto"/>
                <w:right w:val="none" w:sz="0" w:space="0" w:color="auto"/>
              </w:divBdr>
              <w:divsChild>
                <w:div w:id="1064765379">
                  <w:marLeft w:val="0"/>
                  <w:marRight w:val="0"/>
                  <w:marTop w:val="0"/>
                  <w:marBottom w:val="0"/>
                  <w:divBdr>
                    <w:top w:val="none" w:sz="0" w:space="0" w:color="auto"/>
                    <w:left w:val="none" w:sz="0" w:space="0" w:color="auto"/>
                    <w:bottom w:val="none" w:sz="0" w:space="0" w:color="auto"/>
                    <w:right w:val="none" w:sz="0" w:space="0" w:color="auto"/>
                  </w:divBdr>
                </w:div>
              </w:divsChild>
            </w:div>
            <w:div w:id="2103605476">
              <w:marLeft w:val="0"/>
              <w:marRight w:val="0"/>
              <w:marTop w:val="0"/>
              <w:marBottom w:val="0"/>
              <w:divBdr>
                <w:top w:val="none" w:sz="0" w:space="0" w:color="auto"/>
                <w:left w:val="none" w:sz="0" w:space="0" w:color="auto"/>
                <w:bottom w:val="none" w:sz="0" w:space="0" w:color="auto"/>
                <w:right w:val="none" w:sz="0" w:space="0" w:color="auto"/>
              </w:divBdr>
              <w:divsChild>
                <w:div w:id="121296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777BFF-8512-41C5-B667-506F5A554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10</Pages>
  <Words>3071</Words>
  <Characters>17511</Characters>
  <Application>Microsoft Office Word</Application>
  <DocSecurity>0</DocSecurity>
  <Lines>145</Lines>
  <Paragraphs>41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PF ToR Cities and Regions</vt:lpstr>
      <vt:lpstr>PF ToR Cities and Regions</vt:lpstr>
    </vt:vector>
  </TitlesOfParts>
  <Company>FCO</Company>
  <LinksUpToDate>false</LinksUpToDate>
  <CharactersWithSpaces>20541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 ToR Cities and Regions</dc:title>
  <dc:subject/>
  <dc:creator>catrinakenny</dc:creator>
  <cp:keywords/>
  <dc:description/>
  <cp:lastModifiedBy>Hector Cabrera (Sensitive)</cp:lastModifiedBy>
  <cp:revision>8</cp:revision>
  <cp:lastPrinted>2017-06-13T19:37:00Z</cp:lastPrinted>
  <dcterms:created xsi:type="dcterms:W3CDTF">2018-10-04T20:36:00Z</dcterms:created>
  <dcterms:modified xsi:type="dcterms:W3CDTF">2018-10-15T21:45:00Z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OFFICIAL</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2017-03-22T05:00:00Z</vt:filetime>
  </property>
</Properties>
</file>