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5F738A" w:rsidP="00893A3F">
      <w:pPr>
        <w:rPr>
          <w:rFonts w:ascii="Calibri" w:hAnsi="Calibri" w:cs="Calibri"/>
          <w:sz w:val="32"/>
          <w:szCs w:val="32"/>
        </w:rPr>
      </w:pPr>
      <w:bookmarkStart w:id="0" w:name="_GoBack"/>
      <w:bookmarkEnd w:id="0"/>
    </w:p>
    <w:p w:rsidR="00893A3F" w:rsidRDefault="00893A3F" w:rsidP="008F2B68">
      <w:pPr>
        <w:rPr>
          <w:rFonts w:ascii="Calibri" w:hAnsi="Calibri" w:cs="Calibri"/>
          <w:b/>
          <w:sz w:val="32"/>
          <w:szCs w:val="32"/>
        </w:rPr>
      </w:pPr>
    </w:p>
    <w:p w:rsidR="005A492F" w:rsidRPr="00FB4E32" w:rsidRDefault="00FE0B21" w:rsidP="00FE0B21">
      <w:pPr>
        <w:rPr>
          <w:rFonts w:cs="Arial"/>
          <w:b/>
          <w:sz w:val="36"/>
          <w:szCs w:val="36"/>
        </w:rPr>
      </w:pPr>
      <w:r w:rsidRPr="00FB4E32">
        <w:rPr>
          <w:rFonts w:cs="Arial"/>
          <w:b/>
          <w:sz w:val="36"/>
          <w:szCs w:val="36"/>
        </w:rPr>
        <w:t xml:space="preserve">Invitation to Tender for </w:t>
      </w:r>
      <w:r w:rsidR="003B3400" w:rsidRPr="00FB4E32">
        <w:rPr>
          <w:rFonts w:cs="Arial"/>
          <w:b/>
          <w:sz w:val="36"/>
          <w:szCs w:val="36"/>
        </w:rPr>
        <w:t>the</w:t>
      </w:r>
      <w:r w:rsidR="005A492F" w:rsidRPr="00FB4E32">
        <w:rPr>
          <w:rFonts w:cs="Arial"/>
          <w:b/>
          <w:sz w:val="36"/>
          <w:szCs w:val="36"/>
        </w:rPr>
        <w:t xml:space="preserve"> preparation</w:t>
      </w:r>
      <w:r w:rsidR="003B3400" w:rsidRPr="00FB4E32">
        <w:rPr>
          <w:rFonts w:cs="Arial"/>
          <w:b/>
          <w:sz w:val="36"/>
          <w:szCs w:val="36"/>
        </w:rPr>
        <w:t xml:space="preserve"> </w:t>
      </w:r>
      <w:r w:rsidR="003347BC" w:rsidRPr="00FB4E32">
        <w:rPr>
          <w:rFonts w:cs="Arial"/>
          <w:b/>
          <w:sz w:val="36"/>
          <w:szCs w:val="36"/>
        </w:rPr>
        <w:t xml:space="preserve">and facilitation </w:t>
      </w:r>
      <w:r w:rsidR="003B3400" w:rsidRPr="00FB4E32">
        <w:rPr>
          <w:rFonts w:cs="Arial"/>
          <w:b/>
          <w:sz w:val="36"/>
          <w:szCs w:val="36"/>
        </w:rPr>
        <w:t>of</w:t>
      </w:r>
      <w:r w:rsidR="005A492F" w:rsidRPr="00FB4E32">
        <w:rPr>
          <w:rFonts w:cs="Arial"/>
          <w:b/>
          <w:sz w:val="36"/>
          <w:szCs w:val="36"/>
        </w:rPr>
        <w:t xml:space="preserve"> a suite of stakeholder engagement workshop</w:t>
      </w:r>
      <w:r w:rsidR="003B3400" w:rsidRPr="00FB4E32">
        <w:rPr>
          <w:rFonts w:cs="Arial"/>
          <w:b/>
          <w:sz w:val="36"/>
          <w:szCs w:val="36"/>
        </w:rPr>
        <w:t xml:space="preserve">s in support of the Geological Disposal Facility consultations on the National Policy Statement </w:t>
      </w:r>
      <w:r w:rsidR="00A166EA" w:rsidRPr="00FB4E32">
        <w:rPr>
          <w:rFonts w:cs="Arial"/>
          <w:b/>
          <w:sz w:val="36"/>
          <w:szCs w:val="36"/>
        </w:rPr>
        <w:t xml:space="preserve">(NPS) </w:t>
      </w:r>
      <w:r w:rsidR="003B3400" w:rsidRPr="00FB4E32">
        <w:rPr>
          <w:rFonts w:cs="Arial"/>
          <w:b/>
          <w:sz w:val="36"/>
          <w:szCs w:val="36"/>
        </w:rPr>
        <w:t>and the Working with Communities policy</w:t>
      </w:r>
    </w:p>
    <w:p w:rsidR="00CB7AD6" w:rsidRPr="00CB7AD6" w:rsidRDefault="00CB7AD6" w:rsidP="00FE0B21">
      <w:pPr>
        <w:rPr>
          <w:rFonts w:cs="Arial"/>
          <w:b/>
          <w:sz w:val="36"/>
          <w:szCs w:val="36"/>
        </w:rPr>
      </w:pPr>
    </w:p>
    <w:p w:rsidR="00E53204" w:rsidRPr="00FB4E32" w:rsidRDefault="00C53C6B" w:rsidP="008F2B68">
      <w:pPr>
        <w:rPr>
          <w:rFonts w:cs="Arial"/>
          <w:sz w:val="36"/>
          <w:szCs w:val="36"/>
        </w:rPr>
      </w:pPr>
      <w:r w:rsidRPr="00CB7AD6">
        <w:rPr>
          <w:rFonts w:cs="Arial"/>
          <w:sz w:val="36"/>
          <w:szCs w:val="36"/>
        </w:rPr>
        <w:t>T</w:t>
      </w:r>
      <w:r w:rsidR="00E53204" w:rsidRPr="00CB7AD6">
        <w:rPr>
          <w:rFonts w:cs="Arial"/>
          <w:sz w:val="36"/>
          <w:szCs w:val="36"/>
        </w:rPr>
        <w:t xml:space="preserve">ender Reference </w:t>
      </w:r>
      <w:r w:rsidR="00E53204" w:rsidRPr="00FB4E32">
        <w:rPr>
          <w:rFonts w:cs="Arial"/>
          <w:sz w:val="36"/>
          <w:szCs w:val="36"/>
        </w:rPr>
        <w:t>Number</w:t>
      </w:r>
      <w:r w:rsidR="006E31A8" w:rsidRPr="00FB4E32">
        <w:rPr>
          <w:rFonts w:cs="Arial"/>
          <w:sz w:val="36"/>
          <w:szCs w:val="36"/>
        </w:rPr>
        <w:t xml:space="preserve">: </w:t>
      </w:r>
      <w:r w:rsidR="008B7013" w:rsidRPr="00FB4E32">
        <w:rPr>
          <w:rFonts w:cs="Arial"/>
          <w:sz w:val="36"/>
          <w:szCs w:val="36"/>
        </w:rPr>
        <w:t>1252/12/2016</w:t>
      </w:r>
    </w:p>
    <w:p w:rsidR="00444762" w:rsidRPr="00FB4E32" w:rsidRDefault="00444762" w:rsidP="008F2B68">
      <w:pPr>
        <w:rPr>
          <w:rFonts w:cs="Arial"/>
          <w:szCs w:val="28"/>
        </w:rPr>
      </w:pPr>
    </w:p>
    <w:p w:rsidR="00921FD4" w:rsidRPr="00CB7AD6" w:rsidRDefault="00116BFD" w:rsidP="008F2B68">
      <w:pPr>
        <w:rPr>
          <w:rFonts w:cs="Arial"/>
          <w:sz w:val="36"/>
          <w:szCs w:val="36"/>
        </w:rPr>
      </w:pPr>
      <w:r w:rsidRPr="00FB4E32">
        <w:rPr>
          <w:rFonts w:cs="Arial"/>
          <w:sz w:val="36"/>
          <w:szCs w:val="36"/>
        </w:rPr>
        <w:t xml:space="preserve">Deadline for Tender Responses: </w:t>
      </w:r>
      <w:r w:rsidR="008B7013" w:rsidRPr="00FB4E32">
        <w:rPr>
          <w:rFonts w:cs="Arial"/>
          <w:sz w:val="36"/>
          <w:szCs w:val="36"/>
        </w:rPr>
        <w:t>20 March 2017</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Date</w:t>
      </w:r>
      <w:r w:rsidRPr="00FB4E32">
        <w:rPr>
          <w:rFonts w:cs="Arial"/>
          <w:sz w:val="24"/>
          <w:szCs w:val="24"/>
        </w:rPr>
        <w:t xml:space="preserve">: </w:t>
      </w:r>
      <w:r w:rsidR="008B7013" w:rsidRPr="00FB4E32">
        <w:rPr>
          <w:rFonts w:cs="Arial"/>
          <w:sz w:val="24"/>
          <w:szCs w:val="24"/>
        </w:rPr>
        <w:t>01 March</w:t>
      </w:r>
      <w:r w:rsidR="00861225" w:rsidRPr="00FB4E32">
        <w:rPr>
          <w:rFonts w:cs="Arial"/>
          <w:sz w:val="24"/>
          <w:szCs w:val="24"/>
        </w:rPr>
        <w:t xml:space="preserve"> 2017</w:t>
      </w:r>
    </w:p>
    <w:p w:rsidR="00D95762" w:rsidRPr="00E55A47" w:rsidRDefault="00D95762" w:rsidP="00121E96">
      <w:pPr>
        <w:jc w:val="both"/>
        <w:rPr>
          <w:rFonts w:cs="Arial"/>
          <w:sz w:val="24"/>
          <w:szCs w:val="24"/>
        </w:rPr>
      </w:pPr>
    </w:p>
    <w:p w:rsidR="003D4E70" w:rsidRPr="00FB4E32" w:rsidRDefault="00E242F7" w:rsidP="00E55A47">
      <w:pPr>
        <w:rPr>
          <w:rFonts w:cs="Arial"/>
          <w:sz w:val="24"/>
          <w:szCs w:val="24"/>
        </w:rPr>
      </w:pPr>
      <w:r w:rsidRPr="00D95762">
        <w:rPr>
          <w:rFonts w:cs="Arial"/>
          <w:sz w:val="24"/>
          <w:szCs w:val="24"/>
        </w:rPr>
        <w:t xml:space="preserve">The </w:t>
      </w:r>
      <w:r w:rsidR="00CB36C1" w:rsidRPr="00FB4E32">
        <w:rPr>
          <w:rFonts w:cs="Arial"/>
          <w:sz w:val="24"/>
          <w:szCs w:val="24"/>
        </w:rPr>
        <w:t>Department for Business, Energy &amp; Industrial Strategy</w:t>
      </w:r>
      <w:r w:rsidRPr="00FB4E32">
        <w:rPr>
          <w:rFonts w:cs="Arial"/>
          <w:sz w:val="24"/>
          <w:szCs w:val="24"/>
        </w:rPr>
        <w:t xml:space="preserve"> (“</w:t>
      </w:r>
      <w:r w:rsidR="00CB36C1" w:rsidRPr="00FB4E32">
        <w:rPr>
          <w:rFonts w:cs="Arial"/>
          <w:sz w:val="24"/>
          <w:szCs w:val="24"/>
        </w:rPr>
        <w:t>BEIS</w:t>
      </w:r>
      <w:r w:rsidRPr="00FB4E32">
        <w:rPr>
          <w:rFonts w:cs="Arial"/>
          <w:sz w:val="24"/>
          <w:szCs w:val="24"/>
        </w:rPr>
        <w:t>”)</w:t>
      </w:r>
      <w:r w:rsidR="0073441B" w:rsidRPr="00FB4E32">
        <w:rPr>
          <w:rStyle w:val="FootnoteReference"/>
          <w:rFonts w:cs="Arial"/>
          <w:sz w:val="24"/>
          <w:szCs w:val="24"/>
        </w:rPr>
        <w:footnoteReference w:id="1"/>
      </w:r>
      <w:r w:rsidRPr="00FB4E32">
        <w:rPr>
          <w:rFonts w:cs="Arial"/>
          <w:sz w:val="24"/>
          <w:szCs w:val="24"/>
        </w:rPr>
        <w:t xml:space="preserve"> wishes to </w:t>
      </w:r>
      <w:r w:rsidR="00B44974" w:rsidRPr="00FB4E32">
        <w:rPr>
          <w:rFonts w:cs="Arial"/>
          <w:sz w:val="24"/>
          <w:szCs w:val="24"/>
        </w:rPr>
        <w:t>commission a</w:t>
      </w:r>
      <w:r w:rsidRPr="00FB4E32">
        <w:rPr>
          <w:rFonts w:cs="Arial"/>
          <w:sz w:val="24"/>
          <w:szCs w:val="24"/>
        </w:rPr>
        <w:t xml:space="preserve"> </w:t>
      </w:r>
      <w:r w:rsidR="003D4E70" w:rsidRPr="00FB4E32">
        <w:rPr>
          <w:rFonts w:cs="Arial"/>
          <w:sz w:val="24"/>
          <w:szCs w:val="24"/>
        </w:rPr>
        <w:t xml:space="preserve">project </w:t>
      </w:r>
      <w:r w:rsidR="00B44974" w:rsidRPr="00FB4E32">
        <w:rPr>
          <w:rFonts w:cs="Arial"/>
          <w:sz w:val="24"/>
          <w:szCs w:val="24"/>
        </w:rPr>
        <w:t>to</w:t>
      </w:r>
      <w:r w:rsidR="007C1A23" w:rsidRPr="00FB4E32">
        <w:rPr>
          <w:rFonts w:cs="Arial"/>
          <w:sz w:val="24"/>
          <w:szCs w:val="24"/>
        </w:rPr>
        <w:t xml:space="preserve"> </w:t>
      </w:r>
      <w:r w:rsidR="003347BC" w:rsidRPr="00FB4E32">
        <w:rPr>
          <w:rFonts w:cs="Arial"/>
          <w:sz w:val="24"/>
          <w:szCs w:val="24"/>
        </w:rPr>
        <w:t>prepare and facilitate a suite of stakeholder engagement workshops in support of the Geological Disposal Facility consultations on the National Policy Statement</w:t>
      </w:r>
      <w:r w:rsidR="00A166EA" w:rsidRPr="00FB4E32">
        <w:rPr>
          <w:rFonts w:cs="Arial"/>
          <w:sz w:val="24"/>
          <w:szCs w:val="24"/>
        </w:rPr>
        <w:t xml:space="preserve"> (NPS)</w:t>
      </w:r>
      <w:r w:rsidR="003347BC" w:rsidRPr="00FB4E32">
        <w:rPr>
          <w:rFonts w:cs="Arial"/>
          <w:sz w:val="24"/>
          <w:szCs w:val="24"/>
        </w:rPr>
        <w:t xml:space="preserve"> and the Working with Communities policy.</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BF75EC">
      <w:pPr>
        <w:widowControl/>
        <w:numPr>
          <w:ilvl w:val="0"/>
          <w:numId w:val="9"/>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BF75EC">
      <w:pPr>
        <w:pStyle w:val="Numbered"/>
        <w:widowControl/>
        <w:numPr>
          <w:ilvl w:val="0"/>
          <w:numId w:val="9"/>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B23510">
      <w:pPr>
        <w:pStyle w:val="Numbered"/>
        <w:widowControl/>
        <w:numPr>
          <w:ilvl w:val="5"/>
          <w:numId w:val="9"/>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B23510">
      <w:pPr>
        <w:pStyle w:val="Numbered"/>
        <w:widowControl/>
        <w:numPr>
          <w:ilvl w:val="5"/>
          <w:numId w:val="9"/>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221B09" w:rsidP="00B23510">
      <w:pPr>
        <w:pStyle w:val="Numbered"/>
        <w:widowControl/>
        <w:numPr>
          <w:ilvl w:val="5"/>
          <w:numId w:val="9"/>
        </w:numPr>
        <w:spacing w:after="0"/>
        <w:jc w:val="both"/>
        <w:rPr>
          <w:rFonts w:cs="Arial"/>
          <w:sz w:val="24"/>
          <w:szCs w:val="24"/>
        </w:rPr>
      </w:pPr>
      <w:r w:rsidRPr="00D95762">
        <w:rPr>
          <w:rFonts w:cs="Arial"/>
          <w:sz w:val="24"/>
          <w:szCs w:val="24"/>
        </w:rPr>
        <w:t>Questions for tenderers</w:t>
      </w:r>
    </w:p>
    <w:p w:rsidR="007C661F" w:rsidRPr="00D95762" w:rsidRDefault="007C661F" w:rsidP="00B23510">
      <w:pPr>
        <w:pStyle w:val="Numbered"/>
        <w:widowControl/>
        <w:numPr>
          <w:ilvl w:val="5"/>
          <w:numId w:val="9"/>
        </w:numPr>
        <w:spacing w:after="0"/>
        <w:jc w:val="both"/>
        <w:rPr>
          <w:rFonts w:cs="Arial"/>
          <w:sz w:val="24"/>
          <w:szCs w:val="24"/>
        </w:rPr>
      </w:pPr>
      <w:r>
        <w:rPr>
          <w:rFonts w:cs="Arial"/>
          <w:sz w:val="24"/>
          <w:szCs w:val="24"/>
        </w:rPr>
        <w:t>Code of Practice for Research</w:t>
      </w:r>
    </w:p>
    <w:p w:rsidR="005F6350" w:rsidRDefault="00B44974" w:rsidP="00BF75EC">
      <w:pPr>
        <w:pStyle w:val="Numbered"/>
        <w:widowControl/>
        <w:numPr>
          <w:ilvl w:val="0"/>
          <w:numId w:val="9"/>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BF75EC">
      <w:pPr>
        <w:pStyle w:val="Numbered"/>
        <w:widowControl/>
        <w:numPr>
          <w:ilvl w:val="0"/>
          <w:numId w:val="9"/>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4" w:history="1">
        <w:r w:rsidR="00B04DB6" w:rsidRPr="00B46496">
          <w:rPr>
            <w:rStyle w:val="Hyperlink"/>
            <w:rFonts w:cs="Arial"/>
            <w:sz w:val="24"/>
            <w:szCs w:val="24"/>
          </w:rPr>
          <w:t>tina.markose@beis.gov.uk</w:t>
        </w:r>
      </w:hyperlink>
      <w:r w:rsidR="003347BC">
        <w:rPr>
          <w:rFonts w:cs="Arial"/>
          <w:color w:val="FF0000"/>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3347BC" w:rsidRDefault="00075D2C" w:rsidP="00121E96">
      <w:pPr>
        <w:jc w:val="both"/>
        <w:rPr>
          <w:rFonts w:cs="Arial"/>
          <w:sz w:val="24"/>
          <w:szCs w:val="24"/>
        </w:rPr>
      </w:pPr>
      <w:r w:rsidRPr="00121E96">
        <w:rPr>
          <w:rFonts w:cs="Arial"/>
          <w:sz w:val="24"/>
          <w:szCs w:val="24"/>
        </w:rPr>
        <w:t xml:space="preserve">Please read the instructions on the tendering procedures carefully since failure to </w:t>
      </w:r>
      <w:r w:rsidRPr="00FB4E32">
        <w:rPr>
          <w:rFonts w:cs="Arial"/>
          <w:sz w:val="24"/>
          <w:szCs w:val="24"/>
        </w:rPr>
        <w:t xml:space="preserve">comply with them may invalidate your tender. Your tender must be returned by </w:t>
      </w:r>
      <w:r w:rsidR="008B7013" w:rsidRPr="00FB4E32">
        <w:rPr>
          <w:rFonts w:cs="Arial"/>
          <w:sz w:val="24"/>
          <w:szCs w:val="24"/>
        </w:rPr>
        <w:t>12</w:t>
      </w:r>
      <w:r w:rsidR="007F268D" w:rsidRPr="00FB4E32">
        <w:rPr>
          <w:rFonts w:cs="Arial"/>
          <w:sz w:val="24"/>
          <w:szCs w:val="24"/>
        </w:rPr>
        <w:t>:00</w:t>
      </w:r>
      <w:r w:rsidR="008B7013" w:rsidRPr="00FB4E32">
        <w:rPr>
          <w:rFonts w:cs="Arial"/>
          <w:sz w:val="24"/>
          <w:szCs w:val="24"/>
        </w:rPr>
        <w:t xml:space="preserve"> noon</w:t>
      </w:r>
      <w:r w:rsidR="007F268D" w:rsidRPr="00FB4E32">
        <w:rPr>
          <w:rFonts w:cs="Arial"/>
          <w:sz w:val="24"/>
          <w:szCs w:val="24"/>
        </w:rPr>
        <w:t xml:space="preserve"> on </w:t>
      </w:r>
      <w:r w:rsidR="008B7013" w:rsidRPr="00FB4E32">
        <w:rPr>
          <w:rFonts w:cs="Arial"/>
          <w:sz w:val="24"/>
          <w:szCs w:val="24"/>
        </w:rPr>
        <w:t>20 March</w:t>
      </w:r>
      <w:r w:rsidR="005D0EEF" w:rsidRPr="00FB4E32">
        <w:rPr>
          <w:rFonts w:cs="Arial"/>
          <w:sz w:val="24"/>
          <w:szCs w:val="24"/>
        </w:rPr>
        <w:t xml:space="preserve"> 2017</w:t>
      </w:r>
      <w:r w:rsidR="00444762" w:rsidRPr="00FB4E32">
        <w:rPr>
          <w:rFonts w:cs="Arial"/>
          <w:sz w:val="24"/>
          <w:szCs w:val="24"/>
        </w:rPr>
        <w:t xml:space="preserve"> </w:t>
      </w:r>
      <w:r w:rsidRPr="00FB4E32">
        <w:rPr>
          <w:rFonts w:cs="Arial"/>
          <w:sz w:val="24"/>
          <w:szCs w:val="24"/>
        </w:rPr>
        <w:t xml:space="preserve">clearly </w:t>
      </w:r>
      <w:r w:rsidRPr="00121E96">
        <w:rPr>
          <w:rFonts w:cs="Arial"/>
          <w:sz w:val="24"/>
          <w:szCs w:val="24"/>
        </w:rPr>
        <w:t>marked as “TENDER”.</w:t>
      </w: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Default="00121E96" w:rsidP="00121E96">
      <w:pPr>
        <w:jc w:val="both"/>
        <w:rPr>
          <w:rFonts w:cs="Arial"/>
          <w:sz w:val="24"/>
          <w:szCs w:val="24"/>
        </w:rPr>
      </w:pPr>
      <w:r w:rsidRPr="00121E96">
        <w:rPr>
          <w:rFonts w:cs="Arial"/>
          <w:sz w:val="24"/>
          <w:szCs w:val="24"/>
        </w:rPr>
        <w:t>Yours sincerely,</w:t>
      </w:r>
    </w:p>
    <w:p w:rsidR="003347BC" w:rsidRDefault="003347BC" w:rsidP="00121E96">
      <w:pPr>
        <w:jc w:val="both"/>
        <w:rPr>
          <w:rFonts w:cs="Arial"/>
          <w:sz w:val="24"/>
          <w:szCs w:val="24"/>
        </w:rPr>
      </w:pPr>
    </w:p>
    <w:p w:rsidR="003347BC" w:rsidRDefault="00B04DB6" w:rsidP="00121E96">
      <w:pPr>
        <w:jc w:val="both"/>
        <w:rPr>
          <w:rFonts w:cs="Arial"/>
          <w:sz w:val="24"/>
          <w:szCs w:val="24"/>
        </w:rPr>
      </w:pPr>
      <w:r>
        <w:rPr>
          <w:rFonts w:cs="Arial"/>
          <w:sz w:val="24"/>
          <w:szCs w:val="24"/>
        </w:rPr>
        <w:t>Tina Markose</w:t>
      </w:r>
    </w:p>
    <w:p w:rsidR="003347BC" w:rsidRDefault="003347BC" w:rsidP="003347BC">
      <w:pPr>
        <w:jc w:val="both"/>
        <w:rPr>
          <w:rFonts w:cs="Arial"/>
          <w:sz w:val="24"/>
          <w:szCs w:val="24"/>
        </w:rPr>
      </w:pPr>
      <w:r>
        <w:rPr>
          <w:rFonts w:cs="Arial"/>
          <w:sz w:val="24"/>
          <w:szCs w:val="24"/>
        </w:rPr>
        <w:t>Geological Disposal Facility Team</w:t>
      </w:r>
    </w:p>
    <w:p w:rsidR="003347BC" w:rsidRDefault="003347BC" w:rsidP="003347BC">
      <w:pPr>
        <w:jc w:val="both"/>
        <w:rPr>
          <w:rFonts w:cs="Arial"/>
          <w:sz w:val="24"/>
          <w:szCs w:val="24"/>
        </w:rPr>
      </w:pPr>
      <w:r>
        <w:rPr>
          <w:rFonts w:cs="Arial"/>
          <w:sz w:val="24"/>
          <w:szCs w:val="24"/>
        </w:rPr>
        <w:t>Department for Business, Energy &amp; Industrial Strategy</w:t>
      </w:r>
    </w:p>
    <w:p w:rsidR="003347BC" w:rsidRDefault="003347BC" w:rsidP="003347BC">
      <w:pPr>
        <w:jc w:val="both"/>
        <w:rPr>
          <w:rFonts w:cs="Arial"/>
          <w:sz w:val="24"/>
          <w:szCs w:val="24"/>
        </w:rPr>
      </w:pPr>
      <w:r>
        <w:rPr>
          <w:rFonts w:cs="Arial"/>
          <w:sz w:val="24"/>
          <w:szCs w:val="24"/>
        </w:rPr>
        <w:t>Area 2D, 3 Whitehall Place</w:t>
      </w:r>
    </w:p>
    <w:p w:rsidR="003347BC" w:rsidRDefault="003347BC" w:rsidP="003347BC">
      <w:pPr>
        <w:jc w:val="both"/>
        <w:rPr>
          <w:rFonts w:cs="Arial"/>
          <w:sz w:val="24"/>
          <w:szCs w:val="24"/>
        </w:rPr>
      </w:pPr>
      <w:r>
        <w:rPr>
          <w:rFonts w:cs="Arial"/>
          <w:sz w:val="24"/>
          <w:szCs w:val="24"/>
        </w:rPr>
        <w:t>London</w:t>
      </w:r>
    </w:p>
    <w:p w:rsidR="00444762" w:rsidRDefault="003347BC" w:rsidP="00121E96">
      <w:pPr>
        <w:jc w:val="both"/>
        <w:rPr>
          <w:rFonts w:cs="Arial"/>
          <w:sz w:val="24"/>
          <w:szCs w:val="24"/>
        </w:rPr>
      </w:pPr>
      <w:r>
        <w:rPr>
          <w:rFonts w:cs="Arial"/>
          <w:sz w:val="24"/>
          <w:szCs w:val="24"/>
        </w:rPr>
        <w:t>SW1A 2AW</w:t>
      </w:r>
    </w:p>
    <w:p w:rsidR="003347BC" w:rsidRDefault="003347BC"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hyperlink r:id="rId15" w:history="1">
        <w:r w:rsidR="00B04DB6" w:rsidRPr="00B46496">
          <w:rPr>
            <w:rStyle w:val="Hyperlink"/>
            <w:rFonts w:cs="Arial"/>
            <w:sz w:val="24"/>
            <w:szCs w:val="24"/>
          </w:rPr>
          <w:t>tina.markose@beis.gov.uk</w:t>
        </w:r>
      </w:hyperlink>
      <w:r w:rsidR="003347BC">
        <w:rPr>
          <w:rFonts w:cs="Arial"/>
          <w:sz w:val="24"/>
          <w:szCs w:val="24"/>
        </w:rPr>
        <w:t xml:space="preserve"> </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FB4E32" w:rsidRDefault="00FB4E32" w:rsidP="009D19B8">
                            <w:pPr>
                              <w:jc w:val="center"/>
                              <w:rPr>
                                <w:b/>
                                <w:sz w:val="28"/>
                                <w:szCs w:val="28"/>
                              </w:rPr>
                            </w:pPr>
                          </w:p>
                          <w:p w:rsidR="00FB4E32" w:rsidRPr="005D027D" w:rsidRDefault="00FB4E32" w:rsidP="009D19B8">
                            <w:pPr>
                              <w:jc w:val="center"/>
                              <w:rPr>
                                <w:b/>
                                <w:sz w:val="36"/>
                                <w:szCs w:val="36"/>
                              </w:rPr>
                            </w:pPr>
                            <w:r w:rsidRPr="005D027D">
                              <w:rPr>
                                <w:b/>
                                <w:sz w:val="36"/>
                                <w:szCs w:val="36"/>
                              </w:rPr>
                              <w:t>Section 1</w:t>
                            </w:r>
                          </w:p>
                          <w:p w:rsidR="00FB4E32" w:rsidRPr="005D027D" w:rsidRDefault="00FB4E32" w:rsidP="009D19B8">
                            <w:pPr>
                              <w:jc w:val="center"/>
                              <w:rPr>
                                <w:b/>
                                <w:sz w:val="36"/>
                                <w:szCs w:val="36"/>
                              </w:rPr>
                            </w:pPr>
                          </w:p>
                          <w:p w:rsidR="00FB4E32" w:rsidRPr="005D027D" w:rsidRDefault="00FB4E32" w:rsidP="009D19B8">
                            <w:pPr>
                              <w:jc w:val="center"/>
                              <w:rPr>
                                <w:b/>
                                <w:sz w:val="36"/>
                                <w:szCs w:val="36"/>
                              </w:rPr>
                            </w:pPr>
                            <w:r w:rsidRPr="005D027D">
                              <w:rPr>
                                <w:b/>
                                <w:sz w:val="36"/>
                                <w:szCs w:val="36"/>
                              </w:rPr>
                              <w:t>Instructions and Information on Tendering Procedures</w:t>
                            </w:r>
                          </w:p>
                          <w:p w:rsidR="00FB4E32" w:rsidRDefault="00FB4E32" w:rsidP="009D19B8"/>
                          <w:p w:rsidR="00FB4E32" w:rsidRDefault="00FB4E32" w:rsidP="009D19B8">
                            <w:pPr>
                              <w:rPr>
                                <w:rFonts w:cs="Arial"/>
                              </w:rPr>
                            </w:pPr>
                          </w:p>
                          <w:p w:rsidR="00FB4E32" w:rsidRDefault="00FB4E32" w:rsidP="00A41803">
                            <w:pPr>
                              <w:rPr>
                                <w:rFonts w:cs="Arial"/>
                              </w:rPr>
                            </w:pPr>
                            <w:r w:rsidRPr="0000739E">
                              <w:rPr>
                                <w:rFonts w:cs="Arial"/>
                              </w:rPr>
                              <w:t>Invitation to Tender for</w:t>
                            </w:r>
                            <w:r w:rsidRPr="006D645F">
                              <w:rPr>
                                <w:rFonts w:cs="Arial"/>
                              </w:rPr>
                              <w:t xml:space="preserve"> </w:t>
                            </w:r>
                          </w:p>
                          <w:p w:rsidR="00FB4E32" w:rsidRDefault="00FB4E32" w:rsidP="00A41803">
                            <w:pPr>
                              <w:rPr>
                                <w:rFonts w:cs="Arial"/>
                              </w:rPr>
                            </w:pPr>
                            <w:r>
                              <w:rPr>
                                <w:rFonts w:cs="Arial"/>
                              </w:rPr>
                              <w:t xml:space="preserve">Tender Reference Number: </w:t>
                            </w:r>
                          </w:p>
                          <w:p w:rsidR="00FB4E32" w:rsidRDefault="00FB4E32" w:rsidP="00A41803">
                            <w:pPr>
                              <w:rPr>
                                <w:rFonts w:cs="Arial"/>
                              </w:rPr>
                            </w:pPr>
                            <w:r w:rsidRPr="0000739E">
                              <w:rPr>
                                <w:rFonts w:cs="Arial"/>
                              </w:rPr>
                              <w:t>Deadline for Tender Responses:</w:t>
                            </w:r>
                            <w:r w:rsidRPr="006D645F">
                              <w:rPr>
                                <w:rFonts w:cs="Arial"/>
                                <w:sz w:val="24"/>
                                <w:szCs w:val="24"/>
                              </w:rPr>
                              <w:t xml:space="preserve"> </w:t>
                            </w: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Pr="0000739E" w:rsidRDefault="00FB4E32" w:rsidP="009D19B8">
                            <w:pPr>
                              <w:rPr>
                                <w:rFonts w:cs="Arial"/>
                              </w:rPr>
                            </w:pPr>
                          </w:p>
                          <w:p w:rsidR="00FB4E32" w:rsidRDefault="00FB4E32" w:rsidP="009D19B8"/>
                          <w:p w:rsidR="00FB4E32" w:rsidRDefault="00FB4E32" w:rsidP="009D19B8"/>
                          <w:p w:rsidR="00FB4E32" w:rsidRDefault="00FB4E32" w:rsidP="009D19B8"/>
                          <w:p w:rsidR="00FB4E32" w:rsidRDefault="00FB4E3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FB4E32" w:rsidRDefault="00FB4E32" w:rsidP="009D19B8">
                      <w:pPr>
                        <w:jc w:val="center"/>
                        <w:rPr>
                          <w:b/>
                          <w:sz w:val="28"/>
                          <w:szCs w:val="28"/>
                        </w:rPr>
                      </w:pPr>
                    </w:p>
                    <w:p w:rsidR="00FB4E32" w:rsidRPr="005D027D" w:rsidRDefault="00FB4E32" w:rsidP="009D19B8">
                      <w:pPr>
                        <w:jc w:val="center"/>
                        <w:rPr>
                          <w:b/>
                          <w:sz w:val="36"/>
                          <w:szCs w:val="36"/>
                        </w:rPr>
                      </w:pPr>
                      <w:r w:rsidRPr="005D027D">
                        <w:rPr>
                          <w:b/>
                          <w:sz w:val="36"/>
                          <w:szCs w:val="36"/>
                        </w:rPr>
                        <w:t>Section 1</w:t>
                      </w:r>
                    </w:p>
                    <w:p w:rsidR="00FB4E32" w:rsidRPr="005D027D" w:rsidRDefault="00FB4E32" w:rsidP="009D19B8">
                      <w:pPr>
                        <w:jc w:val="center"/>
                        <w:rPr>
                          <w:b/>
                          <w:sz w:val="36"/>
                          <w:szCs w:val="36"/>
                        </w:rPr>
                      </w:pPr>
                    </w:p>
                    <w:p w:rsidR="00FB4E32" w:rsidRPr="005D027D" w:rsidRDefault="00FB4E32" w:rsidP="009D19B8">
                      <w:pPr>
                        <w:jc w:val="center"/>
                        <w:rPr>
                          <w:b/>
                          <w:sz w:val="36"/>
                          <w:szCs w:val="36"/>
                        </w:rPr>
                      </w:pPr>
                      <w:r w:rsidRPr="005D027D">
                        <w:rPr>
                          <w:b/>
                          <w:sz w:val="36"/>
                          <w:szCs w:val="36"/>
                        </w:rPr>
                        <w:t>Instructions and Information on Tendering Procedures</w:t>
                      </w:r>
                    </w:p>
                    <w:p w:rsidR="00FB4E32" w:rsidRDefault="00FB4E32" w:rsidP="009D19B8"/>
                    <w:p w:rsidR="00FB4E32" w:rsidRDefault="00FB4E32" w:rsidP="009D19B8">
                      <w:pPr>
                        <w:rPr>
                          <w:rFonts w:cs="Arial"/>
                        </w:rPr>
                      </w:pPr>
                    </w:p>
                    <w:p w:rsidR="00FB4E32" w:rsidRDefault="00FB4E32" w:rsidP="00A41803">
                      <w:pPr>
                        <w:rPr>
                          <w:rFonts w:cs="Arial"/>
                        </w:rPr>
                      </w:pPr>
                      <w:r w:rsidRPr="0000739E">
                        <w:rPr>
                          <w:rFonts w:cs="Arial"/>
                        </w:rPr>
                        <w:t>Invitation to Tender for</w:t>
                      </w:r>
                      <w:r w:rsidRPr="006D645F">
                        <w:rPr>
                          <w:rFonts w:cs="Arial"/>
                        </w:rPr>
                        <w:t xml:space="preserve"> </w:t>
                      </w:r>
                    </w:p>
                    <w:p w:rsidR="00FB4E32" w:rsidRDefault="00FB4E32" w:rsidP="00A41803">
                      <w:pPr>
                        <w:rPr>
                          <w:rFonts w:cs="Arial"/>
                        </w:rPr>
                      </w:pPr>
                      <w:r>
                        <w:rPr>
                          <w:rFonts w:cs="Arial"/>
                        </w:rPr>
                        <w:t xml:space="preserve">Tender Reference Number: </w:t>
                      </w:r>
                    </w:p>
                    <w:p w:rsidR="00FB4E32" w:rsidRDefault="00FB4E32" w:rsidP="00A41803">
                      <w:pPr>
                        <w:rPr>
                          <w:rFonts w:cs="Arial"/>
                        </w:rPr>
                      </w:pPr>
                      <w:r w:rsidRPr="0000739E">
                        <w:rPr>
                          <w:rFonts w:cs="Arial"/>
                        </w:rPr>
                        <w:t>Deadline for Tender Responses:</w:t>
                      </w:r>
                      <w:r w:rsidRPr="006D645F">
                        <w:rPr>
                          <w:rFonts w:cs="Arial"/>
                          <w:sz w:val="24"/>
                          <w:szCs w:val="24"/>
                        </w:rPr>
                        <w:t xml:space="preserve"> </w:t>
                      </w: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Default="00FB4E32" w:rsidP="009D19B8">
                      <w:pPr>
                        <w:rPr>
                          <w:rFonts w:cs="Arial"/>
                        </w:rPr>
                      </w:pPr>
                    </w:p>
                    <w:p w:rsidR="00FB4E32" w:rsidRPr="0000739E" w:rsidRDefault="00FB4E32" w:rsidP="009D19B8">
                      <w:pPr>
                        <w:rPr>
                          <w:rFonts w:cs="Arial"/>
                        </w:rPr>
                      </w:pPr>
                    </w:p>
                    <w:p w:rsidR="00FB4E32" w:rsidRDefault="00FB4E32" w:rsidP="009D19B8"/>
                    <w:p w:rsidR="00FB4E32" w:rsidRDefault="00FB4E32" w:rsidP="009D19B8"/>
                    <w:p w:rsidR="00FB4E32" w:rsidRDefault="00FB4E32" w:rsidP="009D19B8"/>
                    <w:p w:rsidR="00FB4E32" w:rsidRDefault="00FB4E32"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F35C36" w:rsidRDefault="00F35C36" w:rsidP="00121E96">
      <w:pPr>
        <w:jc w:val="both"/>
        <w:rPr>
          <w:rFonts w:cs="Arial"/>
          <w:b/>
          <w:color w:val="FF0000"/>
          <w:sz w:val="24"/>
          <w:szCs w:val="24"/>
        </w:rPr>
      </w:pPr>
      <w:r w:rsidRPr="00F35C36">
        <w:rPr>
          <w:rFonts w:cs="Arial"/>
          <w:b/>
          <w:color w:val="FF0000"/>
          <w:sz w:val="24"/>
          <w:szCs w:val="24"/>
        </w:rPr>
        <w:t>(check page numbering)</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sidR="00EA2CCD" w:rsidRPr="00FB4E32">
        <w:rPr>
          <w:noProof/>
        </w:rPr>
        <w:t>7</w:t>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921FD4" w:rsidRPr="00B3778F" w:rsidRDefault="00921FD4" w:rsidP="00322BEF">
      <w:pPr>
        <w:pStyle w:val="Heading1"/>
        <w:numPr>
          <w:ilvl w:val="0"/>
          <w:numId w:val="35"/>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FB4E32" w:rsidRDefault="00210C0E" w:rsidP="008F2B68">
            <w:pPr>
              <w:rPr>
                <w:rFonts w:cs="Arial"/>
                <w:sz w:val="24"/>
                <w:szCs w:val="24"/>
              </w:rPr>
            </w:pPr>
            <w:r w:rsidRPr="00FB4E32">
              <w:rPr>
                <w:rFonts w:cs="Arial"/>
                <w:sz w:val="24"/>
                <w:szCs w:val="24"/>
              </w:rPr>
              <w:t>01 March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FB4E32" w:rsidRDefault="00210C0E" w:rsidP="008F2B68">
            <w:pPr>
              <w:rPr>
                <w:rFonts w:cs="Arial"/>
                <w:sz w:val="24"/>
                <w:szCs w:val="24"/>
              </w:rPr>
            </w:pPr>
            <w:r w:rsidRPr="00FB4E32">
              <w:rPr>
                <w:rFonts w:cs="Arial"/>
                <w:sz w:val="24"/>
                <w:szCs w:val="24"/>
              </w:rPr>
              <w:t>16:00 on 10 March 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FB4E32" w:rsidRDefault="00C05095" w:rsidP="008F2B68">
            <w:pPr>
              <w:rPr>
                <w:rFonts w:cs="Arial"/>
                <w:sz w:val="24"/>
                <w:szCs w:val="24"/>
              </w:rPr>
            </w:pPr>
            <w:r w:rsidRPr="00FB4E32">
              <w:rPr>
                <w:rFonts w:cs="Arial"/>
                <w:sz w:val="24"/>
                <w:szCs w:val="24"/>
              </w:rPr>
              <w:t>14 March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FB4E32" w:rsidRDefault="008B5737" w:rsidP="008F2B68">
            <w:pPr>
              <w:rPr>
                <w:rFonts w:cs="Arial"/>
                <w:sz w:val="24"/>
                <w:szCs w:val="24"/>
              </w:rPr>
            </w:pPr>
            <w:r w:rsidRPr="00FB4E32">
              <w:rPr>
                <w:rFonts w:cs="Arial"/>
                <w:sz w:val="24"/>
                <w:szCs w:val="24"/>
              </w:rPr>
              <w:t xml:space="preserve">12 noon, </w:t>
            </w:r>
            <w:r w:rsidR="00C05095" w:rsidRPr="00FB4E32">
              <w:rPr>
                <w:rFonts w:cs="Arial"/>
                <w:sz w:val="24"/>
                <w:szCs w:val="24"/>
              </w:rPr>
              <w:t>20 March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FB4E32" w:rsidRDefault="00C05095" w:rsidP="00A5620C">
            <w:pPr>
              <w:rPr>
                <w:rFonts w:cs="Arial"/>
                <w:sz w:val="24"/>
                <w:szCs w:val="24"/>
              </w:rPr>
            </w:pPr>
            <w:r w:rsidRPr="00FB4E32">
              <w:rPr>
                <w:rFonts w:cs="Arial"/>
                <w:sz w:val="24"/>
                <w:szCs w:val="24"/>
              </w:rPr>
              <w:t xml:space="preserve">23 March 2017 </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FB4E32" w:rsidRDefault="00C05095" w:rsidP="008F2B68">
            <w:pPr>
              <w:rPr>
                <w:rFonts w:cs="Arial"/>
                <w:sz w:val="24"/>
                <w:szCs w:val="24"/>
              </w:rPr>
            </w:pPr>
            <w:r w:rsidRPr="00FB4E32">
              <w:rPr>
                <w:rFonts w:cs="Arial"/>
                <w:sz w:val="24"/>
                <w:szCs w:val="24"/>
              </w:rPr>
              <w:t>w/c 27 March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FB4E32" w:rsidRDefault="00C05095" w:rsidP="008F2B68">
            <w:pPr>
              <w:rPr>
                <w:rFonts w:cs="Arial"/>
                <w:sz w:val="24"/>
                <w:szCs w:val="24"/>
              </w:rPr>
            </w:pPr>
            <w:r w:rsidRPr="00FB4E32">
              <w:rPr>
                <w:rFonts w:cs="Arial"/>
                <w:sz w:val="24"/>
                <w:szCs w:val="24"/>
              </w:rPr>
              <w:t>w/c 27 March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FB4E32" w:rsidRDefault="00C05095" w:rsidP="008F2B68">
            <w:pPr>
              <w:rPr>
                <w:rFonts w:cs="Arial"/>
                <w:sz w:val="24"/>
                <w:szCs w:val="24"/>
              </w:rPr>
            </w:pPr>
            <w:r w:rsidRPr="00FB4E32">
              <w:rPr>
                <w:rFonts w:cs="Arial"/>
                <w:sz w:val="24"/>
                <w:szCs w:val="24"/>
              </w:rPr>
              <w:t>w/c 27 March 2017</w:t>
            </w: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974E94" w:rsidP="008F2B68">
            <w:pPr>
              <w:rPr>
                <w:rFonts w:cs="Arial"/>
                <w:sz w:val="24"/>
                <w:szCs w:val="24"/>
              </w:rPr>
            </w:pP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89551B" w:rsidRPr="008B5737">
        <w:rPr>
          <w:rFonts w:cs="Arial"/>
          <w:sz w:val="24"/>
          <w:szCs w:val="24"/>
        </w:rPr>
        <w:t>6</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F35C36">
      <w:pPr>
        <w:pStyle w:val="Heading1"/>
        <w:numPr>
          <w:ilvl w:val="0"/>
          <w:numId w:val="35"/>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w:t>
      </w:r>
      <w:r w:rsidRPr="00FB4E32">
        <w:rPr>
          <w:rFonts w:cs="Arial"/>
          <w:sz w:val="24"/>
          <w:szCs w:val="24"/>
        </w:rPr>
        <w:t xml:space="preserve">tenders is </w:t>
      </w:r>
      <w:r w:rsidR="00F35C36" w:rsidRPr="00FB4E32">
        <w:rPr>
          <w:rFonts w:cs="Arial"/>
          <w:sz w:val="24"/>
          <w:szCs w:val="24"/>
        </w:rPr>
        <w:t>(</w:t>
      </w:r>
      <w:r w:rsidR="008B5737" w:rsidRPr="00FB4E32">
        <w:rPr>
          <w:rFonts w:cs="Arial"/>
          <w:sz w:val="24"/>
          <w:szCs w:val="24"/>
        </w:rPr>
        <w:t>10</w:t>
      </w:r>
      <w:r w:rsidR="00F35C36" w:rsidRPr="00FB4E32">
        <w:rPr>
          <w:rFonts w:cs="Arial"/>
          <w:sz w:val="24"/>
          <w:szCs w:val="24"/>
        </w:rPr>
        <w:t>)</w:t>
      </w:r>
      <w:r w:rsidR="00DF4220" w:rsidRPr="00FB4E32">
        <w:rPr>
          <w:rFonts w:cs="Arial"/>
          <w:sz w:val="24"/>
          <w:szCs w:val="24"/>
        </w:rPr>
        <w:t xml:space="preserve"> pages</w:t>
      </w:r>
      <w:r w:rsidR="00F35C36" w:rsidRPr="00FB4E32">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8B5737">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Default="002445CE" w:rsidP="00665153">
      <w:pPr>
        <w:jc w:val="both"/>
        <w:rPr>
          <w:rFonts w:cs="Arial"/>
          <w:sz w:val="24"/>
          <w:szCs w:val="24"/>
        </w:rPr>
      </w:pPr>
      <w:r w:rsidRPr="00E42AFA">
        <w:rPr>
          <w:rFonts w:cs="Arial"/>
          <w:sz w:val="24"/>
          <w:szCs w:val="24"/>
        </w:rPr>
        <w:t>P</w:t>
      </w:r>
      <w:r w:rsidR="00921FD4" w:rsidRPr="00E42AFA">
        <w:rPr>
          <w:rFonts w:cs="Arial"/>
          <w:sz w:val="24"/>
          <w:szCs w:val="24"/>
        </w:rPr>
        <w:t>lease</w:t>
      </w:r>
      <w:r w:rsidR="0052490C" w:rsidRPr="00E42AFA">
        <w:rPr>
          <w:rFonts w:cs="Arial"/>
          <w:sz w:val="24"/>
          <w:szCs w:val="24"/>
        </w:rPr>
        <w:t xml:space="preserve"> send </w:t>
      </w:r>
      <w:r w:rsidR="00BE68AB" w:rsidRPr="00E42AFA">
        <w:rPr>
          <w:rFonts w:cs="Arial"/>
          <w:sz w:val="24"/>
          <w:szCs w:val="24"/>
        </w:rPr>
        <w:t>3</w:t>
      </w:r>
      <w:r w:rsidR="0052490C" w:rsidRPr="00E42AFA">
        <w:rPr>
          <w:rFonts w:cs="Arial"/>
          <w:sz w:val="24"/>
          <w:szCs w:val="24"/>
        </w:rPr>
        <w:t xml:space="preserve"> hard copies </w:t>
      </w:r>
      <w:r w:rsidR="0052490C">
        <w:rPr>
          <w:rFonts w:cs="Arial"/>
          <w:sz w:val="24"/>
          <w:szCs w:val="24"/>
        </w:rPr>
        <w:t xml:space="preserve">of your </w:t>
      </w:r>
      <w:r w:rsidR="0052490C" w:rsidRPr="00FB4E32">
        <w:rPr>
          <w:rFonts w:cs="Arial"/>
          <w:sz w:val="24"/>
          <w:szCs w:val="24"/>
        </w:rPr>
        <w:t xml:space="preserve">tender to </w:t>
      </w:r>
      <w:r w:rsidR="00B04DB6" w:rsidRPr="00FB4E32">
        <w:rPr>
          <w:rFonts w:cs="Arial"/>
          <w:sz w:val="24"/>
          <w:szCs w:val="24"/>
        </w:rPr>
        <w:t>Tina Markose</w:t>
      </w:r>
      <w:r w:rsidR="00AF2F55" w:rsidRPr="00FB4E32">
        <w:rPr>
          <w:rFonts w:cs="Arial"/>
          <w:sz w:val="24"/>
          <w:szCs w:val="24"/>
        </w:rPr>
        <w:t xml:space="preserve"> at the address below</w:t>
      </w:r>
      <w:r w:rsidR="0052490C" w:rsidRPr="00FB4E32">
        <w:rPr>
          <w:rFonts w:cs="Arial"/>
          <w:sz w:val="24"/>
          <w:szCs w:val="24"/>
        </w:rPr>
        <w:t xml:space="preserve"> by</w:t>
      </w:r>
      <w:r w:rsidR="007F268D" w:rsidRPr="00FB4E32">
        <w:rPr>
          <w:rFonts w:cs="Arial"/>
          <w:sz w:val="24"/>
          <w:szCs w:val="24"/>
        </w:rPr>
        <w:t xml:space="preserve"> </w:t>
      </w:r>
      <w:r w:rsidR="008B5737" w:rsidRPr="00E42AFA">
        <w:rPr>
          <w:rFonts w:cs="Arial"/>
          <w:b/>
          <w:sz w:val="24"/>
          <w:szCs w:val="24"/>
        </w:rPr>
        <w:t>12 noon, 20 March</w:t>
      </w:r>
      <w:r w:rsidR="00AF2F55" w:rsidRPr="00E42AFA">
        <w:rPr>
          <w:rFonts w:cs="Arial"/>
          <w:b/>
          <w:sz w:val="24"/>
          <w:szCs w:val="24"/>
        </w:rPr>
        <w:t xml:space="preserve"> 201</w:t>
      </w:r>
      <w:r w:rsidR="008B5737" w:rsidRPr="00E42AFA">
        <w:rPr>
          <w:rFonts w:cs="Arial"/>
          <w:b/>
          <w:sz w:val="24"/>
          <w:szCs w:val="24"/>
        </w:rPr>
        <w:t>7</w:t>
      </w:r>
      <w:r w:rsidR="0052490C" w:rsidRPr="007F268D">
        <w:rPr>
          <w:rFonts w:cs="Arial"/>
          <w:sz w:val="24"/>
          <w:szCs w:val="24"/>
        </w:rPr>
        <w:t xml:space="preserve"> </w:t>
      </w:r>
      <w:r w:rsidR="0052490C">
        <w:rPr>
          <w:rFonts w:cs="Arial"/>
          <w:sz w:val="24"/>
          <w:szCs w:val="24"/>
        </w:rPr>
        <w:t>and</w:t>
      </w:r>
      <w:r w:rsidR="00921FD4" w:rsidRPr="00665153">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F277C1" w:rsidRPr="00F277C1">
        <w:rPr>
          <w:rFonts w:cs="Arial"/>
          <w:sz w:val="24"/>
          <w:szCs w:val="24"/>
        </w:rPr>
        <w:t xml:space="preserve">to </w:t>
      </w:r>
      <w:hyperlink r:id="rId16" w:history="1">
        <w:r w:rsidR="00361E98" w:rsidRPr="00B46496">
          <w:rPr>
            <w:rStyle w:val="Hyperlink"/>
            <w:sz w:val="24"/>
            <w:szCs w:val="24"/>
          </w:rPr>
          <w:t>tina.markose@beis.gov.uk</w:t>
        </w:r>
      </w:hyperlink>
      <w:r w:rsidR="00361E98">
        <w:rPr>
          <w:sz w:val="24"/>
          <w:szCs w:val="24"/>
        </w:rPr>
        <w:t xml:space="preserve"> </w:t>
      </w:r>
      <w:r w:rsidR="00F277C1" w:rsidRPr="00F277C1">
        <w:rPr>
          <w:rFonts w:cs="Arial"/>
          <w:sz w:val="24"/>
          <w:szCs w:val="24"/>
        </w:rPr>
        <w:t>by</w:t>
      </w:r>
      <w:r w:rsidR="00BE68AB" w:rsidRPr="00BE68AB">
        <w:t xml:space="preserve"> </w:t>
      </w:r>
      <w:r w:rsidR="00BE68AB" w:rsidRPr="00E42AFA">
        <w:rPr>
          <w:b/>
          <w:sz w:val="24"/>
        </w:rPr>
        <w:t xml:space="preserve">17:00 on </w:t>
      </w:r>
      <w:r w:rsidR="00F277C1" w:rsidRPr="00E42AFA">
        <w:rPr>
          <w:b/>
          <w:sz w:val="24"/>
        </w:rPr>
        <w:t>20 March 2017</w:t>
      </w:r>
      <w:r w:rsidR="00BE68AB" w:rsidRPr="00BE68AB">
        <w:rPr>
          <w:sz w:val="24"/>
        </w:rPr>
        <w:t xml:space="preserve"> </w:t>
      </w:r>
    </w:p>
    <w:p w:rsidR="00AF2F55" w:rsidRDefault="00AF2F55" w:rsidP="00665153">
      <w:pPr>
        <w:jc w:val="both"/>
        <w:rPr>
          <w:rFonts w:cs="Arial"/>
          <w:sz w:val="24"/>
          <w:szCs w:val="24"/>
        </w:rPr>
      </w:pPr>
    </w:p>
    <w:p w:rsidR="00AF2F55" w:rsidRPr="00FB4E32" w:rsidRDefault="00B04DB6" w:rsidP="00AF2F55">
      <w:pPr>
        <w:jc w:val="both"/>
        <w:rPr>
          <w:rFonts w:cs="Arial"/>
          <w:sz w:val="24"/>
          <w:szCs w:val="24"/>
        </w:rPr>
      </w:pPr>
      <w:r w:rsidRPr="00FB4E32">
        <w:rPr>
          <w:rFonts w:cs="Arial"/>
          <w:sz w:val="24"/>
          <w:szCs w:val="24"/>
        </w:rPr>
        <w:t xml:space="preserve">Tina Markose </w:t>
      </w:r>
    </w:p>
    <w:p w:rsidR="00AF2F55" w:rsidRPr="00FB4E32" w:rsidRDefault="00AF2F55" w:rsidP="00AF2F55">
      <w:pPr>
        <w:jc w:val="both"/>
        <w:rPr>
          <w:rFonts w:cs="Arial"/>
          <w:sz w:val="24"/>
          <w:szCs w:val="24"/>
        </w:rPr>
      </w:pPr>
      <w:r w:rsidRPr="00FB4E32">
        <w:rPr>
          <w:rFonts w:cs="Arial"/>
          <w:sz w:val="24"/>
          <w:szCs w:val="24"/>
        </w:rPr>
        <w:t>Geological Disposal Facility Team</w:t>
      </w:r>
    </w:p>
    <w:p w:rsidR="00AF2F55" w:rsidRPr="00FB4E32" w:rsidRDefault="00AF2F55" w:rsidP="00AF2F55">
      <w:pPr>
        <w:jc w:val="both"/>
        <w:rPr>
          <w:rFonts w:cs="Arial"/>
          <w:sz w:val="24"/>
          <w:szCs w:val="24"/>
        </w:rPr>
      </w:pPr>
      <w:r w:rsidRPr="00FB4E32">
        <w:rPr>
          <w:rFonts w:cs="Arial"/>
          <w:sz w:val="24"/>
          <w:szCs w:val="24"/>
        </w:rPr>
        <w:t>Department for Business, Energy &amp; Industrial Strategy</w:t>
      </w:r>
    </w:p>
    <w:p w:rsidR="00AF2F55" w:rsidRPr="00FB4E32" w:rsidRDefault="00AF2F55" w:rsidP="00AF2F55">
      <w:pPr>
        <w:jc w:val="both"/>
        <w:rPr>
          <w:rFonts w:cs="Arial"/>
          <w:sz w:val="24"/>
          <w:szCs w:val="24"/>
        </w:rPr>
      </w:pPr>
      <w:r w:rsidRPr="00FB4E32">
        <w:rPr>
          <w:rFonts w:cs="Arial"/>
          <w:sz w:val="24"/>
          <w:szCs w:val="24"/>
        </w:rPr>
        <w:t>Area 2D, 3 Whitehall Place</w:t>
      </w:r>
    </w:p>
    <w:p w:rsidR="00AF2F55" w:rsidRPr="00FB4E32" w:rsidRDefault="00AF2F55" w:rsidP="00AF2F55">
      <w:pPr>
        <w:jc w:val="both"/>
        <w:rPr>
          <w:rFonts w:cs="Arial"/>
          <w:sz w:val="24"/>
          <w:szCs w:val="24"/>
        </w:rPr>
      </w:pPr>
      <w:r w:rsidRPr="00FB4E32">
        <w:rPr>
          <w:rFonts w:cs="Arial"/>
          <w:sz w:val="24"/>
          <w:szCs w:val="24"/>
        </w:rPr>
        <w:t>London</w:t>
      </w:r>
    </w:p>
    <w:p w:rsidR="00AF2F55" w:rsidRPr="00FB4E32" w:rsidRDefault="00AF2F55" w:rsidP="00665153">
      <w:pPr>
        <w:jc w:val="both"/>
        <w:rPr>
          <w:rFonts w:cs="Arial"/>
          <w:sz w:val="24"/>
          <w:szCs w:val="24"/>
        </w:rPr>
      </w:pPr>
      <w:r w:rsidRPr="00FB4E32">
        <w:rPr>
          <w:rFonts w:cs="Arial"/>
          <w:sz w:val="24"/>
          <w:szCs w:val="24"/>
        </w:rPr>
        <w:t>SW1A 2AW</w:t>
      </w:r>
    </w:p>
    <w:p w:rsidR="007C1ADF" w:rsidRPr="00665153" w:rsidRDefault="007C1ADF" w:rsidP="00665153">
      <w:pPr>
        <w:jc w:val="both"/>
        <w:rPr>
          <w:rFonts w:cs="Arial"/>
          <w:color w:val="FF0000"/>
          <w:sz w:val="24"/>
          <w:szCs w:val="24"/>
        </w:rPr>
      </w:pPr>
    </w:p>
    <w:p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7" w:history="1">
        <w:r w:rsidR="00B04DB6" w:rsidRPr="00B46496">
          <w:rPr>
            <w:rStyle w:val="Hyperlink"/>
            <w:sz w:val="24"/>
            <w:szCs w:val="24"/>
          </w:rPr>
          <w:t>tina.markose@beis.gov.uk</w:t>
        </w:r>
      </w:hyperlink>
      <w:r w:rsidR="00AF2F55">
        <w:rPr>
          <w:sz w:val="24"/>
          <w:szCs w:val="24"/>
        </w:rPr>
        <w:t xml:space="preserve"> </w:t>
      </w:r>
      <w:r w:rsidRPr="00A9428F">
        <w:rPr>
          <w:rFonts w:cs="Arial"/>
          <w:color w:val="FF0000"/>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lastRenderedPageBreak/>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A166EA" w:rsidRPr="00B46496">
          <w:rPr>
            <w:rStyle w:val="Hyperlink"/>
            <w:rFonts w:ascii="Arial" w:hAnsi="Arial" w:cs="Arial"/>
            <w:sz w:val="24"/>
            <w:szCs w:val="24"/>
          </w:rPr>
          <w:t>tine.markose@beis.gov.uk</w:t>
        </w:r>
      </w:hyperlink>
      <w:r w:rsidR="00AF2F55">
        <w:rPr>
          <w:rFonts w:ascii="Arial" w:hAnsi="Arial" w:cs="Arial"/>
          <w:sz w:val="24"/>
          <w:szCs w:val="24"/>
        </w:rPr>
        <w:t>.</w:t>
      </w:r>
      <w:r w:rsidR="00AF2F55">
        <w:rPr>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262ED1" w:rsidRPr="00FB4E32">
        <w:rPr>
          <w:rFonts w:ascii="Arial" w:eastAsia="Times New Roman" w:hAnsi="Arial" w:cs="Arial"/>
          <w:b/>
          <w:sz w:val="24"/>
          <w:szCs w:val="24"/>
          <w:lang w:eastAsia="en-GB"/>
        </w:rPr>
        <w:t>16:00 on 10 March 2017</w:t>
      </w:r>
      <w:r w:rsidR="0050409E" w:rsidRPr="00FB4E32">
        <w:rPr>
          <w:rFonts w:ascii="Arial" w:eastAsia="Times New Roman" w:hAnsi="Arial"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FB4E32">
        <w:rPr>
          <w:rFonts w:ascii="Arial" w:eastAsia="Times New Roman" w:hAnsi="Arial" w:cs="Arial"/>
          <w:sz w:val="24"/>
          <w:szCs w:val="24"/>
          <w:lang w:eastAsia="en-GB"/>
        </w:rPr>
        <w:t xml:space="preserve">publish these </w:t>
      </w:r>
      <w:r w:rsidR="0050409E" w:rsidRPr="00FB4E32">
        <w:rPr>
          <w:rFonts w:ascii="Arial" w:eastAsia="Times New Roman" w:hAnsi="Arial" w:cs="Arial"/>
          <w:sz w:val="24"/>
          <w:szCs w:val="24"/>
          <w:lang w:eastAsia="en-GB"/>
        </w:rPr>
        <w:t>question</w:t>
      </w:r>
      <w:r w:rsidR="00447420" w:rsidRPr="00FB4E32">
        <w:rPr>
          <w:rFonts w:ascii="Arial" w:eastAsia="Times New Roman" w:hAnsi="Arial" w:cs="Arial"/>
          <w:sz w:val="24"/>
          <w:szCs w:val="24"/>
          <w:lang w:eastAsia="en-GB"/>
        </w:rPr>
        <w:t>s with</w:t>
      </w:r>
      <w:r w:rsidR="0050409E" w:rsidRPr="00FB4E32">
        <w:rPr>
          <w:rFonts w:ascii="Arial" w:eastAsia="Times New Roman" w:hAnsi="Arial" w:cs="Arial"/>
          <w:sz w:val="24"/>
          <w:szCs w:val="24"/>
          <w:lang w:eastAsia="en-GB"/>
        </w:rPr>
        <w:t xml:space="preserve"> our formal reply by the end of </w:t>
      </w:r>
      <w:r w:rsidR="00262ED1" w:rsidRPr="00FB4E32">
        <w:rPr>
          <w:rFonts w:ascii="Arial" w:eastAsia="Times New Roman" w:hAnsi="Arial" w:cs="Arial"/>
          <w:b/>
          <w:sz w:val="24"/>
          <w:szCs w:val="24"/>
          <w:lang w:eastAsia="en-GB"/>
        </w:rPr>
        <w:t>14 March 2017</w:t>
      </w:r>
      <w:r w:rsidR="007F268D" w:rsidRPr="00FB4E32">
        <w:rPr>
          <w:rFonts w:ascii="Arial" w:eastAsia="Times New Roman" w:hAnsi="Arial" w:cs="Arial"/>
          <w:sz w:val="24"/>
          <w:szCs w:val="24"/>
          <w:lang w:eastAsia="en-GB"/>
        </w:rPr>
        <w:t xml:space="preserve"> </w:t>
      </w:r>
      <w:r w:rsidR="004B2BB0" w:rsidRPr="00FB4E32">
        <w:rPr>
          <w:rFonts w:ascii="Arial" w:eastAsia="Times New Roman" w:hAnsi="Arial" w:cs="Arial"/>
          <w:sz w:val="24"/>
          <w:szCs w:val="24"/>
          <w:lang w:eastAsia="en-GB"/>
        </w:rPr>
        <w:t>and circulate – unnamed - to all organisations that have expressed an interest in bidding</w:t>
      </w:r>
      <w:r w:rsidR="0050409E" w:rsidRPr="00FB4E32">
        <w:rPr>
          <w:rFonts w:ascii="Arial" w:eastAsia="Times New Roman" w:hAnsi="Arial" w:cs="Arial"/>
          <w:sz w:val="24"/>
          <w:szCs w:val="24"/>
          <w:lang w:eastAsia="en-GB"/>
        </w:rPr>
        <w:t xml:space="preserve">.  All contractors should then take that reply into consideration </w:t>
      </w:r>
      <w:r w:rsidR="0050409E" w:rsidRPr="00665153">
        <w:rPr>
          <w:rFonts w:ascii="Arial" w:eastAsia="Times New Roman" w:hAnsi="Arial" w:cs="Arial"/>
          <w:sz w:val="24"/>
          <w:szCs w:val="24"/>
          <w:lang w:eastAsia="en-GB"/>
        </w:rPr>
        <w:t>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322BEF">
      <w:pPr>
        <w:pStyle w:val="Heading1"/>
        <w:numPr>
          <w:ilvl w:val="0"/>
          <w:numId w:val="35"/>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322BEF">
      <w:pPr>
        <w:numPr>
          <w:ilvl w:val="0"/>
          <w:numId w:val="27"/>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322BEF">
      <w:pPr>
        <w:numPr>
          <w:ilvl w:val="0"/>
          <w:numId w:val="27"/>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FB4E32">
        <w:rPr>
          <w:rFonts w:cs="Arial"/>
          <w:b/>
          <w:sz w:val="24"/>
          <w:szCs w:val="24"/>
        </w:rPr>
        <w:t>(page</w:t>
      </w:r>
      <w:r w:rsidR="008E41CB">
        <w:rPr>
          <w:rFonts w:cs="Arial"/>
          <w:b/>
          <w:sz w:val="24"/>
          <w:szCs w:val="24"/>
        </w:rPr>
        <w:t xml:space="preserve"> 23</w:t>
      </w:r>
      <w:r w:rsidR="00E06E13" w:rsidRPr="00FB4E32">
        <w:rPr>
          <w:rFonts w:cs="Arial"/>
          <w:b/>
          <w:sz w:val="24"/>
          <w:szCs w:val="24"/>
        </w:rPr>
        <w:t>)</w:t>
      </w:r>
      <w:r w:rsidRPr="00FB4E32">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 xml:space="preserve">conflict of interest may be, or be perceived </w:t>
      </w:r>
      <w:r w:rsidRPr="00CD7B50">
        <w:rPr>
          <w:rFonts w:cs="Arial"/>
          <w:b/>
          <w:sz w:val="24"/>
          <w:szCs w:val="24"/>
        </w:rPr>
        <w:lastRenderedPageBreak/>
        <w:t>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322BEF">
      <w:pPr>
        <w:numPr>
          <w:ilvl w:val="0"/>
          <w:numId w:val="27"/>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322BEF">
      <w:pPr>
        <w:pStyle w:val="Heading1"/>
        <w:numPr>
          <w:ilvl w:val="0"/>
          <w:numId w:val="35"/>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322BEF">
      <w:pPr>
        <w:pStyle w:val="Heading1"/>
        <w:numPr>
          <w:ilvl w:val="0"/>
          <w:numId w:val="35"/>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322BEF">
      <w:pPr>
        <w:pStyle w:val="Heading1"/>
        <w:numPr>
          <w:ilvl w:val="0"/>
          <w:numId w:val="35"/>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BE439A" w:rsidRPr="00FB4E32">
        <w:rPr>
          <w:rFonts w:ascii="Arial" w:eastAsia="Times New Roman" w:hAnsi="Arial" w:cs="Arial"/>
          <w:b/>
          <w:sz w:val="24"/>
          <w:szCs w:val="24"/>
          <w:lang w:eastAsia="en-GB"/>
        </w:rPr>
        <w:t>14 March 2017</w:t>
      </w:r>
      <w:r w:rsidR="004B3AD5" w:rsidRPr="00FB4E32">
        <w:rPr>
          <w:rFonts w:ascii="Arial" w:eastAsia="Times New Roman" w:hAnsi="Arial" w:cs="Arial"/>
          <w:sz w:val="24"/>
          <w:szCs w:val="24"/>
          <w:lang w:eastAsia="en-GB"/>
        </w:rPr>
        <w:t>.</w:t>
      </w:r>
      <w:r w:rsidR="00381725" w:rsidRPr="00FB4E32">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Default="00E06E13" w:rsidP="00CD7B50">
      <w:pPr>
        <w:pStyle w:val="ListParagraph"/>
        <w:spacing w:line="240" w:lineRule="auto"/>
        <w:ind w:left="0"/>
        <w:jc w:val="both"/>
        <w:rPr>
          <w:rFonts w:ascii="Arial" w:eastAsia="Times New Roman" w:hAnsi="Arial" w:cs="Arial"/>
          <w:sz w:val="24"/>
          <w:szCs w:val="24"/>
          <w:lang w:eastAsia="en-GB"/>
        </w:rPr>
      </w:pPr>
    </w:p>
    <w:p w:rsidR="00EA2CCD" w:rsidRDefault="00EA2CCD" w:rsidP="00CD7B50">
      <w:pPr>
        <w:pStyle w:val="ListParagraph"/>
        <w:spacing w:line="240" w:lineRule="auto"/>
        <w:ind w:left="0"/>
        <w:jc w:val="both"/>
        <w:rPr>
          <w:rFonts w:ascii="Arial" w:eastAsia="Times New Roman" w:hAnsi="Arial" w:cs="Arial"/>
          <w:sz w:val="24"/>
          <w:szCs w:val="24"/>
          <w:lang w:eastAsia="en-GB"/>
        </w:rPr>
      </w:pPr>
    </w:p>
    <w:p w:rsidR="007B450F" w:rsidRDefault="007B450F" w:rsidP="00CD7B50">
      <w:pPr>
        <w:pStyle w:val="ListParagraph"/>
        <w:spacing w:line="240" w:lineRule="auto"/>
        <w:ind w:left="0"/>
        <w:jc w:val="both"/>
        <w:rPr>
          <w:rFonts w:ascii="Arial" w:eastAsia="Times New Roman" w:hAnsi="Arial" w:cs="Arial"/>
          <w:sz w:val="24"/>
          <w:szCs w:val="24"/>
          <w:lang w:eastAsia="en-GB"/>
        </w:rPr>
      </w:pPr>
    </w:p>
    <w:p w:rsidR="007B450F" w:rsidRDefault="007B450F"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322BEF">
      <w:pPr>
        <w:pStyle w:val="Heading1"/>
        <w:numPr>
          <w:ilvl w:val="0"/>
          <w:numId w:val="35"/>
        </w:numPr>
        <w:rPr>
          <w:rFonts w:ascii="Arial" w:hAnsi="Arial" w:cs="Arial"/>
          <w:sz w:val="24"/>
          <w:szCs w:val="24"/>
        </w:rPr>
      </w:pPr>
      <w:bookmarkStart w:id="19" w:name="_Toc405888281"/>
      <w:r w:rsidRPr="00381725">
        <w:rPr>
          <w:rFonts w:ascii="Arial" w:hAnsi="Arial" w:cs="Arial"/>
          <w:sz w:val="24"/>
          <w:szCs w:val="24"/>
        </w:rPr>
        <w:lastRenderedPageBreak/>
        <w:t>Checklist of Documents to be R</w:t>
      </w:r>
      <w:r w:rsidR="00624CFC" w:rsidRPr="00381725">
        <w:rPr>
          <w:rFonts w:ascii="Arial" w:hAnsi="Arial" w:cs="Arial"/>
          <w:sz w:val="24"/>
          <w:szCs w:val="24"/>
        </w:rPr>
        <w:t>eturned</w:t>
      </w:r>
      <w:bookmarkEnd w:id="19"/>
    </w:p>
    <w:p w:rsidR="00381725" w:rsidRDefault="00381725" w:rsidP="00381725"/>
    <w:p w:rsidR="00381725" w:rsidRPr="0040149D" w:rsidRDefault="007C1A23" w:rsidP="00322BEF">
      <w:pPr>
        <w:pStyle w:val="ListParagraph"/>
        <w:numPr>
          <w:ilvl w:val="0"/>
          <w:numId w:val="42"/>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7B450F">
        <w:rPr>
          <w:rFonts w:ascii="Arial" w:eastAsia="Times New Roman" w:hAnsi="Arial" w:cs="Arial"/>
          <w:sz w:val="24"/>
          <w:szCs w:val="24"/>
          <w:lang w:eastAsia="en-GB"/>
        </w:rPr>
        <w:t xml:space="preserve">(maximum </w:t>
      </w:r>
      <w:r w:rsidRPr="007B450F">
        <w:rPr>
          <w:rFonts w:ascii="Arial" w:eastAsia="Times New Roman" w:hAnsi="Arial" w:cs="Arial"/>
          <w:sz w:val="24"/>
          <w:szCs w:val="24"/>
          <w:lang w:eastAsia="en-GB"/>
        </w:rPr>
        <w:t>(</w:t>
      </w:r>
      <w:r w:rsidR="00BE439A" w:rsidRPr="007B450F">
        <w:rPr>
          <w:rFonts w:ascii="Arial" w:eastAsia="Times New Roman" w:hAnsi="Arial" w:cs="Arial"/>
          <w:sz w:val="24"/>
          <w:szCs w:val="24"/>
          <w:lang w:eastAsia="en-GB"/>
        </w:rPr>
        <w:t>10</w:t>
      </w:r>
      <w:r w:rsidRPr="007B450F">
        <w:rPr>
          <w:rFonts w:ascii="Arial" w:eastAsia="Times New Roman" w:hAnsi="Arial" w:cs="Arial"/>
          <w:sz w:val="24"/>
          <w:szCs w:val="24"/>
          <w:lang w:eastAsia="en-GB"/>
        </w:rPr>
        <w:t>)</w:t>
      </w:r>
      <w:r w:rsidR="000D2428" w:rsidRPr="007B450F">
        <w:rPr>
          <w:rFonts w:ascii="Arial" w:eastAsia="Times New Roman" w:hAnsi="Arial" w:cs="Arial"/>
          <w:sz w:val="24"/>
          <w:szCs w:val="24"/>
          <w:lang w:eastAsia="en-GB"/>
        </w:rPr>
        <w:t xml:space="preserve"> pages</w:t>
      </w:r>
      <w:r w:rsidR="00EA2CCD" w:rsidRPr="007B450F">
        <w:rPr>
          <w:rFonts w:ascii="Arial" w:eastAsia="Times New Roman" w:hAnsi="Arial" w:cs="Arial"/>
          <w:sz w:val="24"/>
          <w:szCs w:val="24"/>
          <w:lang w:eastAsia="en-GB"/>
        </w:rPr>
        <w:t xml:space="preserve"> which should include detailed proposal, relevant expertise/ experience and examples of previous projects</w:t>
      </w:r>
      <w:r w:rsidR="00CE5F3F" w:rsidRPr="007B450F">
        <w:rPr>
          <w:rFonts w:ascii="Arial" w:eastAsia="Times New Roman" w:hAnsi="Arial" w:cs="Arial"/>
          <w:sz w:val="24"/>
          <w:szCs w:val="24"/>
          <w:lang w:eastAsia="en-GB"/>
        </w:rPr>
        <w:t>. The 10 pages are excluding declarations and CV’s.</w:t>
      </w:r>
      <w:r w:rsidR="000D2428" w:rsidRPr="007B450F">
        <w:rPr>
          <w:rFonts w:ascii="Arial" w:eastAsia="Times New Roman" w:hAnsi="Arial" w:cs="Arial"/>
          <w:sz w:val="24"/>
          <w:szCs w:val="24"/>
          <w:lang w:eastAsia="en-GB"/>
        </w:rPr>
        <w:t>)</w:t>
      </w:r>
      <w:r w:rsidR="00584259" w:rsidRPr="007B450F">
        <w:rPr>
          <w:rFonts w:ascii="Arial" w:eastAsia="Times New Roman" w:hAnsi="Arial" w:cs="Arial"/>
          <w:sz w:val="24"/>
          <w:szCs w:val="24"/>
          <w:lang w:eastAsia="en-GB"/>
        </w:rPr>
        <w:t xml:space="preserve"> </w:t>
      </w:r>
    </w:p>
    <w:p w:rsidR="000D2428" w:rsidRPr="0040149D" w:rsidRDefault="0040149D"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322BEF">
      <w:pPr>
        <w:pStyle w:val="ListParagraph"/>
        <w:numPr>
          <w:ilvl w:val="0"/>
          <w:numId w:val="42"/>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40149D">
      <w:pPr>
        <w:pStyle w:val="ListParagraph"/>
        <w:numPr>
          <w:ilvl w:val="0"/>
          <w:numId w:val="42"/>
        </w:numPr>
        <w:jc w:val="both"/>
        <w:rPr>
          <w:rFonts w:cs="Calibri"/>
          <w:b/>
          <w:sz w:val="28"/>
          <w:szCs w:val="28"/>
        </w:rPr>
      </w:pPr>
      <w:r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FB4E32" w:rsidRDefault="00FB4E32" w:rsidP="003E5C19">
                            <w:pPr>
                              <w:jc w:val="center"/>
                              <w:rPr>
                                <w:b/>
                                <w:sz w:val="28"/>
                                <w:szCs w:val="28"/>
                              </w:rPr>
                            </w:pPr>
                          </w:p>
                          <w:p w:rsidR="00FB4E32" w:rsidRPr="005D027D" w:rsidRDefault="00FB4E32" w:rsidP="003E5C19">
                            <w:pPr>
                              <w:jc w:val="center"/>
                              <w:rPr>
                                <w:b/>
                                <w:sz w:val="36"/>
                                <w:szCs w:val="36"/>
                              </w:rPr>
                            </w:pPr>
                            <w:r w:rsidRPr="005D027D">
                              <w:rPr>
                                <w:b/>
                                <w:sz w:val="36"/>
                                <w:szCs w:val="36"/>
                              </w:rPr>
                              <w:t>Section 2</w:t>
                            </w:r>
                          </w:p>
                          <w:p w:rsidR="00FB4E32" w:rsidRDefault="00FB4E32" w:rsidP="003E5C19">
                            <w:pPr>
                              <w:jc w:val="center"/>
                              <w:rPr>
                                <w:b/>
                                <w:sz w:val="28"/>
                                <w:szCs w:val="28"/>
                              </w:rPr>
                            </w:pPr>
                          </w:p>
                          <w:p w:rsidR="00FB4E32" w:rsidRPr="003E5C19" w:rsidRDefault="00FB4E32" w:rsidP="003E5C19">
                            <w:pPr>
                              <w:jc w:val="center"/>
                              <w:rPr>
                                <w:rFonts w:cs="Arial"/>
                                <w:b/>
                                <w:sz w:val="36"/>
                                <w:szCs w:val="36"/>
                              </w:rPr>
                            </w:pPr>
                            <w:r w:rsidRPr="003E5C19">
                              <w:rPr>
                                <w:b/>
                                <w:sz w:val="36"/>
                                <w:szCs w:val="36"/>
                              </w:rPr>
                              <w:t>Specification of Requirements</w:t>
                            </w:r>
                          </w:p>
                          <w:p w:rsidR="00FB4E32" w:rsidRDefault="00FB4E32"/>
                          <w:p w:rsidR="00FB4E32" w:rsidRDefault="00FB4E32"/>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Pr>
                                <w:rFonts w:cs="Arial"/>
                              </w:rPr>
                              <w:t xml:space="preserve">Tender Reference Number: </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790CE1">
                            <w:pPr>
                              <w:rPr>
                                <w:rFonts w:cs="Arial"/>
                              </w:rPr>
                            </w:pPr>
                          </w:p>
                          <w:p w:rsidR="00FB4E32" w:rsidRDefault="00FB4E32" w:rsidP="00790CE1">
                            <w:pPr>
                              <w:rPr>
                                <w:rFonts w:cs="Arial"/>
                              </w:rPr>
                            </w:pPr>
                          </w:p>
                          <w:p w:rsidR="00FB4E32" w:rsidRPr="0000739E" w:rsidRDefault="00FB4E32" w:rsidP="00790CE1">
                            <w:pPr>
                              <w:rPr>
                                <w:rFonts w:cs="Arial"/>
                              </w:rPr>
                            </w:pPr>
                          </w:p>
                          <w:p w:rsidR="00FB4E32" w:rsidRDefault="00FB4E32"/>
                          <w:p w:rsidR="00FB4E32" w:rsidRDefault="00FB4E32"/>
                          <w:p w:rsidR="00FB4E32" w:rsidRDefault="00FB4E32"/>
                          <w:p w:rsidR="00FB4E32" w:rsidRDefault="00FB4E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FB4E32" w:rsidRDefault="00FB4E32" w:rsidP="003E5C19">
                      <w:pPr>
                        <w:jc w:val="center"/>
                        <w:rPr>
                          <w:b/>
                          <w:sz w:val="28"/>
                          <w:szCs w:val="28"/>
                        </w:rPr>
                      </w:pPr>
                    </w:p>
                    <w:p w:rsidR="00FB4E32" w:rsidRPr="005D027D" w:rsidRDefault="00FB4E32" w:rsidP="003E5C19">
                      <w:pPr>
                        <w:jc w:val="center"/>
                        <w:rPr>
                          <w:b/>
                          <w:sz w:val="36"/>
                          <w:szCs w:val="36"/>
                        </w:rPr>
                      </w:pPr>
                      <w:r w:rsidRPr="005D027D">
                        <w:rPr>
                          <w:b/>
                          <w:sz w:val="36"/>
                          <w:szCs w:val="36"/>
                        </w:rPr>
                        <w:t>Section 2</w:t>
                      </w:r>
                    </w:p>
                    <w:p w:rsidR="00FB4E32" w:rsidRDefault="00FB4E32" w:rsidP="003E5C19">
                      <w:pPr>
                        <w:jc w:val="center"/>
                        <w:rPr>
                          <w:b/>
                          <w:sz w:val="28"/>
                          <w:szCs w:val="28"/>
                        </w:rPr>
                      </w:pPr>
                    </w:p>
                    <w:p w:rsidR="00FB4E32" w:rsidRPr="003E5C19" w:rsidRDefault="00FB4E32" w:rsidP="003E5C19">
                      <w:pPr>
                        <w:jc w:val="center"/>
                        <w:rPr>
                          <w:rFonts w:cs="Arial"/>
                          <w:b/>
                          <w:sz w:val="36"/>
                          <w:szCs w:val="36"/>
                        </w:rPr>
                      </w:pPr>
                      <w:r w:rsidRPr="003E5C19">
                        <w:rPr>
                          <w:b/>
                          <w:sz w:val="36"/>
                          <w:szCs w:val="36"/>
                        </w:rPr>
                        <w:t>Specification of Requirements</w:t>
                      </w:r>
                    </w:p>
                    <w:p w:rsidR="00FB4E32" w:rsidRDefault="00FB4E32"/>
                    <w:p w:rsidR="00FB4E32" w:rsidRDefault="00FB4E32"/>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Pr>
                          <w:rFonts w:cs="Arial"/>
                        </w:rPr>
                        <w:t xml:space="preserve">Tender Reference Number: </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790CE1">
                      <w:pPr>
                        <w:rPr>
                          <w:rFonts w:cs="Arial"/>
                        </w:rPr>
                      </w:pPr>
                    </w:p>
                    <w:p w:rsidR="00FB4E32" w:rsidRDefault="00FB4E32" w:rsidP="00790CE1">
                      <w:pPr>
                        <w:rPr>
                          <w:rFonts w:cs="Arial"/>
                        </w:rPr>
                      </w:pPr>
                    </w:p>
                    <w:p w:rsidR="00FB4E32" w:rsidRPr="0000739E" w:rsidRDefault="00FB4E32" w:rsidP="00790CE1">
                      <w:pPr>
                        <w:rPr>
                          <w:rFonts w:cs="Arial"/>
                        </w:rPr>
                      </w:pPr>
                    </w:p>
                    <w:p w:rsidR="00FB4E32" w:rsidRDefault="00FB4E32"/>
                    <w:p w:rsidR="00FB4E32" w:rsidRDefault="00FB4E32"/>
                    <w:p w:rsidR="00FB4E32" w:rsidRDefault="00FB4E32"/>
                    <w:p w:rsidR="00FB4E32" w:rsidRDefault="00FB4E32"/>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E1279C">
        <w:rPr>
          <w:noProof/>
        </w:rPr>
        <w:t>8</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E1279C">
        <w:rPr>
          <w:noProof/>
        </w:rPr>
        <w:t>8</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E1279C">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10</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322BEF">
      <w:pPr>
        <w:pStyle w:val="Heading1"/>
        <w:numPr>
          <w:ilvl w:val="0"/>
          <w:numId w:val="32"/>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505A99">
        <w:rPr>
          <w:rFonts w:ascii="Arial" w:hAnsi="Arial" w:cs="Arial"/>
          <w:sz w:val="24"/>
          <w:szCs w:val="24"/>
        </w:rPr>
        <w:lastRenderedPageBreak/>
        <w:t>Introduction</w:t>
      </w:r>
      <w:bookmarkEnd w:id="20"/>
      <w:r w:rsidR="00884DF5" w:rsidRPr="00505A99">
        <w:rPr>
          <w:rFonts w:ascii="Arial" w:hAnsi="Arial" w:cs="Arial"/>
          <w:sz w:val="24"/>
          <w:szCs w:val="24"/>
        </w:rPr>
        <w:t xml:space="preserve"> and summary of requirements</w:t>
      </w:r>
      <w:bookmarkEnd w:id="21"/>
      <w:bookmarkEnd w:id="22"/>
      <w:bookmarkEnd w:id="23"/>
    </w:p>
    <w:p w:rsidR="008E41CB" w:rsidRPr="008E41CB" w:rsidRDefault="008E41CB" w:rsidP="008E41CB"/>
    <w:p w:rsidR="00EA3662" w:rsidRPr="00505A99" w:rsidRDefault="00EA3662" w:rsidP="003C0416">
      <w:pPr>
        <w:ind w:left="284"/>
        <w:rPr>
          <w:rFonts w:cs="Arial"/>
          <w:sz w:val="24"/>
          <w:szCs w:val="24"/>
        </w:rPr>
      </w:pPr>
      <w:r w:rsidRPr="00505A99">
        <w:rPr>
          <w:rFonts w:cs="Arial"/>
          <w:sz w:val="24"/>
          <w:szCs w:val="24"/>
        </w:rPr>
        <w:t>The Department for Business, Energy &amp; Industrial Strategy (“BEIS”) wishes to appoint a supplier to prepare and facilitate a suite of stakeholder engagement workshops in support of the Geological Disposal Facility consultations on the National Policy Statement</w:t>
      </w:r>
      <w:r w:rsidR="00150C04" w:rsidRPr="00505A99">
        <w:rPr>
          <w:rFonts w:cs="Arial"/>
          <w:sz w:val="24"/>
          <w:szCs w:val="24"/>
        </w:rPr>
        <w:t xml:space="preserve"> (NPS)</w:t>
      </w:r>
      <w:r w:rsidRPr="00505A99">
        <w:rPr>
          <w:rFonts w:cs="Arial"/>
          <w:sz w:val="24"/>
          <w:szCs w:val="24"/>
        </w:rPr>
        <w:t xml:space="preserve"> and the Working with Communities policy.</w:t>
      </w:r>
    </w:p>
    <w:p w:rsidR="00622E6B" w:rsidRPr="00505A99" w:rsidRDefault="00622E6B" w:rsidP="00622E6B"/>
    <w:p w:rsidR="001F4630" w:rsidRDefault="001F4630" w:rsidP="00322BEF">
      <w:pPr>
        <w:pStyle w:val="Heading1"/>
        <w:numPr>
          <w:ilvl w:val="0"/>
          <w:numId w:val="32"/>
        </w:numPr>
        <w:rPr>
          <w:rFonts w:ascii="Arial" w:hAnsi="Arial" w:cs="Arial"/>
          <w:sz w:val="24"/>
          <w:szCs w:val="24"/>
        </w:rPr>
      </w:pPr>
      <w:bookmarkStart w:id="25" w:name="_Ref357535668"/>
      <w:bookmarkStart w:id="26" w:name="_Toc381969507"/>
      <w:bookmarkStart w:id="27" w:name="_Toc405888456"/>
      <w:r w:rsidRPr="00505A99">
        <w:rPr>
          <w:rFonts w:ascii="Arial" w:hAnsi="Arial" w:cs="Arial"/>
          <w:sz w:val="24"/>
          <w:szCs w:val="24"/>
        </w:rPr>
        <w:t>Background</w:t>
      </w:r>
      <w:bookmarkEnd w:id="25"/>
      <w:bookmarkEnd w:id="26"/>
      <w:bookmarkEnd w:id="27"/>
    </w:p>
    <w:p w:rsidR="008E41CB" w:rsidRPr="008E41CB" w:rsidRDefault="008E41CB" w:rsidP="008E41CB"/>
    <w:p w:rsidR="008E56E4" w:rsidRPr="00505A99" w:rsidRDefault="008E56E4" w:rsidP="003C0416">
      <w:pPr>
        <w:ind w:left="284"/>
        <w:rPr>
          <w:sz w:val="24"/>
        </w:rPr>
      </w:pPr>
      <w:r w:rsidRPr="00505A99">
        <w:rPr>
          <w:sz w:val="24"/>
        </w:rPr>
        <w:t xml:space="preserve">The July 2014 Implementing Geological Disposal White Paper set out three initial actions to be delivered by Government; to carry out national geological screening, establish a policy framework for planning decisions in England and develop a process for working with communities affected by a Geological Disposal Facility (GDF) development. </w:t>
      </w:r>
    </w:p>
    <w:p w:rsidR="008E56E4" w:rsidRPr="00505A99" w:rsidRDefault="008E56E4" w:rsidP="003C0416">
      <w:pPr>
        <w:ind w:left="284"/>
      </w:pPr>
    </w:p>
    <w:p w:rsidR="008E56E4" w:rsidRPr="00505A99" w:rsidRDefault="008E56E4" w:rsidP="003C0416">
      <w:pPr>
        <w:ind w:left="284"/>
        <w:rPr>
          <w:sz w:val="24"/>
          <w:szCs w:val="24"/>
        </w:rPr>
      </w:pPr>
      <w:r w:rsidRPr="00505A99">
        <w:rPr>
          <w:sz w:val="24"/>
          <w:szCs w:val="24"/>
        </w:rPr>
        <w:t xml:space="preserve">Previous experience of attempted processes to site a GDF has shown that early engagement in developing policy is very important as is continuing to engage effectively whilst the policy is being delivered. </w:t>
      </w:r>
    </w:p>
    <w:p w:rsidR="008E56E4" w:rsidRPr="00505A99" w:rsidRDefault="008E56E4" w:rsidP="003C0416">
      <w:pPr>
        <w:ind w:left="284"/>
        <w:rPr>
          <w:sz w:val="24"/>
          <w:szCs w:val="24"/>
        </w:rPr>
      </w:pPr>
    </w:p>
    <w:p w:rsidR="008E56E4" w:rsidRPr="00505A99" w:rsidRDefault="008E56E4" w:rsidP="003C0416">
      <w:pPr>
        <w:ind w:left="284"/>
        <w:rPr>
          <w:sz w:val="24"/>
          <w:szCs w:val="24"/>
        </w:rPr>
      </w:pPr>
      <w:r w:rsidRPr="00505A99">
        <w:rPr>
          <w:sz w:val="24"/>
          <w:szCs w:val="24"/>
        </w:rPr>
        <w:t>At the core of our policy to deliver a GDF is the approach of sourcing ‘willing communities’ who are open to siting a GDF, so effective and open communications and engagement will play a key role in making this process a success. The White Paper highlighted the need to gather evidence through consultation in order to find an approach that is clear, flexible, reflects the long-term nature of the siting process, and represents the wider community groups appropriately.</w:t>
      </w:r>
    </w:p>
    <w:p w:rsidR="008E56E4" w:rsidRPr="00505A99" w:rsidRDefault="008E56E4" w:rsidP="003C0416">
      <w:pPr>
        <w:ind w:left="284"/>
        <w:rPr>
          <w:sz w:val="24"/>
          <w:szCs w:val="24"/>
        </w:rPr>
      </w:pPr>
    </w:p>
    <w:p w:rsidR="00B0790D" w:rsidRPr="00505A99" w:rsidRDefault="008E56E4" w:rsidP="003C0416">
      <w:pPr>
        <w:ind w:left="284"/>
        <w:rPr>
          <w:sz w:val="24"/>
          <w:szCs w:val="24"/>
        </w:rPr>
      </w:pPr>
      <w:r w:rsidRPr="00505A99">
        <w:rPr>
          <w:sz w:val="24"/>
          <w:szCs w:val="24"/>
        </w:rPr>
        <w:t xml:space="preserve">The GDF policy team in BEIS is </w:t>
      </w:r>
      <w:r w:rsidR="00B0790D" w:rsidRPr="00505A99">
        <w:rPr>
          <w:sz w:val="24"/>
          <w:szCs w:val="24"/>
        </w:rPr>
        <w:t xml:space="preserve">planning to carry out two consultations, subject to ministerial approval. </w:t>
      </w:r>
    </w:p>
    <w:p w:rsidR="008E56E4" w:rsidRPr="00505A99" w:rsidRDefault="008E56E4" w:rsidP="003C0416">
      <w:pPr>
        <w:ind w:left="284"/>
        <w:rPr>
          <w:sz w:val="24"/>
          <w:szCs w:val="24"/>
        </w:rPr>
      </w:pPr>
    </w:p>
    <w:p w:rsidR="00E0084F" w:rsidRPr="00505A99" w:rsidRDefault="005D0EEF" w:rsidP="003C0416">
      <w:pPr>
        <w:ind w:left="284"/>
        <w:rPr>
          <w:sz w:val="24"/>
        </w:rPr>
      </w:pPr>
      <w:r w:rsidRPr="00505A99">
        <w:rPr>
          <w:sz w:val="24"/>
          <w:szCs w:val="24"/>
        </w:rPr>
        <w:t xml:space="preserve">Spring </w:t>
      </w:r>
      <w:r w:rsidR="00D16FBF" w:rsidRPr="00505A99">
        <w:rPr>
          <w:sz w:val="24"/>
          <w:szCs w:val="24"/>
        </w:rPr>
        <w:t>2017</w:t>
      </w:r>
      <w:r w:rsidR="008E56E4" w:rsidRPr="00505A99">
        <w:rPr>
          <w:sz w:val="24"/>
          <w:szCs w:val="24"/>
        </w:rPr>
        <w:t xml:space="preserve"> - GDF </w:t>
      </w:r>
      <w:r w:rsidR="00150C04" w:rsidRPr="00505A99">
        <w:rPr>
          <w:sz w:val="24"/>
          <w:szCs w:val="24"/>
        </w:rPr>
        <w:t>NPS</w:t>
      </w:r>
      <w:r w:rsidR="008E56E4" w:rsidRPr="00505A99">
        <w:rPr>
          <w:sz w:val="24"/>
          <w:szCs w:val="24"/>
        </w:rPr>
        <w:t xml:space="preserve"> Consultation. </w:t>
      </w:r>
      <w:r w:rsidR="00E0084F" w:rsidRPr="00505A99">
        <w:rPr>
          <w:sz w:val="24"/>
          <w:szCs w:val="24"/>
        </w:rPr>
        <w:t xml:space="preserve">Government are creating </w:t>
      </w:r>
      <w:r w:rsidR="00E0084F" w:rsidRPr="00505A99">
        <w:rPr>
          <w:sz w:val="24"/>
        </w:rPr>
        <w:t>a clear route for future planning decisions to be taken by producing a NPS which sets out the need for Nationally Significant Infrastructure Projects related to the geological disposal of higher activity radioactive waste in England, as well as providing planning guidance for developers of such projects, and the Planning Inspectorate and Secretary of State in their consideration of any such applications.</w:t>
      </w:r>
    </w:p>
    <w:p w:rsidR="00E0084F" w:rsidRPr="00505A99" w:rsidRDefault="00E0084F" w:rsidP="003C0416">
      <w:pPr>
        <w:ind w:left="284"/>
        <w:rPr>
          <w:sz w:val="24"/>
        </w:rPr>
      </w:pPr>
    </w:p>
    <w:p w:rsidR="00E0084F" w:rsidRPr="00505A99" w:rsidRDefault="00E0084F" w:rsidP="003C0416">
      <w:pPr>
        <w:ind w:left="284"/>
        <w:rPr>
          <w:sz w:val="28"/>
          <w:szCs w:val="24"/>
        </w:rPr>
      </w:pPr>
      <w:r w:rsidRPr="00505A99">
        <w:rPr>
          <w:sz w:val="24"/>
        </w:rPr>
        <w:t>This consultation is actively looking for views and suggestions on the NPS and related environmental and sustainability appraisal documents to enable us to meet these objectives in the most effective and efficient way.</w:t>
      </w:r>
    </w:p>
    <w:p w:rsidR="008E56E4" w:rsidRPr="00505A99" w:rsidRDefault="008E56E4" w:rsidP="00E0084F">
      <w:pPr>
        <w:rPr>
          <w:sz w:val="24"/>
          <w:szCs w:val="24"/>
        </w:rPr>
      </w:pPr>
    </w:p>
    <w:p w:rsidR="008E56E4" w:rsidRPr="00505A99" w:rsidRDefault="005D0EEF" w:rsidP="003C0416">
      <w:pPr>
        <w:ind w:left="284"/>
        <w:rPr>
          <w:sz w:val="24"/>
          <w:szCs w:val="24"/>
        </w:rPr>
      </w:pPr>
      <w:r w:rsidRPr="00505A99">
        <w:rPr>
          <w:sz w:val="24"/>
          <w:szCs w:val="24"/>
        </w:rPr>
        <w:t xml:space="preserve">Spring </w:t>
      </w:r>
      <w:r w:rsidR="00D16FBF" w:rsidRPr="00505A99">
        <w:rPr>
          <w:sz w:val="24"/>
          <w:szCs w:val="24"/>
        </w:rPr>
        <w:t xml:space="preserve">2017 - </w:t>
      </w:r>
      <w:r w:rsidR="008E56E4" w:rsidRPr="00505A99">
        <w:rPr>
          <w:sz w:val="24"/>
          <w:szCs w:val="24"/>
        </w:rPr>
        <w:t xml:space="preserve">Working with Communities Consultation. This consultation sets out the Government’s policy framework for the developer of a GDF (RWM) as to how they should work with interested communities. It will explain the areas Government has been working on, and what our informed view is. This will include: How do you identify a community? What mechanisms should be used to disburse the community investment? How should we test public support? After the consultation, Government will then finalise policy which will inform </w:t>
      </w:r>
      <w:r w:rsidRPr="00505A99">
        <w:rPr>
          <w:sz w:val="24"/>
          <w:szCs w:val="24"/>
        </w:rPr>
        <w:t xml:space="preserve">the delivery </w:t>
      </w:r>
      <w:r w:rsidRPr="00505A99">
        <w:rPr>
          <w:sz w:val="24"/>
          <w:szCs w:val="24"/>
        </w:rPr>
        <w:lastRenderedPageBreak/>
        <w:t xml:space="preserve">body’s </w:t>
      </w:r>
      <w:r w:rsidR="008E56E4" w:rsidRPr="00505A99">
        <w:rPr>
          <w:sz w:val="24"/>
          <w:szCs w:val="24"/>
        </w:rPr>
        <w:t>engagement plans</w:t>
      </w:r>
      <w:r w:rsidR="00B0790D" w:rsidRPr="00505A99">
        <w:rPr>
          <w:sz w:val="24"/>
          <w:szCs w:val="24"/>
        </w:rPr>
        <w:t>.</w:t>
      </w:r>
    </w:p>
    <w:p w:rsidR="00B0790D" w:rsidRPr="00505A99" w:rsidRDefault="00B0790D" w:rsidP="003C0416">
      <w:pPr>
        <w:ind w:left="284"/>
        <w:rPr>
          <w:sz w:val="24"/>
          <w:szCs w:val="24"/>
        </w:rPr>
      </w:pPr>
    </w:p>
    <w:p w:rsidR="00B0790D" w:rsidRPr="00505A99" w:rsidRDefault="00B0790D" w:rsidP="003C0416">
      <w:pPr>
        <w:ind w:left="284"/>
        <w:rPr>
          <w:sz w:val="24"/>
          <w:szCs w:val="24"/>
        </w:rPr>
      </w:pPr>
      <w:r w:rsidRPr="00505A99">
        <w:rPr>
          <w:sz w:val="24"/>
          <w:szCs w:val="24"/>
        </w:rPr>
        <w:t xml:space="preserve">It is important that communication and engagement activities are undertaken in support of these consultations, to ensure openness and transparency, and gather views from a wide range of stakeholders to inform policy development and </w:t>
      </w:r>
      <w:r w:rsidR="006620BF" w:rsidRPr="00505A99">
        <w:rPr>
          <w:sz w:val="24"/>
          <w:szCs w:val="24"/>
        </w:rPr>
        <w:t>ensure</w:t>
      </w:r>
      <w:r w:rsidRPr="00505A99">
        <w:rPr>
          <w:sz w:val="24"/>
          <w:szCs w:val="24"/>
        </w:rPr>
        <w:t xml:space="preserve"> that the process is robust.</w:t>
      </w:r>
    </w:p>
    <w:p w:rsidR="00B84F77" w:rsidRPr="00505A99" w:rsidRDefault="00B84F77" w:rsidP="003C0416">
      <w:pPr>
        <w:ind w:left="284"/>
        <w:rPr>
          <w:sz w:val="24"/>
          <w:szCs w:val="24"/>
        </w:rPr>
      </w:pPr>
    </w:p>
    <w:p w:rsidR="009C2990" w:rsidRPr="00505A99" w:rsidRDefault="008E56E4" w:rsidP="003C0416">
      <w:pPr>
        <w:ind w:left="284"/>
        <w:rPr>
          <w:sz w:val="24"/>
          <w:szCs w:val="24"/>
        </w:rPr>
      </w:pPr>
      <w:r w:rsidRPr="00505A99">
        <w:rPr>
          <w:sz w:val="24"/>
          <w:szCs w:val="24"/>
        </w:rPr>
        <w:t xml:space="preserve">As part of the consultation process we plan to run up to </w:t>
      </w:r>
      <w:r w:rsidR="00B84F77" w:rsidRPr="00505A99">
        <w:rPr>
          <w:sz w:val="24"/>
          <w:szCs w:val="24"/>
        </w:rPr>
        <w:t>six</w:t>
      </w:r>
      <w:r w:rsidRPr="00505A99">
        <w:rPr>
          <w:sz w:val="24"/>
          <w:szCs w:val="24"/>
        </w:rPr>
        <w:t xml:space="preserve"> stakeholder engagement workshops which will compliment a range of other engagement activity. The workshops will provide an opportunity to brief key stakeholders on GDF policy and ensure they understand the detail of the NPS and Working with Communities policy enabling them to submit a considered response to the consultations. In addition, </w:t>
      </w:r>
      <w:r w:rsidRPr="00505A99">
        <w:rPr>
          <w:rFonts w:eastAsia="Calibri"/>
          <w:sz w:val="24"/>
          <w:szCs w:val="24"/>
        </w:rPr>
        <w:t xml:space="preserve">for the NPS consultation we are legally required to consult with statutory stakeholders. </w:t>
      </w:r>
    </w:p>
    <w:p w:rsidR="00015976" w:rsidRDefault="00016416" w:rsidP="00322BEF">
      <w:pPr>
        <w:pStyle w:val="Heading1"/>
        <w:numPr>
          <w:ilvl w:val="0"/>
          <w:numId w:val="32"/>
        </w:numPr>
        <w:rPr>
          <w:rFonts w:ascii="Arial" w:hAnsi="Arial" w:cs="Arial"/>
          <w:sz w:val="24"/>
          <w:szCs w:val="24"/>
        </w:rPr>
      </w:pPr>
      <w:bookmarkStart w:id="28" w:name="_Ref357535689"/>
      <w:bookmarkStart w:id="29" w:name="_Toc381969508"/>
      <w:bookmarkStart w:id="30" w:name="_Toc405888457"/>
      <w:r w:rsidRPr="00505A99">
        <w:rPr>
          <w:rFonts w:ascii="Arial" w:hAnsi="Arial" w:cs="Arial"/>
          <w:sz w:val="24"/>
          <w:szCs w:val="24"/>
        </w:rPr>
        <w:t>Aims and Objectives</w:t>
      </w:r>
      <w:bookmarkEnd w:id="28"/>
      <w:bookmarkEnd w:id="29"/>
      <w:bookmarkEnd w:id="30"/>
    </w:p>
    <w:p w:rsidR="008E41CB" w:rsidRPr="008E41CB" w:rsidRDefault="008E41CB" w:rsidP="008E41CB"/>
    <w:p w:rsidR="00FE1227" w:rsidRPr="00505A99" w:rsidRDefault="00AC054B" w:rsidP="007E689B">
      <w:pPr>
        <w:ind w:left="284"/>
        <w:rPr>
          <w:rFonts w:cs="Arial"/>
          <w:sz w:val="24"/>
          <w:szCs w:val="24"/>
        </w:rPr>
      </w:pPr>
      <w:r w:rsidRPr="00505A99">
        <w:rPr>
          <w:rFonts w:cs="Arial"/>
          <w:sz w:val="24"/>
          <w:szCs w:val="24"/>
        </w:rPr>
        <w:t>Prepare and facilitate a suite of stakeholder engagement workshops</w:t>
      </w:r>
      <w:r w:rsidR="006620BF" w:rsidRPr="00505A99">
        <w:rPr>
          <w:rFonts w:cs="Arial"/>
          <w:sz w:val="24"/>
          <w:szCs w:val="24"/>
        </w:rPr>
        <w:t xml:space="preserve"> (up to six)</w:t>
      </w:r>
      <w:r w:rsidR="00331765" w:rsidRPr="00505A99">
        <w:rPr>
          <w:rFonts w:cs="Arial"/>
          <w:sz w:val="24"/>
          <w:szCs w:val="24"/>
        </w:rPr>
        <w:t xml:space="preserve"> at a variety of locations nationwide</w:t>
      </w:r>
      <w:r w:rsidR="006370A2" w:rsidRPr="00505A99">
        <w:rPr>
          <w:rFonts w:cs="Arial"/>
          <w:sz w:val="24"/>
          <w:szCs w:val="24"/>
        </w:rPr>
        <w:t xml:space="preserve"> (to be decided)</w:t>
      </w:r>
      <w:r w:rsidRPr="00505A99">
        <w:rPr>
          <w:rFonts w:cs="Arial"/>
          <w:sz w:val="24"/>
          <w:szCs w:val="24"/>
        </w:rPr>
        <w:t xml:space="preserve"> in support of the Geological Disposal Facility consultations on the </w:t>
      </w:r>
      <w:r w:rsidR="00150C04" w:rsidRPr="00505A99">
        <w:rPr>
          <w:rFonts w:cs="Arial"/>
          <w:sz w:val="24"/>
          <w:szCs w:val="24"/>
        </w:rPr>
        <w:t>NPS</w:t>
      </w:r>
      <w:r w:rsidRPr="00505A99">
        <w:rPr>
          <w:rFonts w:cs="Arial"/>
          <w:sz w:val="24"/>
          <w:szCs w:val="24"/>
        </w:rPr>
        <w:t xml:space="preserve"> and the Working with Communities policy.</w:t>
      </w:r>
    </w:p>
    <w:p w:rsidR="00C4141B" w:rsidRDefault="00E85ED1" w:rsidP="00322BEF">
      <w:pPr>
        <w:pStyle w:val="Heading1"/>
        <w:numPr>
          <w:ilvl w:val="0"/>
          <w:numId w:val="27"/>
        </w:numPr>
        <w:rPr>
          <w:rFonts w:ascii="Arial" w:hAnsi="Arial" w:cs="Arial"/>
          <w:sz w:val="24"/>
          <w:szCs w:val="24"/>
        </w:rPr>
      </w:pPr>
      <w:bookmarkStart w:id="31" w:name="_Toc381969509"/>
      <w:bookmarkStart w:id="32" w:name="_Toc405888458"/>
      <w:r w:rsidRPr="00505A99">
        <w:rPr>
          <w:rFonts w:ascii="Arial" w:hAnsi="Arial" w:cs="Arial"/>
          <w:sz w:val="24"/>
          <w:szCs w:val="24"/>
        </w:rPr>
        <w:t>Methodology</w:t>
      </w:r>
      <w:bookmarkEnd w:id="31"/>
      <w:bookmarkEnd w:id="32"/>
    </w:p>
    <w:p w:rsidR="008E41CB" w:rsidRPr="008E41CB" w:rsidRDefault="008E41CB" w:rsidP="008E41CB"/>
    <w:p w:rsidR="00456078" w:rsidRPr="00505A99" w:rsidRDefault="00456078" w:rsidP="003C0416">
      <w:pPr>
        <w:ind w:left="284"/>
        <w:jc w:val="both"/>
        <w:rPr>
          <w:rFonts w:cs="Arial"/>
          <w:sz w:val="24"/>
          <w:szCs w:val="24"/>
        </w:rPr>
      </w:pPr>
      <w:r w:rsidRPr="00505A99">
        <w:rPr>
          <w:rFonts w:cs="Arial"/>
          <w:sz w:val="24"/>
          <w:szCs w:val="24"/>
        </w:rPr>
        <w:t>It is envisaged that the chosen supplier will support BEIS by undertaking the following tasks to enable the stakeholder engagement workshops:</w:t>
      </w:r>
    </w:p>
    <w:p w:rsidR="00456078" w:rsidRPr="00505A99" w:rsidRDefault="00456078" w:rsidP="003C0416">
      <w:pPr>
        <w:ind w:left="284"/>
        <w:jc w:val="both"/>
        <w:rPr>
          <w:rFonts w:cs="Arial"/>
          <w:sz w:val="24"/>
          <w:szCs w:val="24"/>
        </w:rPr>
      </w:pPr>
    </w:p>
    <w:p w:rsidR="00CD256C" w:rsidRPr="00505A99" w:rsidRDefault="00456078" w:rsidP="003C0416">
      <w:pPr>
        <w:ind w:left="284"/>
        <w:rPr>
          <w:rFonts w:eastAsia="Calibri"/>
          <w:sz w:val="24"/>
        </w:rPr>
      </w:pPr>
      <w:r w:rsidRPr="00505A99">
        <w:rPr>
          <w:rFonts w:eastAsia="Calibri"/>
          <w:sz w:val="24"/>
        </w:rPr>
        <w:t xml:space="preserve">- </w:t>
      </w:r>
      <w:r w:rsidR="00CD256C" w:rsidRPr="00505A99">
        <w:rPr>
          <w:rFonts w:eastAsia="Calibri"/>
          <w:sz w:val="24"/>
        </w:rPr>
        <w:t>Support the BEIS GDF siting team with developing the engagement plan for two consultations – providing advice and expertise on best practice stakeholder engagement techniques for running the events.</w:t>
      </w:r>
    </w:p>
    <w:p w:rsidR="00CD256C" w:rsidRPr="00505A99" w:rsidRDefault="00CD256C" w:rsidP="003C0416">
      <w:pPr>
        <w:ind w:left="284"/>
        <w:rPr>
          <w:rFonts w:eastAsia="Calibri"/>
          <w:sz w:val="24"/>
        </w:rPr>
      </w:pPr>
    </w:p>
    <w:p w:rsidR="006620BF" w:rsidRPr="00505A99" w:rsidRDefault="00CD256C" w:rsidP="003C0416">
      <w:pPr>
        <w:ind w:left="284"/>
        <w:rPr>
          <w:rFonts w:eastAsia="Calibri"/>
          <w:sz w:val="24"/>
        </w:rPr>
      </w:pPr>
      <w:r w:rsidRPr="00505A99">
        <w:rPr>
          <w:rFonts w:eastAsia="Calibri"/>
          <w:sz w:val="24"/>
        </w:rPr>
        <w:t>-</w:t>
      </w:r>
      <w:r w:rsidR="00456078" w:rsidRPr="00505A99">
        <w:rPr>
          <w:rFonts w:eastAsia="Calibri"/>
          <w:sz w:val="24"/>
        </w:rPr>
        <w:t xml:space="preserve">Develop workshop facilitation plans </w:t>
      </w:r>
      <w:r w:rsidR="005D0EEF" w:rsidRPr="00505A99">
        <w:rPr>
          <w:rFonts w:eastAsia="Calibri"/>
          <w:sz w:val="24"/>
        </w:rPr>
        <w:t>and materials for</w:t>
      </w:r>
      <w:r w:rsidR="00456078" w:rsidRPr="00505A99">
        <w:rPr>
          <w:rFonts w:eastAsia="Calibri"/>
          <w:sz w:val="24"/>
        </w:rPr>
        <w:t xml:space="preserve"> the stakeholder engagement events using the background materials, to include agreed outcomes for delivery through each set of workshops. It is expected the contractor will use their experience and expertise to make these materials both comprehensible and engaging for the relevant target audiences by</w:t>
      </w:r>
      <w:r w:rsidR="00EA089B" w:rsidRPr="00505A99">
        <w:rPr>
          <w:rFonts w:eastAsia="Calibri"/>
          <w:sz w:val="24"/>
        </w:rPr>
        <w:t xml:space="preserve"> </w:t>
      </w:r>
      <w:r w:rsidR="005D0EEF" w:rsidRPr="00505A99">
        <w:rPr>
          <w:rFonts w:eastAsia="Calibri"/>
          <w:sz w:val="24"/>
        </w:rPr>
        <w:t>mid to late February.</w:t>
      </w:r>
      <w:r w:rsidR="00456078" w:rsidRPr="00505A99">
        <w:rPr>
          <w:rFonts w:eastAsia="Calibri"/>
          <w:sz w:val="24"/>
        </w:rPr>
        <w:t xml:space="preserve"> </w:t>
      </w:r>
    </w:p>
    <w:p w:rsidR="00456078" w:rsidRPr="00505A99" w:rsidRDefault="00456078" w:rsidP="003C0416">
      <w:pPr>
        <w:ind w:left="284"/>
        <w:rPr>
          <w:rFonts w:eastAsia="Calibri"/>
          <w:sz w:val="24"/>
        </w:rPr>
      </w:pPr>
      <w:r w:rsidRPr="00505A99">
        <w:rPr>
          <w:rFonts w:eastAsia="Calibri"/>
          <w:sz w:val="24"/>
        </w:rPr>
        <w:t xml:space="preserve"> </w:t>
      </w:r>
    </w:p>
    <w:p w:rsidR="00456078" w:rsidRPr="00505A99" w:rsidRDefault="00456078" w:rsidP="003C0416">
      <w:pPr>
        <w:ind w:left="284"/>
        <w:rPr>
          <w:rFonts w:eastAsia="Calibri"/>
          <w:sz w:val="24"/>
        </w:rPr>
      </w:pPr>
      <w:r w:rsidRPr="00505A99">
        <w:rPr>
          <w:rFonts w:eastAsia="Calibri"/>
          <w:sz w:val="24"/>
        </w:rPr>
        <w:t>- To source options for venue hire for</w:t>
      </w:r>
      <w:r w:rsidR="00FD144A" w:rsidRPr="00505A99">
        <w:rPr>
          <w:rFonts w:eastAsia="Calibri"/>
          <w:sz w:val="24"/>
        </w:rPr>
        <w:t xml:space="preserve"> </w:t>
      </w:r>
      <w:r w:rsidR="00861225" w:rsidRPr="00505A99">
        <w:rPr>
          <w:rFonts w:eastAsia="Calibri"/>
          <w:sz w:val="24"/>
        </w:rPr>
        <w:t>May/June</w:t>
      </w:r>
      <w:r w:rsidRPr="00505A99">
        <w:rPr>
          <w:rFonts w:eastAsia="Calibri"/>
          <w:sz w:val="24"/>
        </w:rPr>
        <w:t xml:space="preserve"> workshops by </w:t>
      </w:r>
      <w:r w:rsidR="00861225" w:rsidRPr="00505A99">
        <w:rPr>
          <w:rFonts w:eastAsia="Calibri"/>
          <w:sz w:val="24"/>
        </w:rPr>
        <w:t>early April</w:t>
      </w:r>
      <w:r w:rsidR="00FD144A" w:rsidRPr="00505A99">
        <w:rPr>
          <w:rFonts w:eastAsia="Calibri"/>
          <w:sz w:val="24"/>
        </w:rPr>
        <w:t xml:space="preserve">. </w:t>
      </w:r>
    </w:p>
    <w:p w:rsidR="006620BF" w:rsidRPr="00505A99" w:rsidRDefault="006620BF" w:rsidP="003C0416">
      <w:pPr>
        <w:ind w:left="284"/>
        <w:rPr>
          <w:rFonts w:eastAsia="Calibri"/>
          <w:sz w:val="24"/>
        </w:rPr>
      </w:pPr>
    </w:p>
    <w:p w:rsidR="00456078" w:rsidRPr="00505A99" w:rsidRDefault="00456078" w:rsidP="003C0416">
      <w:pPr>
        <w:ind w:left="284"/>
        <w:rPr>
          <w:rFonts w:eastAsia="Calibri"/>
          <w:sz w:val="24"/>
        </w:rPr>
      </w:pPr>
      <w:r w:rsidRPr="00505A99">
        <w:rPr>
          <w:rFonts w:eastAsia="Calibri"/>
          <w:sz w:val="24"/>
        </w:rPr>
        <w:t>- To send invites to the sta</w:t>
      </w:r>
      <w:r w:rsidR="006620BF" w:rsidRPr="00505A99">
        <w:rPr>
          <w:rFonts w:eastAsia="Calibri"/>
          <w:sz w:val="24"/>
        </w:rPr>
        <w:t xml:space="preserve">keholder workshop attendees </w:t>
      </w:r>
      <w:r w:rsidR="006620C9" w:rsidRPr="00505A99">
        <w:rPr>
          <w:rFonts w:eastAsia="Calibri"/>
          <w:sz w:val="24"/>
        </w:rPr>
        <w:t>when the consultations launch</w:t>
      </w:r>
      <w:r w:rsidR="006620BF" w:rsidRPr="00505A99">
        <w:rPr>
          <w:rFonts w:eastAsia="Calibri"/>
          <w:sz w:val="24"/>
        </w:rPr>
        <w:t xml:space="preserve"> </w:t>
      </w:r>
      <w:r w:rsidRPr="00505A99">
        <w:rPr>
          <w:rFonts w:eastAsia="Calibri"/>
          <w:sz w:val="24"/>
        </w:rPr>
        <w:t>and manage the invitation process</w:t>
      </w:r>
      <w:r w:rsidR="00CD256C" w:rsidRPr="00505A99">
        <w:rPr>
          <w:rFonts w:eastAsia="Calibri"/>
          <w:sz w:val="24"/>
        </w:rPr>
        <w:t xml:space="preserve"> to ensure the stakeholders that we want to engage with are present at the events</w:t>
      </w:r>
      <w:r w:rsidRPr="00505A99">
        <w:rPr>
          <w:rFonts w:eastAsia="Calibri"/>
          <w:sz w:val="24"/>
        </w:rPr>
        <w:t xml:space="preserve">.  </w:t>
      </w:r>
    </w:p>
    <w:p w:rsidR="006620BF" w:rsidRPr="00505A99" w:rsidRDefault="006620BF" w:rsidP="003C0416">
      <w:pPr>
        <w:ind w:left="284"/>
        <w:rPr>
          <w:rFonts w:eastAsia="Calibri"/>
          <w:sz w:val="24"/>
        </w:rPr>
      </w:pPr>
    </w:p>
    <w:p w:rsidR="00456078" w:rsidRPr="00505A99" w:rsidRDefault="00456078" w:rsidP="003C0416">
      <w:pPr>
        <w:ind w:left="284"/>
        <w:rPr>
          <w:rFonts w:eastAsia="Calibri"/>
          <w:sz w:val="24"/>
        </w:rPr>
      </w:pPr>
      <w:r w:rsidRPr="00505A99">
        <w:rPr>
          <w:rFonts w:eastAsia="Calibri"/>
          <w:sz w:val="24"/>
        </w:rPr>
        <w:t xml:space="preserve">- To facilitate and take notes for the stakeholder engagement workshops in </w:t>
      </w:r>
      <w:r w:rsidR="00861225" w:rsidRPr="00505A99">
        <w:rPr>
          <w:rFonts w:eastAsia="Calibri"/>
          <w:sz w:val="24"/>
        </w:rPr>
        <w:t xml:space="preserve">May/June 2017. </w:t>
      </w:r>
    </w:p>
    <w:p w:rsidR="006620BF" w:rsidRPr="00505A99" w:rsidRDefault="006620BF" w:rsidP="003C0416">
      <w:pPr>
        <w:ind w:left="284"/>
        <w:rPr>
          <w:rFonts w:eastAsia="Calibri"/>
          <w:sz w:val="24"/>
        </w:rPr>
      </w:pPr>
    </w:p>
    <w:p w:rsidR="00456078" w:rsidRPr="00505A99" w:rsidRDefault="00456078" w:rsidP="003C0416">
      <w:pPr>
        <w:ind w:left="284"/>
        <w:rPr>
          <w:rFonts w:eastAsia="Calibri"/>
          <w:sz w:val="24"/>
          <w:lang w:eastAsia="en-US"/>
        </w:rPr>
      </w:pPr>
      <w:r w:rsidRPr="00505A99">
        <w:rPr>
          <w:rFonts w:eastAsia="Calibri"/>
          <w:sz w:val="24"/>
        </w:rPr>
        <w:t>- To compile a report of each workshop which captures the discussions held during the workshops, which can then be fed into the policy</w:t>
      </w:r>
      <w:r w:rsidRPr="00505A99">
        <w:rPr>
          <w:rFonts w:eastAsia="Calibri"/>
          <w:sz w:val="24"/>
          <w:lang w:eastAsia="en-US"/>
        </w:rPr>
        <w:t xml:space="preserve"> development.  </w:t>
      </w:r>
    </w:p>
    <w:p w:rsidR="004B3AD5" w:rsidRPr="00505A99" w:rsidRDefault="004B3AD5" w:rsidP="00456078">
      <w:pPr>
        <w:jc w:val="both"/>
        <w:rPr>
          <w:rFonts w:cs="Arial"/>
          <w:b/>
          <w:sz w:val="24"/>
          <w:szCs w:val="24"/>
        </w:rPr>
      </w:pPr>
    </w:p>
    <w:p w:rsidR="0034658D" w:rsidRDefault="0034658D" w:rsidP="00FF09CA">
      <w:pPr>
        <w:pStyle w:val="Heading1"/>
        <w:numPr>
          <w:ilvl w:val="0"/>
          <w:numId w:val="27"/>
        </w:numPr>
        <w:rPr>
          <w:rFonts w:ascii="Arial" w:hAnsi="Arial" w:cs="Arial"/>
          <w:sz w:val="24"/>
          <w:szCs w:val="24"/>
        </w:rPr>
      </w:pPr>
      <w:bookmarkStart w:id="33" w:name="_Ref357541705"/>
      <w:bookmarkStart w:id="34" w:name="_Toc381969510"/>
      <w:bookmarkStart w:id="35" w:name="_Toc405888459"/>
      <w:r w:rsidRPr="00505A99">
        <w:rPr>
          <w:rFonts w:ascii="Arial" w:hAnsi="Arial" w:cs="Arial"/>
          <w:sz w:val="24"/>
          <w:szCs w:val="24"/>
        </w:rPr>
        <w:lastRenderedPageBreak/>
        <w:t xml:space="preserve">Outputs </w:t>
      </w:r>
      <w:r w:rsidR="00104197" w:rsidRPr="00505A99">
        <w:rPr>
          <w:rFonts w:ascii="Arial" w:hAnsi="Arial" w:cs="Arial"/>
          <w:sz w:val="24"/>
          <w:szCs w:val="24"/>
        </w:rPr>
        <w:t>Required</w:t>
      </w:r>
      <w:bookmarkEnd w:id="33"/>
      <w:bookmarkEnd w:id="34"/>
      <w:bookmarkEnd w:id="35"/>
    </w:p>
    <w:p w:rsidR="008E41CB" w:rsidRPr="008E41CB" w:rsidRDefault="008E41CB" w:rsidP="008E41CB"/>
    <w:p w:rsidR="00AF481F" w:rsidRPr="00505A99" w:rsidRDefault="00AF481F" w:rsidP="003C0416">
      <w:pPr>
        <w:ind w:left="284"/>
        <w:rPr>
          <w:sz w:val="24"/>
          <w:szCs w:val="24"/>
        </w:rPr>
      </w:pPr>
      <w:r w:rsidRPr="00505A99">
        <w:rPr>
          <w:sz w:val="24"/>
          <w:szCs w:val="24"/>
        </w:rPr>
        <w:t xml:space="preserve">The goods and services we would require are as follows:  </w:t>
      </w:r>
    </w:p>
    <w:p w:rsidR="00AF481F" w:rsidRPr="00505A99" w:rsidRDefault="00AF481F" w:rsidP="003C0416">
      <w:pPr>
        <w:ind w:left="284"/>
        <w:rPr>
          <w:sz w:val="24"/>
          <w:szCs w:val="24"/>
        </w:rPr>
      </w:pPr>
    </w:p>
    <w:p w:rsidR="00AF481F" w:rsidRPr="00505A99" w:rsidRDefault="00AF481F" w:rsidP="003C0416">
      <w:pPr>
        <w:ind w:left="284"/>
        <w:rPr>
          <w:sz w:val="24"/>
          <w:szCs w:val="24"/>
        </w:rPr>
      </w:pPr>
      <w:r w:rsidRPr="00505A99">
        <w:rPr>
          <w:sz w:val="24"/>
          <w:szCs w:val="24"/>
        </w:rPr>
        <w:t>- Support the design and delivery of a series of stakeholder workshops around the country as part of two public consultations</w:t>
      </w:r>
      <w:r w:rsidR="00AC054B" w:rsidRPr="00505A99">
        <w:rPr>
          <w:sz w:val="24"/>
          <w:szCs w:val="24"/>
        </w:rPr>
        <w:t>.</w:t>
      </w:r>
    </w:p>
    <w:p w:rsidR="00AF481F" w:rsidRPr="00505A99" w:rsidRDefault="00AF481F" w:rsidP="003C0416">
      <w:pPr>
        <w:ind w:left="284"/>
        <w:rPr>
          <w:sz w:val="24"/>
          <w:szCs w:val="24"/>
        </w:rPr>
      </w:pPr>
    </w:p>
    <w:p w:rsidR="00AF481F" w:rsidRPr="00505A99" w:rsidRDefault="00AF481F" w:rsidP="003C0416">
      <w:pPr>
        <w:ind w:left="284"/>
        <w:rPr>
          <w:sz w:val="24"/>
          <w:szCs w:val="24"/>
        </w:rPr>
      </w:pPr>
      <w:r w:rsidRPr="00505A99">
        <w:rPr>
          <w:sz w:val="24"/>
          <w:szCs w:val="24"/>
        </w:rPr>
        <w:t xml:space="preserve">- Facilitators to run up to </w:t>
      </w:r>
      <w:r w:rsidR="006620BF" w:rsidRPr="00505A99">
        <w:rPr>
          <w:sz w:val="24"/>
          <w:szCs w:val="24"/>
        </w:rPr>
        <w:t>six</w:t>
      </w:r>
      <w:r w:rsidRPr="00505A99">
        <w:rPr>
          <w:sz w:val="24"/>
          <w:szCs w:val="24"/>
        </w:rPr>
        <w:t xml:space="preserve"> stakeholder engagement </w:t>
      </w:r>
      <w:r w:rsidR="00861225" w:rsidRPr="00505A99">
        <w:rPr>
          <w:sz w:val="24"/>
          <w:szCs w:val="24"/>
        </w:rPr>
        <w:t>workshops around the country in May/June 2017.</w:t>
      </w:r>
    </w:p>
    <w:p w:rsidR="00AF481F" w:rsidRPr="00505A99" w:rsidRDefault="00AF481F" w:rsidP="003C0416">
      <w:pPr>
        <w:ind w:left="284"/>
        <w:rPr>
          <w:sz w:val="24"/>
          <w:szCs w:val="24"/>
        </w:rPr>
      </w:pPr>
    </w:p>
    <w:p w:rsidR="00AF481F" w:rsidRPr="00505A99" w:rsidRDefault="00AF481F" w:rsidP="003C0416">
      <w:pPr>
        <w:ind w:left="284"/>
        <w:rPr>
          <w:sz w:val="24"/>
          <w:szCs w:val="24"/>
        </w:rPr>
      </w:pPr>
      <w:r w:rsidRPr="00505A99">
        <w:rPr>
          <w:sz w:val="24"/>
          <w:szCs w:val="24"/>
        </w:rPr>
        <w:t>- The same supplier to work with BEIS to prepare the materials, agenda a</w:t>
      </w:r>
      <w:r w:rsidR="006620C9" w:rsidRPr="00505A99">
        <w:rPr>
          <w:sz w:val="24"/>
          <w:szCs w:val="24"/>
        </w:rPr>
        <w:t>nd stimulus for the workshops and source suitable venues.</w:t>
      </w:r>
    </w:p>
    <w:p w:rsidR="00AF481F" w:rsidRPr="00505A99" w:rsidRDefault="00AF481F" w:rsidP="003C0416">
      <w:pPr>
        <w:ind w:left="284"/>
        <w:rPr>
          <w:sz w:val="24"/>
          <w:szCs w:val="24"/>
        </w:rPr>
      </w:pPr>
    </w:p>
    <w:p w:rsidR="00AF481F" w:rsidRPr="00505A99" w:rsidRDefault="00AF481F" w:rsidP="003C0416">
      <w:pPr>
        <w:ind w:left="284"/>
        <w:rPr>
          <w:sz w:val="24"/>
          <w:szCs w:val="24"/>
        </w:rPr>
      </w:pPr>
      <w:r w:rsidRPr="00505A99">
        <w:rPr>
          <w:sz w:val="24"/>
          <w:szCs w:val="24"/>
        </w:rPr>
        <w:t xml:space="preserve">- Send invitations on behalf of BEIS for the stakeholder engagement workshops.  </w:t>
      </w:r>
    </w:p>
    <w:p w:rsidR="00AF481F" w:rsidRPr="00505A99" w:rsidRDefault="00AF481F" w:rsidP="003C0416">
      <w:pPr>
        <w:ind w:left="284"/>
        <w:rPr>
          <w:sz w:val="24"/>
          <w:szCs w:val="24"/>
        </w:rPr>
      </w:pPr>
    </w:p>
    <w:p w:rsidR="00AF481F" w:rsidRPr="00505A99" w:rsidRDefault="00AF481F" w:rsidP="003C0416">
      <w:pPr>
        <w:ind w:left="284"/>
        <w:rPr>
          <w:sz w:val="24"/>
          <w:szCs w:val="24"/>
        </w:rPr>
      </w:pPr>
      <w:r w:rsidRPr="00505A99">
        <w:rPr>
          <w:sz w:val="24"/>
          <w:szCs w:val="24"/>
        </w:rPr>
        <w:t xml:space="preserve">- Write-up the outputs from each workshop.  </w:t>
      </w:r>
    </w:p>
    <w:p w:rsidR="00D45FBD" w:rsidRPr="00505A99" w:rsidRDefault="00D45FBD" w:rsidP="00D45FBD">
      <w:pPr>
        <w:rPr>
          <w:rFonts w:ascii="Calibri" w:hAnsi="Calibri" w:cs="Calibri"/>
          <w:bCs/>
          <w:iCs/>
        </w:rPr>
      </w:pPr>
    </w:p>
    <w:p w:rsidR="00D45FBD" w:rsidRPr="00505A99" w:rsidRDefault="00D45FBD" w:rsidP="00D45FBD">
      <w:pPr>
        <w:ind w:left="284"/>
        <w:rPr>
          <w:rFonts w:cs="Arial"/>
          <w:sz w:val="24"/>
          <w:szCs w:val="24"/>
        </w:rPr>
      </w:pPr>
      <w:r w:rsidRPr="00505A99">
        <w:rPr>
          <w:rFonts w:cs="Arial"/>
          <w:sz w:val="24"/>
          <w:szCs w:val="24"/>
        </w:rPr>
        <w:t>Please note that the payment for selected venues will be paid for directly by BEIS, and will not be part of the budget set out in this tender.</w:t>
      </w:r>
    </w:p>
    <w:p w:rsidR="00A469D8" w:rsidRPr="00505A99" w:rsidRDefault="00A469D8" w:rsidP="00A469D8">
      <w:pPr>
        <w:ind w:left="360"/>
        <w:rPr>
          <w:rFonts w:ascii="Calibri" w:hAnsi="Calibri" w:cs="Calibri"/>
          <w:b/>
          <w:bCs/>
          <w:iCs/>
        </w:rPr>
      </w:pPr>
    </w:p>
    <w:p w:rsidR="00936F29" w:rsidRDefault="00F042F9" w:rsidP="00FF09CA">
      <w:pPr>
        <w:pStyle w:val="Heading1"/>
        <w:numPr>
          <w:ilvl w:val="0"/>
          <w:numId w:val="27"/>
        </w:numPr>
        <w:rPr>
          <w:rFonts w:ascii="Arial" w:hAnsi="Arial" w:cs="Arial"/>
          <w:sz w:val="24"/>
          <w:szCs w:val="24"/>
        </w:rPr>
      </w:pPr>
      <w:bookmarkStart w:id="36" w:name="_Toc381969511"/>
      <w:bookmarkStart w:id="37" w:name="_Toc405888460"/>
      <w:bookmarkStart w:id="38" w:name="_Ref373505205"/>
      <w:bookmarkStart w:id="39" w:name="_Ref357541720"/>
      <w:r w:rsidRPr="00505A99">
        <w:rPr>
          <w:rFonts w:ascii="Arial" w:hAnsi="Arial" w:cs="Arial"/>
          <w:sz w:val="24"/>
          <w:szCs w:val="24"/>
        </w:rPr>
        <w:t>O</w:t>
      </w:r>
      <w:r w:rsidR="006700D3" w:rsidRPr="00505A99">
        <w:rPr>
          <w:rFonts w:ascii="Arial" w:hAnsi="Arial" w:cs="Arial"/>
          <w:sz w:val="24"/>
          <w:szCs w:val="24"/>
        </w:rPr>
        <w:t>wnership and Publication</w:t>
      </w:r>
      <w:bookmarkEnd w:id="36"/>
      <w:bookmarkEnd w:id="37"/>
    </w:p>
    <w:p w:rsidR="008E41CB" w:rsidRPr="008E41CB" w:rsidRDefault="008E41CB" w:rsidP="008E41CB"/>
    <w:p w:rsidR="00346C80" w:rsidRPr="00505A99" w:rsidRDefault="00346C80" w:rsidP="00346C80">
      <w:pPr>
        <w:ind w:left="360"/>
        <w:jc w:val="both"/>
        <w:rPr>
          <w:rFonts w:cs="Arial"/>
          <w:sz w:val="24"/>
          <w:szCs w:val="24"/>
        </w:rPr>
      </w:pPr>
      <w:r w:rsidRPr="00505A99">
        <w:rPr>
          <w:rFonts w:cs="Arial"/>
          <w:sz w:val="24"/>
          <w:szCs w:val="24"/>
        </w:rPr>
        <w:t xml:space="preserve">BEIS is committed to openness and transparency. All outputs listed in section 5 should be accessible and suitable for further use, possibly by other Government Departments. All outputs will be assumed to be owned by BEIS. </w:t>
      </w:r>
    </w:p>
    <w:p w:rsidR="00936F29" w:rsidRPr="00505A99" w:rsidRDefault="00936F29" w:rsidP="00936F29"/>
    <w:p w:rsidR="006700D3" w:rsidRDefault="00936F29" w:rsidP="00FF09CA">
      <w:pPr>
        <w:pStyle w:val="Heading1"/>
        <w:numPr>
          <w:ilvl w:val="0"/>
          <w:numId w:val="27"/>
        </w:numPr>
        <w:rPr>
          <w:rFonts w:ascii="Arial" w:hAnsi="Arial" w:cs="Arial"/>
          <w:sz w:val="24"/>
          <w:szCs w:val="24"/>
        </w:rPr>
      </w:pPr>
      <w:r w:rsidRPr="00505A99">
        <w:rPr>
          <w:rFonts w:ascii="Arial" w:hAnsi="Arial" w:cs="Arial"/>
          <w:sz w:val="24"/>
          <w:szCs w:val="24"/>
        </w:rPr>
        <w:t>Quality Assurance</w:t>
      </w:r>
      <w:r w:rsidR="00AB7905" w:rsidRPr="00505A99">
        <w:rPr>
          <w:rFonts w:ascii="Arial" w:hAnsi="Arial" w:cs="Arial"/>
          <w:sz w:val="24"/>
          <w:szCs w:val="24"/>
        </w:rPr>
        <w:t xml:space="preserve"> </w:t>
      </w:r>
      <w:bookmarkEnd w:id="38"/>
    </w:p>
    <w:p w:rsidR="008E41CB" w:rsidRPr="008E41CB" w:rsidRDefault="008E41CB" w:rsidP="008E41CB"/>
    <w:p w:rsidR="003C0416" w:rsidRPr="00505A99" w:rsidRDefault="008D68F3" w:rsidP="00D45FBD">
      <w:pPr>
        <w:ind w:left="360"/>
        <w:jc w:val="both"/>
        <w:rPr>
          <w:rFonts w:cs="Arial"/>
          <w:sz w:val="24"/>
          <w:szCs w:val="24"/>
        </w:rPr>
      </w:pPr>
      <w:r w:rsidRPr="00505A99">
        <w:rPr>
          <w:rFonts w:cs="Arial"/>
          <w:sz w:val="24"/>
          <w:szCs w:val="24"/>
        </w:rPr>
        <w:t>Please demonstrate to the Department that you’re able to meet the quality standards and assurance for best practise in stakeholder engagement and events management.</w:t>
      </w:r>
    </w:p>
    <w:p w:rsidR="006700D3" w:rsidRPr="00505A99" w:rsidRDefault="006700D3" w:rsidP="003C0416">
      <w:pPr>
        <w:jc w:val="both"/>
        <w:rPr>
          <w:rFonts w:cs="Arial"/>
          <w:b/>
          <w:bCs/>
          <w:iCs/>
          <w:sz w:val="24"/>
          <w:szCs w:val="24"/>
        </w:rPr>
      </w:pPr>
    </w:p>
    <w:p w:rsidR="0038006D" w:rsidRDefault="0038006D" w:rsidP="00FF09CA">
      <w:pPr>
        <w:pStyle w:val="Heading1"/>
        <w:numPr>
          <w:ilvl w:val="0"/>
          <w:numId w:val="27"/>
        </w:numPr>
        <w:rPr>
          <w:rFonts w:ascii="Arial" w:hAnsi="Arial" w:cs="Arial"/>
          <w:sz w:val="24"/>
          <w:szCs w:val="24"/>
        </w:rPr>
      </w:pPr>
      <w:bookmarkStart w:id="40" w:name="_Ref373505215"/>
      <w:bookmarkStart w:id="41" w:name="_Toc381969513"/>
      <w:bookmarkStart w:id="42" w:name="_Toc405888462"/>
      <w:r w:rsidRPr="00505A99">
        <w:rPr>
          <w:rFonts w:ascii="Arial" w:hAnsi="Arial" w:cs="Arial"/>
          <w:sz w:val="24"/>
          <w:szCs w:val="24"/>
        </w:rPr>
        <w:t>Timetable</w:t>
      </w:r>
      <w:bookmarkEnd w:id="39"/>
      <w:bookmarkEnd w:id="40"/>
      <w:bookmarkEnd w:id="41"/>
      <w:bookmarkEnd w:id="42"/>
    </w:p>
    <w:p w:rsidR="008E41CB" w:rsidRPr="008E41CB" w:rsidRDefault="008E41CB" w:rsidP="008E41CB"/>
    <w:p w:rsidR="00346C80" w:rsidRPr="00505A99" w:rsidRDefault="00346C80" w:rsidP="00346C80">
      <w:pPr>
        <w:ind w:left="360"/>
        <w:jc w:val="both"/>
        <w:rPr>
          <w:rFonts w:cs="Arial"/>
          <w:sz w:val="24"/>
          <w:szCs w:val="24"/>
        </w:rPr>
      </w:pPr>
      <w:r w:rsidRPr="00505A99">
        <w:rPr>
          <w:rFonts w:cs="Arial"/>
          <w:sz w:val="24"/>
          <w:szCs w:val="24"/>
        </w:rPr>
        <w:t>An indicative timetable showing the key milestones is below. As part of the tender response, the supplier should provide a more detailed breakdown of timings, suggested dates and timescales for all aspects of the process.</w:t>
      </w:r>
    </w:p>
    <w:p w:rsidR="00346C80" w:rsidRPr="00505A99" w:rsidRDefault="00346C80" w:rsidP="00346C80"/>
    <w:p w:rsidR="00EA7806" w:rsidRPr="00505A99" w:rsidRDefault="00EA7806" w:rsidP="00446D95"/>
    <w:tbl>
      <w:tblPr>
        <w:tblStyle w:val="TableGrid"/>
        <w:tblW w:w="0" w:type="auto"/>
        <w:tblLook w:val="04A0" w:firstRow="1" w:lastRow="0" w:firstColumn="1" w:lastColumn="0" w:noHBand="0" w:noVBand="1"/>
      </w:tblPr>
      <w:tblGrid>
        <w:gridCol w:w="4621"/>
        <w:gridCol w:w="4621"/>
      </w:tblGrid>
      <w:tr w:rsidR="00EA7806" w:rsidRPr="00505A99" w:rsidTr="00EA7806">
        <w:tc>
          <w:tcPr>
            <w:tcW w:w="4621" w:type="dxa"/>
          </w:tcPr>
          <w:p w:rsidR="00EA7806" w:rsidRPr="00505A99" w:rsidRDefault="00EA7806" w:rsidP="00446D95">
            <w:r w:rsidRPr="00505A99">
              <w:t>Activity</w:t>
            </w:r>
          </w:p>
        </w:tc>
        <w:tc>
          <w:tcPr>
            <w:tcW w:w="4621" w:type="dxa"/>
          </w:tcPr>
          <w:p w:rsidR="00EA7806" w:rsidRPr="00505A99" w:rsidRDefault="00EA7806" w:rsidP="00446D95">
            <w:r w:rsidRPr="00505A99">
              <w:t>Date</w:t>
            </w:r>
          </w:p>
        </w:tc>
      </w:tr>
      <w:tr w:rsidR="00EA7806" w:rsidRPr="00505A99" w:rsidTr="00EA7806">
        <w:tc>
          <w:tcPr>
            <w:tcW w:w="4621" w:type="dxa"/>
          </w:tcPr>
          <w:p w:rsidR="00EA7806" w:rsidRPr="00505A99" w:rsidRDefault="00EA7806" w:rsidP="00EA7806">
            <w:r w:rsidRPr="00505A99">
              <w:rPr>
                <w:rFonts w:eastAsia="Calibri"/>
              </w:rPr>
              <w:t>Develop the engagement plan for two consultations</w:t>
            </w:r>
          </w:p>
        </w:tc>
        <w:tc>
          <w:tcPr>
            <w:tcW w:w="4621" w:type="dxa"/>
          </w:tcPr>
          <w:p w:rsidR="00EA7806" w:rsidRPr="00505A99" w:rsidRDefault="00254301" w:rsidP="00446D95">
            <w:r w:rsidRPr="00505A99">
              <w:t>March/April 2017</w:t>
            </w:r>
          </w:p>
        </w:tc>
      </w:tr>
      <w:tr w:rsidR="00EA7806" w:rsidRPr="00505A99" w:rsidTr="00EA7806">
        <w:tc>
          <w:tcPr>
            <w:tcW w:w="4621" w:type="dxa"/>
          </w:tcPr>
          <w:p w:rsidR="00EA7806" w:rsidRPr="00505A99" w:rsidRDefault="00EA7806" w:rsidP="00EA7806">
            <w:r w:rsidRPr="00505A99">
              <w:rPr>
                <w:rFonts w:eastAsia="Calibri"/>
              </w:rPr>
              <w:t>Develop workshop facilitation plans for both the stakeholder engagement events</w:t>
            </w:r>
          </w:p>
        </w:tc>
        <w:tc>
          <w:tcPr>
            <w:tcW w:w="4621" w:type="dxa"/>
          </w:tcPr>
          <w:p w:rsidR="00EA7806" w:rsidRPr="00505A99" w:rsidRDefault="00254301" w:rsidP="00EA7806">
            <w:pPr>
              <w:tabs>
                <w:tab w:val="left" w:pos="933"/>
              </w:tabs>
              <w:jc w:val="both"/>
            </w:pPr>
            <w:r w:rsidRPr="00505A99">
              <w:t>March/April 2017</w:t>
            </w:r>
          </w:p>
        </w:tc>
      </w:tr>
      <w:tr w:rsidR="00EA7806" w:rsidRPr="00505A99" w:rsidTr="00EA7806">
        <w:tc>
          <w:tcPr>
            <w:tcW w:w="4621" w:type="dxa"/>
          </w:tcPr>
          <w:p w:rsidR="00EA7806" w:rsidRPr="00505A99" w:rsidRDefault="00EA7806" w:rsidP="00446D95">
            <w:r w:rsidRPr="00505A99">
              <w:t xml:space="preserve">Source options for venue hire </w:t>
            </w:r>
          </w:p>
        </w:tc>
        <w:tc>
          <w:tcPr>
            <w:tcW w:w="4621" w:type="dxa"/>
          </w:tcPr>
          <w:p w:rsidR="00EA7806" w:rsidRPr="00505A99" w:rsidRDefault="00254301" w:rsidP="00EA7806">
            <w:pPr>
              <w:tabs>
                <w:tab w:val="left" w:pos="933"/>
              </w:tabs>
              <w:jc w:val="both"/>
            </w:pPr>
            <w:r w:rsidRPr="00505A99">
              <w:t>March 2017</w:t>
            </w:r>
          </w:p>
        </w:tc>
      </w:tr>
      <w:tr w:rsidR="00EA7806" w:rsidRPr="00505A99" w:rsidTr="00EA7806">
        <w:tc>
          <w:tcPr>
            <w:tcW w:w="4621" w:type="dxa"/>
          </w:tcPr>
          <w:p w:rsidR="00EA7806" w:rsidRPr="00505A99" w:rsidRDefault="00EA7806" w:rsidP="00EA7806">
            <w:r w:rsidRPr="00505A99">
              <w:rPr>
                <w:rFonts w:eastAsia="Calibri"/>
              </w:rPr>
              <w:t>Send invites to the stakeholder workshop attendees</w:t>
            </w:r>
          </w:p>
        </w:tc>
        <w:tc>
          <w:tcPr>
            <w:tcW w:w="4621" w:type="dxa"/>
          </w:tcPr>
          <w:p w:rsidR="00EA7806" w:rsidRPr="00505A99" w:rsidRDefault="00254301" w:rsidP="00446D95">
            <w:r w:rsidRPr="00505A99">
              <w:t>Late April / early May 2017</w:t>
            </w:r>
          </w:p>
        </w:tc>
      </w:tr>
      <w:tr w:rsidR="00EA7806" w:rsidRPr="00505A99" w:rsidTr="00EA7806">
        <w:tc>
          <w:tcPr>
            <w:tcW w:w="4621" w:type="dxa"/>
          </w:tcPr>
          <w:p w:rsidR="00EA7806" w:rsidRPr="00505A99" w:rsidRDefault="00EA7806" w:rsidP="00EA7806">
            <w:r w:rsidRPr="00505A99">
              <w:rPr>
                <w:rFonts w:eastAsia="Calibri"/>
              </w:rPr>
              <w:t xml:space="preserve">Facilitate and take notes for the stakeholder </w:t>
            </w:r>
            <w:r w:rsidRPr="00505A99">
              <w:rPr>
                <w:rFonts w:eastAsia="Calibri"/>
              </w:rPr>
              <w:lastRenderedPageBreak/>
              <w:t xml:space="preserve">engagement workshops </w:t>
            </w:r>
          </w:p>
        </w:tc>
        <w:tc>
          <w:tcPr>
            <w:tcW w:w="4621" w:type="dxa"/>
          </w:tcPr>
          <w:p w:rsidR="00EA7806" w:rsidRPr="00505A99" w:rsidRDefault="00861225" w:rsidP="00861225">
            <w:r w:rsidRPr="00505A99">
              <w:lastRenderedPageBreak/>
              <w:t>May/June 2017</w:t>
            </w:r>
          </w:p>
        </w:tc>
      </w:tr>
      <w:tr w:rsidR="00EA7806" w:rsidRPr="00505A99" w:rsidTr="00EA7806">
        <w:tc>
          <w:tcPr>
            <w:tcW w:w="4621" w:type="dxa"/>
          </w:tcPr>
          <w:p w:rsidR="00EA7806" w:rsidRPr="00505A99" w:rsidRDefault="00EA7806" w:rsidP="00EA7806">
            <w:r w:rsidRPr="00505A99">
              <w:rPr>
                <w:rFonts w:eastAsia="Calibri"/>
              </w:rPr>
              <w:lastRenderedPageBreak/>
              <w:t>Compile a report of each workshop which captures the discussions held during the workshops</w:t>
            </w:r>
          </w:p>
        </w:tc>
        <w:tc>
          <w:tcPr>
            <w:tcW w:w="4621" w:type="dxa"/>
          </w:tcPr>
          <w:p w:rsidR="00EA7806" w:rsidRPr="00505A99" w:rsidRDefault="00861225" w:rsidP="00446D95">
            <w:r w:rsidRPr="00505A99">
              <w:t>July 2017</w:t>
            </w:r>
          </w:p>
        </w:tc>
      </w:tr>
    </w:tbl>
    <w:p w:rsidR="00EA7806" w:rsidRPr="00505A99" w:rsidRDefault="00EA7806" w:rsidP="00446D95"/>
    <w:p w:rsidR="002F59AC" w:rsidRDefault="004C7039" w:rsidP="00FF09CA">
      <w:pPr>
        <w:pStyle w:val="Heading1"/>
        <w:numPr>
          <w:ilvl w:val="0"/>
          <w:numId w:val="27"/>
        </w:numPr>
        <w:rPr>
          <w:rFonts w:ascii="Arial" w:hAnsi="Arial" w:cs="Arial"/>
          <w:sz w:val="24"/>
          <w:szCs w:val="24"/>
        </w:rPr>
      </w:pPr>
      <w:bookmarkStart w:id="43" w:name="_Ref357541731"/>
      <w:bookmarkStart w:id="44" w:name="_Toc381969514"/>
      <w:bookmarkStart w:id="45" w:name="_Toc405888463"/>
      <w:r w:rsidRPr="00505A99">
        <w:rPr>
          <w:rFonts w:ascii="Arial" w:hAnsi="Arial" w:cs="Arial"/>
          <w:sz w:val="24"/>
          <w:szCs w:val="24"/>
        </w:rPr>
        <w:t>C</w:t>
      </w:r>
      <w:r w:rsidR="002F59AC" w:rsidRPr="00505A99">
        <w:rPr>
          <w:rFonts w:ascii="Arial" w:hAnsi="Arial" w:cs="Arial"/>
          <w:sz w:val="24"/>
          <w:szCs w:val="24"/>
        </w:rPr>
        <w:t>hallenges</w:t>
      </w:r>
      <w:bookmarkEnd w:id="43"/>
      <w:bookmarkEnd w:id="44"/>
      <w:bookmarkEnd w:id="45"/>
    </w:p>
    <w:p w:rsidR="008E41CB" w:rsidRPr="008E41CB" w:rsidRDefault="008E41CB" w:rsidP="008E41CB"/>
    <w:p w:rsidR="00585DA5" w:rsidRPr="00505A99" w:rsidRDefault="001A5B91" w:rsidP="00220BBB">
      <w:pPr>
        <w:ind w:left="284"/>
        <w:rPr>
          <w:sz w:val="24"/>
        </w:rPr>
      </w:pPr>
      <w:r w:rsidRPr="00505A99">
        <w:rPr>
          <w:sz w:val="24"/>
        </w:rPr>
        <w:t xml:space="preserve">The main challenge will be around timing. The stakeholder events will need to be coordinated with the launch of the consultations, </w:t>
      </w:r>
      <w:r w:rsidR="006620C9" w:rsidRPr="00505A99">
        <w:rPr>
          <w:sz w:val="24"/>
        </w:rPr>
        <w:t xml:space="preserve">which is dependent on </w:t>
      </w:r>
      <w:r w:rsidR="00254301" w:rsidRPr="00505A99">
        <w:rPr>
          <w:sz w:val="24"/>
        </w:rPr>
        <w:t>other Government business.</w:t>
      </w:r>
    </w:p>
    <w:p w:rsidR="00D75586" w:rsidRDefault="00D75586" w:rsidP="002D32D5">
      <w:pPr>
        <w:pStyle w:val="ListParagraph"/>
        <w:spacing w:after="0" w:line="240" w:lineRule="auto"/>
        <w:ind w:left="0"/>
        <w:contextualSpacing w:val="0"/>
        <w:jc w:val="both"/>
        <w:rPr>
          <w:rFonts w:ascii="Arial" w:hAnsi="Arial" w:cs="Arial"/>
          <w:sz w:val="24"/>
          <w:szCs w:val="24"/>
        </w:rPr>
      </w:pPr>
      <w:bookmarkStart w:id="46" w:name="_Toc271272913"/>
    </w:p>
    <w:p w:rsidR="00E070AD" w:rsidRDefault="00E070AD" w:rsidP="00FF09CA">
      <w:pPr>
        <w:pStyle w:val="Heading1"/>
        <w:numPr>
          <w:ilvl w:val="0"/>
          <w:numId w:val="27"/>
        </w:numPr>
        <w:rPr>
          <w:rFonts w:ascii="Arial" w:hAnsi="Arial" w:cs="Arial"/>
          <w:sz w:val="24"/>
          <w:szCs w:val="24"/>
        </w:rPr>
      </w:pPr>
      <w:bookmarkStart w:id="47" w:name="_Ref338852517"/>
      <w:bookmarkStart w:id="48" w:name="_Toc381969516"/>
      <w:bookmarkStart w:id="49" w:name="_Toc405888465"/>
      <w:bookmarkEnd w:id="46"/>
      <w:r w:rsidRPr="002D32D5">
        <w:rPr>
          <w:rFonts w:ascii="Arial" w:hAnsi="Arial" w:cs="Arial"/>
          <w:sz w:val="24"/>
          <w:szCs w:val="24"/>
        </w:rPr>
        <w:t>Working Arrangements</w:t>
      </w:r>
      <w:bookmarkEnd w:id="47"/>
      <w:bookmarkEnd w:id="48"/>
      <w:bookmarkEnd w:id="49"/>
    </w:p>
    <w:p w:rsidR="008E41CB" w:rsidRPr="008E41CB" w:rsidRDefault="008E41CB" w:rsidP="008E41CB"/>
    <w:p w:rsidR="00AA62E8" w:rsidRPr="00346C80" w:rsidRDefault="00AA62E8" w:rsidP="00346C80">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3C1CE8" w:rsidRDefault="007A7010" w:rsidP="00FF09CA">
      <w:pPr>
        <w:pStyle w:val="Heading1"/>
        <w:numPr>
          <w:ilvl w:val="0"/>
          <w:numId w:val="27"/>
        </w:numPr>
        <w:rPr>
          <w:rFonts w:ascii="Arial" w:hAnsi="Arial" w:cs="Arial"/>
          <w:sz w:val="24"/>
          <w:szCs w:val="24"/>
        </w:rPr>
      </w:pPr>
      <w:r>
        <w:rPr>
          <w:rFonts w:ascii="Arial" w:hAnsi="Arial" w:cs="Arial"/>
          <w:sz w:val="24"/>
          <w:szCs w:val="24"/>
        </w:rPr>
        <w:t>Skills and experience</w:t>
      </w:r>
    </w:p>
    <w:p w:rsidR="008E41CB" w:rsidRPr="008E41CB" w:rsidRDefault="008E41CB" w:rsidP="008E41CB"/>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6620C9">
        <w:rPr>
          <w:rFonts w:ascii="Arial" w:hAnsi="Arial" w:cs="Arial"/>
        </w:rPr>
        <w:t>, particularly in stakeholder engagement expertise and techniques</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rsidR="00986070" w:rsidRDefault="00986070" w:rsidP="00D64BB0">
      <w:pPr>
        <w:jc w:val="both"/>
        <w:rPr>
          <w:rFonts w:ascii="Calibri" w:hAnsi="Calibri" w:cs="Calibri"/>
        </w:rPr>
      </w:pPr>
    </w:p>
    <w:p w:rsidR="003043AD" w:rsidRDefault="00D64BB0" w:rsidP="00FF09CA">
      <w:pPr>
        <w:pStyle w:val="Heading1"/>
        <w:numPr>
          <w:ilvl w:val="0"/>
          <w:numId w:val="27"/>
        </w:numPr>
        <w:rPr>
          <w:rFonts w:ascii="Arial" w:hAnsi="Arial" w:cs="Arial"/>
          <w:sz w:val="24"/>
          <w:szCs w:val="24"/>
        </w:rPr>
      </w:pPr>
      <w:bookmarkStart w:id="51" w:name="_Ref373505239"/>
      <w:bookmarkStart w:id="52" w:name="_Toc381969518"/>
      <w:bookmarkStart w:id="53" w:name="_Toc405888467"/>
      <w:r w:rsidRPr="002D32D5">
        <w:rPr>
          <w:rFonts w:ascii="Arial" w:hAnsi="Arial" w:cs="Arial"/>
          <w:sz w:val="24"/>
          <w:szCs w:val="24"/>
        </w:rPr>
        <w:t>C</w:t>
      </w:r>
      <w:r w:rsidR="00A64B82" w:rsidRPr="002D32D5">
        <w:rPr>
          <w:rFonts w:ascii="Arial" w:hAnsi="Arial" w:cs="Arial"/>
          <w:sz w:val="24"/>
          <w:szCs w:val="24"/>
        </w:rPr>
        <w:t>onsortium Bids</w:t>
      </w:r>
      <w:bookmarkEnd w:id="51"/>
      <w:bookmarkEnd w:id="52"/>
      <w:bookmarkEnd w:id="53"/>
    </w:p>
    <w:p w:rsidR="008E41CB" w:rsidRPr="008E41CB" w:rsidRDefault="008E41CB" w:rsidP="008E41CB"/>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w:t>
      </w:r>
      <w:r w:rsidRPr="00E4650D">
        <w:rPr>
          <w:rFonts w:ascii="Arial" w:hAnsi="Arial" w:cs="Arial"/>
          <w:sz w:val="24"/>
          <w:szCs w:val="24"/>
        </w:rPr>
        <w:lastRenderedPageBreak/>
        <w:t xml:space="preserve">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Default="00F0291F" w:rsidP="00FF09CA">
      <w:pPr>
        <w:pStyle w:val="Heading1"/>
        <w:numPr>
          <w:ilvl w:val="0"/>
          <w:numId w:val="27"/>
        </w:numPr>
        <w:rPr>
          <w:rFonts w:ascii="Arial" w:hAnsi="Arial" w:cs="Arial"/>
          <w:sz w:val="24"/>
          <w:szCs w:val="24"/>
        </w:rPr>
      </w:pPr>
      <w:bookmarkStart w:id="54" w:name="_Ref357541811"/>
      <w:bookmarkStart w:id="55" w:name="_Toc381969519"/>
      <w:bookmarkStart w:id="56" w:name="_Toc405888468"/>
      <w:bookmarkStart w:id="57" w:name="_Toc246831559"/>
      <w:bookmarkStart w:id="58" w:name="_Toc271272917"/>
      <w:bookmarkStart w:id="59" w:name="_Ref338852577"/>
      <w:bookmarkEnd w:id="50"/>
      <w:r w:rsidRPr="00505A99">
        <w:rPr>
          <w:rFonts w:ascii="Arial" w:hAnsi="Arial" w:cs="Arial"/>
          <w:sz w:val="24"/>
          <w:szCs w:val="24"/>
        </w:rPr>
        <w:t>Budget</w:t>
      </w:r>
      <w:bookmarkEnd w:id="54"/>
      <w:bookmarkEnd w:id="55"/>
      <w:bookmarkEnd w:id="56"/>
      <w:r w:rsidRPr="00505A99">
        <w:rPr>
          <w:rFonts w:ascii="Arial" w:hAnsi="Arial" w:cs="Arial"/>
          <w:sz w:val="24"/>
          <w:szCs w:val="24"/>
        </w:rPr>
        <w:t xml:space="preserve"> </w:t>
      </w:r>
    </w:p>
    <w:p w:rsidR="008E41CB" w:rsidRPr="008E41CB" w:rsidRDefault="008E41CB" w:rsidP="008E41CB"/>
    <w:p w:rsidR="003C1CE8" w:rsidRPr="00505A99" w:rsidRDefault="003C1CE8" w:rsidP="00A97E92">
      <w:pPr>
        <w:pStyle w:val="Paragraph"/>
        <w:rPr>
          <w:color w:val="auto"/>
        </w:rPr>
      </w:pPr>
      <w:r w:rsidRPr="00505A99">
        <w:rPr>
          <w:color w:val="auto"/>
        </w:rPr>
        <w:t xml:space="preserve">The </w:t>
      </w:r>
      <w:r w:rsidR="00CD256C" w:rsidRPr="00505A99">
        <w:rPr>
          <w:color w:val="auto"/>
        </w:rPr>
        <w:t xml:space="preserve">maximum </w:t>
      </w:r>
      <w:r w:rsidRPr="00505A99">
        <w:rPr>
          <w:color w:val="auto"/>
        </w:rPr>
        <w:t xml:space="preserve">budget for this project is </w:t>
      </w:r>
      <w:r w:rsidR="004A2B75" w:rsidRPr="00505A99">
        <w:rPr>
          <w:color w:val="auto"/>
        </w:rPr>
        <w:t>£</w:t>
      </w:r>
      <w:r w:rsidR="00A97E92" w:rsidRPr="00505A99">
        <w:rPr>
          <w:color w:val="auto"/>
        </w:rPr>
        <w:t>99,000</w:t>
      </w:r>
      <w:r w:rsidR="00685B87" w:rsidRPr="00505A99">
        <w:rPr>
          <w:color w:val="auto"/>
        </w:rPr>
        <w:t xml:space="preserve"> excluding VAT</w:t>
      </w:r>
      <w:r w:rsidR="00CD256C" w:rsidRPr="00505A99">
        <w:rPr>
          <w:color w:val="auto"/>
        </w:rPr>
        <w:t>.</w:t>
      </w:r>
    </w:p>
    <w:p w:rsidR="00B00EA2" w:rsidRPr="00505A99" w:rsidRDefault="00B00EA2" w:rsidP="00E4650D">
      <w:pPr>
        <w:pStyle w:val="ListParagraph"/>
        <w:spacing w:line="240" w:lineRule="auto"/>
        <w:ind w:left="0"/>
        <w:jc w:val="both"/>
        <w:rPr>
          <w:rFonts w:ascii="Arial" w:hAnsi="Arial" w:cs="Arial"/>
          <w:sz w:val="24"/>
          <w:szCs w:val="24"/>
        </w:rPr>
      </w:pPr>
    </w:p>
    <w:p w:rsidR="0089058C" w:rsidRPr="00505A99" w:rsidRDefault="003C1CE8" w:rsidP="00E72DB1">
      <w:pPr>
        <w:pStyle w:val="ListParagraph"/>
        <w:spacing w:line="240" w:lineRule="auto"/>
        <w:ind w:left="360"/>
        <w:jc w:val="both"/>
        <w:rPr>
          <w:rFonts w:ascii="Arial" w:hAnsi="Arial" w:cs="Arial"/>
          <w:sz w:val="24"/>
          <w:szCs w:val="24"/>
        </w:rPr>
      </w:pPr>
      <w:r w:rsidRPr="00505A99">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7"/>
      <w:bookmarkEnd w:id="58"/>
      <w:bookmarkEnd w:id="59"/>
    </w:p>
    <w:p w:rsidR="00272E19" w:rsidRPr="00505A99" w:rsidRDefault="00272E19" w:rsidP="00E4650D">
      <w:pPr>
        <w:pStyle w:val="ListParagraph"/>
        <w:spacing w:line="240" w:lineRule="auto"/>
        <w:ind w:left="0"/>
        <w:jc w:val="both"/>
        <w:rPr>
          <w:rFonts w:ascii="Arial" w:hAnsi="Arial" w:cs="Arial"/>
          <w:sz w:val="24"/>
          <w:szCs w:val="24"/>
        </w:rPr>
      </w:pPr>
    </w:p>
    <w:p w:rsidR="00220792" w:rsidRPr="00505A99" w:rsidRDefault="00220792" w:rsidP="00E72DB1">
      <w:pPr>
        <w:pStyle w:val="ListParagraph"/>
        <w:spacing w:line="240" w:lineRule="auto"/>
        <w:ind w:left="360"/>
        <w:jc w:val="both"/>
        <w:rPr>
          <w:rFonts w:ascii="Arial" w:hAnsi="Arial" w:cs="Arial"/>
          <w:sz w:val="24"/>
          <w:szCs w:val="24"/>
        </w:rPr>
      </w:pPr>
      <w:r w:rsidRPr="00505A99">
        <w:rPr>
          <w:rFonts w:ascii="Arial" w:hAnsi="Arial" w:cs="Arial"/>
          <w:sz w:val="24"/>
          <w:szCs w:val="24"/>
        </w:rPr>
        <w:t>Cost will be a criterion against which bids which will be assessed.</w:t>
      </w:r>
    </w:p>
    <w:p w:rsidR="00220792" w:rsidRPr="00505A99" w:rsidRDefault="00220792" w:rsidP="00E4650D">
      <w:pPr>
        <w:pStyle w:val="ListParagraph"/>
        <w:spacing w:line="240" w:lineRule="auto"/>
        <w:ind w:left="0"/>
        <w:jc w:val="both"/>
        <w:rPr>
          <w:rFonts w:ascii="Arial" w:hAnsi="Arial" w:cs="Arial"/>
          <w:sz w:val="24"/>
          <w:szCs w:val="24"/>
        </w:rPr>
      </w:pPr>
    </w:p>
    <w:p w:rsidR="00272E19" w:rsidRPr="00505A99" w:rsidRDefault="00272E19" w:rsidP="00E72DB1">
      <w:pPr>
        <w:pStyle w:val="ListParagraph"/>
        <w:spacing w:after="0" w:line="240" w:lineRule="auto"/>
        <w:ind w:left="360"/>
        <w:jc w:val="both"/>
        <w:rPr>
          <w:rFonts w:ascii="Arial" w:hAnsi="Arial" w:cs="Arial"/>
          <w:sz w:val="24"/>
          <w:szCs w:val="24"/>
        </w:rPr>
      </w:pPr>
      <w:r w:rsidRPr="00505A99">
        <w:rPr>
          <w:rFonts w:ascii="Arial" w:hAnsi="Arial" w:cs="Arial"/>
          <w:sz w:val="24"/>
          <w:szCs w:val="24"/>
        </w:rPr>
        <w:t>Payments will be linked to delivery of key milestones. The indicative milestones and phasing of payments is as follows</w:t>
      </w:r>
      <w:r w:rsidR="00D45FBD" w:rsidRPr="00505A99">
        <w:rPr>
          <w:rFonts w:ascii="Arial" w:hAnsi="Arial" w:cs="Arial"/>
          <w:sz w:val="24"/>
          <w:szCs w:val="24"/>
        </w:rPr>
        <w:t xml:space="preserve">: </w:t>
      </w:r>
      <w:r w:rsidR="006D7AA1" w:rsidRPr="00505A99">
        <w:rPr>
          <w:rFonts w:ascii="Arial" w:hAnsi="Arial" w:cs="Arial"/>
          <w:sz w:val="24"/>
          <w:szCs w:val="24"/>
        </w:rPr>
        <w:t xml:space="preserve">25% at </w:t>
      </w:r>
      <w:r w:rsidR="00D45FBD" w:rsidRPr="00505A99">
        <w:rPr>
          <w:rFonts w:ascii="Arial" w:hAnsi="Arial" w:cs="Arial"/>
          <w:sz w:val="24"/>
          <w:szCs w:val="24"/>
        </w:rPr>
        <w:t xml:space="preserve">completion of the </w:t>
      </w:r>
      <w:r w:rsidR="006D7AA1" w:rsidRPr="00505A99">
        <w:rPr>
          <w:rFonts w:ascii="Arial" w:hAnsi="Arial" w:cs="Arial"/>
          <w:sz w:val="24"/>
          <w:szCs w:val="24"/>
        </w:rPr>
        <w:t xml:space="preserve">planning phase, 25% </w:t>
      </w:r>
      <w:r w:rsidR="00EA2CCD" w:rsidRPr="00505A99">
        <w:rPr>
          <w:rFonts w:ascii="Arial" w:hAnsi="Arial" w:cs="Arial"/>
          <w:sz w:val="24"/>
          <w:szCs w:val="24"/>
        </w:rPr>
        <w:t>upon</w:t>
      </w:r>
      <w:r w:rsidR="008D68F3" w:rsidRPr="00505A99">
        <w:rPr>
          <w:rFonts w:ascii="Arial" w:hAnsi="Arial" w:cs="Arial"/>
          <w:sz w:val="24"/>
          <w:szCs w:val="24"/>
        </w:rPr>
        <w:t xml:space="preserve"> delivery of </w:t>
      </w:r>
      <w:r w:rsidR="00D45FBD" w:rsidRPr="00505A99">
        <w:rPr>
          <w:rFonts w:ascii="Arial" w:hAnsi="Arial" w:cs="Arial"/>
          <w:sz w:val="24"/>
          <w:szCs w:val="24"/>
        </w:rPr>
        <w:t xml:space="preserve">the </w:t>
      </w:r>
      <w:r w:rsidR="008D68F3" w:rsidRPr="00505A99">
        <w:rPr>
          <w:rFonts w:ascii="Arial" w:hAnsi="Arial" w:cs="Arial"/>
          <w:sz w:val="24"/>
          <w:szCs w:val="24"/>
        </w:rPr>
        <w:t>events phase</w:t>
      </w:r>
      <w:r w:rsidR="00D45FBD" w:rsidRPr="00505A99">
        <w:rPr>
          <w:rFonts w:ascii="Arial" w:hAnsi="Arial" w:cs="Arial"/>
          <w:sz w:val="24"/>
          <w:szCs w:val="24"/>
        </w:rPr>
        <w:t>, 50% following the</w:t>
      </w:r>
      <w:r w:rsidR="006D7AA1" w:rsidRPr="00505A99">
        <w:rPr>
          <w:rFonts w:ascii="Arial" w:hAnsi="Arial" w:cs="Arial"/>
          <w:sz w:val="24"/>
          <w:szCs w:val="24"/>
        </w:rPr>
        <w:t xml:space="preserve"> </w:t>
      </w:r>
      <w:r w:rsidR="00EA2CCD" w:rsidRPr="00505A99">
        <w:rPr>
          <w:rFonts w:ascii="Arial" w:hAnsi="Arial" w:cs="Arial"/>
          <w:sz w:val="24"/>
          <w:szCs w:val="24"/>
        </w:rPr>
        <w:t>report</w:t>
      </w:r>
      <w:r w:rsidR="006D7AA1" w:rsidRPr="00505A99">
        <w:rPr>
          <w:rFonts w:ascii="Arial" w:hAnsi="Arial" w:cs="Arial"/>
          <w:sz w:val="24"/>
          <w:szCs w:val="24"/>
        </w:rPr>
        <w:t xml:space="preserve"> </w:t>
      </w:r>
      <w:r w:rsidR="00D45FBD" w:rsidRPr="00505A99">
        <w:rPr>
          <w:rFonts w:ascii="Arial" w:hAnsi="Arial" w:cs="Arial"/>
          <w:sz w:val="24"/>
          <w:szCs w:val="24"/>
        </w:rPr>
        <w:t>and conclusion of the work</w:t>
      </w:r>
      <w:r w:rsidR="006D7AA1" w:rsidRPr="00505A99">
        <w:rPr>
          <w:rFonts w:ascii="Arial" w:hAnsi="Arial" w:cs="Arial"/>
          <w:sz w:val="24"/>
          <w:szCs w:val="24"/>
        </w:rPr>
        <w:t xml:space="preserve">. </w:t>
      </w:r>
      <w:r w:rsidR="00DC39C6" w:rsidRPr="00505A99">
        <w:rPr>
          <w:rFonts w:ascii="Arial" w:hAnsi="Arial" w:cs="Arial"/>
          <w:sz w:val="24"/>
          <w:szCs w:val="24"/>
        </w:rPr>
        <w:t xml:space="preserve">This can be adjusted and agreed with the contractor based on the tender response/details. </w:t>
      </w:r>
      <w:r w:rsidR="00E41E71" w:rsidRPr="00505A99">
        <w:rPr>
          <w:rFonts w:ascii="Arial" w:hAnsi="Arial" w:cs="Arial"/>
          <w:sz w:val="24"/>
          <w:szCs w:val="24"/>
        </w:rPr>
        <w:t>P</w:t>
      </w:r>
      <w:r w:rsidR="00DC39C6" w:rsidRPr="00505A99">
        <w:rPr>
          <w:rFonts w:ascii="Arial" w:hAnsi="Arial" w:cs="Arial"/>
          <w:sz w:val="24"/>
          <w:szCs w:val="24"/>
        </w:rPr>
        <w:t>lease advise in your tender response how this breakdown reflects your usual payment processes</w:t>
      </w:r>
      <w:r w:rsidR="00D45FBD" w:rsidRPr="00505A99">
        <w:rPr>
          <w:rFonts w:ascii="Arial" w:hAnsi="Arial" w:cs="Arial"/>
          <w:sz w:val="24"/>
          <w:szCs w:val="24"/>
        </w:rPr>
        <w:t>.</w:t>
      </w:r>
    </w:p>
    <w:p w:rsidR="00DC39C6" w:rsidRPr="00505A99" w:rsidRDefault="00DC39C6" w:rsidP="00DC39C6">
      <w:pPr>
        <w:pStyle w:val="ListParagraph"/>
        <w:spacing w:after="0" w:line="240" w:lineRule="auto"/>
        <w:ind w:left="0"/>
        <w:jc w:val="both"/>
        <w:rPr>
          <w:rFonts w:ascii="Arial" w:hAnsi="Arial" w:cs="Arial"/>
          <w:sz w:val="24"/>
          <w:szCs w:val="24"/>
        </w:rPr>
      </w:pPr>
    </w:p>
    <w:p w:rsidR="008261E0" w:rsidRPr="00505A99" w:rsidRDefault="003C06AA" w:rsidP="00E72DB1">
      <w:pPr>
        <w:ind w:left="360"/>
        <w:jc w:val="both"/>
        <w:rPr>
          <w:rFonts w:eastAsia="MS Mincho" w:cs="Arial"/>
          <w:sz w:val="24"/>
          <w:szCs w:val="24"/>
          <w:lang w:eastAsia="en-US"/>
        </w:rPr>
      </w:pPr>
      <w:r w:rsidRPr="00505A99">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505A99"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505A99">
        <w:rPr>
          <w:rFonts w:eastAsia="MS Mincho" w:cs="Arial"/>
          <w:sz w:val="24"/>
          <w:szCs w:val="24"/>
          <w:lang w:eastAsia="en-US"/>
        </w:rPr>
        <w:t xml:space="preserve">The Department aims to pay all correctly submitted invoices as soon as possible </w:t>
      </w:r>
      <w:r w:rsidRPr="00E4650D">
        <w:rPr>
          <w:rFonts w:eastAsia="MS Mincho" w:cs="Arial"/>
          <w:sz w:val="24"/>
          <w:szCs w:val="24"/>
          <w:lang w:eastAsia="en-US"/>
        </w:rPr>
        <w:t>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FF09CA">
      <w:pPr>
        <w:pStyle w:val="Heading1"/>
        <w:numPr>
          <w:ilvl w:val="0"/>
          <w:numId w:val="27"/>
        </w:numPr>
        <w:rPr>
          <w:rFonts w:ascii="Arial" w:hAnsi="Arial" w:cs="Arial"/>
          <w:sz w:val="24"/>
          <w:szCs w:val="24"/>
        </w:rPr>
      </w:pPr>
      <w:bookmarkStart w:id="60" w:name="_Ref357541836"/>
      <w:bookmarkStart w:id="61" w:name="_Toc381969520"/>
      <w:bookmarkStart w:id="62" w:name="_Toc405888469"/>
      <w:r w:rsidRPr="002D32D5">
        <w:rPr>
          <w:rFonts w:ascii="Arial" w:hAnsi="Arial" w:cs="Arial"/>
          <w:sz w:val="24"/>
          <w:szCs w:val="24"/>
        </w:rPr>
        <w:t>Evaluation of Tenders</w:t>
      </w:r>
      <w:bookmarkEnd w:id="60"/>
      <w:bookmarkEnd w:id="61"/>
      <w:bookmarkEnd w:id="62"/>
    </w:p>
    <w:p w:rsidR="005C788B" w:rsidRPr="00505A99"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6D7AA1" w:rsidRPr="00505A99">
        <w:rPr>
          <w:rFonts w:cs="Arial"/>
          <w:sz w:val="24"/>
          <w:szCs w:val="24"/>
        </w:rPr>
        <w:t xml:space="preserve">10 </w:t>
      </w:r>
      <w:r w:rsidRPr="00505A99">
        <w:rPr>
          <w:rFonts w:cs="Arial"/>
          <w:sz w:val="24"/>
          <w:szCs w:val="24"/>
        </w:rPr>
        <w:t>pages</w:t>
      </w:r>
      <w:r w:rsidR="008036AA" w:rsidRPr="00505A99">
        <w:rPr>
          <w:rFonts w:cs="Arial"/>
          <w:sz w:val="24"/>
          <w:szCs w:val="24"/>
        </w:rPr>
        <w:t>, excluding declarations</w:t>
      </w:r>
      <w:r w:rsidRPr="00505A99">
        <w:rPr>
          <w:rFonts w:cs="Arial"/>
          <w:sz w:val="24"/>
          <w:szCs w:val="24"/>
        </w:rPr>
        <w:t>.</w:t>
      </w:r>
      <w:r w:rsidR="00E4650D" w:rsidRPr="00505A99">
        <w:rPr>
          <w:rFonts w:cs="Arial"/>
          <w:sz w:val="24"/>
          <w:szCs w:val="24"/>
        </w:rPr>
        <w:t xml:space="preserve"> </w:t>
      </w:r>
      <w:r w:rsidR="003C54D5" w:rsidRPr="00505A99">
        <w:rPr>
          <w:rFonts w:cs="Arial"/>
          <w:sz w:val="24"/>
          <w:szCs w:val="24"/>
        </w:rPr>
        <w:t xml:space="preserve">Tenders will be evaluated by at least three </w:t>
      </w:r>
      <w:r w:rsidR="0009249F" w:rsidRPr="00505A99">
        <w:rPr>
          <w:rFonts w:cs="Arial"/>
          <w:sz w:val="24"/>
          <w:szCs w:val="24"/>
        </w:rPr>
        <w:t>BEIS</w:t>
      </w:r>
      <w:r w:rsidR="003C54D5" w:rsidRPr="00505A99">
        <w:rPr>
          <w:rFonts w:cs="Arial"/>
          <w:sz w:val="24"/>
          <w:szCs w:val="24"/>
        </w:rPr>
        <w:t xml:space="preserve"> staff</w:t>
      </w:r>
      <w:r w:rsidR="005C788B" w:rsidRPr="00505A99">
        <w:rPr>
          <w:rFonts w:cs="Arial"/>
          <w:sz w:val="24"/>
          <w:szCs w:val="24"/>
        </w:rPr>
        <w:t>.</w:t>
      </w:r>
    </w:p>
    <w:p w:rsidR="00E4650D" w:rsidRPr="00505A99" w:rsidRDefault="00E4650D" w:rsidP="00E4650D">
      <w:pPr>
        <w:jc w:val="both"/>
        <w:rPr>
          <w:rFonts w:cs="Arial"/>
          <w:sz w:val="24"/>
          <w:szCs w:val="24"/>
        </w:rPr>
      </w:pPr>
    </w:p>
    <w:p w:rsidR="003C54D5" w:rsidRPr="00505A99" w:rsidRDefault="00977290" w:rsidP="00E72DB1">
      <w:pPr>
        <w:pStyle w:val="NoSpacing"/>
        <w:ind w:left="360"/>
        <w:rPr>
          <w:rFonts w:ascii="Arial" w:hAnsi="Arial" w:cs="Arial"/>
          <w:sz w:val="24"/>
          <w:szCs w:val="24"/>
        </w:rPr>
      </w:pPr>
      <w:r w:rsidRPr="00505A99">
        <w:rPr>
          <w:rFonts w:ascii="Arial" w:hAnsi="Arial" w:cs="Arial"/>
          <w:sz w:val="24"/>
          <w:szCs w:val="24"/>
        </w:rPr>
        <w:t>BEIS</w:t>
      </w:r>
      <w:r w:rsidR="003C54D5" w:rsidRPr="00505A99">
        <w:rPr>
          <w:rFonts w:ascii="Arial" w:hAnsi="Arial" w:cs="Arial"/>
          <w:sz w:val="24"/>
          <w:szCs w:val="24"/>
        </w:rPr>
        <w:t xml:space="preserve"> will select the bidder that </w:t>
      </w:r>
      <w:r w:rsidR="007C2B17" w:rsidRPr="00505A99">
        <w:rPr>
          <w:rFonts w:ascii="Arial" w:hAnsi="Arial" w:cs="Arial"/>
          <w:sz w:val="24"/>
          <w:szCs w:val="24"/>
        </w:rPr>
        <w:t>scores highest against the</w:t>
      </w:r>
      <w:r w:rsidR="003C54D5" w:rsidRPr="00505A99">
        <w:rPr>
          <w:rFonts w:ascii="Arial" w:hAnsi="Arial" w:cs="Arial"/>
          <w:sz w:val="24"/>
          <w:szCs w:val="24"/>
        </w:rPr>
        <w:t xml:space="preserve"> crit</w:t>
      </w:r>
      <w:r w:rsidR="00AD5E7A" w:rsidRPr="00505A99">
        <w:rPr>
          <w:rFonts w:ascii="Arial" w:hAnsi="Arial" w:cs="Arial"/>
          <w:sz w:val="24"/>
          <w:szCs w:val="24"/>
        </w:rPr>
        <w:t>eria and weighting listed below:</w:t>
      </w:r>
    </w:p>
    <w:p w:rsidR="00B15DC4" w:rsidRPr="00505A99" w:rsidRDefault="00B15DC4" w:rsidP="00E4650D">
      <w:pPr>
        <w:pStyle w:val="NoSpacing"/>
        <w:jc w:val="both"/>
        <w:rPr>
          <w:rFonts w:ascii="Arial" w:hAnsi="Arial" w:cs="Arial"/>
          <w:sz w:val="24"/>
          <w:szCs w:val="24"/>
        </w:rPr>
      </w:pPr>
    </w:p>
    <w:p w:rsidR="00002825" w:rsidRPr="00505A99" w:rsidRDefault="00002825" w:rsidP="00E4650D">
      <w:pPr>
        <w:widowControl/>
        <w:numPr>
          <w:ilvl w:val="0"/>
          <w:numId w:val="1"/>
        </w:numPr>
        <w:overflowPunct/>
        <w:autoSpaceDE/>
        <w:autoSpaceDN/>
        <w:adjustRightInd/>
        <w:jc w:val="both"/>
        <w:textAlignment w:val="auto"/>
        <w:rPr>
          <w:rFonts w:cs="Arial"/>
          <w:sz w:val="24"/>
          <w:szCs w:val="24"/>
        </w:rPr>
      </w:pPr>
      <w:r w:rsidRPr="00505A99">
        <w:rPr>
          <w:rFonts w:cs="Arial"/>
          <w:b/>
          <w:sz w:val="24"/>
          <w:szCs w:val="24"/>
        </w:rPr>
        <w:t>Conflict of interest:</w:t>
      </w:r>
      <w:r w:rsidRPr="00505A99">
        <w:rPr>
          <w:rFonts w:cs="Arial"/>
          <w:sz w:val="24"/>
          <w:szCs w:val="24"/>
        </w:rPr>
        <w:t xml:space="preserve"> pass/fail. See page </w:t>
      </w:r>
      <w:r w:rsidRPr="00505A99">
        <w:rPr>
          <w:rFonts w:cs="Arial"/>
          <w:sz w:val="24"/>
          <w:szCs w:val="24"/>
        </w:rPr>
        <w:fldChar w:fldCharType="begin"/>
      </w:r>
      <w:r w:rsidRPr="00505A99">
        <w:rPr>
          <w:rFonts w:cs="Arial"/>
          <w:sz w:val="24"/>
          <w:szCs w:val="24"/>
        </w:rPr>
        <w:instrText xml:space="preserve"> PAGEREF _Ref380584427 \h </w:instrText>
      </w:r>
      <w:r w:rsidRPr="00505A99">
        <w:rPr>
          <w:rFonts w:cs="Arial"/>
          <w:sz w:val="24"/>
          <w:szCs w:val="24"/>
        </w:rPr>
      </w:r>
      <w:r w:rsidRPr="00505A99">
        <w:rPr>
          <w:rFonts w:cs="Arial"/>
          <w:sz w:val="24"/>
          <w:szCs w:val="24"/>
        </w:rPr>
        <w:fldChar w:fldCharType="separate"/>
      </w:r>
      <w:r w:rsidR="00E1279C" w:rsidRPr="00505A99">
        <w:rPr>
          <w:rFonts w:cs="Arial"/>
          <w:noProof/>
          <w:sz w:val="24"/>
          <w:szCs w:val="24"/>
        </w:rPr>
        <w:t>5</w:t>
      </w:r>
      <w:r w:rsidRPr="00505A99">
        <w:rPr>
          <w:rFonts w:cs="Arial"/>
          <w:sz w:val="24"/>
          <w:szCs w:val="24"/>
        </w:rPr>
        <w:fldChar w:fldCharType="end"/>
      </w:r>
      <w:r w:rsidR="00EE50B0" w:rsidRPr="00505A99">
        <w:rPr>
          <w:rFonts w:cs="Arial"/>
          <w:sz w:val="24"/>
          <w:szCs w:val="24"/>
        </w:rPr>
        <w:t xml:space="preserve"> of the ITT</w:t>
      </w:r>
      <w:r w:rsidRPr="00505A99">
        <w:rPr>
          <w:rFonts w:cs="Arial"/>
          <w:sz w:val="24"/>
          <w:szCs w:val="24"/>
        </w:rPr>
        <w:t xml:space="preserve"> for further information</w:t>
      </w:r>
    </w:p>
    <w:p w:rsidR="001623B7" w:rsidRPr="00505A99"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8E41CB" w:rsidRPr="00505A99" w:rsidRDefault="008E41CB" w:rsidP="001623B7">
      <w:pPr>
        <w:spacing w:line="276" w:lineRule="auto"/>
        <w:rPr>
          <w:rFonts w:cs="Arial"/>
          <w:b/>
        </w:rPr>
      </w:pPr>
    </w:p>
    <w:p w:rsidR="001623B7" w:rsidRPr="00505A99" w:rsidRDefault="001623B7" w:rsidP="00941465">
      <w:pPr>
        <w:spacing w:line="276" w:lineRule="auto"/>
        <w:ind w:left="360"/>
        <w:rPr>
          <w:rFonts w:cs="Arial"/>
          <w:b/>
        </w:rPr>
      </w:pPr>
      <w:r w:rsidRPr="00505A99">
        <w:rPr>
          <w:rFonts w:cs="Arial"/>
          <w:b/>
        </w:rPr>
        <w:lastRenderedPageBreak/>
        <w:t>EVALUATION CRITERIA AND SCORING METHODOLOGY</w:t>
      </w:r>
    </w:p>
    <w:p w:rsidR="001623B7" w:rsidRPr="00505A99" w:rsidRDefault="001623B7" w:rsidP="001623B7">
      <w:pPr>
        <w:spacing w:line="276" w:lineRule="auto"/>
        <w:rPr>
          <w:rFonts w:cs="Arial"/>
          <w:b/>
        </w:rPr>
      </w:pPr>
    </w:p>
    <w:p w:rsidR="001623B7" w:rsidRPr="00505A99" w:rsidRDefault="001623B7" w:rsidP="00941465">
      <w:pPr>
        <w:spacing w:line="276" w:lineRule="auto"/>
        <w:ind w:left="360"/>
        <w:rPr>
          <w:rFonts w:cs="Arial"/>
          <w:sz w:val="24"/>
          <w:szCs w:val="24"/>
        </w:rPr>
      </w:pPr>
      <w:r w:rsidRPr="00505A99">
        <w:rPr>
          <w:rFonts w:cs="Arial"/>
          <w:sz w:val="24"/>
          <w:szCs w:val="24"/>
        </w:rPr>
        <w:t xml:space="preserve">You must provide details of the evaluation criteria (including sub-criteria), weightings and proposed scoring method as part of the ITT.  </w:t>
      </w:r>
    </w:p>
    <w:p w:rsidR="001623B7" w:rsidRPr="00505A99" w:rsidRDefault="001623B7" w:rsidP="00941465">
      <w:pPr>
        <w:spacing w:line="276" w:lineRule="auto"/>
        <w:ind w:left="360"/>
        <w:rPr>
          <w:rFonts w:cs="Arial"/>
          <w:sz w:val="24"/>
          <w:szCs w:val="24"/>
        </w:rPr>
      </w:pPr>
    </w:p>
    <w:p w:rsidR="001623B7" w:rsidRPr="00505A99" w:rsidRDefault="001623B7" w:rsidP="00941465">
      <w:pPr>
        <w:ind w:left="360"/>
        <w:rPr>
          <w:rFonts w:cs="Arial"/>
          <w:sz w:val="24"/>
          <w:szCs w:val="24"/>
        </w:rPr>
      </w:pPr>
      <w:r w:rsidRPr="00505A99">
        <w:rPr>
          <w:rFonts w:cs="Arial"/>
          <w:b/>
          <w:sz w:val="24"/>
          <w:szCs w:val="24"/>
          <w:u w:val="single"/>
        </w:rPr>
        <w:t>Sub-criteria</w:t>
      </w:r>
      <w:r w:rsidRPr="00505A99">
        <w:rPr>
          <w:rFonts w:cs="Arial"/>
          <w:sz w:val="24"/>
          <w:szCs w:val="24"/>
        </w:rPr>
        <w:t xml:space="preserve"> - For some contracts it may be necessary to have sub-criteria in order to help show how the main criteria will be met.</w:t>
      </w:r>
    </w:p>
    <w:p w:rsidR="001623B7" w:rsidRPr="00505A99" w:rsidRDefault="001623B7" w:rsidP="00941465">
      <w:pPr>
        <w:ind w:left="360"/>
        <w:rPr>
          <w:rFonts w:cs="Arial"/>
          <w:sz w:val="24"/>
          <w:szCs w:val="24"/>
        </w:rPr>
      </w:pPr>
    </w:p>
    <w:p w:rsidR="001623B7" w:rsidRPr="00505A99" w:rsidRDefault="001623B7" w:rsidP="00941465">
      <w:pPr>
        <w:ind w:left="360"/>
        <w:rPr>
          <w:rFonts w:cs="Arial"/>
          <w:sz w:val="24"/>
          <w:szCs w:val="24"/>
        </w:rPr>
      </w:pPr>
      <w:r w:rsidRPr="00505A99">
        <w:rPr>
          <w:rFonts w:cs="Arial"/>
          <w:b/>
          <w:sz w:val="24"/>
          <w:szCs w:val="24"/>
          <w:u w:val="single"/>
        </w:rPr>
        <w:t>Weightings</w:t>
      </w:r>
      <w:r w:rsidRPr="00505A99">
        <w:rPr>
          <w:rFonts w:cs="Arial"/>
          <w:sz w:val="24"/>
          <w:szCs w:val="24"/>
        </w:rPr>
        <w:t xml:space="preserve"> can then be allocated to the criteria (and sub-criteria) representing the most important areas of the required services.  The allocated weightings should always add up to 100% and the weightings allocated to any sub-criteria (where used) should always equal the weightings allocated to the main criteria.  An example is shown below:  </w:t>
      </w:r>
      <w:bookmarkStart w:id="63" w:name="sp0906"/>
      <w:bookmarkEnd w:id="63"/>
    </w:p>
    <w:p w:rsidR="00A97E92" w:rsidRDefault="00A97E92" w:rsidP="00941465">
      <w:pPr>
        <w:ind w:left="360"/>
        <w:rPr>
          <w:rFonts w:cs="Arial"/>
          <w:color w:val="FF0000"/>
          <w:sz w:val="24"/>
          <w:szCs w:val="24"/>
        </w:rPr>
      </w:pPr>
    </w:p>
    <w:p w:rsidR="00A97E92" w:rsidRPr="00505A99" w:rsidRDefault="00A97E92" w:rsidP="00220BBB">
      <w:pPr>
        <w:pStyle w:val="ListParagraph"/>
        <w:spacing w:line="240" w:lineRule="auto"/>
        <w:ind w:left="426"/>
        <w:jc w:val="both"/>
        <w:rPr>
          <w:rFonts w:ascii="Arial" w:eastAsia="Times New Roman" w:hAnsi="Arial" w:cs="Arial"/>
          <w:sz w:val="24"/>
          <w:szCs w:val="24"/>
          <w:lang w:eastAsia="en-GB"/>
        </w:rPr>
      </w:pPr>
      <w:r w:rsidRPr="00505A99">
        <w:rPr>
          <w:rFonts w:ascii="Arial" w:eastAsia="Times New Roman" w:hAnsi="Arial" w:cs="Arial"/>
          <w:sz w:val="24"/>
          <w:szCs w:val="24"/>
          <w:lang w:eastAsia="en-GB"/>
        </w:rPr>
        <w:t>Tenders will be evaluated using the following criteria weighted as follows:</w:t>
      </w:r>
    </w:p>
    <w:p w:rsidR="001623B7" w:rsidRPr="00505A99" w:rsidRDefault="001623B7" w:rsidP="001623B7">
      <w:pPr>
        <w:ind w:left="1197"/>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505A99" w:rsidTr="00A97E92">
        <w:tc>
          <w:tcPr>
            <w:tcW w:w="1133" w:type="dxa"/>
          </w:tcPr>
          <w:p w:rsidR="001623B7" w:rsidRPr="00505A99" w:rsidRDefault="001623B7" w:rsidP="005A492F">
            <w:pPr>
              <w:pStyle w:val="Heading4"/>
              <w:rPr>
                <w:rFonts w:ascii="Arial" w:hAnsi="Arial" w:cs="Arial"/>
                <w:color w:val="auto"/>
              </w:rPr>
            </w:pPr>
            <w:bookmarkStart w:id="64" w:name="p2"/>
            <w:r w:rsidRPr="00505A99">
              <w:rPr>
                <w:rFonts w:ascii="Arial" w:hAnsi="Arial" w:cs="Arial"/>
                <w:color w:val="auto"/>
              </w:rPr>
              <w:t>Criterion</w:t>
            </w:r>
            <w:bookmarkEnd w:id="64"/>
          </w:p>
        </w:tc>
        <w:tc>
          <w:tcPr>
            <w:tcW w:w="5927" w:type="dxa"/>
            <w:shd w:val="clear" w:color="auto" w:fill="auto"/>
          </w:tcPr>
          <w:p w:rsidR="001623B7" w:rsidRPr="00505A99" w:rsidRDefault="001623B7" w:rsidP="005A492F">
            <w:pPr>
              <w:pStyle w:val="Heading4"/>
              <w:rPr>
                <w:rFonts w:ascii="Arial" w:hAnsi="Arial" w:cs="Arial"/>
                <w:color w:val="auto"/>
              </w:rPr>
            </w:pPr>
            <w:r w:rsidRPr="00505A99">
              <w:rPr>
                <w:rFonts w:ascii="Arial" w:hAnsi="Arial" w:cs="Arial"/>
                <w:color w:val="auto"/>
              </w:rPr>
              <w:t>Description</w:t>
            </w:r>
          </w:p>
        </w:tc>
        <w:tc>
          <w:tcPr>
            <w:tcW w:w="2262" w:type="dxa"/>
            <w:shd w:val="clear" w:color="auto" w:fill="auto"/>
          </w:tcPr>
          <w:p w:rsidR="001623B7" w:rsidRPr="00505A99" w:rsidRDefault="001623B7" w:rsidP="005A492F">
            <w:pPr>
              <w:pStyle w:val="Heading4"/>
              <w:rPr>
                <w:rFonts w:ascii="Arial" w:hAnsi="Arial" w:cs="Arial"/>
                <w:color w:val="auto"/>
              </w:rPr>
            </w:pPr>
            <w:r w:rsidRPr="00505A99">
              <w:rPr>
                <w:rFonts w:ascii="Arial" w:hAnsi="Arial" w:cs="Arial"/>
                <w:color w:val="auto"/>
              </w:rPr>
              <w:t>Weighting</w:t>
            </w:r>
          </w:p>
        </w:tc>
      </w:tr>
      <w:tr w:rsidR="00A97E92" w:rsidRPr="00505A99" w:rsidTr="00A97E92">
        <w:tc>
          <w:tcPr>
            <w:tcW w:w="1133" w:type="dxa"/>
          </w:tcPr>
          <w:p w:rsidR="00A97E92" w:rsidRPr="00505A99" w:rsidRDefault="00A97E92" w:rsidP="005A492F">
            <w:pPr>
              <w:rPr>
                <w:rFonts w:cs="Arial"/>
              </w:rPr>
            </w:pPr>
            <w:r w:rsidRPr="00505A99">
              <w:rPr>
                <w:rFonts w:cs="Arial"/>
              </w:rPr>
              <w:t>01</w:t>
            </w:r>
          </w:p>
        </w:tc>
        <w:tc>
          <w:tcPr>
            <w:tcW w:w="5927" w:type="dxa"/>
            <w:shd w:val="clear" w:color="auto" w:fill="auto"/>
          </w:tcPr>
          <w:p w:rsidR="00A97E92" w:rsidRPr="00505A99" w:rsidRDefault="009B1633" w:rsidP="009B1633">
            <w:pPr>
              <w:pStyle w:val="Numbered"/>
              <w:widowControl/>
              <w:rPr>
                <w:rFonts w:cs="Arial"/>
                <w:sz w:val="20"/>
                <w:szCs w:val="20"/>
              </w:rPr>
            </w:pPr>
            <w:r w:rsidRPr="00505A99">
              <w:rPr>
                <w:rFonts w:cs="Arial"/>
                <w:sz w:val="20"/>
                <w:szCs w:val="20"/>
              </w:rPr>
              <w:t xml:space="preserve">Management Summary - Contractors are encouraged to detail how they plan to manage this work including how challenges will be addressed and how they will add value in delivering against the tender the requirements. </w:t>
            </w:r>
          </w:p>
        </w:tc>
        <w:tc>
          <w:tcPr>
            <w:tcW w:w="2262" w:type="dxa"/>
            <w:shd w:val="clear" w:color="auto" w:fill="auto"/>
          </w:tcPr>
          <w:p w:rsidR="00A97E92" w:rsidRPr="00505A99" w:rsidRDefault="009B1633" w:rsidP="005A492F">
            <w:pPr>
              <w:rPr>
                <w:rFonts w:cs="Arial"/>
              </w:rPr>
            </w:pPr>
            <w:r w:rsidRPr="00505A99">
              <w:rPr>
                <w:rFonts w:cs="Arial"/>
              </w:rPr>
              <w:t>2</w:t>
            </w:r>
            <w:r w:rsidR="00A97E92" w:rsidRPr="00505A99">
              <w:rPr>
                <w:rFonts w:cs="Arial"/>
              </w:rPr>
              <w:t>0%</w:t>
            </w:r>
          </w:p>
        </w:tc>
      </w:tr>
      <w:tr w:rsidR="00A97E92" w:rsidRPr="00505A99" w:rsidTr="00A97E92">
        <w:tc>
          <w:tcPr>
            <w:tcW w:w="1133" w:type="dxa"/>
          </w:tcPr>
          <w:p w:rsidR="00A97E92" w:rsidRPr="00505A99" w:rsidRDefault="00A97E92" w:rsidP="005A492F">
            <w:pPr>
              <w:rPr>
                <w:rFonts w:cs="Arial"/>
              </w:rPr>
            </w:pPr>
            <w:r w:rsidRPr="00505A99">
              <w:rPr>
                <w:rFonts w:cs="Arial"/>
              </w:rPr>
              <w:t>02</w:t>
            </w:r>
          </w:p>
        </w:tc>
        <w:tc>
          <w:tcPr>
            <w:tcW w:w="5927" w:type="dxa"/>
            <w:shd w:val="clear" w:color="auto" w:fill="auto"/>
          </w:tcPr>
          <w:p w:rsidR="00A97E92" w:rsidRPr="00505A99" w:rsidRDefault="009B1633" w:rsidP="009B1633">
            <w:pPr>
              <w:pStyle w:val="Numbered"/>
              <w:widowControl/>
              <w:rPr>
                <w:rFonts w:cs="Arial"/>
                <w:sz w:val="20"/>
                <w:szCs w:val="20"/>
              </w:rPr>
            </w:pPr>
            <w:r w:rsidRPr="00505A99">
              <w:rPr>
                <w:rFonts w:cs="Arial"/>
                <w:sz w:val="20"/>
                <w:szCs w:val="20"/>
              </w:rPr>
              <w:t xml:space="preserve">Meeting the Specification – Contractors are encouraged to provide evidence, demonstrating an understanding of the tender requirements, how they propose to approach this work, and how they will meet the specification as outlined on the evaluation criteria. </w:t>
            </w:r>
          </w:p>
        </w:tc>
        <w:tc>
          <w:tcPr>
            <w:tcW w:w="2262" w:type="dxa"/>
            <w:shd w:val="clear" w:color="auto" w:fill="auto"/>
          </w:tcPr>
          <w:p w:rsidR="00A97E92" w:rsidRPr="00505A99" w:rsidRDefault="009B1633" w:rsidP="005A492F">
            <w:pPr>
              <w:rPr>
                <w:rFonts w:cs="Arial"/>
              </w:rPr>
            </w:pPr>
            <w:r w:rsidRPr="00505A99">
              <w:rPr>
                <w:rFonts w:cs="Arial"/>
              </w:rPr>
              <w:t>2</w:t>
            </w:r>
            <w:r w:rsidR="00A97E92" w:rsidRPr="00505A99">
              <w:rPr>
                <w:rFonts w:cs="Arial"/>
              </w:rPr>
              <w:t>0%</w:t>
            </w:r>
          </w:p>
        </w:tc>
      </w:tr>
      <w:tr w:rsidR="00A97E92" w:rsidRPr="00505A99" w:rsidTr="00A97E92">
        <w:tc>
          <w:tcPr>
            <w:tcW w:w="1133" w:type="dxa"/>
          </w:tcPr>
          <w:p w:rsidR="00A97E92" w:rsidRPr="00505A99" w:rsidRDefault="00A97E92" w:rsidP="005A492F">
            <w:pPr>
              <w:rPr>
                <w:rFonts w:cs="Arial"/>
              </w:rPr>
            </w:pPr>
            <w:r w:rsidRPr="00505A99">
              <w:rPr>
                <w:rFonts w:cs="Arial"/>
              </w:rPr>
              <w:t>03</w:t>
            </w:r>
          </w:p>
        </w:tc>
        <w:tc>
          <w:tcPr>
            <w:tcW w:w="5927" w:type="dxa"/>
            <w:shd w:val="clear" w:color="auto" w:fill="auto"/>
          </w:tcPr>
          <w:p w:rsidR="009B1633" w:rsidRPr="00505A99" w:rsidRDefault="009B1633" w:rsidP="009B1633">
            <w:pPr>
              <w:jc w:val="both"/>
              <w:rPr>
                <w:rFonts w:cs="Arial"/>
                <w:sz w:val="20"/>
                <w:szCs w:val="20"/>
              </w:rPr>
            </w:pPr>
            <w:r w:rsidRPr="00505A99">
              <w:rPr>
                <w:rFonts w:cs="Arial"/>
                <w:sz w:val="20"/>
                <w:szCs w:val="20"/>
              </w:rPr>
              <w:t xml:space="preserve">Cost, Pricing and Charging Arrangements - Contractors invited to tender are required to replicate and complete the applicable tables below as part of their response to this section. </w:t>
            </w:r>
          </w:p>
          <w:p w:rsidR="00A97E92" w:rsidRPr="00505A99" w:rsidRDefault="00A97E92" w:rsidP="005A492F">
            <w:pPr>
              <w:rPr>
                <w:rFonts w:cs="Arial"/>
              </w:rPr>
            </w:pPr>
          </w:p>
        </w:tc>
        <w:tc>
          <w:tcPr>
            <w:tcW w:w="2262" w:type="dxa"/>
            <w:shd w:val="clear" w:color="auto" w:fill="auto"/>
          </w:tcPr>
          <w:p w:rsidR="00A97E92" w:rsidRPr="00505A99" w:rsidRDefault="00A97E92" w:rsidP="005A492F">
            <w:pPr>
              <w:rPr>
                <w:rFonts w:cs="Arial"/>
              </w:rPr>
            </w:pPr>
            <w:r w:rsidRPr="00505A99">
              <w:rPr>
                <w:rFonts w:cs="Arial"/>
              </w:rPr>
              <w:t>20%</w:t>
            </w:r>
          </w:p>
        </w:tc>
      </w:tr>
      <w:tr w:rsidR="00A97E92" w:rsidRPr="00505A99" w:rsidTr="00A97E92">
        <w:tc>
          <w:tcPr>
            <w:tcW w:w="1133" w:type="dxa"/>
          </w:tcPr>
          <w:p w:rsidR="00A97E92" w:rsidRPr="00505A99" w:rsidRDefault="00A97E92" w:rsidP="005A492F">
            <w:pPr>
              <w:rPr>
                <w:rFonts w:cs="Arial"/>
              </w:rPr>
            </w:pPr>
            <w:r w:rsidRPr="00505A99">
              <w:rPr>
                <w:rFonts w:cs="Arial"/>
              </w:rPr>
              <w:t>04</w:t>
            </w:r>
          </w:p>
        </w:tc>
        <w:tc>
          <w:tcPr>
            <w:tcW w:w="5927" w:type="dxa"/>
            <w:shd w:val="clear" w:color="auto" w:fill="auto"/>
          </w:tcPr>
          <w:p w:rsidR="00A97E92" w:rsidRPr="00505A99" w:rsidRDefault="009B1633" w:rsidP="009B1633">
            <w:pPr>
              <w:pStyle w:val="Numbered"/>
              <w:widowControl/>
              <w:rPr>
                <w:rFonts w:cs="Arial"/>
                <w:sz w:val="20"/>
                <w:szCs w:val="20"/>
              </w:rPr>
            </w:pPr>
            <w:r w:rsidRPr="00505A99">
              <w:rPr>
                <w:rFonts w:cs="Arial"/>
                <w:sz w:val="20"/>
                <w:szCs w:val="20"/>
              </w:rPr>
              <w:t>References and Experience - Contractors are encouraged to demonstrate in detail how the relevant skills and knowledge of the project team will be utilised in the delivery of the contract.</w:t>
            </w:r>
          </w:p>
        </w:tc>
        <w:tc>
          <w:tcPr>
            <w:tcW w:w="2262" w:type="dxa"/>
            <w:shd w:val="clear" w:color="auto" w:fill="auto"/>
          </w:tcPr>
          <w:p w:rsidR="00A97E92" w:rsidRPr="00505A99" w:rsidRDefault="00A97E92" w:rsidP="005A492F">
            <w:pPr>
              <w:rPr>
                <w:rFonts w:cs="Arial"/>
              </w:rPr>
            </w:pPr>
            <w:r w:rsidRPr="00505A99">
              <w:rPr>
                <w:rFonts w:cs="Arial"/>
              </w:rPr>
              <w:t>20%</w:t>
            </w:r>
          </w:p>
        </w:tc>
      </w:tr>
      <w:tr w:rsidR="00A97E92" w:rsidRPr="00505A99" w:rsidTr="009B1633">
        <w:trPr>
          <w:trHeight w:val="1575"/>
        </w:trPr>
        <w:tc>
          <w:tcPr>
            <w:tcW w:w="1133" w:type="dxa"/>
          </w:tcPr>
          <w:p w:rsidR="00A97E92" w:rsidRPr="00505A99" w:rsidRDefault="009B1633" w:rsidP="005A492F">
            <w:pPr>
              <w:rPr>
                <w:rFonts w:cs="Arial"/>
              </w:rPr>
            </w:pPr>
            <w:r w:rsidRPr="00505A99">
              <w:rPr>
                <w:rFonts w:cs="Arial"/>
              </w:rPr>
              <w:t>05</w:t>
            </w:r>
          </w:p>
        </w:tc>
        <w:tc>
          <w:tcPr>
            <w:tcW w:w="5927" w:type="dxa"/>
            <w:shd w:val="clear" w:color="auto" w:fill="auto"/>
          </w:tcPr>
          <w:p w:rsidR="00A97E92" w:rsidRPr="00505A99" w:rsidRDefault="009B1633" w:rsidP="009B1633">
            <w:pPr>
              <w:pStyle w:val="Numbered"/>
              <w:widowControl/>
              <w:rPr>
                <w:rFonts w:cs="Arial"/>
                <w:sz w:val="20"/>
                <w:szCs w:val="20"/>
              </w:rPr>
            </w:pPr>
            <w:r w:rsidRPr="00505A99">
              <w:rPr>
                <w:rFonts w:cs="Arial"/>
                <w:sz w:val="20"/>
                <w:szCs w:val="20"/>
              </w:rPr>
              <w:t>Delivery Plan and Risk Management - Contractors should set out a clear delivery plan for this work and identify key risks for the project. Steps that will be taken to manage and mitigate against risk should also be should be set out. This should include detail on how risks will be identified, assessed, managed and monitored throughout the project.</w:t>
            </w:r>
          </w:p>
        </w:tc>
        <w:tc>
          <w:tcPr>
            <w:tcW w:w="2262" w:type="dxa"/>
            <w:shd w:val="clear" w:color="auto" w:fill="auto"/>
          </w:tcPr>
          <w:p w:rsidR="00A97E92" w:rsidRPr="00505A99" w:rsidRDefault="009B1633" w:rsidP="005A492F">
            <w:pPr>
              <w:rPr>
                <w:rFonts w:cs="Arial"/>
              </w:rPr>
            </w:pPr>
            <w:r w:rsidRPr="00505A99">
              <w:rPr>
                <w:rFonts w:cs="Arial"/>
              </w:rPr>
              <w:t>20%</w:t>
            </w:r>
          </w:p>
        </w:tc>
      </w:tr>
      <w:tr w:rsidR="009B1633" w:rsidRPr="00505A99" w:rsidTr="00A97E92">
        <w:tc>
          <w:tcPr>
            <w:tcW w:w="1133" w:type="dxa"/>
          </w:tcPr>
          <w:p w:rsidR="009B1633" w:rsidRPr="00505A99" w:rsidRDefault="009B1633" w:rsidP="005A492F">
            <w:pPr>
              <w:rPr>
                <w:rFonts w:cs="Arial"/>
              </w:rPr>
            </w:pPr>
          </w:p>
        </w:tc>
        <w:tc>
          <w:tcPr>
            <w:tcW w:w="5927" w:type="dxa"/>
            <w:shd w:val="clear" w:color="auto" w:fill="auto"/>
          </w:tcPr>
          <w:p w:rsidR="009B1633" w:rsidRPr="00505A99" w:rsidRDefault="009B1633" w:rsidP="009B1633">
            <w:pPr>
              <w:pStyle w:val="Numbered"/>
              <w:widowControl/>
              <w:rPr>
                <w:rFonts w:cs="Arial"/>
                <w:sz w:val="20"/>
                <w:szCs w:val="20"/>
              </w:rPr>
            </w:pPr>
          </w:p>
        </w:tc>
        <w:tc>
          <w:tcPr>
            <w:tcW w:w="2262" w:type="dxa"/>
            <w:shd w:val="clear" w:color="auto" w:fill="auto"/>
          </w:tcPr>
          <w:p w:rsidR="009B1633" w:rsidRPr="00505A99" w:rsidRDefault="009B1633" w:rsidP="005A492F">
            <w:pPr>
              <w:rPr>
                <w:rFonts w:cs="Arial"/>
              </w:rPr>
            </w:pPr>
            <w:r w:rsidRPr="00505A99">
              <w:rPr>
                <w:rFonts w:cs="Arial"/>
              </w:rPr>
              <w:t>100%</w:t>
            </w:r>
          </w:p>
        </w:tc>
      </w:tr>
    </w:tbl>
    <w:p w:rsidR="001623B7" w:rsidRPr="00505A99" w:rsidRDefault="001623B7" w:rsidP="001623B7"/>
    <w:p w:rsidR="00F129F3" w:rsidRPr="00505A99" w:rsidRDefault="00F129F3" w:rsidP="00F129F3">
      <w:pPr>
        <w:jc w:val="both"/>
        <w:rPr>
          <w:rFonts w:cs="Arial"/>
          <w:b/>
          <w:bCs/>
          <w:sz w:val="24"/>
          <w:szCs w:val="24"/>
        </w:rPr>
      </w:pPr>
      <w:r w:rsidRPr="00505A99">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rsidTr="005A492F">
        <w:tc>
          <w:tcPr>
            <w:tcW w:w="816" w:type="dxa"/>
          </w:tcPr>
          <w:p w:rsidR="00F129F3" w:rsidRPr="008A0415" w:rsidRDefault="00F129F3" w:rsidP="005A492F">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5A492F">
            <w:pPr>
              <w:spacing w:line="276" w:lineRule="auto"/>
              <w:jc w:val="both"/>
              <w:rPr>
                <w:rFonts w:cs="Arial"/>
                <w:b/>
                <w:sz w:val="24"/>
                <w:szCs w:val="24"/>
              </w:rPr>
            </w:pPr>
            <w:r w:rsidRPr="008A0415">
              <w:rPr>
                <w:rFonts w:cs="Arial"/>
                <w:b/>
                <w:sz w:val="24"/>
                <w:szCs w:val="24"/>
              </w:rPr>
              <w:t>Description</w:t>
            </w:r>
          </w:p>
        </w:tc>
      </w:tr>
      <w:tr w:rsidR="00F129F3" w:rsidRPr="008A0415" w:rsidTr="005A492F">
        <w:trPr>
          <w:trHeight w:val="313"/>
        </w:trPr>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3</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5A492F">
        <w:tc>
          <w:tcPr>
            <w:tcW w:w="816" w:type="dxa"/>
          </w:tcPr>
          <w:p w:rsidR="00F129F3" w:rsidRPr="008A0415" w:rsidRDefault="00F129F3" w:rsidP="005A492F">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5A492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1623B7" w:rsidRPr="00505A99" w:rsidRDefault="001623B7" w:rsidP="001623B7">
      <w:pPr>
        <w:pStyle w:val="NoSpacing"/>
        <w:spacing w:line="276" w:lineRule="auto"/>
        <w:jc w:val="both"/>
        <w:rPr>
          <w:rFonts w:ascii="Arial" w:hAnsi="Arial" w:cs="Arial"/>
          <w:sz w:val="24"/>
          <w:szCs w:val="24"/>
        </w:rPr>
      </w:pPr>
      <w:bookmarkStart w:id="65" w:name="nine01"/>
      <w:bookmarkEnd w:id="65"/>
    </w:p>
    <w:p w:rsidR="001623B7" w:rsidRPr="00505A99" w:rsidRDefault="001623B7" w:rsidP="001623B7">
      <w:pPr>
        <w:pStyle w:val="NoSpacing"/>
        <w:spacing w:line="276" w:lineRule="auto"/>
        <w:jc w:val="both"/>
        <w:rPr>
          <w:rFonts w:ascii="Arial" w:hAnsi="Arial" w:cs="Arial"/>
          <w:b/>
          <w:sz w:val="24"/>
          <w:szCs w:val="24"/>
        </w:rPr>
      </w:pPr>
      <w:r w:rsidRPr="00505A99">
        <w:rPr>
          <w:rFonts w:ascii="Arial" w:hAnsi="Arial" w:cs="Arial"/>
          <w:b/>
          <w:sz w:val="24"/>
          <w:szCs w:val="24"/>
          <w:u w:val="single"/>
        </w:rPr>
        <w:t>Scoring for Pricing Evaluation</w:t>
      </w:r>
    </w:p>
    <w:p w:rsidR="001623B7" w:rsidRPr="00505A99" w:rsidRDefault="001623B7" w:rsidP="001623B7">
      <w:pPr>
        <w:pStyle w:val="NoSpacing"/>
        <w:spacing w:line="276" w:lineRule="auto"/>
        <w:jc w:val="both"/>
        <w:rPr>
          <w:rFonts w:ascii="Arial" w:hAnsi="Arial" w:cs="Arial"/>
          <w:b/>
          <w:sz w:val="24"/>
          <w:szCs w:val="24"/>
        </w:rPr>
      </w:pPr>
    </w:p>
    <w:p w:rsidR="001623B7" w:rsidRPr="00505A99" w:rsidRDefault="005F2E83" w:rsidP="006439D8">
      <w:pPr>
        <w:pStyle w:val="Paragraph"/>
        <w:ind w:left="0" w:firstLine="0"/>
        <w:rPr>
          <w:color w:val="auto"/>
        </w:rPr>
      </w:pPr>
      <w:r w:rsidRPr="00505A99">
        <w:rPr>
          <w:color w:val="auto"/>
        </w:rPr>
        <w:t>The p</w:t>
      </w:r>
      <w:r w:rsidR="001623B7" w:rsidRPr="00505A99">
        <w:rPr>
          <w:color w:val="auto"/>
        </w:rPr>
        <w:t xml:space="preserve">rice will be scored as set out below. There will be a maximum of e.g. </w:t>
      </w:r>
      <w:r w:rsidR="00941465" w:rsidRPr="00505A99">
        <w:rPr>
          <w:color w:val="auto"/>
        </w:rPr>
        <w:t>20</w:t>
      </w:r>
      <w:r w:rsidR="001623B7" w:rsidRPr="00505A99">
        <w:rPr>
          <w:color w:val="auto"/>
        </w:rPr>
        <w:t xml:space="preserve"> marks </w:t>
      </w:r>
    </w:p>
    <w:p w:rsidR="001623B7" w:rsidRPr="00505A99" w:rsidRDefault="001623B7" w:rsidP="001623B7">
      <w:pPr>
        <w:rPr>
          <w:rFonts w:cs="Arial"/>
          <w:sz w:val="24"/>
          <w:szCs w:val="24"/>
        </w:rPr>
      </w:pPr>
    </w:p>
    <w:p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marks, all other bids will then be marked as set out below.</w:t>
      </w:r>
    </w:p>
    <w:p w:rsidR="001623B7" w:rsidRDefault="001623B7" w:rsidP="001623B7">
      <w:pPr>
        <w:rPr>
          <w:rFonts w:cs="Arial"/>
          <w:color w:val="FF0000"/>
        </w:rPr>
      </w:pPr>
    </w:p>
    <w:p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941465">
      <w:pPr>
        <w:pStyle w:val="NoSpacing"/>
        <w:spacing w:line="276" w:lineRule="auto"/>
        <w:ind w:left="360"/>
        <w:jc w:val="both"/>
        <w:rPr>
          <w:rFonts w:ascii="Arial" w:hAnsi="Arial" w:cs="Arial"/>
          <w:sz w:val="24"/>
          <w:szCs w:val="24"/>
        </w:rPr>
      </w:pP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20</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941465" w:rsidP="005A492F">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rsidTr="005A492F">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5A492F">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5A492F">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rsidR="001623B7" w:rsidRPr="00EC540D" w:rsidRDefault="001623B7" w:rsidP="001623B7">
      <w:pPr>
        <w:rPr>
          <w:rFonts w:cs="Arial"/>
          <w:color w:val="FF0000"/>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9B1633" w:rsidRDefault="005B2D3B" w:rsidP="008A0415">
      <w:pPr>
        <w:jc w:val="both"/>
        <w:rPr>
          <w:rFonts w:cs="Arial"/>
          <w:b/>
          <w:sz w:val="24"/>
          <w:szCs w:val="24"/>
        </w:rPr>
      </w:pPr>
      <w:r w:rsidRPr="009B1633">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w:t>
      </w:r>
      <w:r w:rsidR="005B2D3B" w:rsidRPr="0038519F">
        <w:rPr>
          <w:rFonts w:cs="Arial"/>
          <w:sz w:val="24"/>
          <w:szCs w:val="24"/>
        </w:rPr>
        <w:lastRenderedPageBreak/>
        <w:t>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FB4E32" w:rsidRDefault="00FB4E32" w:rsidP="00520C92">
                            <w:pPr>
                              <w:jc w:val="center"/>
                              <w:rPr>
                                <w:b/>
                                <w:sz w:val="28"/>
                                <w:szCs w:val="28"/>
                              </w:rPr>
                            </w:pPr>
                          </w:p>
                          <w:p w:rsidR="00FB4E32" w:rsidRPr="005D027D" w:rsidRDefault="00FB4E32" w:rsidP="00520C92">
                            <w:pPr>
                              <w:jc w:val="center"/>
                              <w:rPr>
                                <w:b/>
                                <w:sz w:val="36"/>
                                <w:szCs w:val="36"/>
                              </w:rPr>
                            </w:pPr>
                            <w:r w:rsidRPr="005D027D">
                              <w:rPr>
                                <w:b/>
                                <w:sz w:val="36"/>
                                <w:szCs w:val="36"/>
                              </w:rPr>
                              <w:t>Section 3</w:t>
                            </w:r>
                          </w:p>
                          <w:p w:rsidR="00FB4E32" w:rsidRDefault="00FB4E32" w:rsidP="00520C92">
                            <w:pPr>
                              <w:jc w:val="center"/>
                              <w:rPr>
                                <w:b/>
                                <w:sz w:val="28"/>
                                <w:szCs w:val="28"/>
                              </w:rPr>
                            </w:pPr>
                          </w:p>
                          <w:p w:rsidR="00FB4E32" w:rsidRPr="003E5C19" w:rsidRDefault="00FB4E32" w:rsidP="00520C92">
                            <w:pPr>
                              <w:jc w:val="center"/>
                              <w:rPr>
                                <w:rFonts w:cs="Arial"/>
                                <w:b/>
                                <w:sz w:val="36"/>
                                <w:szCs w:val="36"/>
                              </w:rPr>
                            </w:pPr>
                            <w:r>
                              <w:rPr>
                                <w:b/>
                                <w:sz w:val="36"/>
                                <w:szCs w:val="36"/>
                              </w:rPr>
                              <w:t>Further Information on Tender Procedure</w:t>
                            </w:r>
                          </w:p>
                          <w:p w:rsidR="00FB4E32" w:rsidRDefault="00FB4E32" w:rsidP="00520C92"/>
                          <w:p w:rsidR="00FB4E32" w:rsidRDefault="00FB4E32" w:rsidP="00520C92"/>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Pr>
                                <w:rFonts w:cs="Arial"/>
                              </w:rPr>
                              <w:t>Tender Reference Number:</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6D645F">
                            <w:pPr>
                              <w:rPr>
                                <w:rFonts w:cs="Arial"/>
                              </w:rPr>
                            </w:pPr>
                            <w:r>
                              <w:rPr>
                                <w:rFonts w:cs="Arial"/>
                              </w:rPr>
                              <w:t xml:space="preserve"> </w:t>
                            </w:r>
                          </w:p>
                          <w:p w:rsidR="00FB4E32" w:rsidRDefault="00FB4E32" w:rsidP="00520C92">
                            <w:pPr>
                              <w:rPr>
                                <w:rFonts w:cs="Arial"/>
                              </w:rPr>
                            </w:pPr>
                          </w:p>
                          <w:p w:rsidR="00FB4E32" w:rsidRDefault="00FB4E32" w:rsidP="00520C92">
                            <w:pPr>
                              <w:rPr>
                                <w:rFonts w:cs="Arial"/>
                              </w:rPr>
                            </w:pPr>
                          </w:p>
                          <w:p w:rsidR="00FB4E32" w:rsidRPr="0000739E" w:rsidRDefault="00FB4E32" w:rsidP="00520C92">
                            <w:pPr>
                              <w:rPr>
                                <w:rFonts w:cs="Arial"/>
                              </w:rPr>
                            </w:pPr>
                          </w:p>
                          <w:p w:rsidR="00FB4E32" w:rsidRDefault="00FB4E32" w:rsidP="00520C92"/>
                          <w:p w:rsidR="00FB4E32" w:rsidRDefault="00FB4E32" w:rsidP="00520C92"/>
                          <w:p w:rsidR="00FB4E32" w:rsidRDefault="00FB4E32" w:rsidP="00520C92"/>
                          <w:p w:rsidR="00FB4E32" w:rsidRDefault="00FB4E3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FB4E32" w:rsidRDefault="00FB4E32" w:rsidP="00520C92">
                      <w:pPr>
                        <w:jc w:val="center"/>
                        <w:rPr>
                          <w:b/>
                          <w:sz w:val="28"/>
                          <w:szCs w:val="28"/>
                        </w:rPr>
                      </w:pPr>
                    </w:p>
                    <w:p w:rsidR="00FB4E32" w:rsidRPr="005D027D" w:rsidRDefault="00FB4E32" w:rsidP="00520C92">
                      <w:pPr>
                        <w:jc w:val="center"/>
                        <w:rPr>
                          <w:b/>
                          <w:sz w:val="36"/>
                          <w:szCs w:val="36"/>
                        </w:rPr>
                      </w:pPr>
                      <w:r w:rsidRPr="005D027D">
                        <w:rPr>
                          <w:b/>
                          <w:sz w:val="36"/>
                          <w:szCs w:val="36"/>
                        </w:rPr>
                        <w:t>Section 3</w:t>
                      </w:r>
                    </w:p>
                    <w:p w:rsidR="00FB4E32" w:rsidRDefault="00FB4E32" w:rsidP="00520C92">
                      <w:pPr>
                        <w:jc w:val="center"/>
                        <w:rPr>
                          <w:b/>
                          <w:sz w:val="28"/>
                          <w:szCs w:val="28"/>
                        </w:rPr>
                      </w:pPr>
                    </w:p>
                    <w:p w:rsidR="00FB4E32" w:rsidRPr="003E5C19" w:rsidRDefault="00FB4E32" w:rsidP="00520C92">
                      <w:pPr>
                        <w:jc w:val="center"/>
                        <w:rPr>
                          <w:rFonts w:cs="Arial"/>
                          <w:b/>
                          <w:sz w:val="36"/>
                          <w:szCs w:val="36"/>
                        </w:rPr>
                      </w:pPr>
                      <w:r>
                        <w:rPr>
                          <w:b/>
                          <w:sz w:val="36"/>
                          <w:szCs w:val="36"/>
                        </w:rPr>
                        <w:t>Further Information on Tender Procedure</w:t>
                      </w:r>
                    </w:p>
                    <w:p w:rsidR="00FB4E32" w:rsidRDefault="00FB4E32" w:rsidP="00520C92"/>
                    <w:p w:rsidR="00FB4E32" w:rsidRDefault="00FB4E32" w:rsidP="00520C92"/>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Pr>
                          <w:rFonts w:cs="Arial"/>
                        </w:rPr>
                        <w:t>Tender Reference Number:</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6D645F">
                      <w:pPr>
                        <w:rPr>
                          <w:rFonts w:cs="Arial"/>
                        </w:rPr>
                      </w:pPr>
                      <w:r>
                        <w:rPr>
                          <w:rFonts w:cs="Arial"/>
                        </w:rPr>
                        <w:t xml:space="preserve"> </w:t>
                      </w:r>
                    </w:p>
                    <w:p w:rsidR="00FB4E32" w:rsidRDefault="00FB4E32" w:rsidP="00520C92">
                      <w:pPr>
                        <w:rPr>
                          <w:rFonts w:cs="Arial"/>
                        </w:rPr>
                      </w:pPr>
                    </w:p>
                    <w:p w:rsidR="00FB4E32" w:rsidRDefault="00FB4E32" w:rsidP="00520C92">
                      <w:pPr>
                        <w:rPr>
                          <w:rFonts w:cs="Arial"/>
                        </w:rPr>
                      </w:pPr>
                    </w:p>
                    <w:p w:rsidR="00FB4E32" w:rsidRPr="0000739E" w:rsidRDefault="00FB4E32" w:rsidP="00520C92">
                      <w:pPr>
                        <w:rPr>
                          <w:rFonts w:cs="Arial"/>
                        </w:rPr>
                      </w:pPr>
                    </w:p>
                    <w:p w:rsidR="00FB4E32" w:rsidRDefault="00FB4E32" w:rsidP="00520C92"/>
                    <w:p w:rsidR="00FB4E32" w:rsidRDefault="00FB4E32" w:rsidP="00520C92"/>
                    <w:p w:rsidR="00FB4E32" w:rsidRDefault="00FB4E32" w:rsidP="00520C92"/>
                    <w:p w:rsidR="00FB4E32" w:rsidRDefault="00FB4E32"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322BEF">
      <w:pPr>
        <w:pStyle w:val="Heading1"/>
        <w:numPr>
          <w:ilvl w:val="0"/>
          <w:numId w:val="36"/>
        </w:numPr>
        <w:rPr>
          <w:rFonts w:ascii="Arial" w:hAnsi="Arial" w:cs="Arial"/>
          <w:sz w:val="24"/>
          <w:szCs w:val="24"/>
        </w:rPr>
      </w:pPr>
      <w:bookmarkStart w:id="66" w:name="_Definitions"/>
      <w:bookmarkStart w:id="67" w:name="_Ref380583828"/>
      <w:bookmarkStart w:id="68" w:name="_Toc382231118"/>
      <w:bookmarkStart w:id="69" w:name="SectionThree"/>
      <w:bookmarkEnd w:id="66"/>
      <w:r w:rsidRPr="00BF75EC">
        <w:rPr>
          <w:rFonts w:ascii="Arial" w:hAnsi="Arial" w:cs="Arial"/>
          <w:sz w:val="24"/>
          <w:szCs w:val="24"/>
        </w:rPr>
        <w:lastRenderedPageBreak/>
        <w:t>Definition</w:t>
      </w:r>
      <w:bookmarkEnd w:id="67"/>
      <w:r w:rsidR="007925CC" w:rsidRPr="00BF75EC">
        <w:rPr>
          <w:rFonts w:ascii="Arial" w:hAnsi="Arial" w:cs="Arial"/>
          <w:sz w:val="24"/>
          <w:szCs w:val="24"/>
        </w:rPr>
        <w:t>s</w:t>
      </w:r>
      <w:bookmarkEnd w:id="68"/>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2"/>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322BEF">
      <w:pPr>
        <w:pStyle w:val="Heading1"/>
        <w:numPr>
          <w:ilvl w:val="0"/>
          <w:numId w:val="36"/>
        </w:numPr>
        <w:rPr>
          <w:rFonts w:ascii="Arial" w:hAnsi="Arial" w:cs="Arial"/>
          <w:sz w:val="24"/>
          <w:szCs w:val="24"/>
        </w:rPr>
      </w:pPr>
      <w:bookmarkStart w:id="70" w:name="_Data_security"/>
      <w:bookmarkStart w:id="71" w:name="_Toc382231119"/>
      <w:bookmarkEnd w:id="70"/>
      <w:r w:rsidRPr="00BF75EC">
        <w:rPr>
          <w:rFonts w:ascii="Arial" w:hAnsi="Arial" w:cs="Arial"/>
          <w:sz w:val="24"/>
          <w:szCs w:val="24"/>
        </w:rPr>
        <w:t>Data security</w:t>
      </w:r>
      <w:bookmarkEnd w:id="71"/>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322BEF">
      <w:pPr>
        <w:widowControl/>
        <w:numPr>
          <w:ilvl w:val="0"/>
          <w:numId w:val="13"/>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322BEF">
      <w:pPr>
        <w:widowControl/>
        <w:numPr>
          <w:ilvl w:val="0"/>
          <w:numId w:val="13"/>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322BEF">
      <w:pPr>
        <w:pStyle w:val="Heading1"/>
        <w:numPr>
          <w:ilvl w:val="0"/>
          <w:numId w:val="36"/>
        </w:numPr>
        <w:rPr>
          <w:rFonts w:ascii="Arial" w:hAnsi="Arial" w:cs="Arial"/>
          <w:sz w:val="24"/>
          <w:szCs w:val="24"/>
        </w:rPr>
      </w:pPr>
      <w:bookmarkStart w:id="72" w:name="_Non-Collusion"/>
      <w:bookmarkStart w:id="73" w:name="_Toc382231120"/>
      <w:bookmarkEnd w:id="72"/>
      <w:r w:rsidRPr="00BF75EC">
        <w:rPr>
          <w:rFonts w:ascii="Arial" w:hAnsi="Arial" w:cs="Arial"/>
          <w:sz w:val="24"/>
          <w:szCs w:val="24"/>
        </w:rPr>
        <w:t>Non-Collusion</w:t>
      </w:r>
      <w:bookmarkEnd w:id="73"/>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9E2B4B">
      <w:pPr>
        <w:pStyle w:val="ListParagraph"/>
        <w:numPr>
          <w:ilvl w:val="0"/>
          <w:numId w:val="50"/>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9"/>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FB4E32" w:rsidRDefault="00FB4E32" w:rsidP="003F2838">
                            <w:pPr>
                              <w:jc w:val="center"/>
                              <w:rPr>
                                <w:b/>
                                <w:sz w:val="28"/>
                                <w:szCs w:val="28"/>
                              </w:rPr>
                            </w:pPr>
                          </w:p>
                          <w:p w:rsidR="00FB4E32" w:rsidRPr="005D027D" w:rsidRDefault="00FB4E32" w:rsidP="003F2838">
                            <w:pPr>
                              <w:jc w:val="center"/>
                              <w:rPr>
                                <w:b/>
                                <w:sz w:val="36"/>
                                <w:szCs w:val="36"/>
                              </w:rPr>
                            </w:pPr>
                            <w:r w:rsidRPr="005D027D">
                              <w:rPr>
                                <w:b/>
                                <w:sz w:val="36"/>
                                <w:szCs w:val="36"/>
                              </w:rPr>
                              <w:t>Section 4</w:t>
                            </w:r>
                          </w:p>
                          <w:p w:rsidR="00FB4E32" w:rsidRDefault="00FB4E32" w:rsidP="003F2838">
                            <w:pPr>
                              <w:jc w:val="center"/>
                              <w:rPr>
                                <w:b/>
                                <w:sz w:val="28"/>
                                <w:szCs w:val="28"/>
                              </w:rPr>
                            </w:pPr>
                          </w:p>
                          <w:p w:rsidR="00FB4E32" w:rsidRPr="003E5C19" w:rsidRDefault="00FB4E32" w:rsidP="003F2838">
                            <w:pPr>
                              <w:jc w:val="center"/>
                              <w:rPr>
                                <w:rFonts w:cs="Arial"/>
                                <w:b/>
                                <w:sz w:val="36"/>
                                <w:szCs w:val="36"/>
                              </w:rPr>
                            </w:pPr>
                            <w:r>
                              <w:rPr>
                                <w:b/>
                                <w:sz w:val="36"/>
                                <w:szCs w:val="36"/>
                              </w:rPr>
                              <w:t>Declarations to be submitted by the Tenderer</w:t>
                            </w:r>
                          </w:p>
                          <w:p w:rsidR="00FB4E32" w:rsidRPr="007B3C23" w:rsidRDefault="00FB4E32" w:rsidP="003F2838">
                            <w:pPr>
                              <w:jc w:val="center"/>
                              <w:rPr>
                                <w:rFonts w:cs="Arial"/>
                                <w:sz w:val="24"/>
                                <w:szCs w:val="24"/>
                              </w:rPr>
                            </w:pPr>
                          </w:p>
                          <w:p w:rsidR="00FB4E32" w:rsidRDefault="00FB4E32" w:rsidP="003F2838"/>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sidRPr="0000739E">
                              <w:rPr>
                                <w:rFonts w:cs="Arial"/>
                              </w:rPr>
                              <w:t xml:space="preserve">Tender Reference Number: </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3F2838">
                            <w:pPr>
                              <w:rPr>
                                <w:rFonts w:cs="Arial"/>
                              </w:rPr>
                            </w:pPr>
                          </w:p>
                          <w:p w:rsidR="00FB4E32" w:rsidRDefault="00FB4E32" w:rsidP="003F2838">
                            <w:pPr>
                              <w:rPr>
                                <w:rFonts w:cs="Arial"/>
                              </w:rPr>
                            </w:pPr>
                          </w:p>
                          <w:p w:rsidR="00FB4E32" w:rsidRPr="0000739E" w:rsidRDefault="00FB4E32" w:rsidP="003F2838">
                            <w:pPr>
                              <w:rPr>
                                <w:rFonts w:cs="Arial"/>
                              </w:rPr>
                            </w:pPr>
                          </w:p>
                          <w:p w:rsidR="00FB4E32" w:rsidRDefault="00FB4E32" w:rsidP="003F2838"/>
                          <w:p w:rsidR="00FB4E32" w:rsidRDefault="00FB4E32" w:rsidP="003F2838"/>
                          <w:p w:rsidR="00FB4E32" w:rsidRDefault="00FB4E32" w:rsidP="003F2838"/>
                          <w:p w:rsidR="00FB4E32" w:rsidRDefault="00FB4E3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FB4E32" w:rsidRDefault="00FB4E32" w:rsidP="003F2838">
                      <w:pPr>
                        <w:jc w:val="center"/>
                        <w:rPr>
                          <w:b/>
                          <w:sz w:val="28"/>
                          <w:szCs w:val="28"/>
                        </w:rPr>
                      </w:pPr>
                    </w:p>
                    <w:p w:rsidR="00FB4E32" w:rsidRPr="005D027D" w:rsidRDefault="00FB4E32" w:rsidP="003F2838">
                      <w:pPr>
                        <w:jc w:val="center"/>
                        <w:rPr>
                          <w:b/>
                          <w:sz w:val="36"/>
                          <w:szCs w:val="36"/>
                        </w:rPr>
                      </w:pPr>
                      <w:r w:rsidRPr="005D027D">
                        <w:rPr>
                          <w:b/>
                          <w:sz w:val="36"/>
                          <w:szCs w:val="36"/>
                        </w:rPr>
                        <w:t>Section 4</w:t>
                      </w:r>
                    </w:p>
                    <w:p w:rsidR="00FB4E32" w:rsidRDefault="00FB4E32" w:rsidP="003F2838">
                      <w:pPr>
                        <w:jc w:val="center"/>
                        <w:rPr>
                          <w:b/>
                          <w:sz w:val="28"/>
                          <w:szCs w:val="28"/>
                        </w:rPr>
                      </w:pPr>
                    </w:p>
                    <w:p w:rsidR="00FB4E32" w:rsidRPr="003E5C19" w:rsidRDefault="00FB4E32" w:rsidP="003F2838">
                      <w:pPr>
                        <w:jc w:val="center"/>
                        <w:rPr>
                          <w:rFonts w:cs="Arial"/>
                          <w:b/>
                          <w:sz w:val="36"/>
                          <w:szCs w:val="36"/>
                        </w:rPr>
                      </w:pPr>
                      <w:r>
                        <w:rPr>
                          <w:b/>
                          <w:sz w:val="36"/>
                          <w:szCs w:val="36"/>
                        </w:rPr>
                        <w:t>Declarations to be submitted by the Tenderer</w:t>
                      </w:r>
                    </w:p>
                    <w:p w:rsidR="00FB4E32" w:rsidRPr="007B3C23" w:rsidRDefault="00FB4E32" w:rsidP="003F2838">
                      <w:pPr>
                        <w:jc w:val="center"/>
                        <w:rPr>
                          <w:rFonts w:cs="Arial"/>
                          <w:sz w:val="24"/>
                          <w:szCs w:val="24"/>
                        </w:rPr>
                      </w:pPr>
                    </w:p>
                    <w:p w:rsidR="00FB4E32" w:rsidRDefault="00FB4E32" w:rsidP="003F2838"/>
                    <w:p w:rsidR="00FB4E32" w:rsidRDefault="00FB4E32" w:rsidP="00405192">
                      <w:pPr>
                        <w:rPr>
                          <w:rFonts w:cs="Arial"/>
                        </w:rPr>
                      </w:pPr>
                      <w:r w:rsidRPr="0000739E">
                        <w:rPr>
                          <w:rFonts w:cs="Arial"/>
                        </w:rPr>
                        <w:t>Invitation to Tender for</w:t>
                      </w:r>
                      <w:r w:rsidRPr="006D645F">
                        <w:rPr>
                          <w:rFonts w:cs="Arial"/>
                        </w:rPr>
                        <w:t xml:space="preserve"> </w:t>
                      </w:r>
                    </w:p>
                    <w:p w:rsidR="00FB4E32" w:rsidRPr="0000739E" w:rsidRDefault="00FB4E32" w:rsidP="00405192">
                      <w:pPr>
                        <w:rPr>
                          <w:rFonts w:cs="Arial"/>
                        </w:rPr>
                      </w:pPr>
                      <w:r w:rsidRPr="0000739E">
                        <w:rPr>
                          <w:rFonts w:cs="Arial"/>
                        </w:rPr>
                        <w:t xml:space="preserve">Tender Reference Number: </w:t>
                      </w:r>
                    </w:p>
                    <w:p w:rsidR="00FB4E32" w:rsidRDefault="00FB4E32" w:rsidP="00405192">
                      <w:pPr>
                        <w:rPr>
                          <w:rFonts w:cs="Arial"/>
                        </w:rPr>
                      </w:pPr>
                      <w:r w:rsidRPr="0000739E">
                        <w:rPr>
                          <w:rFonts w:cs="Arial"/>
                        </w:rPr>
                        <w:t>Deadline for Tender Responses:</w:t>
                      </w:r>
                      <w:r w:rsidRPr="006D645F">
                        <w:rPr>
                          <w:rFonts w:cs="Arial"/>
                          <w:sz w:val="24"/>
                          <w:szCs w:val="24"/>
                        </w:rPr>
                        <w:t xml:space="preserve"> </w:t>
                      </w:r>
                    </w:p>
                    <w:p w:rsidR="00FB4E32" w:rsidRDefault="00FB4E32" w:rsidP="003F2838">
                      <w:pPr>
                        <w:rPr>
                          <w:rFonts w:cs="Arial"/>
                        </w:rPr>
                      </w:pPr>
                    </w:p>
                    <w:p w:rsidR="00FB4E32" w:rsidRDefault="00FB4E32" w:rsidP="003F2838">
                      <w:pPr>
                        <w:rPr>
                          <w:rFonts w:cs="Arial"/>
                        </w:rPr>
                      </w:pPr>
                    </w:p>
                    <w:p w:rsidR="00FB4E32" w:rsidRPr="0000739E" w:rsidRDefault="00FB4E32" w:rsidP="003F2838">
                      <w:pPr>
                        <w:rPr>
                          <w:rFonts w:cs="Arial"/>
                        </w:rPr>
                      </w:pPr>
                    </w:p>
                    <w:p w:rsidR="00FB4E32" w:rsidRDefault="00FB4E32" w:rsidP="003F2838"/>
                    <w:p w:rsidR="00FB4E32" w:rsidRDefault="00FB4E32" w:rsidP="003F2838"/>
                    <w:p w:rsidR="00FB4E32" w:rsidRDefault="00FB4E32" w:rsidP="003F2838"/>
                    <w:p w:rsidR="00FB4E32" w:rsidRDefault="00FB4E32"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4" w:name="_Toc405889394"/>
      <w:bookmarkStart w:id="7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4"/>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322BEF">
      <w:pPr>
        <w:numPr>
          <w:ilvl w:val="0"/>
          <w:numId w:val="33"/>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6"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6"/>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7"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7"/>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BF75EC">
      <w:pPr>
        <w:widowControl/>
        <w:numPr>
          <w:ilvl w:val="0"/>
          <w:numId w:val="5"/>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322BEF">
      <w:pPr>
        <w:widowControl/>
        <w:numPr>
          <w:ilvl w:val="0"/>
          <w:numId w:val="28"/>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rsidR="00074692" w:rsidRPr="001A6487" w:rsidRDefault="00074692" w:rsidP="00BF75EC">
      <w:pPr>
        <w:widowControl/>
        <w:numPr>
          <w:ilvl w:val="0"/>
          <w:numId w:val="6"/>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rsidR="0096045F" w:rsidRPr="005D027D" w:rsidRDefault="0096045F" w:rsidP="005D027D">
      <w:pPr>
        <w:pStyle w:val="Heading1"/>
        <w:rPr>
          <w:rFonts w:ascii="Arial" w:hAnsi="Arial" w:cs="Arial"/>
          <w:sz w:val="24"/>
          <w:szCs w:val="24"/>
        </w:rPr>
      </w:pPr>
      <w:bookmarkStart w:id="78"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8"/>
    </w:p>
    <w:p w:rsidR="0096045F" w:rsidRPr="00666381" w:rsidRDefault="0096045F" w:rsidP="00666381">
      <w:pPr>
        <w:jc w:val="both"/>
        <w:rPr>
          <w:rFonts w:cs="Arial"/>
          <w:color w:val="000000"/>
          <w:sz w:val="24"/>
          <w:szCs w:val="24"/>
        </w:rPr>
      </w:pPr>
    </w:p>
    <w:p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rsidR="0096045F" w:rsidRPr="00666381" w:rsidRDefault="0096045F" w:rsidP="00666381">
      <w:pPr>
        <w:jc w:val="both"/>
        <w:rPr>
          <w:rFonts w:cs="Arial"/>
          <w:sz w:val="24"/>
          <w:szCs w:val="24"/>
        </w:rPr>
      </w:pPr>
    </w:p>
    <w:p w:rsidR="0096045F" w:rsidRPr="00666381" w:rsidRDefault="0096045F" w:rsidP="00666381">
      <w:pPr>
        <w:jc w:val="both"/>
        <w:rPr>
          <w:rFonts w:cs="Arial"/>
          <w:sz w:val="24"/>
          <w:szCs w:val="24"/>
        </w:rPr>
      </w:pPr>
      <w:r w:rsidRPr="00666381">
        <w:rPr>
          <w:rFonts w:cs="Arial"/>
          <w:sz w:val="24"/>
          <w:szCs w:val="24"/>
        </w:rPr>
        <w:t>Please state ‘Yes’ or ‘No’ to each question.</w:t>
      </w:r>
    </w:p>
    <w:p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rsidTr="00666381">
        <w:trPr>
          <w:trHeight w:val="936"/>
        </w:trPr>
        <w:tc>
          <w:tcPr>
            <w:tcW w:w="7905" w:type="dxa"/>
          </w:tcPr>
          <w:p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666381" w:rsidRDefault="0096045F" w:rsidP="00666381">
            <w:pPr>
              <w:rPr>
                <w:rFonts w:cs="Arial"/>
                <w:b/>
                <w:sz w:val="24"/>
                <w:szCs w:val="24"/>
              </w:rPr>
            </w:pPr>
            <w:r w:rsidRPr="00666381">
              <w:rPr>
                <w:rFonts w:cs="Arial"/>
                <w:b/>
                <w:sz w:val="24"/>
                <w:szCs w:val="24"/>
              </w:rPr>
              <w:t>Answer</w:t>
            </w:r>
          </w:p>
        </w:tc>
      </w:tr>
      <w:tr w:rsidR="0096045F" w:rsidRPr="00666381" w:rsidTr="00666381">
        <w:trPr>
          <w:trHeight w:val="1544"/>
        </w:trPr>
        <w:tc>
          <w:tcPr>
            <w:tcW w:w="7905" w:type="dxa"/>
          </w:tcPr>
          <w:p w:rsidR="0096045F" w:rsidRPr="00666381" w:rsidRDefault="0096045F" w:rsidP="00322BEF">
            <w:pPr>
              <w:numPr>
                <w:ilvl w:val="0"/>
                <w:numId w:val="10"/>
              </w:numPr>
              <w:tabs>
                <w:tab w:val="num" w:pos="0"/>
              </w:tabs>
              <w:rPr>
                <w:rFonts w:cs="Arial"/>
                <w:sz w:val="24"/>
                <w:szCs w:val="24"/>
              </w:rPr>
            </w:pPr>
            <w:bookmarkStart w:id="79" w:name="_Ref380583878"/>
            <w:r w:rsidRPr="00666381">
              <w:rPr>
                <w:rFonts w:cs="Arial"/>
                <w:sz w:val="24"/>
                <w:szCs w:val="24"/>
              </w:rPr>
              <w:t xml:space="preserve">conspiracy within the meaning of </w:t>
            </w:r>
            <w:hyperlink r:id="rId19"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9"/>
            <w:r w:rsidRPr="00666381">
              <w:rPr>
                <w:rFonts w:cs="Arial"/>
                <w:sz w:val="24"/>
                <w:szCs w:val="24"/>
              </w:rPr>
              <w:t xml:space="preserve"> </w:t>
            </w:r>
          </w:p>
        </w:tc>
        <w:tc>
          <w:tcPr>
            <w:tcW w:w="1337" w:type="dxa"/>
          </w:tcPr>
          <w:p w:rsidR="0096045F" w:rsidRPr="00666381" w:rsidRDefault="0096045F" w:rsidP="00666381">
            <w:pPr>
              <w:rPr>
                <w:rFonts w:cs="Arial"/>
                <w:sz w:val="24"/>
                <w:szCs w:val="24"/>
              </w:rPr>
            </w:pPr>
          </w:p>
        </w:tc>
      </w:tr>
      <w:tr w:rsidR="0096045F" w:rsidRPr="00666381" w:rsidTr="00EB6286">
        <w:trPr>
          <w:trHeight w:val="1255"/>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 xml:space="preserve">corruption within the meaning of </w:t>
            </w:r>
            <w:hyperlink r:id="rId20"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21"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6"/>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rsidR="0096045F" w:rsidRPr="00666381" w:rsidRDefault="0096045F" w:rsidP="00666381">
            <w:pPr>
              <w:rPr>
                <w:rFonts w:cs="Arial"/>
                <w:sz w:val="24"/>
                <w:szCs w:val="24"/>
              </w:rPr>
            </w:pPr>
          </w:p>
        </w:tc>
      </w:tr>
      <w:tr w:rsidR="0096045F" w:rsidRPr="00666381" w:rsidTr="00EB6286">
        <w:trPr>
          <w:trHeight w:val="703"/>
        </w:trPr>
        <w:tc>
          <w:tcPr>
            <w:tcW w:w="7905" w:type="dxa"/>
          </w:tcPr>
          <w:p w:rsidR="0096045F" w:rsidRPr="00666381" w:rsidRDefault="0096045F" w:rsidP="00322BEF">
            <w:pPr>
              <w:numPr>
                <w:ilvl w:val="0"/>
                <w:numId w:val="11"/>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rsidR="0096045F" w:rsidRPr="00666381" w:rsidRDefault="0096045F" w:rsidP="00666381">
            <w:pPr>
              <w:rPr>
                <w:rFonts w:cs="Arial"/>
                <w:sz w:val="24"/>
                <w:szCs w:val="24"/>
              </w:rPr>
            </w:pPr>
          </w:p>
        </w:tc>
      </w:tr>
      <w:tr w:rsidR="0096045F" w:rsidRPr="00666381" w:rsidTr="00EB6286">
        <w:trPr>
          <w:trHeight w:val="1265"/>
        </w:trPr>
        <w:tc>
          <w:tcPr>
            <w:tcW w:w="7905" w:type="dxa"/>
          </w:tcPr>
          <w:p w:rsidR="00666381" w:rsidRPr="00666381" w:rsidRDefault="0096045F" w:rsidP="00322BEF">
            <w:pPr>
              <w:numPr>
                <w:ilvl w:val="0"/>
                <w:numId w:val="11"/>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666381" w:rsidRDefault="0096045F" w:rsidP="00666381">
            <w:pPr>
              <w:rPr>
                <w:rFonts w:cs="Arial"/>
                <w:sz w:val="24"/>
                <w:szCs w:val="24"/>
              </w:rPr>
            </w:pPr>
          </w:p>
        </w:tc>
      </w:tr>
      <w:tr w:rsidR="0096045F" w:rsidRPr="00666381" w:rsidTr="00EB6286">
        <w:trPr>
          <w:trHeight w:val="419"/>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cheating the Revenue;</w:t>
            </w:r>
          </w:p>
        </w:tc>
        <w:tc>
          <w:tcPr>
            <w:tcW w:w="1337" w:type="dxa"/>
          </w:tcPr>
          <w:p w:rsidR="0096045F" w:rsidRPr="00666381" w:rsidRDefault="0096045F" w:rsidP="00666381">
            <w:pPr>
              <w:rPr>
                <w:rFonts w:cs="Arial"/>
                <w:sz w:val="24"/>
                <w:szCs w:val="24"/>
              </w:rPr>
            </w:pPr>
          </w:p>
        </w:tc>
      </w:tr>
      <w:tr w:rsidR="0096045F" w:rsidRPr="00666381" w:rsidTr="00EB6286">
        <w:trPr>
          <w:trHeight w:val="411"/>
        </w:trPr>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the offence of conspiracy to defraud;</w:t>
            </w: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96045F" w:rsidP="00322BEF">
            <w:pPr>
              <w:numPr>
                <w:ilvl w:val="0"/>
                <w:numId w:val="12"/>
              </w:numPr>
              <w:rPr>
                <w:rFonts w:cs="Arial"/>
                <w:sz w:val="24"/>
                <w:szCs w:val="24"/>
              </w:rPr>
            </w:pPr>
            <w:r w:rsidRPr="00666381">
              <w:rPr>
                <w:rFonts w:cs="Arial"/>
                <w:sz w:val="24"/>
                <w:szCs w:val="24"/>
              </w:rPr>
              <w:t xml:space="preserve">fraud or theft within the meaning of the </w:t>
            </w:r>
            <w:hyperlink r:id="rId22"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666381"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3"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rsidR="0096045F" w:rsidRPr="00666381" w:rsidRDefault="0096045F" w:rsidP="00666381">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EB6286" w:rsidRDefault="0096045F" w:rsidP="00322BEF">
            <w:pPr>
              <w:numPr>
                <w:ilvl w:val="0"/>
                <w:numId w:val="12"/>
              </w:numPr>
              <w:rPr>
                <w:rFonts w:cs="Arial"/>
                <w:sz w:val="24"/>
                <w:szCs w:val="24"/>
              </w:rPr>
            </w:pPr>
            <w:r w:rsidRPr="00666381">
              <w:rPr>
                <w:rFonts w:cs="Arial"/>
                <w:sz w:val="24"/>
                <w:szCs w:val="24"/>
              </w:rPr>
              <w:t xml:space="preserve">fraudulent evasion within the meaning of section 170 of the </w:t>
            </w:r>
            <w:hyperlink r:id="rId24"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5"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rsidR="00EB6286" w:rsidRDefault="00EB6286" w:rsidP="00EB6286">
            <w:pPr>
              <w:rPr>
                <w:rFonts w:cs="Arial"/>
                <w:sz w:val="24"/>
                <w:szCs w:val="24"/>
              </w:rPr>
            </w:pPr>
          </w:p>
          <w:p w:rsidR="00EB6286" w:rsidRPr="00666381" w:rsidRDefault="00EB6286" w:rsidP="00EB6286">
            <w:pPr>
              <w:rPr>
                <w:rFonts w:cs="Arial"/>
                <w:sz w:val="24"/>
                <w:szCs w:val="24"/>
              </w:rPr>
            </w:pPr>
          </w:p>
        </w:tc>
        <w:tc>
          <w:tcPr>
            <w:tcW w:w="1337" w:type="dxa"/>
          </w:tcPr>
          <w:p w:rsidR="0096045F" w:rsidRPr="00666381" w:rsidRDefault="0096045F" w:rsidP="00666381">
            <w:pPr>
              <w:rPr>
                <w:rFonts w:cs="Arial"/>
                <w:sz w:val="24"/>
                <w:szCs w:val="24"/>
              </w:rPr>
            </w:pPr>
          </w:p>
        </w:tc>
      </w:tr>
      <w:tr w:rsidR="0096045F" w:rsidRPr="00666381" w:rsidTr="00666381">
        <w:tc>
          <w:tcPr>
            <w:tcW w:w="7905" w:type="dxa"/>
          </w:tcPr>
          <w:p w:rsidR="0096045F" w:rsidRPr="00666381" w:rsidRDefault="00EB6286" w:rsidP="00322BEF">
            <w:pPr>
              <w:numPr>
                <w:ilvl w:val="0"/>
                <w:numId w:val="12"/>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rsidR="0096045F" w:rsidRPr="00666381" w:rsidRDefault="0096045F" w:rsidP="00666381">
            <w:pPr>
              <w:rPr>
                <w:rFonts w:cs="Arial"/>
                <w:sz w:val="24"/>
                <w:szCs w:val="24"/>
              </w:rPr>
            </w:pPr>
          </w:p>
        </w:tc>
      </w:tr>
      <w:tr w:rsidR="00EB6286" w:rsidRPr="00666381" w:rsidTr="00666381">
        <w:tc>
          <w:tcPr>
            <w:tcW w:w="7905" w:type="dxa"/>
          </w:tcPr>
          <w:p w:rsidR="00EB6286" w:rsidRPr="00666381" w:rsidRDefault="00EB6286" w:rsidP="00322BEF">
            <w:pPr>
              <w:numPr>
                <w:ilvl w:val="0"/>
                <w:numId w:val="12"/>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6"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2"/>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rsidR="00EB6286" w:rsidRPr="00666381" w:rsidRDefault="00EB6286" w:rsidP="00666381">
            <w:pPr>
              <w:rPr>
                <w:rFonts w:cs="Arial"/>
                <w:sz w:val="24"/>
                <w:szCs w:val="24"/>
              </w:rPr>
            </w:pPr>
          </w:p>
        </w:tc>
      </w:tr>
      <w:tr w:rsidR="00EB6286" w:rsidRPr="00666381" w:rsidTr="00666381">
        <w:tc>
          <w:tcPr>
            <w:tcW w:w="7905" w:type="dxa"/>
          </w:tcPr>
          <w:p w:rsidR="00EB6286" w:rsidRPr="00EB6286" w:rsidRDefault="00EB6286" w:rsidP="00322BEF">
            <w:pPr>
              <w:numPr>
                <w:ilvl w:val="0"/>
                <w:numId w:val="11"/>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rsidR="00EB6286" w:rsidRPr="00666381" w:rsidRDefault="00EB6286" w:rsidP="00666381">
            <w:pPr>
              <w:rPr>
                <w:rFonts w:cs="Arial"/>
                <w:sz w:val="24"/>
                <w:szCs w:val="24"/>
              </w:rPr>
            </w:pPr>
          </w:p>
        </w:tc>
      </w:tr>
      <w:bookmarkEnd w:id="75"/>
    </w:tbl>
    <w:p w:rsidR="008937AF" w:rsidRDefault="008937AF" w:rsidP="00CC0200">
      <w:pPr>
        <w:rPr>
          <w:rFonts w:ascii="Calibri" w:hAnsi="Calibri" w:cs="Calibri"/>
        </w:rPr>
      </w:pPr>
    </w:p>
    <w:p w:rsidR="00FE4EB9" w:rsidRDefault="008937AF" w:rsidP="008937AF">
      <w:pPr>
        <w:pStyle w:val="Heading1"/>
        <w:rPr>
          <w:rFonts w:ascii="Calibri" w:hAnsi="Calibri" w:cs="Calibri"/>
        </w:rPr>
      </w:pPr>
      <w:r>
        <w:rPr>
          <w:rFonts w:ascii="Calibri" w:hAnsi="Calibri" w:cs="Calibri"/>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FB4E32" w:rsidRPr="00CC0200" w:rsidRDefault="00FB4E32" w:rsidP="00CC0200">
                            <w:pPr>
                              <w:jc w:val="center"/>
                              <w:rPr>
                                <w:b/>
                              </w:rPr>
                            </w:pPr>
                          </w:p>
                          <w:p w:rsidR="00FB4E32" w:rsidRPr="00CC0200" w:rsidRDefault="00FB4E32" w:rsidP="00CC0200">
                            <w:pPr>
                              <w:jc w:val="center"/>
                              <w:rPr>
                                <w:b/>
                                <w:sz w:val="28"/>
                                <w:szCs w:val="28"/>
                              </w:rPr>
                            </w:pPr>
                            <w:r>
                              <w:rPr>
                                <w:b/>
                                <w:sz w:val="28"/>
                                <w:szCs w:val="28"/>
                              </w:rPr>
                              <w:t>Annex A</w:t>
                            </w:r>
                            <w:r w:rsidRPr="00CC0200">
                              <w:rPr>
                                <w:b/>
                                <w:sz w:val="28"/>
                                <w:szCs w:val="28"/>
                              </w:rPr>
                              <w:t>: Pricing Schedule</w:t>
                            </w:r>
                          </w:p>
                          <w:p w:rsidR="00FB4E32" w:rsidRPr="00CC0200" w:rsidRDefault="00FB4E32" w:rsidP="00CC0200">
                            <w:pPr>
                              <w:rPr>
                                <w:rFonts w:cs="Arial"/>
                                <w:sz w:val="28"/>
                                <w:szCs w:val="28"/>
                              </w:rPr>
                            </w:pPr>
                          </w:p>
                          <w:p w:rsidR="00FB4E32" w:rsidRPr="0000739E" w:rsidRDefault="00FB4E32" w:rsidP="00CC0200">
                            <w:pPr>
                              <w:rPr>
                                <w:rFonts w:cs="Arial"/>
                              </w:rPr>
                            </w:pPr>
                          </w:p>
                          <w:p w:rsidR="00FB4E32" w:rsidRDefault="00FB4E32" w:rsidP="00CC0200"/>
                          <w:p w:rsidR="00FB4E32" w:rsidRDefault="00FB4E32" w:rsidP="00CC0200"/>
                          <w:p w:rsidR="00FB4E32" w:rsidRDefault="00FB4E32" w:rsidP="00CC0200"/>
                          <w:p w:rsidR="00FB4E32" w:rsidRDefault="00FB4E3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FB4E32" w:rsidRPr="00CC0200" w:rsidRDefault="00FB4E32" w:rsidP="00CC0200">
                      <w:pPr>
                        <w:jc w:val="center"/>
                        <w:rPr>
                          <w:b/>
                        </w:rPr>
                      </w:pPr>
                    </w:p>
                    <w:p w:rsidR="00FB4E32" w:rsidRPr="00CC0200" w:rsidRDefault="00FB4E32" w:rsidP="00CC0200">
                      <w:pPr>
                        <w:jc w:val="center"/>
                        <w:rPr>
                          <w:b/>
                          <w:sz w:val="28"/>
                          <w:szCs w:val="28"/>
                        </w:rPr>
                      </w:pPr>
                      <w:r>
                        <w:rPr>
                          <w:b/>
                          <w:sz w:val="28"/>
                          <w:szCs w:val="28"/>
                        </w:rPr>
                        <w:t>Annex A</w:t>
                      </w:r>
                      <w:r w:rsidRPr="00CC0200">
                        <w:rPr>
                          <w:b/>
                          <w:sz w:val="28"/>
                          <w:szCs w:val="28"/>
                        </w:rPr>
                        <w:t>: Pricing Schedule</w:t>
                      </w:r>
                    </w:p>
                    <w:p w:rsidR="00FB4E32" w:rsidRPr="00CC0200" w:rsidRDefault="00FB4E32" w:rsidP="00CC0200">
                      <w:pPr>
                        <w:rPr>
                          <w:rFonts w:cs="Arial"/>
                          <w:sz w:val="28"/>
                          <w:szCs w:val="28"/>
                        </w:rPr>
                      </w:pPr>
                    </w:p>
                    <w:p w:rsidR="00FB4E32" w:rsidRPr="0000739E" w:rsidRDefault="00FB4E32" w:rsidP="00CC0200">
                      <w:pPr>
                        <w:rPr>
                          <w:rFonts w:cs="Arial"/>
                        </w:rPr>
                      </w:pPr>
                    </w:p>
                    <w:p w:rsidR="00FB4E32" w:rsidRDefault="00FB4E32" w:rsidP="00CC0200"/>
                    <w:p w:rsidR="00FB4E32" w:rsidRDefault="00FB4E32" w:rsidP="00CC0200"/>
                    <w:p w:rsidR="00FB4E32" w:rsidRDefault="00FB4E32" w:rsidP="00CC0200"/>
                    <w:p w:rsidR="00FB4E32" w:rsidRDefault="00FB4E32"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8937AF" w:rsidRPr="009B1633" w:rsidRDefault="008937AF" w:rsidP="008F2B68">
      <w:pPr>
        <w:widowControl/>
        <w:overflowPunct/>
        <w:autoSpaceDE/>
        <w:autoSpaceDN/>
        <w:adjustRightInd/>
        <w:spacing w:line="360" w:lineRule="atLeast"/>
        <w:textAlignment w:val="auto"/>
        <w:rPr>
          <w:rFonts w:ascii="Calibri" w:hAnsi="Calibri" w:cs="Calibri"/>
        </w:rPr>
      </w:pPr>
    </w:p>
    <w:sectPr w:rsidR="008937AF" w:rsidRPr="009B1633" w:rsidSect="005F738A">
      <w:headerReference w:type="default" r:id="rId27"/>
      <w:footerReference w:type="default" r:id="rId28"/>
      <w:head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A51" w:rsidRDefault="00960A51" w:rsidP="00EB43D8">
      <w:r>
        <w:separator/>
      </w:r>
    </w:p>
  </w:endnote>
  <w:endnote w:type="continuationSeparator" w:id="0">
    <w:p w:rsidR="00960A51" w:rsidRDefault="00960A5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32" w:rsidRDefault="00FB4E32" w:rsidP="00602CDD">
    <w:pPr>
      <w:pStyle w:val="Footer"/>
      <w:pBdr>
        <w:top w:val="single" w:sz="4" w:space="1" w:color="D9D9D9"/>
      </w:pBdr>
      <w:jc w:val="right"/>
    </w:pPr>
    <w:r>
      <w:fldChar w:fldCharType="begin"/>
    </w:r>
    <w:r>
      <w:instrText xml:space="preserve"> PAGE   \* MERGEFORMAT </w:instrText>
    </w:r>
    <w:r>
      <w:fldChar w:fldCharType="separate"/>
    </w:r>
    <w:r w:rsidR="00FA7063">
      <w:rPr>
        <w:noProof/>
      </w:rPr>
      <w:t>27</w:t>
    </w:r>
    <w:r>
      <w:rPr>
        <w:noProof/>
      </w:rPr>
      <w:fldChar w:fldCharType="end"/>
    </w:r>
    <w:r>
      <w:t xml:space="preserve"> | </w:t>
    </w:r>
    <w:r w:rsidRPr="00602CDD">
      <w:rPr>
        <w:color w:val="808080"/>
        <w:spacing w:val="60"/>
      </w:rPr>
      <w:t>Page</w:t>
    </w:r>
  </w:p>
  <w:p w:rsidR="00FB4E32" w:rsidRDefault="00FB4E3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A51" w:rsidRDefault="00960A51" w:rsidP="00EB43D8">
      <w:r>
        <w:separator/>
      </w:r>
    </w:p>
  </w:footnote>
  <w:footnote w:type="continuationSeparator" w:id="0">
    <w:p w:rsidR="00960A51" w:rsidRDefault="00960A51" w:rsidP="00EB43D8">
      <w:r>
        <w:continuationSeparator/>
      </w:r>
    </w:p>
  </w:footnote>
  <w:footnote w:id="1">
    <w:p w:rsidR="00FB4E32" w:rsidRDefault="00FB4E32" w:rsidP="0073441B">
      <w:pPr>
        <w:pStyle w:val="FootnoteText"/>
      </w:pPr>
      <w:r>
        <w:rPr>
          <w:rStyle w:val="FootnoteReference"/>
        </w:rPr>
        <w:footnoteRef/>
      </w:r>
      <w:r>
        <w:t xml:space="preserve"> [footnote 1]: Any contract resulting from this ITT is signed for the Secretary of State for Energy and</w:t>
      </w:r>
    </w:p>
    <w:p w:rsidR="00FB4E32" w:rsidRDefault="00FB4E32" w:rsidP="0073441B">
      <w:pPr>
        <w:pStyle w:val="FootnoteText"/>
      </w:pPr>
      <w:r>
        <w:t>Climate Change, as the new office of Secretary of State for Business,</w:t>
      </w:r>
    </w:p>
    <w:p w:rsidR="00FB4E32" w:rsidRDefault="00FB4E32" w:rsidP="0073441B">
      <w:pPr>
        <w:pStyle w:val="FootnoteText"/>
      </w:pPr>
      <w:r>
        <w:t>Energy and Industrial Strategy has yet to be constituted as a corporation sole.</w:t>
      </w:r>
    </w:p>
    <w:p w:rsidR="00FB4E32" w:rsidRDefault="00FB4E32" w:rsidP="0073441B">
      <w:pPr>
        <w:pStyle w:val="FootnoteText"/>
      </w:pPr>
      <w:r>
        <w:t>It is expected that rights and liabilities of the Secretary of State for Energy and</w:t>
      </w:r>
    </w:p>
    <w:p w:rsidR="00FB4E32" w:rsidRDefault="00FB4E32" w:rsidP="0073441B">
      <w:pPr>
        <w:pStyle w:val="FootnoteText"/>
      </w:pPr>
      <w:r>
        <w:t>Climate Change, including this Contract, will in due course be transferred to</w:t>
      </w:r>
    </w:p>
    <w:p w:rsidR="00FB4E32" w:rsidRDefault="00FB4E32" w:rsidP="0073441B">
      <w:pPr>
        <w:pStyle w:val="FootnoteText"/>
      </w:pPr>
      <w:r>
        <w:t>the Secretary of State for Business, Energy and Industrial Strategy by an</w:t>
      </w:r>
    </w:p>
    <w:p w:rsidR="00FB4E32" w:rsidRDefault="00FB4E32" w:rsidP="0073441B">
      <w:pPr>
        <w:pStyle w:val="FootnoteText"/>
      </w:pPr>
      <w:r>
        <w:t>Order in Council under section 2 of the Ministers of the Crown Act 1975.</w:t>
      </w:r>
    </w:p>
  </w:footnote>
  <w:footnote w:id="2">
    <w:p w:rsidR="00FB4E32" w:rsidRPr="00532DCC" w:rsidRDefault="00FB4E32"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rsidR="00FB4E32" w:rsidRPr="00532DCC" w:rsidRDefault="00FB4E32" w:rsidP="000F6F82">
      <w:pPr>
        <w:ind w:left="720" w:hanging="720"/>
        <w:rPr>
          <w:rFonts w:cs="Arial"/>
        </w:rPr>
      </w:pPr>
      <w:r w:rsidRPr="00532DCC">
        <w:rPr>
          <w:rFonts w:cs="Arial"/>
        </w:rPr>
        <w:t>Climate Change, as the new office of Secretary of State for Business,</w:t>
      </w:r>
    </w:p>
    <w:p w:rsidR="00FB4E32" w:rsidRPr="00532DCC" w:rsidRDefault="00FB4E32" w:rsidP="000F6F82">
      <w:pPr>
        <w:ind w:left="720" w:hanging="720"/>
        <w:rPr>
          <w:rFonts w:cs="Arial"/>
        </w:rPr>
      </w:pPr>
      <w:r w:rsidRPr="00532DCC">
        <w:rPr>
          <w:rFonts w:cs="Arial"/>
        </w:rPr>
        <w:t>Energy and Industrial Strategy has yet to be constituted as a corporation sole.</w:t>
      </w:r>
    </w:p>
    <w:p w:rsidR="00FB4E32" w:rsidRPr="00532DCC" w:rsidRDefault="00FB4E32" w:rsidP="000F6F82">
      <w:pPr>
        <w:ind w:left="720" w:hanging="720"/>
        <w:rPr>
          <w:rFonts w:cs="Arial"/>
        </w:rPr>
      </w:pPr>
      <w:r w:rsidRPr="00532DCC">
        <w:rPr>
          <w:rFonts w:cs="Arial"/>
        </w:rPr>
        <w:t>It is expected that rights and liabilities of the Secretary of State for Energy and</w:t>
      </w:r>
    </w:p>
    <w:p w:rsidR="00FB4E32" w:rsidRPr="00532DCC" w:rsidRDefault="00FB4E32"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rsidR="00FB4E32" w:rsidRPr="00532DCC" w:rsidRDefault="00FB4E32" w:rsidP="000F6F82">
      <w:pPr>
        <w:ind w:left="720" w:hanging="720"/>
        <w:rPr>
          <w:rFonts w:cs="Arial"/>
        </w:rPr>
      </w:pPr>
      <w:r w:rsidRPr="00532DCC">
        <w:rPr>
          <w:rFonts w:cs="Arial"/>
        </w:rPr>
        <w:t>the Secretary of State for Business, Energy and Industrial Strategy by an</w:t>
      </w:r>
    </w:p>
    <w:p w:rsidR="00FB4E32" w:rsidRDefault="00FB4E32" w:rsidP="000F6F82">
      <w:pPr>
        <w:pStyle w:val="FootnoteText"/>
      </w:pPr>
      <w:r w:rsidRPr="00532DCC">
        <w:rPr>
          <w:rFonts w:ascii="Arial" w:hAnsi="Arial" w:cs="Arial"/>
        </w:rPr>
        <w:t>Order in Council under section 2 of the Ministers of the Crown Act 1975.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32" w:rsidRPr="00602CDD" w:rsidRDefault="00FB4E3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32" w:rsidRDefault="00FB4E32" w:rsidP="00E70DD8">
    <w:pPr>
      <w:pStyle w:val="Header"/>
      <w:jc w:val="right"/>
    </w:pPr>
    <w:bookmarkStart w:id="80" w:name="Help_with_calc"/>
    <w:bookmarkEnd w:id="80"/>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D1277"/>
    <w:multiLevelType w:val="hybridMultilevel"/>
    <w:tmpl w:val="DCEE3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nsid w:val="588D6BBD"/>
    <w:multiLevelType w:val="hybridMultilevel"/>
    <w:tmpl w:val="24FEA2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7">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0"/>
  </w:num>
  <w:num w:numId="2">
    <w:abstractNumId w:val="6"/>
  </w:num>
  <w:num w:numId="3">
    <w:abstractNumId w:val="43"/>
  </w:num>
  <w:num w:numId="4">
    <w:abstractNumId w:val="12"/>
  </w:num>
  <w:num w:numId="5">
    <w:abstractNumId w:val="0"/>
  </w:num>
  <w:num w:numId="6">
    <w:abstractNumId w:val="22"/>
  </w:num>
  <w:num w:numId="7">
    <w:abstractNumId w:val="19"/>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46"/>
  </w:num>
  <w:num w:numId="11">
    <w:abstractNumId w:val="39"/>
  </w:num>
  <w:num w:numId="12">
    <w:abstractNumId w:val="17"/>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num>
  <w:num w:numId="17">
    <w:abstractNumId w:val="10"/>
  </w:num>
  <w:num w:numId="18">
    <w:abstractNumId w:val="24"/>
  </w:num>
  <w:num w:numId="19">
    <w:abstractNumId w:val="4"/>
  </w:num>
  <w:num w:numId="20">
    <w:abstractNumId w:val="41"/>
  </w:num>
  <w:num w:numId="21">
    <w:abstractNumId w:val="38"/>
  </w:num>
  <w:num w:numId="22">
    <w:abstractNumId w:val="5"/>
  </w:num>
  <w:num w:numId="23">
    <w:abstractNumId w:val="42"/>
  </w:num>
  <w:num w:numId="24">
    <w:abstractNumId w:val="29"/>
  </w:num>
  <w:num w:numId="25">
    <w:abstractNumId w:val="9"/>
  </w:num>
  <w:num w:numId="26">
    <w:abstractNumId w:val="28"/>
  </w:num>
  <w:num w:numId="27">
    <w:abstractNumId w:val="8"/>
  </w:num>
  <w:num w:numId="28">
    <w:abstractNumId w:val="18"/>
  </w:num>
  <w:num w:numId="29">
    <w:abstractNumId w:val="32"/>
  </w:num>
  <w:num w:numId="30">
    <w:abstractNumId w:val="36"/>
  </w:num>
  <w:num w:numId="31">
    <w:abstractNumId w:val="15"/>
  </w:num>
  <w:num w:numId="32">
    <w:abstractNumId w:val="23"/>
  </w:num>
  <w:num w:numId="33">
    <w:abstractNumId w:val="44"/>
  </w:num>
  <w:num w:numId="34">
    <w:abstractNumId w:val="25"/>
  </w:num>
  <w:num w:numId="35">
    <w:abstractNumId w:val="7"/>
  </w:num>
  <w:num w:numId="36">
    <w:abstractNumId w:val="47"/>
  </w:num>
  <w:num w:numId="37">
    <w:abstractNumId w:val="14"/>
  </w:num>
  <w:num w:numId="38">
    <w:abstractNumId w:val="21"/>
  </w:num>
  <w:num w:numId="39">
    <w:abstractNumId w:val="26"/>
  </w:num>
  <w:num w:numId="40">
    <w:abstractNumId w:val="37"/>
  </w:num>
  <w:num w:numId="41">
    <w:abstractNumId w:val="11"/>
  </w:num>
  <w:num w:numId="42">
    <w:abstractNumId w:val="2"/>
  </w:num>
  <w:num w:numId="43">
    <w:abstractNumId w:val="13"/>
  </w:num>
  <w:num w:numId="44">
    <w:abstractNumId w:val="40"/>
  </w:num>
  <w:num w:numId="45">
    <w:abstractNumId w:val="51"/>
  </w:num>
  <w:num w:numId="46">
    <w:abstractNumId w:val="16"/>
  </w:num>
  <w:num w:numId="47">
    <w:abstractNumId w:val="20"/>
  </w:num>
  <w:num w:numId="48">
    <w:abstractNumId w:val="48"/>
  </w:num>
  <w:num w:numId="49">
    <w:abstractNumId w:val="33"/>
  </w:num>
  <w:num w:numId="50">
    <w:abstractNumId w:val="30"/>
  </w:num>
  <w:num w:numId="51">
    <w:abstractNumId w:val="1"/>
  </w:num>
  <w:num w:numId="52">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60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0C04"/>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B91"/>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E7E15"/>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C0E"/>
    <w:rsid w:val="00210D71"/>
    <w:rsid w:val="00211193"/>
    <w:rsid w:val="00211562"/>
    <w:rsid w:val="00212DA5"/>
    <w:rsid w:val="00213F1A"/>
    <w:rsid w:val="002152CC"/>
    <w:rsid w:val="0021679F"/>
    <w:rsid w:val="0021724C"/>
    <w:rsid w:val="002174A1"/>
    <w:rsid w:val="00220792"/>
    <w:rsid w:val="002208AE"/>
    <w:rsid w:val="00220BBB"/>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4301"/>
    <w:rsid w:val="00255013"/>
    <w:rsid w:val="00255185"/>
    <w:rsid w:val="002563B4"/>
    <w:rsid w:val="0025697D"/>
    <w:rsid w:val="00261414"/>
    <w:rsid w:val="00262AF5"/>
    <w:rsid w:val="00262ED1"/>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1765"/>
    <w:rsid w:val="00332155"/>
    <w:rsid w:val="00332962"/>
    <w:rsid w:val="003347BC"/>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C80"/>
    <w:rsid w:val="00347E70"/>
    <w:rsid w:val="003505B8"/>
    <w:rsid w:val="00350882"/>
    <w:rsid w:val="003508FB"/>
    <w:rsid w:val="003510BA"/>
    <w:rsid w:val="00351C94"/>
    <w:rsid w:val="00355955"/>
    <w:rsid w:val="003563F7"/>
    <w:rsid w:val="003604FC"/>
    <w:rsid w:val="00361E98"/>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400"/>
    <w:rsid w:val="003B39F1"/>
    <w:rsid w:val="003B59CB"/>
    <w:rsid w:val="003B5BDE"/>
    <w:rsid w:val="003B5CAF"/>
    <w:rsid w:val="003B7A5E"/>
    <w:rsid w:val="003B7AD7"/>
    <w:rsid w:val="003B7D7A"/>
    <w:rsid w:val="003C0416"/>
    <w:rsid w:val="003C06AA"/>
    <w:rsid w:val="003C090F"/>
    <w:rsid w:val="003C16BA"/>
    <w:rsid w:val="003C1CE8"/>
    <w:rsid w:val="003C1DD1"/>
    <w:rsid w:val="003C22D0"/>
    <w:rsid w:val="003C33BD"/>
    <w:rsid w:val="003C4E33"/>
    <w:rsid w:val="003C4EB1"/>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4FCF"/>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78"/>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4DA"/>
    <w:rsid w:val="004F1892"/>
    <w:rsid w:val="004F1A44"/>
    <w:rsid w:val="004F2655"/>
    <w:rsid w:val="004F2AF6"/>
    <w:rsid w:val="004F444A"/>
    <w:rsid w:val="004F66E4"/>
    <w:rsid w:val="0050136D"/>
    <w:rsid w:val="00501946"/>
    <w:rsid w:val="0050316D"/>
    <w:rsid w:val="00503679"/>
    <w:rsid w:val="00503CF7"/>
    <w:rsid w:val="0050409E"/>
    <w:rsid w:val="00504A30"/>
    <w:rsid w:val="00505A99"/>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3AB8"/>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92F"/>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0EEF"/>
    <w:rsid w:val="005D24DC"/>
    <w:rsid w:val="005D2CAF"/>
    <w:rsid w:val="005D2FBB"/>
    <w:rsid w:val="005D439A"/>
    <w:rsid w:val="005D46B6"/>
    <w:rsid w:val="005D47B0"/>
    <w:rsid w:val="005D5089"/>
    <w:rsid w:val="005D57DB"/>
    <w:rsid w:val="005D6059"/>
    <w:rsid w:val="005D71F3"/>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2E83"/>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0A2"/>
    <w:rsid w:val="006407E9"/>
    <w:rsid w:val="00640F80"/>
    <w:rsid w:val="006428D8"/>
    <w:rsid w:val="00643728"/>
    <w:rsid w:val="00643961"/>
    <w:rsid w:val="006439D8"/>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0BF"/>
    <w:rsid w:val="006620C9"/>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0FB"/>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AA1"/>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C"/>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448"/>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5DD7"/>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450F"/>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89B"/>
    <w:rsid w:val="007E6F32"/>
    <w:rsid w:val="007E7DED"/>
    <w:rsid w:val="007F268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1225"/>
    <w:rsid w:val="00862B23"/>
    <w:rsid w:val="00863724"/>
    <w:rsid w:val="00863A52"/>
    <w:rsid w:val="00863D4F"/>
    <w:rsid w:val="00864B45"/>
    <w:rsid w:val="00864E69"/>
    <w:rsid w:val="00866EC8"/>
    <w:rsid w:val="0087007A"/>
    <w:rsid w:val="008713F1"/>
    <w:rsid w:val="00871742"/>
    <w:rsid w:val="0087177D"/>
    <w:rsid w:val="008717A6"/>
    <w:rsid w:val="00872AB4"/>
    <w:rsid w:val="00873BBC"/>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551B"/>
    <w:rsid w:val="0089693D"/>
    <w:rsid w:val="00896F55"/>
    <w:rsid w:val="008A0415"/>
    <w:rsid w:val="008A1DBD"/>
    <w:rsid w:val="008A1ECF"/>
    <w:rsid w:val="008A2A29"/>
    <w:rsid w:val="008A32F9"/>
    <w:rsid w:val="008A3437"/>
    <w:rsid w:val="008A524B"/>
    <w:rsid w:val="008A5C84"/>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5737"/>
    <w:rsid w:val="008B7013"/>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68F3"/>
    <w:rsid w:val="008D77E4"/>
    <w:rsid w:val="008D7CCD"/>
    <w:rsid w:val="008D7F58"/>
    <w:rsid w:val="008E01E3"/>
    <w:rsid w:val="008E0585"/>
    <w:rsid w:val="008E151A"/>
    <w:rsid w:val="008E3CC4"/>
    <w:rsid w:val="008E4129"/>
    <w:rsid w:val="008E41CB"/>
    <w:rsid w:val="008E4C96"/>
    <w:rsid w:val="008E4CC9"/>
    <w:rsid w:val="008E5033"/>
    <w:rsid w:val="008E56E4"/>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822"/>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176"/>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A51"/>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1633"/>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551F"/>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66EA"/>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97E92"/>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54B"/>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2F55"/>
    <w:rsid w:val="00AF3517"/>
    <w:rsid w:val="00AF481F"/>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DB6"/>
    <w:rsid w:val="00B0528E"/>
    <w:rsid w:val="00B05F90"/>
    <w:rsid w:val="00B05F9A"/>
    <w:rsid w:val="00B0605D"/>
    <w:rsid w:val="00B0645D"/>
    <w:rsid w:val="00B072CD"/>
    <w:rsid w:val="00B07399"/>
    <w:rsid w:val="00B0742C"/>
    <w:rsid w:val="00B0790D"/>
    <w:rsid w:val="00B0798A"/>
    <w:rsid w:val="00B10000"/>
    <w:rsid w:val="00B10C8E"/>
    <w:rsid w:val="00B1139B"/>
    <w:rsid w:val="00B117EF"/>
    <w:rsid w:val="00B11C87"/>
    <w:rsid w:val="00B12058"/>
    <w:rsid w:val="00B12B3E"/>
    <w:rsid w:val="00B130F4"/>
    <w:rsid w:val="00B14106"/>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299"/>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4F77"/>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6BAE"/>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439A"/>
    <w:rsid w:val="00BE5BD3"/>
    <w:rsid w:val="00BE61F4"/>
    <w:rsid w:val="00BE64A2"/>
    <w:rsid w:val="00BE68AB"/>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095"/>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4A9F"/>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153"/>
    <w:rsid w:val="00CC1F62"/>
    <w:rsid w:val="00CC2398"/>
    <w:rsid w:val="00CC4839"/>
    <w:rsid w:val="00CC4C8D"/>
    <w:rsid w:val="00CC51C7"/>
    <w:rsid w:val="00CC70D6"/>
    <w:rsid w:val="00CC7176"/>
    <w:rsid w:val="00CC769F"/>
    <w:rsid w:val="00CD022C"/>
    <w:rsid w:val="00CD09A7"/>
    <w:rsid w:val="00CD227E"/>
    <w:rsid w:val="00CD2523"/>
    <w:rsid w:val="00CD256C"/>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5F3F"/>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6FBF"/>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5FBD"/>
    <w:rsid w:val="00D464DE"/>
    <w:rsid w:val="00D465B3"/>
    <w:rsid w:val="00D4722D"/>
    <w:rsid w:val="00D4799D"/>
    <w:rsid w:val="00D47DAB"/>
    <w:rsid w:val="00D50054"/>
    <w:rsid w:val="00D5455A"/>
    <w:rsid w:val="00D5590C"/>
    <w:rsid w:val="00D568CC"/>
    <w:rsid w:val="00D574E6"/>
    <w:rsid w:val="00D648EC"/>
    <w:rsid w:val="00D64BB0"/>
    <w:rsid w:val="00D64CE0"/>
    <w:rsid w:val="00D65A1E"/>
    <w:rsid w:val="00D65A99"/>
    <w:rsid w:val="00D66A16"/>
    <w:rsid w:val="00D66BC5"/>
    <w:rsid w:val="00D67F23"/>
    <w:rsid w:val="00D70E67"/>
    <w:rsid w:val="00D71BCB"/>
    <w:rsid w:val="00D71C5C"/>
    <w:rsid w:val="00D733FD"/>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DA1"/>
    <w:rsid w:val="00DF7F35"/>
    <w:rsid w:val="00E00036"/>
    <w:rsid w:val="00E006AB"/>
    <w:rsid w:val="00E0084F"/>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AFA"/>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84A"/>
    <w:rsid w:val="00E91FB7"/>
    <w:rsid w:val="00E9212F"/>
    <w:rsid w:val="00E93CED"/>
    <w:rsid w:val="00E95DAA"/>
    <w:rsid w:val="00E95E37"/>
    <w:rsid w:val="00E96739"/>
    <w:rsid w:val="00E967D0"/>
    <w:rsid w:val="00E96881"/>
    <w:rsid w:val="00E96AC4"/>
    <w:rsid w:val="00E96B80"/>
    <w:rsid w:val="00E972E3"/>
    <w:rsid w:val="00E97872"/>
    <w:rsid w:val="00EA089B"/>
    <w:rsid w:val="00EA14A6"/>
    <w:rsid w:val="00EA2603"/>
    <w:rsid w:val="00EA2AE9"/>
    <w:rsid w:val="00EA2CCD"/>
    <w:rsid w:val="00EA3662"/>
    <w:rsid w:val="00EA380D"/>
    <w:rsid w:val="00EA4F04"/>
    <w:rsid w:val="00EA5068"/>
    <w:rsid w:val="00EA5A09"/>
    <w:rsid w:val="00EA675C"/>
    <w:rsid w:val="00EA6A6B"/>
    <w:rsid w:val="00EA6C3D"/>
    <w:rsid w:val="00EA7211"/>
    <w:rsid w:val="00EA7806"/>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7C1"/>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48C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2B6"/>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63"/>
    <w:rsid w:val="00FA75BA"/>
    <w:rsid w:val="00FA7728"/>
    <w:rsid w:val="00FB0B46"/>
    <w:rsid w:val="00FB21B1"/>
    <w:rsid w:val="00FB267F"/>
    <w:rsid w:val="00FB4E32"/>
    <w:rsid w:val="00FB55B7"/>
    <w:rsid w:val="00FB5B69"/>
    <w:rsid w:val="00FB5EFC"/>
    <w:rsid w:val="00FB641F"/>
    <w:rsid w:val="00FB68DD"/>
    <w:rsid w:val="00FB6E93"/>
    <w:rsid w:val="00FC467D"/>
    <w:rsid w:val="00FC5BB2"/>
    <w:rsid w:val="00FC7582"/>
    <w:rsid w:val="00FD144A"/>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A97E92"/>
    <w:pPr>
      <w:widowControl/>
      <w:overflowPunct/>
      <w:autoSpaceDE/>
      <w:autoSpaceDN/>
      <w:adjustRightInd/>
      <w:ind w:left="1080" w:hanging="720"/>
      <w:jc w:val="both"/>
      <w:textAlignment w:val="auto"/>
    </w:pPr>
    <w:rPr>
      <w:rFonts w:eastAsia="MS Mincho" w:cs="Arial"/>
      <w:color w:val="7030A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E56E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A97E92"/>
    <w:pPr>
      <w:widowControl/>
      <w:overflowPunct/>
      <w:autoSpaceDE/>
      <w:autoSpaceDN/>
      <w:adjustRightInd/>
      <w:ind w:left="1080" w:hanging="720"/>
      <w:jc w:val="both"/>
      <w:textAlignment w:val="auto"/>
    </w:pPr>
    <w:rPr>
      <w:rFonts w:eastAsia="MS Mincho" w:cs="Arial"/>
      <w:color w:val="7030A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8E56E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388529197">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tine.markose@beis.gov.uk" TargetMode="Externa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tina.markose@beis.gov.uk" TargetMode="Externa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tina.markose@beis.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5" Type="http://schemas.openxmlformats.org/officeDocument/2006/relationships/customXml" Target="../customXml/item5.xml"/><Relationship Id="rId15" Type="http://schemas.openxmlformats.org/officeDocument/2006/relationships/hyperlink" Target="mailto:tina.markose@beis.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tina.markose@beis.gov.uk"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ISR-IEU-07598</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DECCISRC-328-180762</_dlc_DocId>
    <_dlc_DocIdUrl xmlns="f7e53c2a-c5c2-4bbb-ab47-6d506cb60401">
      <Url>https://edrms.decc.gsi.gov.uk/isr/ieu/RWA/_layouts/15/DocIdRedir.aspx?ID=DECCISRC-328-180762</Url>
      <Description>DECCISRC-328-180762</Description>
    </_dlc_DocIdUrl>
  </documentManagement>
</p:properties>
</file>

<file path=customXml/item4.xml><?xml version="1.0" encoding="utf-8"?>
<?mso-contentType ?>
<SharedContentType xmlns="Microsoft.SharePoint.Taxonomy.ContentTypeSync" SourceId="9c6981cf-ca77-4d25-a722-9ba9d442762a" ContentTypeId="0x01010020B27A3BB4AD4E469BDEA344273B4F2201" PreviousValue="false"/>
</file>

<file path=customXml/item5.xml><?xml version="1.0" encoding="utf-8"?>
<ct:contentTypeSchema xmlns:ct="http://schemas.microsoft.com/office/2006/metadata/contentType" xmlns:ma="http://schemas.microsoft.com/office/2006/metadata/properties/metaAttributes" ct:_="" ma:_="" ma:contentTypeName="DECC Document" ma:contentTypeID="0x01010020B27A3BB4AD4E469BDEA344273B4F2201001404CB0059CF2B42BDDD3718CE1EDE49" ma:contentTypeVersion="10" ma:contentTypeDescription="DECC Microsoft Word Document Content Type" ma:contentTypeScope="" ma:versionID="86eba48930e08d70e62b5316c16aef2e">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36548f480c7412e82d2c474bef0fde39"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86231D-E346-4D7A-8B3C-6A1F223B5664}">
  <ds:schemaRefs>
    <ds:schemaRef ds:uri="http://schemas.microsoft.com/sharepoint/event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f7e53c2a-c5c2-4bbb-ab47-6d506cb60401"/>
    <ds:schemaRef ds:uri="http://schemas.microsoft.com/sharepoint/v3"/>
  </ds:schemaRefs>
</ds:datastoreItem>
</file>

<file path=customXml/itemProps4.xml><?xml version="1.0" encoding="utf-8"?>
<ds:datastoreItem xmlns:ds="http://schemas.openxmlformats.org/officeDocument/2006/customXml" ds:itemID="{829CB3BE-0744-4A65-991D-DA8C86A3CDDE}">
  <ds:schemaRefs>
    <ds:schemaRef ds:uri="Microsoft.SharePoint.Taxonomy.ContentTypeSync"/>
  </ds:schemaRefs>
</ds:datastoreItem>
</file>

<file path=customXml/itemProps5.xml><?xml version="1.0" encoding="utf-8"?>
<ds:datastoreItem xmlns:ds="http://schemas.openxmlformats.org/officeDocument/2006/customXml" ds:itemID="{0AEF4794-4950-4736-9C4B-712915988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C16D6D6-FE82-47CF-A16A-342A4FCF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6458</Words>
  <Characters>36814</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43186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Williams Ron (Finance &amp; Information Services)</cp:lastModifiedBy>
  <cp:revision>2</cp:revision>
  <cp:lastPrinted>2015-02-09T11:22:00Z</cp:lastPrinted>
  <dcterms:created xsi:type="dcterms:W3CDTF">2017-03-01T15:02:00Z</dcterms:created>
  <dcterms:modified xsi:type="dcterms:W3CDTF">2017-03-01T15:02:00Z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0x01010020B27A3BB4AD4E469BDEA344273B4F2201001404CB0059CF2B42BDDD3718CE1EDE49</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fec798ea-39b2-4d6a-b1c9-baf008364807</vt:lpwstr>
  </property>
</Properties>
</file>