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59" w:rsidRDefault="00357259" w:rsidP="001D38C4">
      <w:pPr>
        <w:jc w:val="center"/>
        <w:rPr>
          <w:rFonts w:asciiTheme="minorHAnsi" w:hAnsiTheme="minorHAnsi"/>
        </w:rPr>
      </w:pPr>
    </w:p>
    <w:p w:rsidR="006E0BE5" w:rsidRPr="00D3301F" w:rsidRDefault="006E0BE5" w:rsidP="001D38C4">
      <w:pPr>
        <w:jc w:val="center"/>
        <w:rPr>
          <w:rFonts w:asciiTheme="minorHAnsi" w:hAnsiTheme="minorHAnsi"/>
        </w:rPr>
      </w:pPr>
    </w:p>
    <w:p w:rsidR="00357259" w:rsidRDefault="00357259" w:rsidP="001D38C4">
      <w:pPr>
        <w:jc w:val="center"/>
        <w:rPr>
          <w:rFonts w:asciiTheme="minorHAnsi" w:hAnsiTheme="minorHAnsi"/>
        </w:rPr>
      </w:pPr>
    </w:p>
    <w:p w:rsidR="006E0BE5" w:rsidRDefault="006E0BE5" w:rsidP="006E0BE5">
      <w:pPr>
        <w:rPr>
          <w:rFonts w:asciiTheme="minorHAnsi" w:hAnsiTheme="minorHAnsi"/>
        </w:rPr>
      </w:pPr>
    </w:p>
    <w:p w:rsidR="006E0BE5" w:rsidRPr="00D3301F" w:rsidRDefault="006E0BE5" w:rsidP="001D38C4">
      <w:pPr>
        <w:jc w:val="center"/>
        <w:rPr>
          <w:rFonts w:asciiTheme="minorHAnsi" w:hAnsiTheme="minorHAnsi"/>
        </w:rPr>
      </w:pPr>
    </w:p>
    <w:p w:rsidR="006E0BE5" w:rsidRDefault="006E0BE5" w:rsidP="006E0BE5">
      <w:pPr>
        <w:jc w:val="center"/>
        <w:rPr>
          <w:rFonts w:asciiTheme="minorHAnsi" w:hAnsiTheme="minorHAnsi"/>
        </w:rPr>
      </w:pPr>
      <w:r w:rsidRPr="001F2F09">
        <w:rPr>
          <w:noProof/>
          <w:szCs w:val="26"/>
        </w:rPr>
        <w:drawing>
          <wp:inline distT="0" distB="0" distL="0" distR="0" wp14:anchorId="4309ED3B" wp14:editId="6EDEC553">
            <wp:extent cx="5002611" cy="24669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fron RG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03833" cy="2467577"/>
                    </a:xfrm>
                    <a:prstGeom prst="rect">
                      <a:avLst/>
                    </a:prstGeom>
                  </pic:spPr>
                </pic:pic>
              </a:graphicData>
            </a:graphic>
          </wp:inline>
        </w:drawing>
      </w:r>
    </w:p>
    <w:p w:rsidR="006E0BE5" w:rsidRDefault="006E0BE5" w:rsidP="006E0BE5">
      <w:pPr>
        <w:jc w:val="center"/>
        <w:rPr>
          <w:rFonts w:asciiTheme="minorHAnsi" w:hAnsiTheme="minorHAnsi"/>
        </w:rPr>
      </w:pPr>
    </w:p>
    <w:tbl>
      <w:tblPr>
        <w:tblpPr w:leftFromText="187" w:rightFromText="187" w:vertAnchor="page" w:horzAnchor="margin" w:tblpY="7649"/>
        <w:tblW w:w="5000" w:type="pct"/>
        <w:tblCellMar>
          <w:top w:w="216" w:type="dxa"/>
          <w:left w:w="216" w:type="dxa"/>
          <w:bottom w:w="216" w:type="dxa"/>
          <w:right w:w="216" w:type="dxa"/>
        </w:tblCellMar>
        <w:tblLook w:val="04A0" w:firstRow="1" w:lastRow="0" w:firstColumn="1" w:lastColumn="0" w:noHBand="0" w:noVBand="1"/>
      </w:tblPr>
      <w:tblGrid>
        <w:gridCol w:w="3547"/>
        <w:gridCol w:w="2114"/>
        <w:gridCol w:w="2645"/>
      </w:tblGrid>
      <w:tr w:rsidR="006E0BE5" w:rsidRPr="001F2F09" w:rsidTr="006E0BE5">
        <w:tc>
          <w:tcPr>
            <w:tcW w:w="3618" w:type="dxa"/>
            <w:tcBorders>
              <w:bottom w:val="single" w:sz="18" w:space="0" w:color="808080" w:themeColor="background1" w:themeShade="80"/>
              <w:right w:val="single" w:sz="18" w:space="0" w:color="808080" w:themeColor="background1" w:themeShade="80"/>
            </w:tcBorders>
            <w:vAlign w:val="center"/>
          </w:tcPr>
          <w:p w:rsidR="006E0BE5" w:rsidRPr="001F2F09" w:rsidRDefault="002B5F0A" w:rsidP="006E0BE5">
            <w:pPr>
              <w:pStyle w:val="NoSpacing"/>
              <w:rPr>
                <w:rFonts w:ascii="Century Gothic" w:eastAsiaTheme="majorEastAsia" w:hAnsi="Century Gothic" w:cstheme="majorBidi"/>
                <w:sz w:val="72"/>
                <w:szCs w:val="72"/>
              </w:rPr>
            </w:pPr>
            <w:sdt>
              <w:sdtPr>
                <w:rPr>
                  <w:rFonts w:ascii="Century Gothic" w:eastAsiaTheme="majorEastAsia" w:hAnsi="Century Gothic" w:cstheme="majorBidi"/>
                  <w:sz w:val="72"/>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6E0BE5">
                  <w:rPr>
                    <w:rFonts w:ascii="Century Gothic" w:eastAsiaTheme="majorEastAsia" w:hAnsi="Century Gothic" w:cstheme="majorBidi"/>
                    <w:sz w:val="72"/>
                    <w:szCs w:val="72"/>
                  </w:rPr>
                  <w:t>Saffron Housing Trust</w:t>
                </w:r>
              </w:sdtContent>
            </w:sdt>
          </w:p>
        </w:tc>
        <w:tc>
          <w:tcPr>
            <w:tcW w:w="5120" w:type="dxa"/>
            <w:gridSpan w:val="2"/>
            <w:tcBorders>
              <w:left w:val="single" w:sz="18" w:space="0" w:color="808080" w:themeColor="background1" w:themeShade="80"/>
              <w:bottom w:val="single" w:sz="18" w:space="0" w:color="808080" w:themeColor="background1" w:themeShade="80"/>
            </w:tcBorders>
            <w:vAlign w:val="center"/>
          </w:tcPr>
          <w:p w:rsidR="006E0BE5" w:rsidRPr="001F2F09" w:rsidRDefault="006E0BE5" w:rsidP="006E0BE5">
            <w:pPr>
              <w:pStyle w:val="NoSpacing"/>
              <w:rPr>
                <w:rFonts w:ascii="Century Gothic" w:eastAsiaTheme="majorEastAsia" w:hAnsi="Century Gothic" w:cstheme="majorBidi"/>
                <w:sz w:val="32"/>
                <w:szCs w:val="36"/>
              </w:rPr>
            </w:pPr>
          </w:p>
          <w:sdt>
            <w:sdtPr>
              <w:rPr>
                <w:rFonts w:ascii="Century Gothic" w:hAnsi="Century Gothic"/>
                <w:color w:val="4F81BD" w:themeColor="accent1"/>
                <w:sz w:val="56"/>
                <w:szCs w:val="72"/>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6E0BE5" w:rsidRPr="001F2F09" w:rsidRDefault="006E0BE5" w:rsidP="006E0BE5">
                <w:pPr>
                  <w:pStyle w:val="NoSpacing"/>
                  <w:rPr>
                    <w:rFonts w:ascii="Century Gothic" w:hAnsi="Century Gothic"/>
                    <w:color w:val="4F81BD" w:themeColor="accent1"/>
                    <w:sz w:val="180"/>
                    <w:szCs w:val="200"/>
                    <w14:numForm w14:val="oldStyle"/>
                  </w:rPr>
                </w:pPr>
                <w:r>
                  <w:rPr>
                    <w:rFonts w:ascii="Century Gothic" w:hAnsi="Century Gothic"/>
                    <w:color w:val="4F81BD" w:themeColor="accent1"/>
                    <w:sz w:val="56"/>
                    <w:szCs w:val="72"/>
                    <w14:shadow w14:blurRad="50800" w14:dist="38100" w14:dir="2700000" w14:sx="100000" w14:sy="100000" w14:kx="0" w14:ky="0" w14:algn="tl">
                      <w14:srgbClr w14:val="000000">
                        <w14:alpha w14:val="60000"/>
                      </w14:srgbClr>
                    </w14:shadow>
                    <w14:numForm w14:val="oldStyle"/>
                  </w:rPr>
                  <w:t>EPC Contract 2017-2019</w:t>
                </w:r>
              </w:p>
            </w:sdtContent>
          </w:sdt>
        </w:tc>
      </w:tr>
      <w:tr w:rsidR="006E0BE5" w:rsidRPr="001F2F09" w:rsidTr="006E0BE5">
        <w:tc>
          <w:tcPr>
            <w:tcW w:w="6035" w:type="dxa"/>
            <w:gridSpan w:val="2"/>
            <w:tcBorders>
              <w:top w:val="single" w:sz="18" w:space="0" w:color="808080" w:themeColor="background1" w:themeShade="80"/>
            </w:tcBorders>
            <w:vAlign w:val="center"/>
          </w:tcPr>
          <w:p w:rsidR="006E0BE5" w:rsidRDefault="002B5F0A" w:rsidP="006E0BE5">
            <w:pPr>
              <w:pStyle w:val="NoSpacing"/>
              <w:rPr>
                <w:rFonts w:ascii="Century Gothic" w:hAnsi="Century Gothic"/>
                <w:sz w:val="20"/>
              </w:rPr>
            </w:pPr>
            <w:sdt>
              <w:sdtPr>
                <w:rPr>
                  <w:rFonts w:ascii="Century Gothic" w:hAnsi="Century Gothic"/>
                  <w:sz w:val="20"/>
                </w:rPr>
                <w:alias w:val="Abstract"/>
                <w:id w:val="276713183"/>
                <w:showingPlcHdr/>
                <w:dataBinding w:prefixMappings="xmlns:ns0='http://schemas.microsoft.com/office/2006/coverPageProps'" w:xpath="/ns0:CoverPageProperties[1]/ns0:Abstract[1]" w:storeItemID="{55AF091B-3C7A-41E3-B477-F2FDAA23CFDA}"/>
                <w:text/>
              </w:sdtPr>
              <w:sdtEndPr/>
              <w:sdtContent>
                <w:r w:rsidR="006E0BE5">
                  <w:rPr>
                    <w:rFonts w:ascii="Century Gothic" w:hAnsi="Century Gothic"/>
                    <w:sz w:val="20"/>
                  </w:rPr>
                  <w:t xml:space="preserve">     </w:t>
                </w:r>
              </w:sdtContent>
            </w:sdt>
          </w:p>
          <w:p w:rsidR="006E0BE5" w:rsidRPr="00942CA4" w:rsidRDefault="006E0BE5" w:rsidP="006E0BE5">
            <w:pPr>
              <w:rPr>
                <w:lang w:val="en-US" w:eastAsia="ja-JP"/>
              </w:rPr>
            </w:pPr>
          </w:p>
        </w:tc>
        <w:sdt>
          <w:sdtPr>
            <w:rPr>
              <w:rFonts w:ascii="Century Gothic" w:eastAsiaTheme="majorEastAsia" w:hAnsi="Century Gothic" w:cstheme="majorBidi"/>
              <w:sz w:val="32"/>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03" w:type="dxa"/>
                <w:tcBorders>
                  <w:top w:val="single" w:sz="18" w:space="0" w:color="808080" w:themeColor="background1" w:themeShade="80"/>
                </w:tcBorders>
                <w:vAlign w:val="center"/>
              </w:tcPr>
              <w:p w:rsidR="006E0BE5" w:rsidRPr="001F2F09" w:rsidRDefault="006E0BE5" w:rsidP="006E0BE5">
                <w:pPr>
                  <w:pStyle w:val="NoSpacing"/>
                  <w:rPr>
                    <w:rFonts w:ascii="Century Gothic" w:eastAsiaTheme="majorEastAsia" w:hAnsi="Century Gothic" w:cstheme="majorBidi"/>
                    <w:sz w:val="32"/>
                    <w:szCs w:val="36"/>
                  </w:rPr>
                </w:pPr>
                <w:r>
                  <w:rPr>
                    <w:rFonts w:ascii="Century Gothic" w:eastAsiaTheme="majorEastAsia" w:hAnsi="Century Gothic" w:cstheme="majorBidi"/>
                    <w:sz w:val="32"/>
                    <w:szCs w:val="36"/>
                  </w:rPr>
                  <w:t>Property</w:t>
                </w:r>
                <w:r w:rsidR="005111C5">
                  <w:rPr>
                    <w:rFonts w:ascii="Century Gothic" w:eastAsiaTheme="majorEastAsia" w:hAnsi="Century Gothic" w:cstheme="majorBidi"/>
                    <w:sz w:val="32"/>
                    <w:szCs w:val="36"/>
                  </w:rPr>
                  <w:t xml:space="preserve"> Team</w:t>
                </w:r>
              </w:p>
            </w:tc>
          </w:sdtContent>
        </w:sdt>
      </w:tr>
    </w:tbl>
    <w:p w:rsidR="006E0BE5" w:rsidRDefault="006E0BE5" w:rsidP="006E0BE5">
      <w:pPr>
        <w:jc w:val="center"/>
        <w:rPr>
          <w:rFonts w:asciiTheme="minorHAnsi" w:hAnsiTheme="minorHAnsi"/>
        </w:rPr>
      </w:pPr>
    </w:p>
    <w:p w:rsidR="006E0BE5" w:rsidRDefault="006E0BE5" w:rsidP="008864B6">
      <w:pPr>
        <w:rPr>
          <w:rFonts w:asciiTheme="minorHAnsi" w:hAnsiTheme="minorHAnsi" w:cs="Arial"/>
          <w:b/>
          <w:bCs/>
          <w:kern w:val="32"/>
        </w:rPr>
      </w:pPr>
      <w:r>
        <w:rPr>
          <w:rFonts w:asciiTheme="minorHAnsi" w:hAnsiTheme="minorHAnsi"/>
        </w:rPr>
        <w:br w:type="page"/>
      </w:r>
    </w:p>
    <w:p w:rsidR="006E0BE5" w:rsidRDefault="006E0BE5" w:rsidP="001D38C4">
      <w:pPr>
        <w:pStyle w:val="Heading1"/>
        <w:numPr>
          <w:ilvl w:val="0"/>
          <w:numId w:val="0"/>
        </w:numPr>
        <w:spacing w:before="0" w:after="0"/>
        <w:jc w:val="center"/>
        <w:rPr>
          <w:rFonts w:asciiTheme="minorHAnsi" w:hAnsiTheme="minorHAnsi"/>
          <w:sz w:val="24"/>
          <w:szCs w:val="24"/>
        </w:rPr>
      </w:pPr>
    </w:p>
    <w:p w:rsidR="006E0BE5" w:rsidRDefault="006E0BE5" w:rsidP="001D38C4">
      <w:pPr>
        <w:pStyle w:val="Heading1"/>
        <w:numPr>
          <w:ilvl w:val="0"/>
          <w:numId w:val="0"/>
        </w:numPr>
        <w:spacing w:before="0" w:after="0"/>
        <w:jc w:val="center"/>
        <w:rPr>
          <w:rFonts w:asciiTheme="minorHAnsi" w:hAnsiTheme="minorHAnsi"/>
          <w:sz w:val="24"/>
          <w:szCs w:val="24"/>
        </w:rPr>
      </w:pPr>
    </w:p>
    <w:p w:rsidR="00C4163F" w:rsidRPr="00D3301F" w:rsidRDefault="00357259" w:rsidP="001D38C4">
      <w:pPr>
        <w:pStyle w:val="Heading1"/>
        <w:numPr>
          <w:ilvl w:val="0"/>
          <w:numId w:val="0"/>
        </w:numPr>
        <w:spacing w:before="0" w:after="0"/>
        <w:jc w:val="center"/>
        <w:rPr>
          <w:rFonts w:asciiTheme="minorHAnsi" w:hAnsiTheme="minorHAnsi"/>
          <w:sz w:val="24"/>
          <w:szCs w:val="24"/>
        </w:rPr>
      </w:pPr>
      <w:r w:rsidRPr="00D3301F">
        <w:rPr>
          <w:rFonts w:asciiTheme="minorHAnsi" w:hAnsiTheme="minorHAnsi"/>
          <w:sz w:val="24"/>
          <w:szCs w:val="24"/>
        </w:rPr>
        <w:t xml:space="preserve">Saffron Housing Trust </w:t>
      </w:r>
      <w:r w:rsidR="00AE3354" w:rsidRPr="00D3301F">
        <w:rPr>
          <w:rFonts w:asciiTheme="minorHAnsi" w:hAnsiTheme="minorHAnsi"/>
          <w:sz w:val="24"/>
          <w:szCs w:val="24"/>
        </w:rPr>
        <w:t xml:space="preserve">EPC </w:t>
      </w:r>
      <w:r w:rsidRPr="00D3301F">
        <w:rPr>
          <w:rFonts w:asciiTheme="minorHAnsi" w:hAnsiTheme="minorHAnsi"/>
          <w:sz w:val="24"/>
          <w:szCs w:val="24"/>
        </w:rPr>
        <w:t xml:space="preserve">Contract </w:t>
      </w:r>
      <w:r w:rsidR="003B4B73" w:rsidRPr="00D3301F">
        <w:rPr>
          <w:rFonts w:asciiTheme="minorHAnsi" w:hAnsiTheme="minorHAnsi"/>
          <w:sz w:val="24"/>
          <w:szCs w:val="24"/>
        </w:rPr>
        <w:t>2017-2019</w:t>
      </w:r>
    </w:p>
    <w:p w:rsidR="00E450E5" w:rsidRPr="00D3301F" w:rsidRDefault="00357259" w:rsidP="001D38C4">
      <w:pPr>
        <w:pStyle w:val="Heading1"/>
        <w:numPr>
          <w:ilvl w:val="0"/>
          <w:numId w:val="0"/>
        </w:numPr>
        <w:spacing w:before="0" w:after="0"/>
        <w:jc w:val="center"/>
        <w:rPr>
          <w:rFonts w:asciiTheme="minorHAnsi" w:hAnsiTheme="minorHAnsi"/>
          <w:b w:val="0"/>
          <w:sz w:val="24"/>
          <w:szCs w:val="24"/>
        </w:rPr>
      </w:pPr>
      <w:r w:rsidRPr="00D3301F">
        <w:rPr>
          <w:rFonts w:asciiTheme="minorHAnsi" w:hAnsiTheme="minorHAnsi"/>
          <w:b w:val="0"/>
          <w:sz w:val="24"/>
          <w:szCs w:val="24"/>
        </w:rPr>
        <w:t>Invitation</w:t>
      </w:r>
      <w:r w:rsidR="00E450E5" w:rsidRPr="00D3301F">
        <w:rPr>
          <w:rFonts w:asciiTheme="minorHAnsi" w:hAnsiTheme="minorHAnsi"/>
          <w:b w:val="0"/>
          <w:sz w:val="24"/>
          <w:szCs w:val="24"/>
        </w:rPr>
        <w:t xml:space="preserve"> to Tender</w:t>
      </w:r>
    </w:p>
    <w:p w:rsidR="00E450E5" w:rsidRDefault="00E450E5" w:rsidP="00C4163F">
      <w:pPr>
        <w:rPr>
          <w:rFonts w:asciiTheme="minorHAnsi" w:hAnsiTheme="minorHAnsi"/>
        </w:rPr>
      </w:pPr>
    </w:p>
    <w:p w:rsidR="00BD72A9" w:rsidRDefault="00BD72A9" w:rsidP="00BD72A9">
      <w:pPr>
        <w:pStyle w:val="Heading1"/>
        <w:numPr>
          <w:ilvl w:val="0"/>
          <w:numId w:val="17"/>
        </w:numPr>
        <w:spacing w:before="0" w:after="0"/>
        <w:rPr>
          <w:rFonts w:asciiTheme="minorHAnsi" w:hAnsiTheme="minorHAnsi"/>
          <w:sz w:val="24"/>
          <w:szCs w:val="24"/>
        </w:rPr>
      </w:pPr>
      <w:r>
        <w:rPr>
          <w:rFonts w:asciiTheme="minorHAnsi" w:hAnsiTheme="minorHAnsi"/>
          <w:sz w:val="24"/>
          <w:szCs w:val="24"/>
        </w:rPr>
        <w:t>Scope</w:t>
      </w:r>
    </w:p>
    <w:p w:rsidR="00032B18" w:rsidRPr="00D3301F" w:rsidRDefault="00032B18" w:rsidP="00C4163F">
      <w:pPr>
        <w:rPr>
          <w:rFonts w:asciiTheme="minorHAnsi" w:hAnsiTheme="minorHAnsi"/>
        </w:rPr>
      </w:pPr>
    </w:p>
    <w:p w:rsidR="00FB79ED" w:rsidRPr="00D3301F" w:rsidRDefault="00FB79ED" w:rsidP="001D38C4">
      <w:pPr>
        <w:pStyle w:val="Heading1"/>
        <w:numPr>
          <w:ilvl w:val="0"/>
          <w:numId w:val="0"/>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Saffron Housing Trust is currently reviewing its </w:t>
      </w:r>
      <w:r w:rsidR="00E026A0" w:rsidRPr="00D3301F">
        <w:rPr>
          <w:rFonts w:asciiTheme="minorHAnsi" w:hAnsiTheme="minorHAnsi"/>
          <w:b w:val="0"/>
          <w:sz w:val="24"/>
          <w:szCs w:val="24"/>
          <w:lang w:val="en-US"/>
        </w:rPr>
        <w:t>procurement of Energy Performance Certificates (EPC’s)</w:t>
      </w:r>
      <w:r w:rsidRPr="00D3301F">
        <w:rPr>
          <w:rFonts w:asciiTheme="minorHAnsi" w:hAnsiTheme="minorHAnsi"/>
          <w:b w:val="0"/>
          <w:sz w:val="24"/>
          <w:szCs w:val="24"/>
          <w:lang w:val="en-US"/>
        </w:rPr>
        <w:t xml:space="preserve">. We </w:t>
      </w:r>
      <w:r w:rsidR="00E026A0" w:rsidRPr="00D3301F">
        <w:rPr>
          <w:rFonts w:asciiTheme="minorHAnsi" w:hAnsiTheme="minorHAnsi"/>
          <w:b w:val="0"/>
          <w:sz w:val="24"/>
          <w:szCs w:val="24"/>
          <w:lang w:val="en-US"/>
        </w:rPr>
        <w:t xml:space="preserve">need to </w:t>
      </w:r>
      <w:r w:rsidRPr="00D3301F">
        <w:rPr>
          <w:rFonts w:asciiTheme="minorHAnsi" w:hAnsiTheme="minorHAnsi"/>
          <w:b w:val="0"/>
          <w:sz w:val="24"/>
          <w:szCs w:val="24"/>
          <w:lang w:val="en-US"/>
        </w:rPr>
        <w:t xml:space="preserve">do this routinely to ensure that we are getting best value for money, as well as </w:t>
      </w:r>
      <w:r w:rsidR="00567DB4">
        <w:rPr>
          <w:rFonts w:asciiTheme="minorHAnsi" w:hAnsiTheme="minorHAnsi"/>
          <w:b w:val="0"/>
          <w:sz w:val="24"/>
          <w:szCs w:val="24"/>
          <w:lang w:val="en-US"/>
        </w:rPr>
        <w:t>ensuring that we are keeping</w:t>
      </w:r>
      <w:r w:rsidRPr="00D3301F">
        <w:rPr>
          <w:rFonts w:asciiTheme="minorHAnsi" w:hAnsiTheme="minorHAnsi"/>
          <w:b w:val="0"/>
          <w:sz w:val="24"/>
          <w:szCs w:val="24"/>
          <w:lang w:val="en-US"/>
        </w:rPr>
        <w:t xml:space="preserve"> high standards of quality. </w:t>
      </w:r>
    </w:p>
    <w:p w:rsidR="001D38C4" w:rsidRPr="00D3301F" w:rsidRDefault="001D38C4" w:rsidP="001D38C4">
      <w:pPr>
        <w:rPr>
          <w:rFonts w:asciiTheme="minorHAnsi" w:hAnsiTheme="minorHAnsi"/>
          <w:lang w:val="en-US"/>
        </w:rPr>
      </w:pPr>
    </w:p>
    <w:p w:rsidR="00FB79ED" w:rsidRPr="00D3301F" w:rsidRDefault="00E026A0" w:rsidP="001D38C4">
      <w:pPr>
        <w:pStyle w:val="Heading1"/>
        <w:numPr>
          <w:ilvl w:val="0"/>
          <w:numId w:val="0"/>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Saffron is currently undertaking EPC’s where legislation requires us to do so. Therefore</w:t>
      </w:r>
      <w:r w:rsidR="00567DB4">
        <w:rPr>
          <w:rFonts w:asciiTheme="minorHAnsi" w:hAnsiTheme="minorHAnsi"/>
          <w:b w:val="0"/>
          <w:sz w:val="24"/>
          <w:szCs w:val="24"/>
          <w:lang w:val="en-US"/>
        </w:rPr>
        <w:t>,</w:t>
      </w:r>
      <w:r w:rsidRPr="00D3301F">
        <w:rPr>
          <w:rFonts w:asciiTheme="minorHAnsi" w:hAnsiTheme="minorHAnsi"/>
          <w:b w:val="0"/>
          <w:sz w:val="24"/>
          <w:szCs w:val="24"/>
          <w:lang w:val="en-US"/>
        </w:rPr>
        <w:t xml:space="preserve"> properties that are subject to a change of tenancy, s</w:t>
      </w:r>
      <w:r w:rsidR="00567DB4">
        <w:rPr>
          <w:rFonts w:asciiTheme="minorHAnsi" w:hAnsiTheme="minorHAnsi"/>
          <w:b w:val="0"/>
          <w:sz w:val="24"/>
          <w:szCs w:val="24"/>
          <w:lang w:val="en-US"/>
        </w:rPr>
        <w:t>uch as voids and</w:t>
      </w:r>
      <w:r w:rsidR="00D6369B" w:rsidRPr="00D3301F">
        <w:rPr>
          <w:rFonts w:asciiTheme="minorHAnsi" w:hAnsiTheme="minorHAnsi"/>
          <w:b w:val="0"/>
          <w:sz w:val="24"/>
          <w:szCs w:val="24"/>
          <w:lang w:val="en-US"/>
        </w:rPr>
        <w:t xml:space="preserve"> mutual exchanges, </w:t>
      </w:r>
      <w:r w:rsidR="00567DB4">
        <w:rPr>
          <w:rFonts w:asciiTheme="minorHAnsi" w:hAnsiTheme="minorHAnsi"/>
          <w:b w:val="0"/>
          <w:sz w:val="24"/>
          <w:szCs w:val="24"/>
          <w:lang w:val="en-US"/>
        </w:rPr>
        <w:t>require an EPC to be</w:t>
      </w:r>
      <w:r w:rsidR="00D6369B" w:rsidRPr="00D3301F">
        <w:rPr>
          <w:rFonts w:asciiTheme="minorHAnsi" w:hAnsiTheme="minorHAnsi"/>
          <w:b w:val="0"/>
          <w:sz w:val="24"/>
          <w:szCs w:val="24"/>
          <w:lang w:val="en-US"/>
        </w:rPr>
        <w:t xml:space="preserve"> produced. We will also </w:t>
      </w:r>
      <w:r w:rsidR="00567DB4">
        <w:rPr>
          <w:rFonts w:asciiTheme="minorHAnsi" w:hAnsiTheme="minorHAnsi"/>
          <w:b w:val="0"/>
          <w:sz w:val="24"/>
          <w:szCs w:val="24"/>
          <w:lang w:val="en-US"/>
        </w:rPr>
        <w:t>need</w:t>
      </w:r>
      <w:r w:rsidR="00D6369B" w:rsidRPr="00D3301F">
        <w:rPr>
          <w:rFonts w:asciiTheme="minorHAnsi" w:hAnsiTheme="minorHAnsi"/>
          <w:b w:val="0"/>
          <w:sz w:val="24"/>
          <w:szCs w:val="24"/>
          <w:lang w:val="en-US"/>
        </w:rPr>
        <w:t xml:space="preserve"> EPC’s undertaken where it is required to access funding.</w:t>
      </w:r>
    </w:p>
    <w:p w:rsidR="001D38C4" w:rsidRPr="00D3301F" w:rsidRDefault="001D38C4" w:rsidP="001D38C4">
      <w:pPr>
        <w:rPr>
          <w:rFonts w:asciiTheme="minorHAnsi" w:hAnsiTheme="minorHAnsi"/>
          <w:lang w:val="en-US"/>
        </w:rPr>
      </w:pPr>
    </w:p>
    <w:p w:rsidR="00154082" w:rsidRPr="00D3301F" w:rsidRDefault="00154082" w:rsidP="001D38C4">
      <w:pPr>
        <w:pStyle w:val="Heading1"/>
        <w:numPr>
          <w:ilvl w:val="0"/>
          <w:numId w:val="0"/>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Saffron Housing Trust </w:t>
      </w:r>
      <w:r w:rsidR="00D6369B" w:rsidRPr="00D3301F">
        <w:rPr>
          <w:rFonts w:asciiTheme="minorHAnsi" w:hAnsiTheme="minorHAnsi"/>
          <w:b w:val="0"/>
          <w:sz w:val="24"/>
          <w:szCs w:val="24"/>
          <w:lang w:val="en-US"/>
        </w:rPr>
        <w:t>has</w:t>
      </w:r>
      <w:r w:rsidRPr="00D3301F">
        <w:rPr>
          <w:rFonts w:asciiTheme="minorHAnsi" w:hAnsiTheme="minorHAnsi"/>
          <w:b w:val="0"/>
          <w:sz w:val="24"/>
          <w:szCs w:val="24"/>
          <w:lang w:val="en-US"/>
        </w:rPr>
        <w:t xml:space="preserve"> a </w:t>
      </w:r>
      <w:r w:rsidR="00D6369B" w:rsidRPr="00D3301F">
        <w:rPr>
          <w:rFonts w:asciiTheme="minorHAnsi" w:hAnsiTheme="minorHAnsi"/>
          <w:b w:val="0"/>
          <w:sz w:val="24"/>
          <w:szCs w:val="24"/>
          <w:lang w:val="en-US"/>
        </w:rPr>
        <w:t>dedicated budget for undertaking the production of EPC’s</w:t>
      </w:r>
      <w:r w:rsidR="00567DB4">
        <w:rPr>
          <w:rFonts w:asciiTheme="minorHAnsi" w:hAnsiTheme="minorHAnsi"/>
          <w:b w:val="0"/>
          <w:sz w:val="24"/>
          <w:szCs w:val="24"/>
          <w:lang w:val="en-US"/>
        </w:rPr>
        <w:t>, and</w:t>
      </w:r>
      <w:r w:rsidR="00D6369B" w:rsidRPr="00D3301F">
        <w:rPr>
          <w:rFonts w:asciiTheme="minorHAnsi" w:hAnsiTheme="minorHAnsi"/>
          <w:b w:val="0"/>
          <w:sz w:val="24"/>
          <w:szCs w:val="24"/>
          <w:lang w:val="en-US"/>
        </w:rPr>
        <w:t xml:space="preserve"> have </w:t>
      </w:r>
      <w:r w:rsidR="007B260D" w:rsidRPr="00D3301F">
        <w:rPr>
          <w:rFonts w:asciiTheme="minorHAnsi" w:hAnsiTheme="minorHAnsi"/>
          <w:b w:val="0"/>
          <w:sz w:val="24"/>
          <w:szCs w:val="24"/>
          <w:lang w:val="en-US"/>
        </w:rPr>
        <w:t xml:space="preserve">an increase in </w:t>
      </w:r>
      <w:r w:rsidR="00D6369B" w:rsidRPr="00D3301F">
        <w:rPr>
          <w:rFonts w:asciiTheme="minorHAnsi" w:hAnsiTheme="minorHAnsi"/>
          <w:b w:val="0"/>
          <w:sz w:val="24"/>
          <w:szCs w:val="24"/>
          <w:lang w:val="en-US"/>
        </w:rPr>
        <w:t xml:space="preserve">budget to </w:t>
      </w:r>
      <w:r w:rsidR="007B260D" w:rsidRPr="00D3301F">
        <w:rPr>
          <w:rFonts w:asciiTheme="minorHAnsi" w:hAnsiTheme="minorHAnsi"/>
          <w:b w:val="0"/>
          <w:sz w:val="24"/>
          <w:szCs w:val="24"/>
          <w:lang w:val="en-US"/>
        </w:rPr>
        <w:t xml:space="preserve">allow planned EPC’s to be carried out </w:t>
      </w:r>
      <w:r w:rsidR="00D6369B" w:rsidRPr="00D3301F">
        <w:rPr>
          <w:rFonts w:asciiTheme="minorHAnsi" w:hAnsiTheme="minorHAnsi"/>
          <w:b w:val="0"/>
          <w:sz w:val="24"/>
          <w:szCs w:val="24"/>
          <w:lang w:val="en-US"/>
        </w:rPr>
        <w:t xml:space="preserve">that will </w:t>
      </w:r>
      <w:r w:rsidR="002F402F" w:rsidRPr="00D3301F">
        <w:rPr>
          <w:rFonts w:asciiTheme="minorHAnsi" w:hAnsiTheme="minorHAnsi"/>
          <w:b w:val="0"/>
          <w:sz w:val="24"/>
          <w:szCs w:val="24"/>
          <w:lang w:val="en-US"/>
        </w:rPr>
        <w:t xml:space="preserve">allow </w:t>
      </w:r>
      <w:r w:rsidR="00537D84" w:rsidRPr="00D3301F">
        <w:rPr>
          <w:rFonts w:asciiTheme="minorHAnsi" w:hAnsiTheme="minorHAnsi"/>
          <w:b w:val="0"/>
          <w:sz w:val="24"/>
          <w:szCs w:val="24"/>
          <w:lang w:val="en-US"/>
        </w:rPr>
        <w:t>Saffron</w:t>
      </w:r>
      <w:r w:rsidR="006148F0">
        <w:rPr>
          <w:rFonts w:asciiTheme="minorHAnsi" w:hAnsiTheme="minorHAnsi"/>
          <w:b w:val="0"/>
          <w:sz w:val="24"/>
          <w:szCs w:val="24"/>
          <w:lang w:val="en-US"/>
        </w:rPr>
        <w:t xml:space="preserve"> to undertake works</w:t>
      </w:r>
      <w:r w:rsidR="00D6369B" w:rsidRPr="00D3301F">
        <w:rPr>
          <w:rFonts w:asciiTheme="minorHAnsi" w:hAnsiTheme="minorHAnsi"/>
          <w:b w:val="0"/>
          <w:sz w:val="24"/>
          <w:szCs w:val="24"/>
          <w:lang w:val="en-US"/>
        </w:rPr>
        <w:t xml:space="preserve"> directly targeting energy efficiency issues within our stock.</w:t>
      </w:r>
    </w:p>
    <w:p w:rsidR="00FC07CE" w:rsidRPr="00D3301F" w:rsidRDefault="00FC07CE" w:rsidP="001D38C4">
      <w:pPr>
        <w:rPr>
          <w:rFonts w:asciiTheme="minorHAnsi" w:hAnsiTheme="minorHAnsi"/>
          <w:lang w:val="en-US"/>
        </w:rPr>
      </w:pPr>
    </w:p>
    <w:p w:rsidR="00FC07CE" w:rsidRPr="00D3301F" w:rsidRDefault="00FC07CE" w:rsidP="001D38C4">
      <w:pPr>
        <w:pStyle w:val="Heading1"/>
        <w:numPr>
          <w:ilvl w:val="0"/>
          <w:numId w:val="0"/>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The </w:t>
      </w:r>
      <w:r w:rsidR="00667922">
        <w:rPr>
          <w:rFonts w:asciiTheme="minorHAnsi" w:hAnsiTheme="minorHAnsi"/>
          <w:b w:val="0"/>
          <w:sz w:val="24"/>
          <w:szCs w:val="24"/>
          <w:lang w:val="en-US"/>
        </w:rPr>
        <w:t>contract will be for 2</w:t>
      </w:r>
      <w:r w:rsidRPr="00D3301F">
        <w:rPr>
          <w:rFonts w:asciiTheme="minorHAnsi" w:hAnsiTheme="minorHAnsi"/>
          <w:b w:val="0"/>
          <w:sz w:val="24"/>
          <w:szCs w:val="24"/>
          <w:lang w:val="en-US"/>
        </w:rPr>
        <w:t xml:space="preserve"> year</w:t>
      </w:r>
      <w:r w:rsidR="00667922">
        <w:rPr>
          <w:rFonts w:asciiTheme="minorHAnsi" w:hAnsiTheme="minorHAnsi"/>
          <w:b w:val="0"/>
          <w:sz w:val="24"/>
          <w:szCs w:val="24"/>
          <w:lang w:val="en-US"/>
        </w:rPr>
        <w:t>s</w:t>
      </w:r>
      <w:r w:rsidRPr="00D3301F">
        <w:rPr>
          <w:rFonts w:asciiTheme="minorHAnsi" w:hAnsiTheme="minorHAnsi"/>
          <w:b w:val="0"/>
          <w:sz w:val="24"/>
          <w:szCs w:val="24"/>
          <w:lang w:val="en-US"/>
        </w:rPr>
        <w:t>, with a</w:t>
      </w:r>
      <w:r w:rsidR="00667922">
        <w:rPr>
          <w:rFonts w:asciiTheme="minorHAnsi" w:hAnsiTheme="minorHAnsi"/>
          <w:b w:val="0"/>
          <w:sz w:val="24"/>
          <w:szCs w:val="24"/>
          <w:lang w:val="en-US"/>
        </w:rPr>
        <w:t xml:space="preserve"> review after year 1 for the 2</w:t>
      </w:r>
      <w:r w:rsidR="00667922" w:rsidRPr="00667922">
        <w:rPr>
          <w:rFonts w:asciiTheme="minorHAnsi" w:hAnsiTheme="minorHAnsi"/>
          <w:b w:val="0"/>
          <w:sz w:val="24"/>
          <w:szCs w:val="24"/>
          <w:vertAlign w:val="superscript"/>
          <w:lang w:val="en-US"/>
        </w:rPr>
        <w:t>nd</w:t>
      </w:r>
      <w:r w:rsidR="00667922">
        <w:rPr>
          <w:rFonts w:asciiTheme="minorHAnsi" w:hAnsiTheme="minorHAnsi"/>
          <w:b w:val="0"/>
          <w:sz w:val="24"/>
          <w:szCs w:val="24"/>
          <w:lang w:val="en-US"/>
        </w:rPr>
        <w:t xml:space="preserve"> year of the contract. This will be</w:t>
      </w:r>
      <w:r w:rsidRPr="00D3301F">
        <w:rPr>
          <w:rFonts w:asciiTheme="minorHAnsi" w:hAnsiTheme="minorHAnsi"/>
          <w:b w:val="0"/>
          <w:sz w:val="24"/>
          <w:szCs w:val="24"/>
          <w:lang w:val="en-US"/>
        </w:rPr>
        <w:t xml:space="preserve"> based on the follo</w:t>
      </w:r>
      <w:r w:rsidR="00162B3C" w:rsidRPr="00D3301F">
        <w:rPr>
          <w:rFonts w:asciiTheme="minorHAnsi" w:hAnsiTheme="minorHAnsi"/>
          <w:b w:val="0"/>
          <w:sz w:val="24"/>
          <w:szCs w:val="24"/>
          <w:lang w:val="en-US"/>
        </w:rPr>
        <w:t>wing points being met in year 1:</w:t>
      </w:r>
    </w:p>
    <w:p w:rsidR="00FC07CE" w:rsidRPr="00D3301F" w:rsidRDefault="00FC07CE" w:rsidP="001D38C4">
      <w:pPr>
        <w:rPr>
          <w:rFonts w:asciiTheme="minorHAnsi" w:hAnsiTheme="minorHAnsi"/>
          <w:lang w:val="en-US"/>
        </w:rPr>
      </w:pPr>
    </w:p>
    <w:p w:rsidR="00FC07CE" w:rsidRPr="00D3301F" w:rsidRDefault="00145A8A"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Satisfactory adherence of</w:t>
      </w:r>
      <w:r w:rsidR="00FC07CE" w:rsidRPr="00D3301F">
        <w:rPr>
          <w:rFonts w:asciiTheme="minorHAnsi" w:hAnsiTheme="minorHAnsi"/>
          <w:b w:val="0"/>
          <w:sz w:val="24"/>
          <w:szCs w:val="24"/>
          <w:lang w:val="en-US"/>
        </w:rPr>
        <w:t xml:space="preserve"> Saffron KP</w:t>
      </w:r>
      <w:r w:rsidR="007B260D" w:rsidRPr="00D3301F">
        <w:rPr>
          <w:rFonts w:asciiTheme="minorHAnsi" w:hAnsiTheme="minorHAnsi"/>
          <w:b w:val="0"/>
          <w:sz w:val="24"/>
          <w:szCs w:val="24"/>
          <w:lang w:val="en-US"/>
        </w:rPr>
        <w:t>I’s and Targets</w:t>
      </w:r>
    </w:p>
    <w:p w:rsidR="00FC07CE" w:rsidRPr="00D3301F" w:rsidRDefault="00FC07CE"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High levels of customer satisfaction</w:t>
      </w:r>
    </w:p>
    <w:p w:rsidR="00FC07CE" w:rsidRPr="00D3301F" w:rsidRDefault="004949A8"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Any </w:t>
      </w:r>
      <w:r w:rsidR="00FC07CE" w:rsidRPr="00D3301F">
        <w:rPr>
          <w:rFonts w:asciiTheme="minorHAnsi" w:hAnsiTheme="minorHAnsi"/>
          <w:b w:val="0"/>
          <w:sz w:val="24"/>
          <w:szCs w:val="24"/>
          <w:lang w:val="en-US"/>
        </w:rPr>
        <w:t xml:space="preserve">changes </w:t>
      </w:r>
      <w:r w:rsidRPr="00D3301F">
        <w:rPr>
          <w:rFonts w:asciiTheme="minorHAnsi" w:hAnsiTheme="minorHAnsi"/>
          <w:b w:val="0"/>
          <w:sz w:val="24"/>
          <w:szCs w:val="24"/>
          <w:lang w:val="en-US"/>
        </w:rPr>
        <w:t xml:space="preserve">to the benchmarked pricing </w:t>
      </w:r>
      <w:r w:rsidR="00FC07CE" w:rsidRPr="00D3301F">
        <w:rPr>
          <w:rFonts w:asciiTheme="minorHAnsi" w:hAnsiTheme="minorHAnsi"/>
          <w:b w:val="0"/>
          <w:sz w:val="24"/>
          <w:szCs w:val="24"/>
          <w:lang w:val="en-US"/>
        </w:rPr>
        <w:t>for the potential 2</w:t>
      </w:r>
      <w:r w:rsidR="00FC07CE" w:rsidRPr="00D3301F">
        <w:rPr>
          <w:rFonts w:asciiTheme="minorHAnsi" w:hAnsiTheme="minorHAnsi"/>
          <w:b w:val="0"/>
          <w:sz w:val="24"/>
          <w:szCs w:val="24"/>
          <w:vertAlign w:val="superscript"/>
          <w:lang w:val="en-US"/>
        </w:rPr>
        <w:t>nd</w:t>
      </w:r>
      <w:r w:rsidR="00FC07CE" w:rsidRPr="00D3301F">
        <w:rPr>
          <w:rFonts w:asciiTheme="minorHAnsi" w:hAnsiTheme="minorHAnsi"/>
          <w:b w:val="0"/>
          <w:sz w:val="24"/>
          <w:szCs w:val="24"/>
          <w:lang w:val="en-US"/>
        </w:rPr>
        <w:t xml:space="preserve"> year</w:t>
      </w:r>
      <w:r w:rsidR="00172CCD" w:rsidRPr="00D3301F">
        <w:rPr>
          <w:rFonts w:asciiTheme="minorHAnsi" w:hAnsiTheme="minorHAnsi"/>
          <w:b w:val="0"/>
          <w:sz w:val="24"/>
          <w:szCs w:val="24"/>
          <w:lang w:val="en-US"/>
        </w:rPr>
        <w:t xml:space="preserve"> </w:t>
      </w:r>
    </w:p>
    <w:p w:rsidR="008A0BC6" w:rsidRPr="00D3301F" w:rsidRDefault="0057584A"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The success of </w:t>
      </w:r>
      <w:r w:rsidR="00C63B21" w:rsidRPr="00D3301F">
        <w:rPr>
          <w:rFonts w:asciiTheme="minorHAnsi" w:hAnsiTheme="minorHAnsi"/>
          <w:b w:val="0"/>
          <w:sz w:val="24"/>
          <w:szCs w:val="24"/>
          <w:lang w:val="en-US"/>
        </w:rPr>
        <w:t xml:space="preserve">any </w:t>
      </w:r>
      <w:r w:rsidR="008A0BC6" w:rsidRPr="00D3301F">
        <w:rPr>
          <w:rFonts w:asciiTheme="minorHAnsi" w:hAnsiTheme="minorHAnsi"/>
          <w:b w:val="0"/>
          <w:sz w:val="24"/>
          <w:szCs w:val="24"/>
          <w:lang w:val="en-US"/>
        </w:rPr>
        <w:t>Cost Saving &amp; Sharing</w:t>
      </w:r>
      <w:r w:rsidR="00C63B21" w:rsidRPr="00D3301F">
        <w:rPr>
          <w:rFonts w:asciiTheme="minorHAnsi" w:hAnsiTheme="minorHAnsi"/>
          <w:b w:val="0"/>
          <w:sz w:val="24"/>
          <w:szCs w:val="24"/>
          <w:lang w:val="en-US"/>
        </w:rPr>
        <w:t xml:space="preserve"> </w:t>
      </w:r>
      <w:r w:rsidR="007B260D" w:rsidRPr="00D3301F">
        <w:rPr>
          <w:rFonts w:asciiTheme="minorHAnsi" w:hAnsiTheme="minorHAnsi"/>
          <w:b w:val="0"/>
          <w:sz w:val="24"/>
          <w:szCs w:val="24"/>
          <w:lang w:val="en-US"/>
        </w:rPr>
        <w:t>Programme</w:t>
      </w:r>
      <w:r w:rsidR="00C63B21" w:rsidRPr="00D3301F">
        <w:rPr>
          <w:rFonts w:asciiTheme="minorHAnsi" w:hAnsiTheme="minorHAnsi"/>
          <w:b w:val="0"/>
          <w:sz w:val="24"/>
          <w:szCs w:val="24"/>
          <w:lang w:val="en-US"/>
        </w:rPr>
        <w:t xml:space="preserve"> in year 1</w:t>
      </w:r>
    </w:p>
    <w:p w:rsidR="00FC07CE" w:rsidRPr="00D3301F" w:rsidRDefault="00FC07CE"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 xml:space="preserve">Continued company credit worthiness </w:t>
      </w:r>
    </w:p>
    <w:p w:rsidR="005F4A17" w:rsidRDefault="005F4A17" w:rsidP="001D38C4">
      <w:pPr>
        <w:pStyle w:val="Heading1"/>
        <w:numPr>
          <w:ilvl w:val="0"/>
          <w:numId w:val="15"/>
        </w:numPr>
        <w:spacing w:before="0" w:after="0"/>
        <w:rPr>
          <w:rFonts w:asciiTheme="minorHAnsi" w:hAnsiTheme="minorHAnsi"/>
          <w:b w:val="0"/>
          <w:sz w:val="24"/>
          <w:szCs w:val="24"/>
          <w:lang w:val="en-US"/>
        </w:rPr>
      </w:pPr>
      <w:r w:rsidRPr="00D3301F">
        <w:rPr>
          <w:rFonts w:asciiTheme="minorHAnsi" w:hAnsiTheme="minorHAnsi"/>
          <w:b w:val="0"/>
          <w:sz w:val="24"/>
          <w:szCs w:val="24"/>
          <w:lang w:val="en-US"/>
        </w:rPr>
        <w:t>Compliance with Health &amp; Safety Regulations</w:t>
      </w:r>
    </w:p>
    <w:p w:rsidR="00BD72A9" w:rsidRDefault="00BD72A9" w:rsidP="00BD72A9">
      <w:pPr>
        <w:rPr>
          <w:lang w:val="en-US"/>
        </w:rPr>
      </w:pPr>
    </w:p>
    <w:p w:rsidR="00BD72A9" w:rsidRPr="00BD72A9" w:rsidRDefault="00BD72A9" w:rsidP="00BD72A9">
      <w:pPr>
        <w:rPr>
          <w:rFonts w:asciiTheme="minorHAnsi" w:hAnsiTheme="minorHAnsi"/>
          <w:lang w:val="en-US"/>
        </w:rPr>
      </w:pPr>
      <w:r w:rsidRPr="00BD72A9">
        <w:rPr>
          <w:rFonts w:asciiTheme="minorHAnsi" w:hAnsiTheme="minorHAnsi"/>
          <w:lang w:val="en-US"/>
        </w:rPr>
        <w:t xml:space="preserve">Expected </w:t>
      </w:r>
      <w:r>
        <w:rPr>
          <w:rFonts w:asciiTheme="minorHAnsi" w:hAnsiTheme="minorHAnsi"/>
          <w:lang w:val="en-US"/>
        </w:rPr>
        <w:t xml:space="preserve">available </w:t>
      </w:r>
      <w:r w:rsidRPr="00BD72A9">
        <w:rPr>
          <w:rFonts w:asciiTheme="minorHAnsi" w:hAnsiTheme="minorHAnsi"/>
          <w:lang w:val="en-US"/>
        </w:rPr>
        <w:t>budget</w:t>
      </w:r>
      <w:r>
        <w:rPr>
          <w:rFonts w:asciiTheme="minorHAnsi" w:hAnsiTheme="minorHAnsi"/>
          <w:lang w:val="en-US"/>
        </w:rPr>
        <w:t xml:space="preserve"> for year 1 will be up to </w:t>
      </w:r>
      <w:r w:rsidR="00F46B67">
        <w:rPr>
          <w:rFonts w:asciiTheme="minorHAnsi" w:hAnsiTheme="minorHAnsi"/>
          <w:lang w:val="en-US"/>
        </w:rPr>
        <w:t>£50,000 (including overheads &amp; VAT) to capture a larger number of properties, with the second year being reduced to meeting legislation requirements only. The budget for year 2 will not be set and passed until March 2018.</w:t>
      </w:r>
      <w:r w:rsidRPr="00BD72A9">
        <w:rPr>
          <w:rFonts w:asciiTheme="minorHAnsi" w:hAnsiTheme="minorHAnsi"/>
          <w:lang w:val="en-US"/>
        </w:rPr>
        <w:t xml:space="preserve"> </w:t>
      </w:r>
    </w:p>
    <w:p w:rsidR="00FB79ED" w:rsidRPr="00D3301F" w:rsidRDefault="00FB79ED" w:rsidP="001D38C4">
      <w:pPr>
        <w:rPr>
          <w:rFonts w:asciiTheme="minorHAnsi" w:hAnsiTheme="minorHAnsi"/>
        </w:rPr>
      </w:pPr>
    </w:p>
    <w:p w:rsidR="00FB79ED" w:rsidRPr="00D3301F" w:rsidRDefault="00FB79ED" w:rsidP="001D38C4">
      <w:pPr>
        <w:pStyle w:val="Heading1"/>
        <w:numPr>
          <w:ilvl w:val="0"/>
          <w:numId w:val="0"/>
        </w:numPr>
        <w:spacing w:before="0" w:after="0"/>
        <w:jc w:val="both"/>
        <w:rPr>
          <w:rFonts w:asciiTheme="minorHAnsi" w:hAnsiTheme="minorHAnsi" w:cs="Tahoma"/>
          <w:b w:val="0"/>
          <w:sz w:val="24"/>
          <w:szCs w:val="24"/>
        </w:rPr>
      </w:pPr>
    </w:p>
    <w:p w:rsidR="00E450E5" w:rsidRDefault="00E450E5" w:rsidP="006D2E80">
      <w:pPr>
        <w:pStyle w:val="Heading1"/>
        <w:numPr>
          <w:ilvl w:val="0"/>
          <w:numId w:val="17"/>
        </w:numPr>
        <w:spacing w:before="0" w:after="0"/>
        <w:rPr>
          <w:rFonts w:asciiTheme="minorHAnsi" w:hAnsiTheme="minorHAnsi"/>
          <w:sz w:val="24"/>
          <w:szCs w:val="24"/>
        </w:rPr>
      </w:pPr>
      <w:r w:rsidRPr="00D3301F">
        <w:rPr>
          <w:rFonts w:asciiTheme="minorHAnsi" w:hAnsiTheme="minorHAnsi"/>
          <w:sz w:val="24"/>
          <w:szCs w:val="24"/>
        </w:rPr>
        <w:t>Completion of the Tender Document</w:t>
      </w:r>
    </w:p>
    <w:p w:rsidR="006D2E80" w:rsidRPr="006D2E80" w:rsidRDefault="006D2E80" w:rsidP="006D2E80"/>
    <w:p w:rsidR="00BD72A9" w:rsidRPr="00BD72A9" w:rsidRDefault="00BD72A9" w:rsidP="00BD72A9">
      <w:pPr>
        <w:jc w:val="both"/>
        <w:rPr>
          <w:rFonts w:asciiTheme="minorHAnsi" w:hAnsiTheme="minorHAnsi" w:cs="Arial"/>
          <w:bCs/>
          <w:kern w:val="32"/>
        </w:rPr>
      </w:pPr>
      <w:r w:rsidRPr="00BD72A9">
        <w:rPr>
          <w:rFonts w:asciiTheme="minorHAnsi" w:hAnsiTheme="minorHAnsi" w:cs="Arial"/>
          <w:bCs/>
          <w:kern w:val="32"/>
        </w:rPr>
        <w:t>It is important that the information requested is completed in line with the guidance given below.  Failure to comply with this will be disadvantageous to your company as it may impact upon our final decision. Please break your responses into appendices matching the section that it is relating to.</w:t>
      </w:r>
    </w:p>
    <w:p w:rsidR="00E450E5" w:rsidRPr="00D3301F" w:rsidRDefault="00E450E5" w:rsidP="001D38C4">
      <w:pPr>
        <w:jc w:val="both"/>
        <w:rPr>
          <w:rFonts w:asciiTheme="minorHAnsi" w:hAnsiTheme="minorHAnsi" w:cs="Tahoma"/>
        </w:rPr>
      </w:pPr>
    </w:p>
    <w:p w:rsidR="001D38C4" w:rsidRDefault="001D38C4" w:rsidP="001D38C4">
      <w:pPr>
        <w:jc w:val="both"/>
        <w:rPr>
          <w:rFonts w:asciiTheme="minorHAnsi" w:hAnsiTheme="minorHAnsi" w:cs="Tahoma"/>
        </w:rPr>
      </w:pPr>
    </w:p>
    <w:p w:rsidR="00BD72A9" w:rsidRPr="00D3301F" w:rsidRDefault="00BD72A9" w:rsidP="001D38C4">
      <w:pPr>
        <w:jc w:val="both"/>
        <w:rPr>
          <w:rFonts w:asciiTheme="minorHAnsi" w:hAnsiTheme="minorHAnsi" w:cs="Tahoma"/>
        </w:rPr>
      </w:pPr>
    </w:p>
    <w:p w:rsidR="006D2E80" w:rsidRPr="006D2E80" w:rsidRDefault="00F46B67" w:rsidP="00F46B67">
      <w:pPr>
        <w:pStyle w:val="Heading2"/>
        <w:numPr>
          <w:ilvl w:val="0"/>
          <w:numId w:val="0"/>
        </w:numPr>
        <w:spacing w:before="0" w:after="0"/>
        <w:ind w:left="432" w:hanging="432"/>
      </w:pPr>
      <w:r>
        <w:rPr>
          <w:rFonts w:asciiTheme="minorHAnsi" w:hAnsiTheme="minorHAnsi"/>
          <w:sz w:val="24"/>
          <w:szCs w:val="24"/>
        </w:rPr>
        <w:lastRenderedPageBreak/>
        <w:t>3.0</w:t>
      </w:r>
      <w:r w:rsidR="006D2E80">
        <w:rPr>
          <w:rFonts w:asciiTheme="minorHAnsi" w:hAnsiTheme="minorHAnsi"/>
          <w:sz w:val="24"/>
          <w:szCs w:val="24"/>
        </w:rPr>
        <w:tab/>
      </w:r>
      <w:r w:rsidR="006D2E80">
        <w:rPr>
          <w:rFonts w:asciiTheme="minorHAnsi" w:hAnsiTheme="minorHAnsi"/>
          <w:sz w:val="24"/>
          <w:szCs w:val="24"/>
        </w:rPr>
        <w:tab/>
      </w:r>
      <w:r w:rsidR="00E450E5" w:rsidRPr="00D3301F">
        <w:rPr>
          <w:rFonts w:asciiTheme="minorHAnsi" w:hAnsiTheme="minorHAnsi"/>
          <w:sz w:val="24"/>
          <w:szCs w:val="24"/>
        </w:rPr>
        <w:t>Company Name and Contact Details</w:t>
      </w:r>
    </w:p>
    <w:p w:rsidR="00E450E5" w:rsidRPr="00D3301F" w:rsidRDefault="00567DB4" w:rsidP="001D38C4">
      <w:pPr>
        <w:pStyle w:val="Heading1"/>
        <w:numPr>
          <w:ilvl w:val="0"/>
          <w:numId w:val="0"/>
        </w:numPr>
        <w:spacing w:before="0" w:after="0"/>
        <w:rPr>
          <w:rFonts w:asciiTheme="minorHAnsi" w:hAnsiTheme="minorHAnsi"/>
          <w:b w:val="0"/>
          <w:sz w:val="24"/>
          <w:szCs w:val="24"/>
        </w:rPr>
      </w:pPr>
      <w:r>
        <w:rPr>
          <w:rFonts w:asciiTheme="minorHAnsi" w:hAnsiTheme="minorHAnsi"/>
          <w:b w:val="0"/>
          <w:sz w:val="24"/>
          <w:szCs w:val="24"/>
        </w:rPr>
        <w:t>Enter basic information about</w:t>
      </w:r>
      <w:r w:rsidR="00E450E5" w:rsidRPr="00D3301F">
        <w:rPr>
          <w:rFonts w:asciiTheme="minorHAnsi" w:hAnsiTheme="minorHAnsi"/>
          <w:b w:val="0"/>
          <w:sz w:val="24"/>
          <w:szCs w:val="24"/>
        </w:rPr>
        <w:t xml:space="preserve"> your company, providing full contact details.</w:t>
      </w:r>
    </w:p>
    <w:p w:rsidR="00E450E5" w:rsidRDefault="00E450E5" w:rsidP="001D38C4">
      <w:pPr>
        <w:jc w:val="both"/>
        <w:rPr>
          <w:rFonts w:asciiTheme="minorHAnsi" w:hAnsiTheme="minorHAnsi" w:cs="Tahoma"/>
        </w:rPr>
      </w:pPr>
    </w:p>
    <w:p w:rsidR="00F46B67" w:rsidRDefault="00F46B67" w:rsidP="00F46B67">
      <w:pPr>
        <w:pStyle w:val="Heading2"/>
        <w:numPr>
          <w:ilvl w:val="0"/>
          <w:numId w:val="0"/>
        </w:numPr>
        <w:spacing w:before="0" w:after="0"/>
        <w:ind w:left="432" w:hanging="432"/>
        <w:rPr>
          <w:rFonts w:asciiTheme="minorHAnsi" w:hAnsiTheme="minorHAnsi" w:cs="Tahoma"/>
        </w:rPr>
      </w:pPr>
      <w:r>
        <w:rPr>
          <w:rFonts w:asciiTheme="minorHAnsi" w:hAnsiTheme="minorHAnsi"/>
          <w:sz w:val="24"/>
          <w:szCs w:val="24"/>
        </w:rPr>
        <w:t>4.0</w:t>
      </w:r>
      <w:r>
        <w:rPr>
          <w:rFonts w:asciiTheme="minorHAnsi" w:hAnsiTheme="minorHAnsi"/>
          <w:sz w:val="24"/>
          <w:szCs w:val="24"/>
        </w:rPr>
        <w:tab/>
      </w:r>
      <w:r>
        <w:rPr>
          <w:rFonts w:asciiTheme="minorHAnsi" w:hAnsiTheme="minorHAnsi"/>
          <w:sz w:val="24"/>
          <w:szCs w:val="24"/>
        </w:rPr>
        <w:tab/>
      </w:r>
      <w:r w:rsidRPr="00D3301F">
        <w:rPr>
          <w:rFonts w:asciiTheme="minorHAnsi" w:hAnsiTheme="minorHAnsi"/>
          <w:sz w:val="24"/>
          <w:szCs w:val="24"/>
        </w:rPr>
        <w:t>Company Name and Contact Details</w:t>
      </w:r>
    </w:p>
    <w:p w:rsidR="00F46B67" w:rsidRPr="00D3301F" w:rsidRDefault="00F46B67" w:rsidP="00F46B67">
      <w:pPr>
        <w:jc w:val="both"/>
        <w:rPr>
          <w:rFonts w:asciiTheme="minorHAnsi" w:hAnsiTheme="minorHAnsi" w:cs="Tahoma"/>
        </w:rPr>
      </w:pPr>
      <w:r w:rsidRPr="00F46B67">
        <w:rPr>
          <w:rFonts w:asciiTheme="minorHAnsi" w:hAnsiTheme="minorHAnsi" w:cs="Tahoma"/>
        </w:rPr>
        <w:t>A working process, including completion information, and our required Key Performance Indicators will be supplied to the winning bidder. Once supplied changes to the KPI’s will only be acceptable with written consent from Saffron Housing Trust. You must confirm in your tender response that this is acceptable</w:t>
      </w:r>
    </w:p>
    <w:p w:rsidR="001D38C4" w:rsidRPr="00D3301F" w:rsidRDefault="001D38C4" w:rsidP="001D38C4">
      <w:pPr>
        <w:jc w:val="both"/>
        <w:rPr>
          <w:rFonts w:asciiTheme="minorHAnsi" w:hAnsiTheme="minorHAnsi" w:cs="Tahoma"/>
        </w:rPr>
      </w:pPr>
    </w:p>
    <w:p w:rsidR="006D2E80" w:rsidRPr="006D2E80" w:rsidRDefault="00F46B67" w:rsidP="00F46B67">
      <w:pPr>
        <w:pStyle w:val="Heading2"/>
        <w:numPr>
          <w:ilvl w:val="0"/>
          <w:numId w:val="0"/>
        </w:numPr>
        <w:spacing w:before="0" w:after="0"/>
      </w:pPr>
      <w:r>
        <w:rPr>
          <w:rFonts w:asciiTheme="minorHAnsi" w:hAnsiTheme="minorHAnsi"/>
          <w:sz w:val="24"/>
          <w:szCs w:val="24"/>
        </w:rPr>
        <w:t>5.0</w:t>
      </w:r>
      <w:r w:rsidR="00FC63E0" w:rsidRPr="00D3301F">
        <w:rPr>
          <w:rFonts w:asciiTheme="minorHAnsi" w:hAnsiTheme="minorHAnsi"/>
          <w:sz w:val="24"/>
          <w:szCs w:val="24"/>
        </w:rPr>
        <w:tab/>
      </w:r>
      <w:r w:rsidR="00E450E5" w:rsidRPr="00D3301F">
        <w:rPr>
          <w:rFonts w:asciiTheme="minorHAnsi" w:hAnsiTheme="minorHAnsi"/>
          <w:sz w:val="24"/>
          <w:szCs w:val="24"/>
        </w:rPr>
        <w:t>Company Background</w:t>
      </w:r>
    </w:p>
    <w:p w:rsidR="007B260D" w:rsidRDefault="00E450E5"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This is your opportunity to sell your company to us.  Please provide information on how long you have been in existence, your attitude to referrals, membership of trade organisations, </w:t>
      </w:r>
      <w:r w:rsidR="001C318A">
        <w:rPr>
          <w:rFonts w:asciiTheme="minorHAnsi" w:hAnsiTheme="minorHAnsi"/>
          <w:b w:val="0"/>
          <w:sz w:val="24"/>
          <w:szCs w:val="24"/>
        </w:rPr>
        <w:t>Elmhurst</w:t>
      </w:r>
      <w:r w:rsidR="00D6369B" w:rsidRPr="00D3301F">
        <w:rPr>
          <w:rFonts w:asciiTheme="minorHAnsi" w:hAnsiTheme="minorHAnsi"/>
          <w:b w:val="0"/>
          <w:sz w:val="24"/>
          <w:szCs w:val="24"/>
        </w:rPr>
        <w:t>, Stroma</w:t>
      </w:r>
      <w:r w:rsidRPr="00D3301F">
        <w:rPr>
          <w:rFonts w:asciiTheme="minorHAnsi" w:hAnsiTheme="minorHAnsi"/>
          <w:b w:val="0"/>
          <w:sz w:val="24"/>
          <w:szCs w:val="24"/>
        </w:rPr>
        <w:t xml:space="preserve">, </w:t>
      </w:r>
      <w:r w:rsidR="001C318A">
        <w:rPr>
          <w:rFonts w:asciiTheme="minorHAnsi" w:hAnsiTheme="minorHAnsi"/>
          <w:b w:val="0"/>
          <w:sz w:val="24"/>
          <w:szCs w:val="24"/>
        </w:rPr>
        <w:t>PAS2030 and</w:t>
      </w:r>
      <w:r w:rsidR="008A589D" w:rsidRPr="00D3301F">
        <w:rPr>
          <w:rFonts w:asciiTheme="minorHAnsi" w:hAnsiTheme="minorHAnsi"/>
          <w:b w:val="0"/>
          <w:sz w:val="24"/>
          <w:szCs w:val="24"/>
        </w:rPr>
        <w:t xml:space="preserve"> </w:t>
      </w:r>
      <w:r w:rsidRPr="00D3301F">
        <w:rPr>
          <w:rFonts w:asciiTheme="minorHAnsi" w:hAnsiTheme="minorHAnsi"/>
          <w:b w:val="0"/>
          <w:sz w:val="24"/>
          <w:szCs w:val="24"/>
        </w:rPr>
        <w:t xml:space="preserve">awards won etc.  If you wish to include any letters of </w:t>
      </w:r>
      <w:r w:rsidR="00573CB0">
        <w:rPr>
          <w:rFonts w:asciiTheme="minorHAnsi" w:hAnsiTheme="minorHAnsi"/>
          <w:b w:val="0"/>
          <w:sz w:val="24"/>
          <w:szCs w:val="24"/>
        </w:rPr>
        <w:t>re</w:t>
      </w:r>
      <w:r w:rsidRPr="00D3301F">
        <w:rPr>
          <w:rFonts w:asciiTheme="minorHAnsi" w:hAnsiTheme="minorHAnsi"/>
          <w:b w:val="0"/>
          <w:sz w:val="24"/>
          <w:szCs w:val="24"/>
        </w:rPr>
        <w:t>commendation</w:t>
      </w:r>
      <w:r w:rsidR="00573CB0">
        <w:rPr>
          <w:rFonts w:asciiTheme="minorHAnsi" w:hAnsiTheme="minorHAnsi"/>
          <w:b w:val="0"/>
          <w:sz w:val="24"/>
          <w:szCs w:val="24"/>
        </w:rPr>
        <w:t>,</w:t>
      </w:r>
      <w:r w:rsidR="00774FA2" w:rsidRPr="00D3301F">
        <w:rPr>
          <w:rFonts w:asciiTheme="minorHAnsi" w:hAnsiTheme="minorHAnsi"/>
          <w:b w:val="0"/>
          <w:sz w:val="24"/>
          <w:szCs w:val="24"/>
        </w:rPr>
        <w:t xml:space="preserve"> these should be at</w:t>
      </w:r>
      <w:r w:rsidR="00573CB0">
        <w:rPr>
          <w:rFonts w:asciiTheme="minorHAnsi" w:hAnsiTheme="minorHAnsi"/>
          <w:b w:val="0"/>
          <w:sz w:val="24"/>
          <w:szCs w:val="24"/>
        </w:rPr>
        <w:t>tached to the email or included</w:t>
      </w:r>
      <w:r w:rsidR="00774FA2" w:rsidRPr="00D3301F">
        <w:rPr>
          <w:rFonts w:asciiTheme="minorHAnsi" w:hAnsiTheme="minorHAnsi"/>
          <w:b w:val="0"/>
          <w:sz w:val="24"/>
          <w:szCs w:val="24"/>
        </w:rPr>
        <w:t xml:space="preserve"> as an appendix, in the hard copy</w:t>
      </w:r>
      <w:r w:rsidRPr="00D3301F">
        <w:rPr>
          <w:rFonts w:asciiTheme="minorHAnsi" w:hAnsiTheme="minorHAnsi"/>
          <w:b w:val="0"/>
          <w:sz w:val="24"/>
          <w:szCs w:val="24"/>
        </w:rPr>
        <w:t>.</w:t>
      </w:r>
    </w:p>
    <w:p w:rsidR="00F46B67" w:rsidRDefault="00F46B67" w:rsidP="00F46B67"/>
    <w:p w:rsidR="00F46B67" w:rsidRPr="00F46B67" w:rsidRDefault="00F46B67" w:rsidP="00F46B67">
      <w:pPr>
        <w:pStyle w:val="Heading2"/>
        <w:numPr>
          <w:ilvl w:val="0"/>
          <w:numId w:val="0"/>
        </w:numPr>
        <w:spacing w:before="0" w:after="0"/>
      </w:pPr>
      <w:r>
        <w:rPr>
          <w:rFonts w:asciiTheme="minorHAnsi" w:hAnsiTheme="minorHAnsi"/>
          <w:sz w:val="24"/>
          <w:szCs w:val="24"/>
        </w:rPr>
        <w:t>6.0</w:t>
      </w:r>
      <w:r w:rsidRPr="00D3301F">
        <w:rPr>
          <w:rFonts w:asciiTheme="minorHAnsi" w:hAnsiTheme="minorHAnsi"/>
          <w:sz w:val="24"/>
          <w:szCs w:val="24"/>
        </w:rPr>
        <w:tab/>
      </w:r>
      <w:r>
        <w:rPr>
          <w:rFonts w:asciiTheme="minorHAnsi" w:hAnsiTheme="minorHAnsi"/>
          <w:sz w:val="24"/>
          <w:szCs w:val="24"/>
        </w:rPr>
        <w:t>Financial Viability</w:t>
      </w:r>
    </w:p>
    <w:p w:rsidR="00F46B67" w:rsidRPr="00F46B67" w:rsidRDefault="00F46B67" w:rsidP="00F46B67">
      <w:pPr>
        <w:rPr>
          <w:rFonts w:asciiTheme="minorHAnsi" w:hAnsiTheme="minorHAnsi"/>
          <w:bCs/>
          <w:iCs/>
        </w:rPr>
      </w:pPr>
      <w:r w:rsidRPr="00F46B67">
        <w:rPr>
          <w:rFonts w:asciiTheme="minorHAnsi" w:hAnsiTheme="minorHAnsi"/>
          <w:bCs/>
          <w:iCs/>
        </w:rPr>
        <w:t>Saffron require a statement of the undertaking's overall turnover and, where appropriate, of turnover in the area covered by the contract for the last financial year. As with the scoring procedure listed below the credit worthiness of the contractor will be scored on a 1-100 rating. This score will form part of the tenders scoring along with the other sections requiring a response.</w:t>
      </w:r>
    </w:p>
    <w:p w:rsidR="00F46B67" w:rsidRPr="00F46B67" w:rsidRDefault="00F46B67" w:rsidP="00F46B67">
      <w:pPr>
        <w:rPr>
          <w:rFonts w:asciiTheme="minorHAnsi" w:hAnsiTheme="minorHAnsi"/>
          <w:bCs/>
          <w:iCs/>
        </w:rPr>
      </w:pPr>
    </w:p>
    <w:p w:rsidR="00F46B67" w:rsidRDefault="00F46B67" w:rsidP="00F46B67">
      <w:pPr>
        <w:rPr>
          <w:rFonts w:asciiTheme="minorHAnsi" w:hAnsiTheme="minorHAnsi"/>
          <w:bCs/>
          <w:iCs/>
        </w:rPr>
      </w:pPr>
      <w:r w:rsidRPr="00F46B67">
        <w:rPr>
          <w:rFonts w:asciiTheme="minorHAnsi" w:hAnsiTheme="minorHAnsi"/>
          <w:bCs/>
          <w:iCs/>
        </w:rPr>
        <w:t>Saffron reserves the right to undertake its own investigation of the undertakings turnover and financial viability.</w:t>
      </w:r>
    </w:p>
    <w:p w:rsidR="00F46B67" w:rsidRDefault="00F46B67" w:rsidP="00F46B67">
      <w:pPr>
        <w:rPr>
          <w:rFonts w:asciiTheme="minorHAnsi" w:hAnsiTheme="minorHAnsi"/>
          <w:bCs/>
          <w:iCs/>
        </w:rPr>
      </w:pPr>
    </w:p>
    <w:p w:rsidR="00F62F28" w:rsidRPr="00F62F28" w:rsidRDefault="00F62F28" w:rsidP="00F62F28">
      <w:pPr>
        <w:pStyle w:val="Heading2"/>
        <w:numPr>
          <w:ilvl w:val="0"/>
          <w:numId w:val="0"/>
        </w:numPr>
        <w:spacing w:before="0" w:after="0"/>
      </w:pPr>
      <w:r>
        <w:rPr>
          <w:rFonts w:asciiTheme="minorHAnsi" w:hAnsiTheme="minorHAnsi"/>
          <w:sz w:val="24"/>
          <w:szCs w:val="24"/>
        </w:rPr>
        <w:t>7.0</w:t>
      </w:r>
      <w:r w:rsidRPr="00D3301F">
        <w:rPr>
          <w:rFonts w:asciiTheme="minorHAnsi" w:hAnsiTheme="minorHAnsi"/>
          <w:sz w:val="24"/>
          <w:szCs w:val="24"/>
        </w:rPr>
        <w:tab/>
      </w:r>
      <w:r>
        <w:rPr>
          <w:rFonts w:asciiTheme="minorHAnsi" w:hAnsiTheme="minorHAnsi"/>
          <w:sz w:val="24"/>
          <w:szCs w:val="24"/>
        </w:rPr>
        <w:t>Number of Contractors Invited</w:t>
      </w:r>
    </w:p>
    <w:p w:rsidR="00F62F28" w:rsidRPr="00F62F28" w:rsidRDefault="00F62F28" w:rsidP="00F62F28">
      <w:pPr>
        <w:rPr>
          <w:rFonts w:asciiTheme="minorHAnsi" w:hAnsiTheme="minorHAnsi"/>
          <w:bCs/>
          <w:iCs/>
        </w:rPr>
      </w:pPr>
      <w:r w:rsidRPr="00F62F28">
        <w:rPr>
          <w:rFonts w:asciiTheme="minorHAnsi" w:hAnsiTheme="minorHAnsi"/>
          <w:bCs/>
          <w:iCs/>
        </w:rPr>
        <w:t>Saffron wi</w:t>
      </w:r>
      <w:r>
        <w:rPr>
          <w:rFonts w:asciiTheme="minorHAnsi" w:hAnsiTheme="minorHAnsi"/>
          <w:bCs/>
          <w:iCs/>
        </w:rPr>
        <w:t>ll require a minimum number of 3</w:t>
      </w:r>
      <w:r w:rsidRPr="00F62F28">
        <w:rPr>
          <w:rFonts w:asciiTheme="minorHAnsi" w:hAnsiTheme="minorHAnsi"/>
          <w:bCs/>
          <w:iCs/>
        </w:rPr>
        <w:t xml:space="preserve"> Contractors </w:t>
      </w:r>
      <w:r>
        <w:rPr>
          <w:rFonts w:asciiTheme="minorHAnsi" w:hAnsiTheme="minorHAnsi"/>
          <w:bCs/>
          <w:iCs/>
        </w:rPr>
        <w:t>to</w:t>
      </w:r>
      <w:r w:rsidRPr="00F62F28">
        <w:rPr>
          <w:rFonts w:asciiTheme="minorHAnsi" w:hAnsiTheme="minorHAnsi"/>
          <w:bCs/>
          <w:iCs/>
        </w:rPr>
        <w:t xml:space="preserve"> be invited to complete this tender exercise, as per Saffron’s </w:t>
      </w:r>
      <w:r w:rsidR="00A03184">
        <w:rPr>
          <w:rFonts w:asciiTheme="minorHAnsi" w:hAnsiTheme="minorHAnsi"/>
          <w:bCs/>
          <w:iCs/>
        </w:rPr>
        <w:t xml:space="preserve">current </w:t>
      </w:r>
      <w:r w:rsidRPr="00F62F28">
        <w:rPr>
          <w:rFonts w:asciiTheme="minorHAnsi" w:hAnsiTheme="minorHAnsi"/>
          <w:bCs/>
          <w:iCs/>
        </w:rPr>
        <w:t>finance &amp; procurement policies. The contract will also be advertised via the Governments contracts finder web portal. This can be found at the following web address:</w:t>
      </w:r>
    </w:p>
    <w:p w:rsidR="00F62F28" w:rsidRPr="00F62F28" w:rsidRDefault="00F62F28" w:rsidP="00F62F28">
      <w:pPr>
        <w:rPr>
          <w:rFonts w:asciiTheme="minorHAnsi" w:hAnsiTheme="minorHAnsi"/>
          <w:bCs/>
          <w:iCs/>
        </w:rPr>
      </w:pPr>
    </w:p>
    <w:p w:rsidR="00F62F28" w:rsidRPr="00F62F28" w:rsidRDefault="002B5F0A" w:rsidP="00F62F28">
      <w:pPr>
        <w:rPr>
          <w:rFonts w:asciiTheme="minorHAnsi" w:hAnsiTheme="minorHAnsi"/>
          <w:bCs/>
          <w:iCs/>
        </w:rPr>
      </w:pPr>
      <w:hyperlink r:id="rId10" w:history="1">
        <w:r w:rsidR="00F62F28" w:rsidRPr="00F62F28">
          <w:rPr>
            <w:rStyle w:val="Hyperlink"/>
            <w:rFonts w:asciiTheme="minorHAnsi" w:hAnsiTheme="minorHAnsi"/>
            <w:bCs/>
            <w:iCs/>
          </w:rPr>
          <w:t>https://www.gov.uk/contracts-finder</w:t>
        </w:r>
      </w:hyperlink>
    </w:p>
    <w:p w:rsidR="00F46B67" w:rsidRPr="00F46B67" w:rsidRDefault="00F62F28" w:rsidP="00F46B67">
      <w:pPr>
        <w:rPr>
          <w:rFonts w:asciiTheme="minorHAnsi" w:hAnsiTheme="minorHAnsi"/>
        </w:rPr>
      </w:pPr>
      <w:r w:rsidRPr="00F62F28">
        <w:rPr>
          <w:rFonts w:asciiTheme="minorHAnsi" w:hAnsiTheme="minorHAnsi"/>
          <w:bCs/>
          <w:iCs/>
        </w:rPr>
        <w:t xml:space="preserve"> </w:t>
      </w:r>
    </w:p>
    <w:p w:rsidR="007B260D" w:rsidRPr="001B40EB" w:rsidRDefault="001B40EB" w:rsidP="001B40EB">
      <w:pPr>
        <w:pStyle w:val="Heading2"/>
        <w:numPr>
          <w:ilvl w:val="0"/>
          <w:numId w:val="0"/>
        </w:numPr>
        <w:spacing w:before="0" w:after="0"/>
      </w:pPr>
      <w:r>
        <w:rPr>
          <w:rFonts w:asciiTheme="minorHAnsi" w:hAnsiTheme="minorHAnsi"/>
          <w:sz w:val="24"/>
          <w:szCs w:val="24"/>
        </w:rPr>
        <w:t>8.0</w:t>
      </w:r>
      <w:r w:rsidRPr="00D3301F">
        <w:rPr>
          <w:rFonts w:asciiTheme="minorHAnsi" w:hAnsiTheme="minorHAnsi"/>
          <w:sz w:val="24"/>
          <w:szCs w:val="24"/>
        </w:rPr>
        <w:tab/>
      </w:r>
      <w:r>
        <w:rPr>
          <w:rFonts w:asciiTheme="minorHAnsi" w:hAnsiTheme="minorHAnsi"/>
          <w:sz w:val="24"/>
          <w:szCs w:val="24"/>
        </w:rPr>
        <w:t>Termination of Contract</w:t>
      </w:r>
    </w:p>
    <w:p w:rsidR="001B40EB" w:rsidRPr="001B40EB" w:rsidRDefault="001B40EB" w:rsidP="001B40EB">
      <w:pPr>
        <w:rPr>
          <w:rFonts w:asciiTheme="minorHAnsi" w:hAnsiTheme="minorHAnsi" w:cs="Tahoma"/>
        </w:rPr>
      </w:pPr>
      <w:r w:rsidRPr="001B40EB">
        <w:rPr>
          <w:rFonts w:asciiTheme="minorHAnsi" w:hAnsiTheme="minorHAnsi" w:cs="Tahoma"/>
        </w:rPr>
        <w:t xml:space="preserve">If the contract is terminated we </w:t>
      </w:r>
      <w:r>
        <w:rPr>
          <w:rFonts w:asciiTheme="minorHAnsi" w:hAnsiTheme="minorHAnsi" w:cs="Tahoma"/>
        </w:rPr>
        <w:t>reserve the right to</w:t>
      </w:r>
      <w:r w:rsidRPr="001B40EB">
        <w:rPr>
          <w:rFonts w:asciiTheme="minorHAnsi" w:hAnsiTheme="minorHAnsi" w:cs="Tahoma"/>
        </w:rPr>
        <w:t xml:space="preserve"> offer the work to the company who submitted the second most favourable tender, provided they maintain the rates and terms originally tendered.</w:t>
      </w:r>
    </w:p>
    <w:p w:rsidR="001D38C4" w:rsidRDefault="001D38C4" w:rsidP="001D38C4">
      <w:pPr>
        <w:rPr>
          <w:rFonts w:asciiTheme="minorHAnsi" w:hAnsiTheme="minorHAnsi" w:cs="Tahoma"/>
        </w:rPr>
      </w:pPr>
    </w:p>
    <w:p w:rsidR="001B40EB" w:rsidRPr="001B40EB" w:rsidRDefault="001B40EB" w:rsidP="001B40EB">
      <w:pPr>
        <w:pStyle w:val="Heading2"/>
        <w:numPr>
          <w:ilvl w:val="0"/>
          <w:numId w:val="0"/>
        </w:numPr>
        <w:spacing w:before="0" w:after="0"/>
      </w:pPr>
      <w:r>
        <w:rPr>
          <w:rFonts w:asciiTheme="minorHAnsi" w:hAnsiTheme="minorHAnsi"/>
          <w:sz w:val="24"/>
          <w:szCs w:val="24"/>
        </w:rPr>
        <w:t>9.0</w:t>
      </w:r>
      <w:r w:rsidRPr="00D3301F">
        <w:rPr>
          <w:rFonts w:asciiTheme="minorHAnsi" w:hAnsiTheme="minorHAnsi"/>
          <w:sz w:val="24"/>
          <w:szCs w:val="24"/>
        </w:rPr>
        <w:tab/>
      </w:r>
      <w:r>
        <w:rPr>
          <w:rFonts w:asciiTheme="minorHAnsi" w:hAnsiTheme="minorHAnsi"/>
          <w:sz w:val="24"/>
          <w:szCs w:val="24"/>
        </w:rPr>
        <w:t>Process &amp; KPI’s</w:t>
      </w:r>
    </w:p>
    <w:p w:rsidR="001B40EB" w:rsidRPr="00D3301F" w:rsidRDefault="001B40EB" w:rsidP="001D38C4">
      <w:pPr>
        <w:rPr>
          <w:rFonts w:asciiTheme="minorHAnsi" w:hAnsiTheme="minorHAnsi" w:cs="Tahoma"/>
        </w:rPr>
      </w:pPr>
      <w:r w:rsidRPr="001B40EB">
        <w:rPr>
          <w:rFonts w:asciiTheme="minorHAnsi" w:hAnsiTheme="minorHAnsi" w:cs="Tahoma"/>
        </w:rPr>
        <w:t>A working process, including completion information, and our required Key Performance Indicators will be supplied to the winning bidder</w:t>
      </w:r>
      <w:r w:rsidR="00C0388D">
        <w:rPr>
          <w:rFonts w:asciiTheme="minorHAnsi" w:hAnsiTheme="minorHAnsi" w:cs="Tahoma"/>
        </w:rPr>
        <w:t xml:space="preserve">. </w:t>
      </w:r>
      <w:r w:rsidRPr="001B40EB">
        <w:rPr>
          <w:rFonts w:asciiTheme="minorHAnsi" w:hAnsiTheme="minorHAnsi" w:cs="Tahoma"/>
        </w:rPr>
        <w:t>Once supplied changes to the KPI’s will only be acceptable with written</w:t>
      </w:r>
      <w:r>
        <w:rPr>
          <w:rFonts w:asciiTheme="minorHAnsi" w:hAnsiTheme="minorHAnsi" w:cs="Tahoma"/>
        </w:rPr>
        <w:t xml:space="preserve"> </w:t>
      </w:r>
      <w:r>
        <w:rPr>
          <w:rFonts w:ascii="Arial" w:hAnsi="Arial" w:cs="Arial"/>
          <w:sz w:val="22"/>
          <w:szCs w:val="22"/>
        </w:rPr>
        <w:t>consent from Saffron Housing Trust. You must confirm in your tender response that this is acceptable</w:t>
      </w:r>
    </w:p>
    <w:p w:rsidR="001B40EB" w:rsidRDefault="001B40EB" w:rsidP="00F46B67">
      <w:pPr>
        <w:pStyle w:val="Heading1"/>
        <w:numPr>
          <w:ilvl w:val="0"/>
          <w:numId w:val="0"/>
        </w:numPr>
        <w:spacing w:before="0" w:after="0"/>
        <w:rPr>
          <w:rFonts w:asciiTheme="minorHAnsi" w:hAnsiTheme="minorHAnsi"/>
          <w:sz w:val="24"/>
          <w:szCs w:val="24"/>
        </w:rPr>
      </w:pPr>
    </w:p>
    <w:p w:rsidR="001B40EB" w:rsidRPr="00F14056" w:rsidRDefault="00F14056" w:rsidP="00F14056">
      <w:pPr>
        <w:pStyle w:val="Heading2"/>
        <w:numPr>
          <w:ilvl w:val="0"/>
          <w:numId w:val="0"/>
        </w:numPr>
        <w:spacing w:before="0" w:after="0"/>
      </w:pPr>
      <w:r>
        <w:rPr>
          <w:rFonts w:asciiTheme="minorHAnsi" w:hAnsiTheme="minorHAnsi"/>
          <w:sz w:val="24"/>
          <w:szCs w:val="24"/>
        </w:rPr>
        <w:t>10.0</w:t>
      </w:r>
      <w:r w:rsidRPr="00D3301F">
        <w:rPr>
          <w:rFonts w:asciiTheme="minorHAnsi" w:hAnsiTheme="minorHAnsi"/>
          <w:sz w:val="24"/>
          <w:szCs w:val="24"/>
        </w:rPr>
        <w:tab/>
      </w:r>
      <w:r w:rsidR="00EE006F">
        <w:rPr>
          <w:rFonts w:asciiTheme="minorHAnsi" w:hAnsiTheme="minorHAnsi"/>
          <w:sz w:val="24"/>
          <w:szCs w:val="24"/>
        </w:rPr>
        <w:t>Additional Information</w:t>
      </w:r>
    </w:p>
    <w:p w:rsidR="00F14056" w:rsidRPr="00EE006F" w:rsidRDefault="00F14056" w:rsidP="00EE006F">
      <w:pPr>
        <w:pStyle w:val="Heading1"/>
        <w:spacing w:before="0" w:after="0"/>
        <w:ind w:left="0"/>
        <w:rPr>
          <w:rFonts w:asciiTheme="minorHAnsi" w:hAnsiTheme="minorHAnsi"/>
          <w:b w:val="0"/>
          <w:iCs/>
          <w:sz w:val="24"/>
          <w:szCs w:val="24"/>
        </w:rPr>
      </w:pPr>
      <w:r w:rsidRPr="00F14056">
        <w:rPr>
          <w:rFonts w:asciiTheme="minorHAnsi" w:hAnsiTheme="minorHAnsi"/>
          <w:b w:val="0"/>
          <w:iCs/>
          <w:sz w:val="24"/>
          <w:szCs w:val="24"/>
        </w:rPr>
        <w:t xml:space="preserve">Saffron Housing Trust considers that this contract may be suitable for contractors that are small or medium enterprises (SME’s). </w:t>
      </w:r>
    </w:p>
    <w:p w:rsidR="00F14056" w:rsidRPr="00F14056" w:rsidRDefault="00F14056" w:rsidP="00EE006F">
      <w:pPr>
        <w:pStyle w:val="Heading1"/>
        <w:spacing w:before="0" w:after="0"/>
        <w:ind w:left="0"/>
        <w:rPr>
          <w:rFonts w:asciiTheme="minorHAnsi" w:hAnsiTheme="minorHAnsi"/>
          <w:b w:val="0"/>
          <w:sz w:val="24"/>
          <w:szCs w:val="24"/>
          <w:lang w:val="en-US"/>
        </w:rPr>
      </w:pPr>
      <w:r w:rsidRPr="00F14056">
        <w:rPr>
          <w:rFonts w:asciiTheme="minorHAnsi" w:hAnsiTheme="minorHAnsi"/>
          <w:b w:val="0"/>
          <w:sz w:val="24"/>
          <w:szCs w:val="24"/>
          <w:lang w:val="en-US"/>
        </w:rPr>
        <w:t>Saffron ID badges will need to be supplied to any person(s) attending one of our properties and be displayed clearly whilst on site where the company does not provide its own identification system.</w:t>
      </w:r>
    </w:p>
    <w:p w:rsidR="001B40EB" w:rsidRDefault="001B40EB" w:rsidP="00F46B67">
      <w:pPr>
        <w:pStyle w:val="Heading1"/>
        <w:numPr>
          <w:ilvl w:val="0"/>
          <w:numId w:val="0"/>
        </w:numPr>
        <w:spacing w:before="0" w:after="0"/>
        <w:rPr>
          <w:rFonts w:asciiTheme="minorHAnsi" w:hAnsiTheme="minorHAnsi"/>
          <w:sz w:val="24"/>
          <w:szCs w:val="24"/>
        </w:rPr>
      </w:pPr>
    </w:p>
    <w:p w:rsidR="001B40EB" w:rsidRPr="00BD7CA1" w:rsidRDefault="00BD7CA1" w:rsidP="00BD7CA1">
      <w:pPr>
        <w:pStyle w:val="Heading2"/>
        <w:numPr>
          <w:ilvl w:val="0"/>
          <w:numId w:val="0"/>
        </w:numPr>
        <w:spacing w:before="0" w:after="0"/>
      </w:pPr>
      <w:r>
        <w:rPr>
          <w:rFonts w:asciiTheme="minorHAnsi" w:hAnsiTheme="minorHAnsi"/>
          <w:sz w:val="24"/>
          <w:szCs w:val="24"/>
        </w:rPr>
        <w:t>11.0</w:t>
      </w:r>
      <w:r w:rsidRPr="00D3301F">
        <w:rPr>
          <w:rFonts w:asciiTheme="minorHAnsi" w:hAnsiTheme="minorHAnsi"/>
          <w:sz w:val="24"/>
          <w:szCs w:val="24"/>
        </w:rPr>
        <w:tab/>
      </w:r>
      <w:r w:rsidR="00D835C2">
        <w:rPr>
          <w:rFonts w:asciiTheme="minorHAnsi" w:hAnsiTheme="minorHAnsi"/>
          <w:sz w:val="24"/>
          <w:szCs w:val="24"/>
        </w:rPr>
        <w:t xml:space="preserve">Contract &amp; Due </w:t>
      </w:r>
      <w:r w:rsidR="00B51D68">
        <w:rPr>
          <w:rFonts w:asciiTheme="minorHAnsi" w:hAnsiTheme="minorHAnsi"/>
          <w:sz w:val="24"/>
          <w:szCs w:val="24"/>
        </w:rPr>
        <w:t>Diligence</w:t>
      </w:r>
    </w:p>
    <w:p w:rsidR="001B40EB" w:rsidRDefault="00BD7CA1" w:rsidP="00F46B67">
      <w:pPr>
        <w:pStyle w:val="Heading1"/>
        <w:numPr>
          <w:ilvl w:val="0"/>
          <w:numId w:val="0"/>
        </w:numPr>
        <w:spacing w:before="0" w:after="0"/>
        <w:rPr>
          <w:rFonts w:asciiTheme="minorHAnsi" w:hAnsiTheme="minorHAnsi"/>
          <w:b w:val="0"/>
          <w:sz w:val="24"/>
          <w:szCs w:val="24"/>
        </w:rPr>
      </w:pPr>
      <w:r w:rsidRPr="00BD7CA1">
        <w:rPr>
          <w:rFonts w:asciiTheme="minorHAnsi" w:hAnsiTheme="minorHAnsi"/>
          <w:b w:val="0"/>
          <w:iCs/>
          <w:sz w:val="24"/>
          <w:szCs w:val="24"/>
        </w:rPr>
        <w:t>The form of contract will be a JCT Measured Term Agreement incorporating t</w:t>
      </w:r>
      <w:r w:rsidRPr="00BD7CA1">
        <w:rPr>
          <w:rFonts w:asciiTheme="minorHAnsi" w:hAnsiTheme="minorHAnsi"/>
          <w:b w:val="0"/>
          <w:sz w:val="24"/>
          <w:szCs w:val="24"/>
        </w:rPr>
        <w:t>he contract price(s) extracted from the Tendering submission provided by the successful</w:t>
      </w:r>
      <w:r>
        <w:rPr>
          <w:rFonts w:asciiTheme="minorHAnsi" w:hAnsiTheme="minorHAnsi"/>
          <w:b w:val="0"/>
          <w:sz w:val="24"/>
          <w:szCs w:val="24"/>
        </w:rPr>
        <w:t xml:space="preserve"> contractor. </w:t>
      </w:r>
    </w:p>
    <w:p w:rsidR="00BD7CA1" w:rsidRDefault="00BD7CA1" w:rsidP="00BD7CA1"/>
    <w:p w:rsidR="00BD7CA1" w:rsidRDefault="00BD7CA1" w:rsidP="00BD7CA1">
      <w:pPr>
        <w:pStyle w:val="Heading2"/>
        <w:numPr>
          <w:ilvl w:val="0"/>
          <w:numId w:val="0"/>
        </w:numPr>
        <w:spacing w:before="0" w:after="0"/>
      </w:pPr>
      <w:r>
        <w:rPr>
          <w:rFonts w:asciiTheme="minorHAnsi" w:hAnsiTheme="minorHAnsi"/>
          <w:sz w:val="24"/>
          <w:szCs w:val="24"/>
        </w:rPr>
        <w:t>12.0</w:t>
      </w:r>
      <w:r w:rsidRPr="00D3301F">
        <w:rPr>
          <w:rFonts w:asciiTheme="minorHAnsi" w:hAnsiTheme="minorHAnsi"/>
          <w:sz w:val="24"/>
          <w:szCs w:val="24"/>
        </w:rPr>
        <w:tab/>
      </w:r>
      <w:r w:rsidR="00D835C2">
        <w:rPr>
          <w:rFonts w:asciiTheme="minorHAnsi" w:hAnsiTheme="minorHAnsi"/>
          <w:sz w:val="24"/>
          <w:szCs w:val="24"/>
        </w:rPr>
        <w:t>Tender Scoring &amp; Evaluation</w:t>
      </w:r>
    </w:p>
    <w:p w:rsidR="00BD7CA1" w:rsidRPr="00BD7CA1" w:rsidRDefault="00BD7CA1" w:rsidP="00BD7CA1">
      <w:pPr>
        <w:rPr>
          <w:rFonts w:asciiTheme="minorHAnsi" w:hAnsiTheme="minorHAnsi"/>
          <w:bCs/>
          <w:iCs/>
        </w:rPr>
      </w:pPr>
      <w:r w:rsidRPr="00BD7CA1">
        <w:rPr>
          <w:rFonts w:asciiTheme="minorHAnsi" w:hAnsiTheme="minorHAnsi"/>
          <w:bCs/>
          <w:iCs/>
        </w:rPr>
        <w:t>The quotations received shall be evaluated on the basis of the most economically advantageous submission, with quality of services and work also being a significant consideration. Weightings for the evaluation shall be as follows:</w:t>
      </w:r>
    </w:p>
    <w:p w:rsidR="00BD7CA1" w:rsidRPr="00BD7CA1" w:rsidRDefault="00BD7CA1" w:rsidP="00BD7CA1">
      <w:pPr>
        <w:numPr>
          <w:ilvl w:val="0"/>
          <w:numId w:val="20"/>
        </w:numPr>
        <w:rPr>
          <w:rFonts w:asciiTheme="minorHAnsi" w:hAnsiTheme="minorHAnsi"/>
          <w:bCs/>
          <w:iCs/>
        </w:rPr>
      </w:pPr>
      <w:r w:rsidRPr="00BD7CA1">
        <w:rPr>
          <w:rFonts w:asciiTheme="minorHAnsi" w:hAnsiTheme="minorHAnsi"/>
          <w:bCs/>
          <w:iCs/>
        </w:rPr>
        <w:t>Price 60%</w:t>
      </w:r>
    </w:p>
    <w:p w:rsidR="00BD7CA1" w:rsidRPr="00BD7CA1" w:rsidRDefault="00BD7CA1" w:rsidP="00BD7CA1">
      <w:pPr>
        <w:numPr>
          <w:ilvl w:val="0"/>
          <w:numId w:val="20"/>
        </w:numPr>
        <w:rPr>
          <w:rFonts w:asciiTheme="minorHAnsi" w:hAnsiTheme="minorHAnsi"/>
          <w:bCs/>
          <w:iCs/>
        </w:rPr>
      </w:pPr>
      <w:r w:rsidRPr="00BD7CA1">
        <w:rPr>
          <w:rFonts w:asciiTheme="minorHAnsi" w:hAnsiTheme="minorHAnsi"/>
          <w:bCs/>
          <w:iCs/>
        </w:rPr>
        <w:t>Quality 40%</w:t>
      </w:r>
    </w:p>
    <w:p w:rsidR="00BD7CA1" w:rsidRPr="00BD7CA1" w:rsidRDefault="00BD7CA1" w:rsidP="00BD7CA1">
      <w:pPr>
        <w:rPr>
          <w:rFonts w:asciiTheme="minorHAnsi" w:hAnsiTheme="minorHAnsi"/>
          <w:bCs/>
          <w:iCs/>
        </w:rPr>
      </w:pPr>
    </w:p>
    <w:p w:rsidR="00BD7CA1" w:rsidRPr="00BD7CA1" w:rsidRDefault="00BD7CA1" w:rsidP="00BD7CA1">
      <w:pPr>
        <w:rPr>
          <w:rFonts w:asciiTheme="minorHAnsi" w:hAnsiTheme="minorHAnsi"/>
          <w:bCs/>
          <w:iCs/>
        </w:rPr>
      </w:pPr>
      <w:r w:rsidRPr="00BD7CA1">
        <w:rPr>
          <w:rFonts w:asciiTheme="minorHAnsi" w:hAnsiTheme="minorHAnsi"/>
          <w:bCs/>
          <w:iCs/>
        </w:rPr>
        <w:t xml:space="preserve">As part of this process we would like to get a feel for how your organisation operates, therefore can you comment on each section listed as needing a response, utilising the same section numbers as listed. We would also request that a representative from your organisation can be available to attend a meeting to discuss any matters further if required. Quality will form </w:t>
      </w:r>
      <w:r w:rsidRPr="00BD7CA1">
        <w:rPr>
          <w:rFonts w:asciiTheme="minorHAnsi" w:hAnsiTheme="minorHAnsi"/>
          <w:b/>
          <w:bCs/>
          <w:iCs/>
        </w:rPr>
        <w:t>40%</w:t>
      </w:r>
      <w:r w:rsidRPr="00BD7CA1">
        <w:rPr>
          <w:rFonts w:asciiTheme="minorHAnsi" w:hAnsiTheme="minorHAnsi"/>
          <w:bCs/>
          <w:iCs/>
        </w:rPr>
        <w:t xml:space="preserve"> of the final scoring exercise.</w:t>
      </w:r>
    </w:p>
    <w:p w:rsidR="00BD7CA1" w:rsidRDefault="00BD7CA1" w:rsidP="00BD7CA1"/>
    <w:p w:rsidR="00BD7CA1" w:rsidRPr="00BD7CA1" w:rsidRDefault="00BD7CA1" w:rsidP="00BD7CA1">
      <w:pPr>
        <w:rPr>
          <w:rFonts w:asciiTheme="minorHAnsi" w:hAnsiTheme="minorHAnsi"/>
        </w:rPr>
      </w:pPr>
      <w:r w:rsidRPr="00BD7CA1">
        <w:rPr>
          <w:rFonts w:asciiTheme="minorHAnsi" w:hAnsiTheme="minorHAnsi"/>
        </w:rPr>
        <w:t>Each heading, requiring a response, will be scored 1 to 10 with 10 being the best score. Any areas requiring a response that are not answered will be awarded an automatic score of 0.These scores will be based on the quality of your response, rather than the quantity of the written response.</w:t>
      </w:r>
    </w:p>
    <w:p w:rsidR="00BD7CA1" w:rsidRPr="00BD7CA1" w:rsidRDefault="00BD7CA1" w:rsidP="00BD7CA1">
      <w:pPr>
        <w:rPr>
          <w:rFonts w:asciiTheme="minorHAnsi" w:hAnsiTheme="minorHAnsi"/>
        </w:rPr>
      </w:pPr>
    </w:p>
    <w:p w:rsidR="00BD7CA1" w:rsidRPr="00BD7CA1" w:rsidRDefault="00BD7CA1" w:rsidP="00BD7CA1">
      <w:pPr>
        <w:rPr>
          <w:rFonts w:asciiTheme="minorHAnsi" w:hAnsiTheme="minorHAnsi"/>
        </w:rPr>
      </w:pPr>
      <w:r w:rsidRPr="00BD7CA1">
        <w:rPr>
          <w:rFonts w:asciiTheme="minorHAnsi" w:hAnsiTheme="minorHAnsi"/>
        </w:rPr>
        <w:t>The following table gives a brief overview on how the scoring and judgement will be assessed:</w:t>
      </w:r>
    </w:p>
    <w:p w:rsidR="00BD7CA1" w:rsidRPr="00BD7CA1" w:rsidRDefault="00BD7CA1" w:rsidP="00BD7CA1">
      <w:pPr>
        <w:rPr>
          <w:rFonts w:asciiTheme="minorHAnsi" w:hAnsiTheme="minorHAnsi"/>
        </w:rPr>
      </w:pPr>
    </w:p>
    <w:p w:rsidR="00BD7CA1" w:rsidRPr="00BD7CA1" w:rsidRDefault="00BD7CA1" w:rsidP="00BD7CA1">
      <w:pPr>
        <w:rPr>
          <w:rFonts w:asciiTheme="minorHAnsi" w:hAnsiTheme="minorHAnsi"/>
        </w:rPr>
      </w:pPr>
    </w:p>
    <w:tbl>
      <w:tblPr>
        <w:tblStyle w:val="TableGrid"/>
        <w:tblW w:w="0" w:type="auto"/>
        <w:jc w:val="center"/>
        <w:tblLook w:val="04A0" w:firstRow="1" w:lastRow="0" w:firstColumn="1" w:lastColumn="0" w:noHBand="0" w:noVBand="1"/>
      </w:tblPr>
      <w:tblGrid>
        <w:gridCol w:w="1265"/>
        <w:gridCol w:w="7031"/>
      </w:tblGrid>
      <w:tr w:rsidR="00BD7CA1" w:rsidRPr="00BD7CA1" w:rsidTr="008A1FC1">
        <w:trPr>
          <w:jc w:val="center"/>
        </w:trPr>
        <w:tc>
          <w:tcPr>
            <w:tcW w:w="1271" w:type="dxa"/>
          </w:tcPr>
          <w:p w:rsidR="00BD7CA1" w:rsidRPr="00BD7CA1" w:rsidRDefault="00BD7CA1" w:rsidP="00BD7CA1">
            <w:pPr>
              <w:rPr>
                <w:rFonts w:asciiTheme="minorHAnsi" w:hAnsiTheme="minorHAnsi"/>
                <w:b/>
                <w:sz w:val="24"/>
                <w:szCs w:val="24"/>
              </w:rPr>
            </w:pPr>
            <w:r w:rsidRPr="00BD7CA1">
              <w:rPr>
                <w:rFonts w:asciiTheme="minorHAnsi" w:hAnsiTheme="minorHAnsi"/>
                <w:b/>
                <w:sz w:val="24"/>
                <w:szCs w:val="24"/>
              </w:rPr>
              <w:t xml:space="preserve">Score for </w:t>
            </w:r>
          </w:p>
          <w:p w:rsidR="00BD7CA1" w:rsidRPr="00BD7CA1" w:rsidRDefault="00BD7CA1" w:rsidP="00BD7CA1">
            <w:pPr>
              <w:rPr>
                <w:rFonts w:asciiTheme="minorHAnsi" w:hAnsiTheme="minorHAnsi"/>
                <w:b/>
                <w:sz w:val="24"/>
                <w:szCs w:val="24"/>
              </w:rPr>
            </w:pPr>
            <w:r w:rsidRPr="00BD7CA1">
              <w:rPr>
                <w:rFonts w:asciiTheme="minorHAnsi" w:hAnsiTheme="minorHAnsi"/>
                <w:b/>
                <w:sz w:val="24"/>
                <w:szCs w:val="24"/>
              </w:rPr>
              <w:t>Assessed</w:t>
            </w:r>
          </w:p>
          <w:p w:rsidR="00BD7CA1" w:rsidRPr="00BD7CA1" w:rsidRDefault="00BD7CA1" w:rsidP="00BD7CA1">
            <w:pPr>
              <w:rPr>
                <w:rFonts w:asciiTheme="minorHAnsi" w:hAnsiTheme="minorHAnsi"/>
                <w:sz w:val="24"/>
                <w:szCs w:val="24"/>
              </w:rPr>
            </w:pPr>
            <w:r w:rsidRPr="00BD7CA1">
              <w:rPr>
                <w:rFonts w:asciiTheme="minorHAnsi" w:hAnsiTheme="minorHAnsi"/>
                <w:b/>
                <w:sz w:val="24"/>
                <w:szCs w:val="24"/>
              </w:rPr>
              <w:t>Questions</w:t>
            </w:r>
          </w:p>
        </w:tc>
        <w:tc>
          <w:tcPr>
            <w:tcW w:w="7648" w:type="dxa"/>
          </w:tcPr>
          <w:p w:rsidR="00BD7CA1" w:rsidRPr="00BD7CA1" w:rsidRDefault="00BD7CA1" w:rsidP="00BD7CA1">
            <w:pPr>
              <w:rPr>
                <w:rFonts w:asciiTheme="minorHAnsi" w:hAnsiTheme="minorHAnsi"/>
                <w:b/>
                <w:sz w:val="24"/>
                <w:szCs w:val="24"/>
              </w:rPr>
            </w:pPr>
            <w:r w:rsidRPr="00BD7CA1">
              <w:rPr>
                <w:rFonts w:asciiTheme="minorHAnsi" w:hAnsiTheme="minorHAnsi"/>
                <w:b/>
                <w:sz w:val="24"/>
                <w:szCs w:val="24"/>
              </w:rPr>
              <w:t>Judgement</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0-1</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Statement/Response is unsuitable and / or suggests unacceptable risk</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2-3</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Statement/Response fails to meet requirements in a significant way</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4-5</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Statement/Response fails to meet requirements in some way</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6-7</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 xml:space="preserve">Statement/Response meets all the requirements </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8-9</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Statement/Response exceeds requirements and adds some value</w:t>
            </w:r>
          </w:p>
        </w:tc>
      </w:tr>
      <w:tr w:rsidR="00BD7CA1" w:rsidRPr="00BD7CA1" w:rsidTr="008A1FC1">
        <w:trPr>
          <w:jc w:val="center"/>
        </w:trPr>
        <w:tc>
          <w:tcPr>
            <w:tcW w:w="1271"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10</w:t>
            </w:r>
          </w:p>
        </w:tc>
        <w:tc>
          <w:tcPr>
            <w:tcW w:w="7648" w:type="dxa"/>
          </w:tcPr>
          <w:p w:rsidR="00BD7CA1" w:rsidRPr="00BD7CA1" w:rsidRDefault="00BD7CA1" w:rsidP="00BD7CA1">
            <w:pPr>
              <w:rPr>
                <w:rFonts w:asciiTheme="minorHAnsi" w:hAnsiTheme="minorHAnsi"/>
                <w:sz w:val="24"/>
                <w:szCs w:val="24"/>
              </w:rPr>
            </w:pPr>
            <w:r w:rsidRPr="00BD7CA1">
              <w:rPr>
                <w:rFonts w:asciiTheme="minorHAnsi" w:hAnsiTheme="minorHAnsi"/>
                <w:sz w:val="24"/>
                <w:szCs w:val="24"/>
              </w:rPr>
              <w:t>Statement/Response exceeds requirements and adds significant value</w:t>
            </w:r>
          </w:p>
        </w:tc>
      </w:tr>
    </w:tbl>
    <w:p w:rsidR="00BD7CA1" w:rsidRPr="00BD7CA1" w:rsidRDefault="00BD7CA1" w:rsidP="00BD7CA1">
      <w:pPr>
        <w:rPr>
          <w:rFonts w:asciiTheme="minorHAnsi" w:hAnsiTheme="minorHAnsi"/>
        </w:rPr>
      </w:pPr>
    </w:p>
    <w:p w:rsidR="00BD7CA1" w:rsidRPr="00BD7CA1" w:rsidRDefault="00BD7CA1" w:rsidP="00BD7CA1">
      <w:pPr>
        <w:rPr>
          <w:rFonts w:asciiTheme="minorHAnsi" w:hAnsiTheme="minorHAnsi"/>
        </w:rPr>
      </w:pPr>
    </w:p>
    <w:p w:rsidR="00BD7CA1" w:rsidRPr="00BD7CA1" w:rsidRDefault="00BD7CA1" w:rsidP="00BD7CA1">
      <w:pPr>
        <w:rPr>
          <w:rFonts w:asciiTheme="minorHAnsi" w:hAnsiTheme="minorHAnsi"/>
        </w:rPr>
      </w:pPr>
      <w:r w:rsidRPr="00BD7CA1">
        <w:rPr>
          <w:rFonts w:asciiTheme="minorHAnsi" w:hAnsiTheme="minorHAnsi"/>
        </w:rPr>
        <w:t>The following sections will need a direct response, and each response will be worth a maximum score of 10 points each. A basic response that meets all requirements will be scored in the 6-7 points band. A truly exceptional response that adds extra value to the tender submission/contract can be awarded up to 10 points. The following sections require a direct response, with the remaining sections acknowledged and confirmed in your tender submission:</w:t>
      </w:r>
    </w:p>
    <w:p w:rsidR="00BD7CA1" w:rsidRDefault="00BD7CA1" w:rsidP="00BD7CA1"/>
    <w:p w:rsidR="00D43833" w:rsidRPr="00D43833" w:rsidRDefault="00D43833" w:rsidP="00D43833">
      <w:pPr>
        <w:rPr>
          <w:rFonts w:asciiTheme="minorHAnsi" w:hAnsiTheme="minorHAnsi"/>
        </w:rPr>
      </w:pPr>
      <w:r w:rsidRPr="00D43833">
        <w:rPr>
          <w:rFonts w:asciiTheme="minorHAnsi" w:hAnsiTheme="minorHAnsi"/>
        </w:rPr>
        <w:t xml:space="preserve">The financial, credit worthiness, of the contractor will be scored on a 1-100 rating based on the scoring mechanism supplied by Company Check. </w:t>
      </w:r>
    </w:p>
    <w:p w:rsidR="00D43833" w:rsidRPr="00D43833" w:rsidRDefault="00D43833" w:rsidP="00D43833">
      <w:pPr>
        <w:rPr>
          <w:rFonts w:asciiTheme="minorHAnsi" w:hAnsiTheme="minorHAnsi"/>
        </w:rPr>
      </w:pPr>
    </w:p>
    <w:p w:rsidR="00D43833" w:rsidRDefault="00D43833" w:rsidP="00D43833">
      <w:pPr>
        <w:rPr>
          <w:rFonts w:asciiTheme="minorHAnsi" w:hAnsiTheme="minorHAnsi"/>
        </w:rPr>
      </w:pPr>
      <w:r w:rsidRPr="00D43833">
        <w:rPr>
          <w:rFonts w:asciiTheme="minorHAnsi" w:hAnsiTheme="minorHAnsi"/>
        </w:rPr>
        <w:t>The cost based scoring will be based on the lowest priced bidder being scored at 100%. Each subsequent bidder will then be scored, as a percentage, against the lowest bidder’s submitted pricing. Whilst pricing makes up 60% of the scoring, having a well thought out and detailed quality response will be very important in the overall scoring, and awarding, of the contract.</w:t>
      </w:r>
    </w:p>
    <w:p w:rsidR="0059204D" w:rsidRDefault="0059204D" w:rsidP="00D43833">
      <w:pPr>
        <w:rPr>
          <w:rFonts w:asciiTheme="minorHAnsi" w:hAnsiTheme="minorHAnsi"/>
        </w:rPr>
      </w:pPr>
    </w:p>
    <w:p w:rsidR="0059204D" w:rsidRDefault="0059204D" w:rsidP="00D43833">
      <w:pPr>
        <w:rPr>
          <w:rFonts w:asciiTheme="minorHAnsi" w:hAnsiTheme="minorHAnsi"/>
        </w:rPr>
      </w:pPr>
      <w:r>
        <w:rPr>
          <w:rFonts w:asciiTheme="minorHAnsi" w:hAnsiTheme="minorHAnsi"/>
        </w:rPr>
        <w:t>The following sections will need a direct response or, at the very least, an acknowledgement that you will comply with the relevant statements:</w:t>
      </w:r>
    </w:p>
    <w:p w:rsidR="0059204D" w:rsidRDefault="0059204D" w:rsidP="00D43833">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3</w:t>
            </w:r>
          </w:p>
        </w:tc>
        <w:tc>
          <w:tcPr>
            <w:tcW w:w="2765" w:type="dxa"/>
          </w:tcPr>
          <w:p w:rsidR="0059204D" w:rsidRDefault="0059204D" w:rsidP="0059204D">
            <w:pPr>
              <w:jc w:val="center"/>
              <w:rPr>
                <w:rFonts w:asciiTheme="minorHAnsi" w:hAnsiTheme="minorHAnsi"/>
              </w:rPr>
            </w:pPr>
            <w:r>
              <w:rPr>
                <w:rFonts w:asciiTheme="minorHAnsi" w:hAnsiTheme="minorHAnsi"/>
              </w:rPr>
              <w:t>4</w:t>
            </w:r>
          </w:p>
        </w:tc>
        <w:tc>
          <w:tcPr>
            <w:tcW w:w="2766" w:type="dxa"/>
          </w:tcPr>
          <w:p w:rsidR="0059204D" w:rsidRDefault="0059204D" w:rsidP="0059204D">
            <w:pPr>
              <w:jc w:val="center"/>
              <w:rPr>
                <w:rFonts w:asciiTheme="minorHAnsi" w:hAnsiTheme="minorHAnsi"/>
              </w:rPr>
            </w:pPr>
            <w:r>
              <w:rPr>
                <w:rFonts w:asciiTheme="minorHAnsi" w:hAnsiTheme="minorHAnsi"/>
              </w:rPr>
              <w:t>5</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6</w:t>
            </w:r>
          </w:p>
        </w:tc>
        <w:tc>
          <w:tcPr>
            <w:tcW w:w="2765" w:type="dxa"/>
          </w:tcPr>
          <w:p w:rsidR="0059204D" w:rsidRDefault="0059204D" w:rsidP="0059204D">
            <w:pPr>
              <w:jc w:val="center"/>
              <w:rPr>
                <w:rFonts w:asciiTheme="minorHAnsi" w:hAnsiTheme="minorHAnsi"/>
              </w:rPr>
            </w:pPr>
            <w:r>
              <w:rPr>
                <w:rFonts w:asciiTheme="minorHAnsi" w:hAnsiTheme="minorHAnsi"/>
              </w:rPr>
              <w:t>7</w:t>
            </w:r>
          </w:p>
        </w:tc>
        <w:tc>
          <w:tcPr>
            <w:tcW w:w="2766" w:type="dxa"/>
          </w:tcPr>
          <w:p w:rsidR="0059204D" w:rsidRDefault="0059204D" w:rsidP="0059204D">
            <w:pPr>
              <w:jc w:val="center"/>
              <w:rPr>
                <w:rFonts w:asciiTheme="minorHAnsi" w:hAnsiTheme="minorHAnsi"/>
              </w:rPr>
            </w:pPr>
            <w:r>
              <w:rPr>
                <w:rFonts w:asciiTheme="minorHAnsi" w:hAnsiTheme="minorHAnsi"/>
              </w:rPr>
              <w:t>9</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10</w:t>
            </w:r>
          </w:p>
        </w:tc>
        <w:tc>
          <w:tcPr>
            <w:tcW w:w="2765" w:type="dxa"/>
          </w:tcPr>
          <w:p w:rsidR="0059204D" w:rsidRDefault="0059204D" w:rsidP="0059204D">
            <w:pPr>
              <w:jc w:val="center"/>
              <w:rPr>
                <w:rFonts w:asciiTheme="minorHAnsi" w:hAnsiTheme="minorHAnsi"/>
              </w:rPr>
            </w:pPr>
            <w:r>
              <w:rPr>
                <w:rFonts w:asciiTheme="minorHAnsi" w:hAnsiTheme="minorHAnsi"/>
              </w:rPr>
              <w:t>11</w:t>
            </w:r>
          </w:p>
        </w:tc>
        <w:tc>
          <w:tcPr>
            <w:tcW w:w="2766" w:type="dxa"/>
          </w:tcPr>
          <w:p w:rsidR="0059204D" w:rsidRDefault="0059204D" w:rsidP="0059204D">
            <w:pPr>
              <w:jc w:val="center"/>
              <w:rPr>
                <w:rFonts w:asciiTheme="minorHAnsi" w:hAnsiTheme="minorHAnsi"/>
              </w:rPr>
            </w:pPr>
            <w:r>
              <w:rPr>
                <w:rFonts w:asciiTheme="minorHAnsi" w:hAnsiTheme="minorHAnsi"/>
              </w:rPr>
              <w:t>12</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13</w:t>
            </w:r>
          </w:p>
        </w:tc>
        <w:tc>
          <w:tcPr>
            <w:tcW w:w="2765" w:type="dxa"/>
          </w:tcPr>
          <w:p w:rsidR="0059204D" w:rsidRDefault="0059204D" w:rsidP="0059204D">
            <w:pPr>
              <w:jc w:val="center"/>
              <w:rPr>
                <w:rFonts w:asciiTheme="minorHAnsi" w:hAnsiTheme="minorHAnsi"/>
              </w:rPr>
            </w:pPr>
            <w:r>
              <w:rPr>
                <w:rFonts w:asciiTheme="minorHAnsi" w:hAnsiTheme="minorHAnsi"/>
              </w:rPr>
              <w:t>13.1</w:t>
            </w:r>
          </w:p>
        </w:tc>
        <w:tc>
          <w:tcPr>
            <w:tcW w:w="2766" w:type="dxa"/>
          </w:tcPr>
          <w:p w:rsidR="0059204D" w:rsidRDefault="0059204D" w:rsidP="0059204D">
            <w:pPr>
              <w:jc w:val="center"/>
              <w:rPr>
                <w:rFonts w:asciiTheme="minorHAnsi" w:hAnsiTheme="minorHAnsi"/>
              </w:rPr>
            </w:pPr>
            <w:r>
              <w:rPr>
                <w:rFonts w:asciiTheme="minorHAnsi" w:hAnsiTheme="minorHAnsi"/>
              </w:rPr>
              <w:t>14</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15</w:t>
            </w:r>
          </w:p>
        </w:tc>
        <w:tc>
          <w:tcPr>
            <w:tcW w:w="2765" w:type="dxa"/>
          </w:tcPr>
          <w:p w:rsidR="0059204D" w:rsidRDefault="0059204D" w:rsidP="0059204D">
            <w:pPr>
              <w:jc w:val="center"/>
              <w:rPr>
                <w:rFonts w:asciiTheme="minorHAnsi" w:hAnsiTheme="minorHAnsi"/>
              </w:rPr>
            </w:pPr>
            <w:r>
              <w:rPr>
                <w:rFonts w:asciiTheme="minorHAnsi" w:hAnsiTheme="minorHAnsi"/>
              </w:rPr>
              <w:t>16</w:t>
            </w:r>
          </w:p>
        </w:tc>
        <w:tc>
          <w:tcPr>
            <w:tcW w:w="2766" w:type="dxa"/>
          </w:tcPr>
          <w:p w:rsidR="0059204D" w:rsidRDefault="0059204D" w:rsidP="0059204D">
            <w:pPr>
              <w:jc w:val="center"/>
              <w:rPr>
                <w:rFonts w:asciiTheme="minorHAnsi" w:hAnsiTheme="minorHAnsi"/>
              </w:rPr>
            </w:pPr>
            <w:r>
              <w:rPr>
                <w:rFonts w:asciiTheme="minorHAnsi" w:hAnsiTheme="minorHAnsi"/>
              </w:rPr>
              <w:t>17</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18</w:t>
            </w:r>
          </w:p>
        </w:tc>
        <w:tc>
          <w:tcPr>
            <w:tcW w:w="2765" w:type="dxa"/>
          </w:tcPr>
          <w:p w:rsidR="0059204D" w:rsidRDefault="0059204D" w:rsidP="0059204D">
            <w:pPr>
              <w:jc w:val="center"/>
              <w:rPr>
                <w:rFonts w:asciiTheme="minorHAnsi" w:hAnsiTheme="minorHAnsi"/>
              </w:rPr>
            </w:pPr>
            <w:r>
              <w:rPr>
                <w:rFonts w:asciiTheme="minorHAnsi" w:hAnsiTheme="minorHAnsi"/>
              </w:rPr>
              <w:t>19</w:t>
            </w:r>
          </w:p>
        </w:tc>
        <w:tc>
          <w:tcPr>
            <w:tcW w:w="2766" w:type="dxa"/>
          </w:tcPr>
          <w:p w:rsidR="0059204D" w:rsidRDefault="0059204D" w:rsidP="0059204D">
            <w:pPr>
              <w:jc w:val="center"/>
              <w:rPr>
                <w:rFonts w:asciiTheme="minorHAnsi" w:hAnsiTheme="minorHAnsi"/>
              </w:rPr>
            </w:pPr>
            <w:r>
              <w:rPr>
                <w:rFonts w:asciiTheme="minorHAnsi" w:hAnsiTheme="minorHAnsi"/>
              </w:rPr>
              <w:t>20</w:t>
            </w:r>
          </w:p>
        </w:tc>
      </w:tr>
      <w:tr w:rsidR="0059204D" w:rsidTr="0059204D">
        <w:tc>
          <w:tcPr>
            <w:tcW w:w="2765" w:type="dxa"/>
          </w:tcPr>
          <w:p w:rsidR="0059204D" w:rsidRDefault="0059204D" w:rsidP="0059204D">
            <w:pPr>
              <w:jc w:val="center"/>
              <w:rPr>
                <w:rFonts w:asciiTheme="minorHAnsi" w:hAnsiTheme="minorHAnsi"/>
              </w:rPr>
            </w:pPr>
            <w:r>
              <w:rPr>
                <w:rFonts w:asciiTheme="minorHAnsi" w:hAnsiTheme="minorHAnsi"/>
              </w:rPr>
              <w:t>28</w:t>
            </w:r>
          </w:p>
        </w:tc>
        <w:tc>
          <w:tcPr>
            <w:tcW w:w="2765" w:type="dxa"/>
          </w:tcPr>
          <w:p w:rsidR="0059204D" w:rsidRDefault="0059204D" w:rsidP="0059204D">
            <w:pPr>
              <w:jc w:val="center"/>
              <w:rPr>
                <w:rFonts w:asciiTheme="minorHAnsi" w:hAnsiTheme="minorHAnsi"/>
              </w:rPr>
            </w:pPr>
            <w:r>
              <w:rPr>
                <w:rFonts w:asciiTheme="minorHAnsi" w:hAnsiTheme="minorHAnsi"/>
              </w:rPr>
              <w:t>29</w:t>
            </w:r>
          </w:p>
        </w:tc>
        <w:tc>
          <w:tcPr>
            <w:tcW w:w="2766" w:type="dxa"/>
          </w:tcPr>
          <w:p w:rsidR="0059204D" w:rsidRDefault="0059204D" w:rsidP="0059204D">
            <w:pPr>
              <w:jc w:val="center"/>
              <w:rPr>
                <w:rFonts w:asciiTheme="minorHAnsi" w:hAnsiTheme="minorHAnsi"/>
              </w:rPr>
            </w:pPr>
          </w:p>
        </w:tc>
      </w:tr>
    </w:tbl>
    <w:p w:rsidR="0059204D" w:rsidRPr="00D43833" w:rsidRDefault="0059204D" w:rsidP="00D43833">
      <w:pPr>
        <w:rPr>
          <w:rFonts w:asciiTheme="minorHAnsi" w:hAnsiTheme="minorHAnsi"/>
        </w:rPr>
      </w:pPr>
    </w:p>
    <w:p w:rsidR="00BD7CA1" w:rsidRPr="0059204D" w:rsidRDefault="0059204D" w:rsidP="00BD7CA1">
      <w:pPr>
        <w:rPr>
          <w:rFonts w:asciiTheme="minorHAnsi" w:hAnsiTheme="minorHAnsi"/>
        </w:rPr>
      </w:pPr>
      <w:r w:rsidRPr="0059204D">
        <w:rPr>
          <w:rFonts w:asciiTheme="minorHAnsi" w:hAnsiTheme="minorHAnsi"/>
        </w:rPr>
        <w:t xml:space="preserve">Therefore, a maximum score 200 points available for the successful answering of each of the numbered sections. </w:t>
      </w:r>
    </w:p>
    <w:p w:rsidR="001B40EB" w:rsidRDefault="001B40EB" w:rsidP="00F46B67">
      <w:pPr>
        <w:pStyle w:val="Heading1"/>
        <w:numPr>
          <w:ilvl w:val="0"/>
          <w:numId w:val="0"/>
        </w:numPr>
        <w:spacing w:before="0" w:after="0"/>
        <w:rPr>
          <w:rFonts w:asciiTheme="minorHAnsi" w:hAnsiTheme="minorHAnsi"/>
          <w:sz w:val="24"/>
          <w:szCs w:val="24"/>
        </w:rPr>
      </w:pPr>
    </w:p>
    <w:p w:rsidR="00810CF3" w:rsidRPr="006D2E80" w:rsidRDefault="00810CF3" w:rsidP="00810CF3">
      <w:pPr>
        <w:pStyle w:val="Heading1"/>
        <w:numPr>
          <w:ilvl w:val="0"/>
          <w:numId w:val="0"/>
        </w:numPr>
        <w:spacing w:before="0" w:after="0"/>
      </w:pPr>
      <w:r>
        <w:rPr>
          <w:rFonts w:asciiTheme="minorHAnsi" w:hAnsiTheme="minorHAnsi"/>
          <w:sz w:val="24"/>
          <w:szCs w:val="24"/>
        </w:rPr>
        <w:t>13.0</w:t>
      </w:r>
      <w:r w:rsidRPr="00D3301F">
        <w:rPr>
          <w:rFonts w:asciiTheme="minorHAnsi" w:hAnsiTheme="minorHAnsi"/>
          <w:sz w:val="24"/>
          <w:szCs w:val="24"/>
        </w:rPr>
        <w:tab/>
      </w:r>
      <w:r>
        <w:rPr>
          <w:rFonts w:asciiTheme="minorHAnsi" w:hAnsiTheme="minorHAnsi"/>
          <w:sz w:val="24"/>
          <w:szCs w:val="24"/>
        </w:rPr>
        <w:t>Health &amp;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2396"/>
      </w:tblGrid>
      <w:tr w:rsidR="00810CF3" w:rsidRPr="00E96051" w:rsidTr="00810CF3">
        <w:tc>
          <w:tcPr>
            <w:tcW w:w="6078" w:type="dxa"/>
          </w:tcPr>
          <w:p w:rsidR="00810CF3" w:rsidRPr="00E96051"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Do you operate a Health &amp; Safety Policy?</w:t>
            </w:r>
          </w:p>
          <w:p w:rsidR="00810CF3" w:rsidRDefault="00810CF3" w:rsidP="008A1FC1">
            <w:pPr>
              <w:spacing w:before="60" w:after="60"/>
              <w:ind w:left="743"/>
              <w:jc w:val="both"/>
              <w:rPr>
                <w:rFonts w:ascii="Arial" w:hAnsi="Arial" w:cs="Arial"/>
                <w:bCs/>
                <w:iCs/>
                <w:sz w:val="22"/>
                <w:szCs w:val="22"/>
              </w:rPr>
            </w:pPr>
            <w:r>
              <w:rPr>
                <w:rFonts w:ascii="Arial" w:hAnsi="Arial" w:cs="Arial"/>
                <w:bCs/>
                <w:iCs/>
                <w:sz w:val="22"/>
                <w:szCs w:val="22"/>
              </w:rPr>
              <w:t xml:space="preserve">Is it being supplied as evidence </w:t>
            </w:r>
          </w:p>
          <w:p w:rsidR="00810CF3" w:rsidRPr="00E96051" w:rsidRDefault="00810CF3" w:rsidP="008A1FC1">
            <w:pPr>
              <w:spacing w:before="60" w:after="60"/>
              <w:ind w:left="743"/>
              <w:jc w:val="both"/>
              <w:rPr>
                <w:rFonts w:ascii="Arial" w:hAnsi="Arial" w:cs="Arial"/>
                <w:bCs/>
                <w:iCs/>
                <w:sz w:val="22"/>
                <w:szCs w:val="22"/>
              </w:rPr>
            </w:pPr>
          </w:p>
          <w:p w:rsidR="00810CF3" w:rsidRPr="00E96051"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 xml:space="preserve">If </w:t>
            </w:r>
            <w:r w:rsidRPr="00E96051">
              <w:rPr>
                <w:rFonts w:ascii="Arial" w:hAnsi="Arial" w:cs="Arial"/>
                <w:b/>
                <w:bCs/>
                <w:iCs/>
                <w:sz w:val="22"/>
                <w:szCs w:val="22"/>
              </w:rPr>
              <w:t>Yes</w:t>
            </w:r>
            <w:r w:rsidRPr="00E96051">
              <w:rPr>
                <w:rFonts w:ascii="Arial" w:hAnsi="Arial" w:cs="Arial"/>
                <w:bCs/>
                <w:iCs/>
                <w:sz w:val="22"/>
                <w:szCs w:val="22"/>
              </w:rPr>
              <w:t>, please attach a copy for our records.</w:t>
            </w:r>
          </w:p>
        </w:tc>
        <w:tc>
          <w:tcPr>
            <w:tcW w:w="2444" w:type="dxa"/>
          </w:tcPr>
          <w:p w:rsidR="00810CF3"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Yes / No</w:t>
            </w:r>
          </w:p>
          <w:p w:rsidR="00810CF3"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Yes / No</w:t>
            </w:r>
          </w:p>
          <w:p w:rsidR="00810CF3" w:rsidRPr="00E96051" w:rsidRDefault="00810CF3" w:rsidP="008A1FC1">
            <w:pPr>
              <w:spacing w:before="60" w:after="60"/>
              <w:ind w:left="743"/>
              <w:jc w:val="both"/>
              <w:rPr>
                <w:rFonts w:ascii="Arial" w:hAnsi="Arial" w:cs="Arial"/>
                <w:bCs/>
                <w:iCs/>
                <w:sz w:val="22"/>
                <w:szCs w:val="22"/>
              </w:rPr>
            </w:pPr>
          </w:p>
        </w:tc>
      </w:tr>
      <w:tr w:rsidR="00810CF3" w:rsidRPr="00E96051" w:rsidTr="00810CF3">
        <w:tc>
          <w:tcPr>
            <w:tcW w:w="6078" w:type="dxa"/>
          </w:tcPr>
          <w:p w:rsidR="00810CF3" w:rsidRPr="00E96051"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Have you reported any RIDDOR (Reporting of Injuries, Diseases and Dangerous Occurrences Regulations) incidents within the last 3 years:</w:t>
            </w:r>
          </w:p>
          <w:p w:rsidR="00810CF3" w:rsidRPr="00E96051" w:rsidRDefault="00810CF3" w:rsidP="008A1FC1">
            <w:pPr>
              <w:spacing w:before="60" w:after="60"/>
              <w:ind w:left="743"/>
              <w:jc w:val="both"/>
              <w:rPr>
                <w:rFonts w:ascii="Arial" w:hAnsi="Arial" w:cs="Arial"/>
                <w:bCs/>
                <w:iCs/>
                <w:sz w:val="22"/>
                <w:szCs w:val="22"/>
              </w:rPr>
            </w:pPr>
          </w:p>
          <w:p w:rsidR="00810CF3" w:rsidRPr="00E96051" w:rsidRDefault="00810CF3" w:rsidP="008A1FC1">
            <w:pPr>
              <w:spacing w:before="60" w:after="60"/>
              <w:ind w:left="743" w:right="-108"/>
              <w:jc w:val="both"/>
              <w:rPr>
                <w:rFonts w:ascii="Arial" w:hAnsi="Arial" w:cs="Arial"/>
                <w:bCs/>
                <w:iCs/>
                <w:sz w:val="22"/>
                <w:szCs w:val="22"/>
              </w:rPr>
            </w:pPr>
            <w:r w:rsidRPr="00E96051">
              <w:rPr>
                <w:rFonts w:ascii="Arial" w:hAnsi="Arial" w:cs="Arial"/>
                <w:bCs/>
                <w:iCs/>
                <w:sz w:val="22"/>
                <w:szCs w:val="22"/>
              </w:rPr>
              <w:t xml:space="preserve">If </w:t>
            </w:r>
            <w:r w:rsidRPr="00E96051">
              <w:rPr>
                <w:rFonts w:ascii="Arial" w:hAnsi="Arial" w:cs="Arial"/>
                <w:b/>
                <w:bCs/>
                <w:iCs/>
                <w:sz w:val="22"/>
                <w:szCs w:val="22"/>
              </w:rPr>
              <w:t>Yes</w:t>
            </w:r>
            <w:r w:rsidRPr="00E96051">
              <w:rPr>
                <w:rFonts w:ascii="Arial" w:hAnsi="Arial" w:cs="Arial"/>
                <w:bCs/>
                <w:iCs/>
                <w:sz w:val="22"/>
                <w:szCs w:val="22"/>
              </w:rPr>
              <w:t xml:space="preserve">, </w:t>
            </w:r>
            <w:r>
              <w:rPr>
                <w:rFonts w:ascii="Arial" w:hAnsi="Arial" w:cs="Arial"/>
                <w:bCs/>
                <w:iCs/>
                <w:sz w:val="22"/>
                <w:szCs w:val="22"/>
              </w:rPr>
              <w:t xml:space="preserve">then </w:t>
            </w:r>
            <w:r w:rsidRPr="00E96051">
              <w:rPr>
                <w:rFonts w:ascii="Arial" w:hAnsi="Arial" w:cs="Arial"/>
                <w:bCs/>
                <w:iCs/>
                <w:sz w:val="22"/>
                <w:szCs w:val="22"/>
              </w:rPr>
              <w:t>please supply details</w:t>
            </w:r>
            <w:r>
              <w:rPr>
                <w:rFonts w:ascii="Arial" w:hAnsi="Arial" w:cs="Arial"/>
                <w:bCs/>
                <w:iCs/>
                <w:sz w:val="22"/>
                <w:szCs w:val="22"/>
              </w:rPr>
              <w:t xml:space="preserve"> in your tender response. Other points that will need to be responded to are as follows</w:t>
            </w:r>
            <w:r w:rsidRPr="00E96051">
              <w:rPr>
                <w:rFonts w:ascii="Arial" w:hAnsi="Arial" w:cs="Arial"/>
                <w:bCs/>
                <w:iCs/>
                <w:sz w:val="22"/>
                <w:szCs w:val="22"/>
              </w:rPr>
              <w:t>:</w:t>
            </w:r>
          </w:p>
        </w:tc>
        <w:tc>
          <w:tcPr>
            <w:tcW w:w="2444" w:type="dxa"/>
          </w:tcPr>
          <w:p w:rsidR="00810CF3" w:rsidRPr="00E96051" w:rsidRDefault="00810CF3" w:rsidP="008A1FC1">
            <w:pPr>
              <w:spacing w:before="60" w:after="60"/>
              <w:ind w:left="743"/>
              <w:jc w:val="both"/>
              <w:rPr>
                <w:rFonts w:ascii="Arial" w:hAnsi="Arial" w:cs="Arial"/>
                <w:bCs/>
                <w:iCs/>
                <w:sz w:val="22"/>
                <w:szCs w:val="22"/>
              </w:rPr>
            </w:pPr>
          </w:p>
          <w:p w:rsidR="00810CF3" w:rsidRPr="00E96051" w:rsidRDefault="00810CF3" w:rsidP="008A1FC1">
            <w:pPr>
              <w:spacing w:before="60" w:after="60"/>
              <w:ind w:left="743"/>
              <w:jc w:val="both"/>
              <w:rPr>
                <w:rFonts w:ascii="Arial" w:hAnsi="Arial" w:cs="Arial"/>
                <w:bCs/>
                <w:iCs/>
                <w:sz w:val="22"/>
                <w:szCs w:val="22"/>
              </w:rPr>
            </w:pPr>
            <w:r w:rsidRPr="00E96051">
              <w:rPr>
                <w:rFonts w:ascii="Arial" w:hAnsi="Arial" w:cs="Arial"/>
                <w:bCs/>
                <w:iCs/>
                <w:sz w:val="22"/>
                <w:szCs w:val="22"/>
              </w:rPr>
              <w:t>Yes / No</w:t>
            </w:r>
          </w:p>
        </w:tc>
      </w:tr>
    </w:tbl>
    <w:p w:rsidR="00810CF3" w:rsidRDefault="00810CF3" w:rsidP="00F46B67">
      <w:pPr>
        <w:pStyle w:val="Heading1"/>
        <w:numPr>
          <w:ilvl w:val="0"/>
          <w:numId w:val="0"/>
        </w:numPr>
        <w:spacing w:before="0" w:after="0"/>
        <w:rPr>
          <w:rFonts w:asciiTheme="minorHAnsi" w:hAnsiTheme="minorHAnsi"/>
          <w:sz w:val="24"/>
          <w:szCs w:val="24"/>
        </w:rPr>
      </w:pPr>
    </w:p>
    <w:p w:rsidR="0059204D" w:rsidRPr="0059204D" w:rsidRDefault="0059204D" w:rsidP="0059204D"/>
    <w:p w:rsidR="00810CF3" w:rsidRDefault="00810CF3" w:rsidP="00F46B67">
      <w:pPr>
        <w:pStyle w:val="Heading1"/>
        <w:numPr>
          <w:ilvl w:val="0"/>
          <w:numId w:val="0"/>
        </w:numPr>
        <w:spacing w:before="0" w:after="0"/>
        <w:rPr>
          <w:rFonts w:asciiTheme="minorHAnsi" w:hAnsiTheme="minorHAnsi"/>
          <w:sz w:val="24"/>
          <w:szCs w:val="24"/>
        </w:rPr>
      </w:pPr>
    </w:p>
    <w:p w:rsidR="00810CF3" w:rsidRPr="003046DE" w:rsidRDefault="003046DE" w:rsidP="00F46B67">
      <w:pPr>
        <w:pStyle w:val="Heading1"/>
        <w:numPr>
          <w:ilvl w:val="0"/>
          <w:numId w:val="0"/>
        </w:numPr>
        <w:spacing w:before="0" w:after="0"/>
      </w:pPr>
      <w:r>
        <w:rPr>
          <w:rFonts w:asciiTheme="minorHAnsi" w:hAnsiTheme="minorHAnsi"/>
          <w:sz w:val="24"/>
          <w:szCs w:val="24"/>
        </w:rPr>
        <w:t>13.</w:t>
      </w:r>
      <w:r w:rsidR="00EC6B90">
        <w:rPr>
          <w:rFonts w:asciiTheme="minorHAnsi" w:hAnsiTheme="minorHAnsi"/>
          <w:sz w:val="24"/>
          <w:szCs w:val="24"/>
        </w:rPr>
        <w:t>1</w:t>
      </w:r>
      <w:r w:rsidRPr="00D3301F">
        <w:rPr>
          <w:rFonts w:asciiTheme="minorHAnsi" w:hAnsiTheme="minorHAnsi"/>
          <w:sz w:val="24"/>
          <w:szCs w:val="24"/>
        </w:rPr>
        <w:tab/>
      </w:r>
      <w:r>
        <w:rPr>
          <w:rFonts w:asciiTheme="minorHAnsi" w:hAnsiTheme="minorHAnsi"/>
          <w:sz w:val="24"/>
          <w:szCs w:val="24"/>
        </w:rPr>
        <w:t>Equal Opportunities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1841"/>
      </w:tblGrid>
      <w:tr w:rsidR="003046DE" w:rsidRPr="00993EC2" w:rsidTr="008A1FC1">
        <w:tc>
          <w:tcPr>
            <w:tcW w:w="7655" w:type="dxa"/>
          </w:tcPr>
          <w:p w:rsidR="003046DE" w:rsidRPr="00993EC2" w:rsidRDefault="003046DE" w:rsidP="008A1FC1">
            <w:pPr>
              <w:spacing w:before="60" w:after="60"/>
              <w:ind w:left="743"/>
              <w:contextualSpacing/>
              <w:jc w:val="both"/>
              <w:rPr>
                <w:rFonts w:ascii="Arial" w:hAnsi="Arial" w:cs="Arial"/>
                <w:sz w:val="22"/>
                <w:szCs w:val="22"/>
              </w:rPr>
            </w:pPr>
            <w:r w:rsidRPr="00993EC2">
              <w:rPr>
                <w:rFonts w:ascii="Arial" w:hAnsi="Arial" w:cs="Arial"/>
                <w:sz w:val="22"/>
                <w:szCs w:val="22"/>
              </w:rPr>
              <w:t>Do you have an Equal Opportunities Policy?</w:t>
            </w:r>
          </w:p>
          <w:p w:rsidR="003046DE" w:rsidRPr="00993EC2" w:rsidRDefault="003046DE" w:rsidP="008A1FC1">
            <w:pPr>
              <w:spacing w:before="60" w:after="60"/>
              <w:ind w:left="743"/>
              <w:contextualSpacing/>
              <w:jc w:val="both"/>
              <w:rPr>
                <w:rFonts w:ascii="Arial" w:hAnsi="Arial" w:cs="Arial"/>
                <w:sz w:val="22"/>
                <w:szCs w:val="22"/>
              </w:rPr>
            </w:pPr>
          </w:p>
          <w:p w:rsidR="003046DE" w:rsidRDefault="003046DE" w:rsidP="008A1FC1">
            <w:pPr>
              <w:spacing w:before="60" w:after="60"/>
              <w:ind w:left="743"/>
              <w:contextualSpacing/>
              <w:jc w:val="both"/>
              <w:rPr>
                <w:rFonts w:ascii="Arial" w:hAnsi="Arial" w:cs="Arial"/>
                <w:sz w:val="22"/>
                <w:szCs w:val="22"/>
              </w:rPr>
            </w:pPr>
            <w:r w:rsidRPr="00993EC2">
              <w:rPr>
                <w:rFonts w:ascii="Arial" w:hAnsi="Arial" w:cs="Arial"/>
                <w:sz w:val="22"/>
                <w:szCs w:val="22"/>
              </w:rPr>
              <w:t xml:space="preserve">If </w:t>
            </w:r>
            <w:r w:rsidRPr="00993EC2">
              <w:rPr>
                <w:rFonts w:ascii="Arial" w:hAnsi="Arial" w:cs="Arial"/>
                <w:b/>
                <w:sz w:val="22"/>
                <w:szCs w:val="22"/>
              </w:rPr>
              <w:t>Yes</w:t>
            </w:r>
            <w:r w:rsidRPr="00993EC2">
              <w:rPr>
                <w:rFonts w:ascii="Arial" w:hAnsi="Arial" w:cs="Arial"/>
                <w:sz w:val="22"/>
                <w:szCs w:val="22"/>
              </w:rPr>
              <w:t>, please attached a copy for our records:</w:t>
            </w:r>
          </w:p>
          <w:p w:rsidR="003046DE" w:rsidRPr="00993EC2" w:rsidRDefault="003046DE" w:rsidP="008A1FC1">
            <w:pPr>
              <w:spacing w:before="60" w:after="60"/>
              <w:ind w:left="743"/>
              <w:contextualSpacing/>
              <w:jc w:val="both"/>
              <w:rPr>
                <w:rFonts w:ascii="Arial" w:hAnsi="Arial" w:cs="Arial"/>
                <w:sz w:val="22"/>
                <w:szCs w:val="22"/>
              </w:rPr>
            </w:pPr>
          </w:p>
        </w:tc>
        <w:tc>
          <w:tcPr>
            <w:tcW w:w="1983" w:type="dxa"/>
          </w:tcPr>
          <w:p w:rsidR="003046DE" w:rsidRPr="00993EC2" w:rsidRDefault="003046DE" w:rsidP="008A1FC1">
            <w:pPr>
              <w:spacing w:before="60" w:after="60"/>
              <w:ind w:left="743"/>
              <w:contextualSpacing/>
              <w:jc w:val="both"/>
              <w:rPr>
                <w:rFonts w:ascii="Arial" w:hAnsi="Arial" w:cs="Arial"/>
                <w:sz w:val="22"/>
                <w:szCs w:val="22"/>
              </w:rPr>
            </w:pPr>
            <w:r w:rsidRPr="00993EC2">
              <w:rPr>
                <w:rFonts w:ascii="Arial" w:hAnsi="Arial" w:cs="Arial"/>
                <w:sz w:val="22"/>
                <w:szCs w:val="22"/>
              </w:rPr>
              <w:t>Yes / No</w:t>
            </w:r>
          </w:p>
        </w:tc>
      </w:tr>
      <w:tr w:rsidR="003046DE" w:rsidRPr="00993EC2" w:rsidTr="008A1FC1">
        <w:tc>
          <w:tcPr>
            <w:tcW w:w="7655" w:type="dxa"/>
          </w:tcPr>
          <w:p w:rsidR="003046DE" w:rsidRPr="00993EC2" w:rsidRDefault="003046DE" w:rsidP="008A1FC1">
            <w:pPr>
              <w:spacing w:before="60" w:after="60"/>
              <w:ind w:left="743"/>
              <w:contextualSpacing/>
              <w:jc w:val="both"/>
              <w:rPr>
                <w:rFonts w:ascii="Arial" w:hAnsi="Arial" w:cs="Arial"/>
                <w:sz w:val="22"/>
                <w:szCs w:val="22"/>
              </w:rPr>
            </w:pPr>
            <w:r w:rsidRPr="00993EC2">
              <w:rPr>
                <w:rFonts w:ascii="Arial" w:hAnsi="Arial" w:cs="Arial"/>
                <w:sz w:val="22"/>
                <w:szCs w:val="22"/>
              </w:rPr>
              <w:t xml:space="preserve">If </w:t>
            </w:r>
            <w:r w:rsidRPr="00993EC2">
              <w:rPr>
                <w:rFonts w:ascii="Arial" w:hAnsi="Arial" w:cs="Arial"/>
                <w:b/>
                <w:sz w:val="22"/>
                <w:szCs w:val="22"/>
              </w:rPr>
              <w:t>No</w:t>
            </w:r>
            <w:r w:rsidRPr="00993EC2">
              <w:rPr>
                <w:rFonts w:ascii="Arial" w:hAnsi="Arial" w:cs="Arial"/>
                <w:sz w:val="22"/>
                <w:szCs w:val="22"/>
              </w:rPr>
              <w:t>, do you agree to adopt the Saffron Equal Opportunities Policy when working for Saffron?</w:t>
            </w:r>
          </w:p>
          <w:p w:rsidR="003046DE" w:rsidRPr="00993EC2" w:rsidRDefault="003046DE" w:rsidP="008A1FC1">
            <w:pPr>
              <w:spacing w:before="60" w:after="60"/>
              <w:ind w:left="743"/>
              <w:contextualSpacing/>
              <w:jc w:val="both"/>
              <w:rPr>
                <w:rFonts w:ascii="Arial" w:hAnsi="Arial" w:cs="Arial"/>
                <w:sz w:val="22"/>
                <w:szCs w:val="22"/>
              </w:rPr>
            </w:pPr>
          </w:p>
        </w:tc>
        <w:tc>
          <w:tcPr>
            <w:tcW w:w="1983" w:type="dxa"/>
          </w:tcPr>
          <w:p w:rsidR="003046DE" w:rsidRPr="00993EC2" w:rsidRDefault="003046DE" w:rsidP="008A1FC1">
            <w:pPr>
              <w:spacing w:before="60" w:after="60"/>
              <w:ind w:left="743"/>
              <w:contextualSpacing/>
              <w:jc w:val="both"/>
              <w:rPr>
                <w:rFonts w:ascii="Arial" w:hAnsi="Arial" w:cs="Arial"/>
                <w:sz w:val="22"/>
                <w:szCs w:val="22"/>
              </w:rPr>
            </w:pPr>
          </w:p>
          <w:p w:rsidR="003046DE" w:rsidRPr="00993EC2" w:rsidRDefault="003046DE" w:rsidP="008A1FC1">
            <w:pPr>
              <w:spacing w:before="60" w:after="60"/>
              <w:ind w:left="743"/>
              <w:contextualSpacing/>
              <w:jc w:val="both"/>
              <w:rPr>
                <w:rFonts w:ascii="Arial" w:hAnsi="Arial" w:cs="Arial"/>
                <w:sz w:val="22"/>
                <w:szCs w:val="22"/>
              </w:rPr>
            </w:pPr>
            <w:r w:rsidRPr="00993EC2">
              <w:rPr>
                <w:rFonts w:ascii="Arial" w:hAnsi="Arial" w:cs="Arial"/>
                <w:sz w:val="22"/>
                <w:szCs w:val="22"/>
              </w:rPr>
              <w:t>Yes / No</w:t>
            </w:r>
          </w:p>
        </w:tc>
      </w:tr>
    </w:tbl>
    <w:p w:rsidR="00810CF3" w:rsidRDefault="00810CF3" w:rsidP="00F46B67">
      <w:pPr>
        <w:pStyle w:val="Heading1"/>
        <w:numPr>
          <w:ilvl w:val="0"/>
          <w:numId w:val="0"/>
        </w:numPr>
        <w:spacing w:before="0" w:after="0"/>
        <w:rPr>
          <w:rFonts w:asciiTheme="minorHAnsi" w:hAnsiTheme="minorHAnsi"/>
          <w:sz w:val="24"/>
          <w:szCs w:val="24"/>
        </w:rPr>
      </w:pPr>
    </w:p>
    <w:p w:rsidR="006D2E80" w:rsidRPr="006D2E80" w:rsidRDefault="003046DE" w:rsidP="00F46B67">
      <w:pPr>
        <w:pStyle w:val="Heading1"/>
        <w:numPr>
          <w:ilvl w:val="0"/>
          <w:numId w:val="0"/>
        </w:numPr>
        <w:spacing w:before="0" w:after="0"/>
      </w:pPr>
      <w:r>
        <w:rPr>
          <w:rFonts w:asciiTheme="minorHAnsi" w:hAnsiTheme="minorHAnsi"/>
          <w:sz w:val="24"/>
          <w:szCs w:val="24"/>
        </w:rPr>
        <w:t>14.0</w:t>
      </w:r>
      <w:r w:rsidR="00FC63E0" w:rsidRPr="00D3301F">
        <w:rPr>
          <w:rFonts w:asciiTheme="minorHAnsi" w:hAnsiTheme="minorHAnsi"/>
          <w:sz w:val="24"/>
          <w:szCs w:val="24"/>
        </w:rPr>
        <w:tab/>
      </w:r>
      <w:r w:rsidR="00E450E5" w:rsidRPr="00D3301F">
        <w:rPr>
          <w:rFonts w:asciiTheme="minorHAnsi" w:hAnsiTheme="minorHAnsi"/>
          <w:sz w:val="24"/>
          <w:szCs w:val="24"/>
        </w:rPr>
        <w:t>Customer Contacts</w:t>
      </w:r>
      <w:r w:rsidR="009379CE" w:rsidRPr="00D3301F">
        <w:rPr>
          <w:rFonts w:asciiTheme="minorHAnsi" w:hAnsiTheme="minorHAnsi"/>
          <w:sz w:val="24"/>
          <w:szCs w:val="24"/>
        </w:rPr>
        <w:t xml:space="preserve"> &amp; Procedure</w:t>
      </w:r>
    </w:p>
    <w:p w:rsidR="00E450E5" w:rsidRPr="00D3301F" w:rsidRDefault="00357259"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Explain here, in full detail, how customers are contacted when a referral is received.  Include further attempts that are made to contact them</w:t>
      </w:r>
      <w:r w:rsidR="00B34E04">
        <w:rPr>
          <w:rFonts w:asciiTheme="minorHAnsi" w:hAnsiTheme="minorHAnsi"/>
          <w:b w:val="0"/>
          <w:sz w:val="24"/>
          <w:szCs w:val="24"/>
        </w:rPr>
        <w:t>,</w:t>
      </w:r>
      <w:r w:rsidRPr="00D3301F">
        <w:rPr>
          <w:rFonts w:asciiTheme="minorHAnsi" w:hAnsiTheme="minorHAnsi"/>
          <w:b w:val="0"/>
          <w:sz w:val="24"/>
          <w:szCs w:val="24"/>
        </w:rPr>
        <w:t xml:space="preserve"> if the initial a</w:t>
      </w:r>
      <w:r w:rsidR="00B34E04">
        <w:rPr>
          <w:rFonts w:asciiTheme="minorHAnsi" w:hAnsiTheme="minorHAnsi"/>
          <w:b w:val="0"/>
          <w:sz w:val="24"/>
          <w:szCs w:val="24"/>
        </w:rPr>
        <w:t>ttempt is unsuccessful.  If</w:t>
      </w:r>
      <w:r w:rsidRPr="00D3301F">
        <w:rPr>
          <w:rFonts w:asciiTheme="minorHAnsi" w:hAnsiTheme="minorHAnsi"/>
          <w:b w:val="0"/>
          <w:sz w:val="24"/>
          <w:szCs w:val="24"/>
        </w:rPr>
        <w:t xml:space="preserve"> messages are left on answer phones or voice mail, and no response is received within a certain time, what further attempts are made to speak with the person within what timescales?  When do you stop trying?  Do you write to them?  How will they know you</w:t>
      </w:r>
      <w:r w:rsidR="00205580" w:rsidRPr="00D3301F">
        <w:rPr>
          <w:rFonts w:asciiTheme="minorHAnsi" w:hAnsiTheme="minorHAnsi"/>
          <w:b w:val="0"/>
          <w:sz w:val="24"/>
          <w:szCs w:val="24"/>
        </w:rPr>
        <w:t>’ve</w:t>
      </w:r>
      <w:r w:rsidRPr="00D3301F">
        <w:rPr>
          <w:rFonts w:asciiTheme="minorHAnsi" w:hAnsiTheme="minorHAnsi"/>
          <w:b w:val="0"/>
          <w:sz w:val="24"/>
          <w:szCs w:val="24"/>
        </w:rPr>
        <w:t xml:space="preserve"> tried to contact them?</w:t>
      </w:r>
      <w:r w:rsidR="002A49E2" w:rsidRPr="00D3301F">
        <w:rPr>
          <w:rFonts w:asciiTheme="minorHAnsi" w:hAnsiTheme="minorHAnsi"/>
          <w:b w:val="0"/>
          <w:sz w:val="24"/>
          <w:szCs w:val="24"/>
        </w:rPr>
        <w:t xml:space="preserve"> </w:t>
      </w:r>
    </w:p>
    <w:p w:rsidR="00E450E5" w:rsidRPr="00D3301F" w:rsidRDefault="00E450E5" w:rsidP="001D38C4">
      <w:pPr>
        <w:jc w:val="both"/>
        <w:rPr>
          <w:rFonts w:asciiTheme="minorHAnsi" w:hAnsiTheme="minorHAnsi" w:cs="Tahoma"/>
        </w:rPr>
      </w:pPr>
    </w:p>
    <w:p w:rsidR="001D38C4" w:rsidRPr="00D3301F" w:rsidRDefault="001D38C4" w:rsidP="001D38C4">
      <w:pPr>
        <w:jc w:val="both"/>
        <w:rPr>
          <w:rFonts w:asciiTheme="minorHAnsi" w:hAnsiTheme="minorHAnsi" w:cs="Tahoma"/>
        </w:rPr>
      </w:pPr>
    </w:p>
    <w:p w:rsidR="008A589D" w:rsidRDefault="003046DE" w:rsidP="001D38C4">
      <w:pPr>
        <w:pStyle w:val="Heading2"/>
        <w:numPr>
          <w:ilvl w:val="0"/>
          <w:numId w:val="0"/>
        </w:numPr>
        <w:spacing w:before="0" w:after="0"/>
        <w:rPr>
          <w:rFonts w:asciiTheme="minorHAnsi" w:hAnsiTheme="minorHAnsi"/>
          <w:sz w:val="24"/>
          <w:szCs w:val="24"/>
        </w:rPr>
      </w:pPr>
      <w:r>
        <w:rPr>
          <w:rFonts w:asciiTheme="minorHAnsi" w:hAnsiTheme="minorHAnsi"/>
          <w:sz w:val="24"/>
          <w:szCs w:val="24"/>
        </w:rPr>
        <w:t>15.0</w:t>
      </w:r>
      <w:r w:rsidR="00FC63E0" w:rsidRPr="00D3301F">
        <w:rPr>
          <w:rFonts w:asciiTheme="minorHAnsi" w:hAnsiTheme="minorHAnsi"/>
          <w:sz w:val="24"/>
          <w:szCs w:val="24"/>
        </w:rPr>
        <w:tab/>
      </w:r>
      <w:r w:rsidR="008A589D" w:rsidRPr="00D3301F">
        <w:rPr>
          <w:rFonts w:asciiTheme="minorHAnsi" w:hAnsiTheme="minorHAnsi"/>
          <w:sz w:val="24"/>
          <w:szCs w:val="24"/>
        </w:rPr>
        <w:t>Installation Times and overall referral Capacity</w:t>
      </w:r>
    </w:p>
    <w:p w:rsidR="0026232E" w:rsidRPr="00D3301F" w:rsidRDefault="007E4DC2" w:rsidP="001D38C4">
      <w:pPr>
        <w:pStyle w:val="Heading1"/>
        <w:numPr>
          <w:ilvl w:val="0"/>
          <w:numId w:val="0"/>
        </w:numPr>
        <w:spacing w:before="0" w:after="0"/>
        <w:rPr>
          <w:rFonts w:asciiTheme="minorHAnsi" w:hAnsiTheme="minorHAnsi"/>
          <w:b w:val="0"/>
          <w:sz w:val="24"/>
          <w:szCs w:val="24"/>
        </w:rPr>
      </w:pPr>
      <w:r>
        <w:rPr>
          <w:rFonts w:asciiTheme="minorHAnsi" w:hAnsiTheme="minorHAnsi"/>
          <w:b w:val="0"/>
          <w:sz w:val="24"/>
          <w:szCs w:val="24"/>
        </w:rPr>
        <w:t>Please include</w:t>
      </w:r>
      <w:r w:rsidR="0026232E" w:rsidRPr="00D3301F">
        <w:rPr>
          <w:rFonts w:asciiTheme="minorHAnsi" w:hAnsiTheme="minorHAnsi"/>
          <w:b w:val="0"/>
          <w:sz w:val="24"/>
          <w:szCs w:val="24"/>
        </w:rPr>
        <w:t xml:space="preserve"> </w:t>
      </w:r>
      <w:r w:rsidR="00A9349A" w:rsidRPr="00D3301F">
        <w:rPr>
          <w:rFonts w:asciiTheme="minorHAnsi" w:hAnsiTheme="minorHAnsi"/>
          <w:b w:val="0"/>
          <w:sz w:val="24"/>
          <w:szCs w:val="24"/>
        </w:rPr>
        <w:t xml:space="preserve">detailed responses to the following </w:t>
      </w:r>
      <w:r>
        <w:rPr>
          <w:rFonts w:asciiTheme="minorHAnsi" w:hAnsiTheme="minorHAnsi"/>
          <w:b w:val="0"/>
          <w:sz w:val="24"/>
          <w:szCs w:val="24"/>
        </w:rPr>
        <w:t>points</w:t>
      </w:r>
      <w:r w:rsidR="00A9349A" w:rsidRPr="00D3301F">
        <w:rPr>
          <w:rFonts w:asciiTheme="minorHAnsi" w:hAnsiTheme="minorHAnsi"/>
          <w:b w:val="0"/>
          <w:sz w:val="24"/>
          <w:szCs w:val="24"/>
        </w:rPr>
        <w:t xml:space="preserve"> regarding installation times and o</w:t>
      </w:r>
      <w:r>
        <w:rPr>
          <w:rFonts w:asciiTheme="minorHAnsi" w:hAnsiTheme="minorHAnsi"/>
          <w:b w:val="0"/>
          <w:sz w:val="24"/>
          <w:szCs w:val="24"/>
        </w:rPr>
        <w:t>verall capacity of your company:</w:t>
      </w:r>
    </w:p>
    <w:p w:rsidR="001D38C4" w:rsidRPr="00D3301F" w:rsidRDefault="001D38C4" w:rsidP="001D38C4">
      <w:pPr>
        <w:rPr>
          <w:rFonts w:asciiTheme="minorHAnsi" w:hAnsiTheme="minorHAnsi"/>
        </w:rPr>
      </w:pPr>
    </w:p>
    <w:p w:rsidR="001D38C4" w:rsidRPr="00D3301F" w:rsidRDefault="003046DE" w:rsidP="00C2248E">
      <w:pPr>
        <w:ind w:left="1440" w:hanging="720"/>
        <w:jc w:val="both"/>
        <w:rPr>
          <w:rFonts w:asciiTheme="minorHAnsi" w:hAnsiTheme="minorHAnsi" w:cs="Tahoma"/>
        </w:rPr>
      </w:pPr>
      <w:r>
        <w:rPr>
          <w:rFonts w:asciiTheme="minorHAnsi" w:hAnsiTheme="minorHAnsi" w:cs="Tahoma"/>
          <w:b/>
        </w:rPr>
        <w:t>15</w:t>
      </w:r>
      <w:r w:rsidR="00DE72A2" w:rsidRPr="00D3301F">
        <w:rPr>
          <w:rFonts w:asciiTheme="minorHAnsi" w:hAnsiTheme="minorHAnsi" w:cs="Tahoma"/>
          <w:b/>
        </w:rPr>
        <w:t>.1</w:t>
      </w:r>
      <w:r w:rsidR="00DE72A2" w:rsidRPr="00D3301F">
        <w:rPr>
          <w:rFonts w:asciiTheme="minorHAnsi" w:hAnsiTheme="minorHAnsi" w:cs="Tahoma"/>
        </w:rPr>
        <w:tab/>
      </w:r>
      <w:r w:rsidR="008A589D" w:rsidRPr="00D3301F">
        <w:rPr>
          <w:rFonts w:asciiTheme="minorHAnsi" w:hAnsiTheme="minorHAnsi" w:cs="Tahoma"/>
        </w:rPr>
        <w:t xml:space="preserve">Average time to </w:t>
      </w:r>
      <w:r w:rsidR="00BA4039" w:rsidRPr="00D3301F">
        <w:rPr>
          <w:rFonts w:asciiTheme="minorHAnsi" w:hAnsiTheme="minorHAnsi" w:cs="Tahoma"/>
        </w:rPr>
        <w:t>inspect a property</w:t>
      </w:r>
      <w:r w:rsidR="00886C02" w:rsidRPr="00D3301F">
        <w:rPr>
          <w:rFonts w:asciiTheme="minorHAnsi" w:hAnsiTheme="minorHAnsi" w:cs="Tahoma"/>
        </w:rPr>
        <w:t xml:space="preserve"> after </w:t>
      </w:r>
      <w:r w:rsidR="00BA4039" w:rsidRPr="00D3301F">
        <w:rPr>
          <w:rFonts w:asciiTheme="minorHAnsi" w:hAnsiTheme="minorHAnsi" w:cs="Tahoma"/>
        </w:rPr>
        <w:t xml:space="preserve">the </w:t>
      </w:r>
      <w:r w:rsidR="00886C02" w:rsidRPr="00D3301F">
        <w:rPr>
          <w:rFonts w:asciiTheme="minorHAnsi" w:hAnsiTheme="minorHAnsi" w:cs="Tahoma"/>
        </w:rPr>
        <w:t>receipt of</w:t>
      </w:r>
      <w:r w:rsidR="00BA4039" w:rsidRPr="00D3301F">
        <w:rPr>
          <w:rFonts w:asciiTheme="minorHAnsi" w:hAnsiTheme="minorHAnsi" w:cs="Tahoma"/>
        </w:rPr>
        <w:t xml:space="preserve"> a</w:t>
      </w:r>
      <w:r w:rsidR="00886C02" w:rsidRPr="00D3301F">
        <w:rPr>
          <w:rFonts w:asciiTheme="minorHAnsi" w:hAnsiTheme="minorHAnsi" w:cs="Tahoma"/>
        </w:rPr>
        <w:t xml:space="preserve"> referral from Saffron Housing Trust</w:t>
      </w:r>
    </w:p>
    <w:p w:rsidR="00DE72A2" w:rsidRPr="00D3301F" w:rsidRDefault="00DE72A2" w:rsidP="00DE72A2">
      <w:pPr>
        <w:ind w:left="720"/>
        <w:jc w:val="both"/>
        <w:rPr>
          <w:rFonts w:asciiTheme="minorHAnsi" w:hAnsiTheme="minorHAnsi" w:cs="Tahoma"/>
        </w:rPr>
      </w:pPr>
    </w:p>
    <w:p w:rsidR="001D38C4" w:rsidRPr="00D3301F" w:rsidRDefault="003046DE" w:rsidP="00C2248E">
      <w:pPr>
        <w:ind w:left="1440" w:hanging="720"/>
        <w:jc w:val="both"/>
        <w:rPr>
          <w:rFonts w:asciiTheme="minorHAnsi" w:hAnsiTheme="minorHAnsi" w:cs="Tahoma"/>
        </w:rPr>
      </w:pPr>
      <w:r>
        <w:rPr>
          <w:rFonts w:asciiTheme="minorHAnsi" w:hAnsiTheme="minorHAnsi" w:cs="Tahoma"/>
          <w:b/>
        </w:rPr>
        <w:t>15</w:t>
      </w:r>
      <w:r w:rsidR="00DE72A2" w:rsidRPr="00D3301F">
        <w:rPr>
          <w:rFonts w:asciiTheme="minorHAnsi" w:hAnsiTheme="minorHAnsi" w:cs="Tahoma"/>
          <w:b/>
        </w:rPr>
        <w:t>.2</w:t>
      </w:r>
      <w:r w:rsidR="00DE72A2" w:rsidRPr="00D3301F">
        <w:rPr>
          <w:rFonts w:asciiTheme="minorHAnsi" w:hAnsiTheme="minorHAnsi" w:cs="Tahoma"/>
        </w:rPr>
        <w:tab/>
      </w:r>
      <w:r w:rsidR="008A589D" w:rsidRPr="00D3301F">
        <w:rPr>
          <w:rFonts w:asciiTheme="minorHAnsi" w:hAnsiTheme="minorHAnsi" w:cs="Tahoma"/>
        </w:rPr>
        <w:t xml:space="preserve">Average time to </w:t>
      </w:r>
      <w:r w:rsidR="00BA4039" w:rsidRPr="00D3301F">
        <w:rPr>
          <w:rFonts w:asciiTheme="minorHAnsi" w:hAnsiTheme="minorHAnsi" w:cs="Tahoma"/>
        </w:rPr>
        <w:t xml:space="preserve">produce an EPC </w:t>
      </w:r>
      <w:r w:rsidR="00886C02" w:rsidRPr="00D3301F">
        <w:rPr>
          <w:rFonts w:asciiTheme="minorHAnsi" w:hAnsiTheme="minorHAnsi" w:cs="Tahoma"/>
        </w:rPr>
        <w:t xml:space="preserve">after </w:t>
      </w:r>
      <w:r w:rsidR="00BA4039" w:rsidRPr="00D3301F">
        <w:rPr>
          <w:rFonts w:asciiTheme="minorHAnsi" w:hAnsiTheme="minorHAnsi" w:cs="Tahoma"/>
        </w:rPr>
        <w:t xml:space="preserve">the </w:t>
      </w:r>
      <w:r w:rsidR="00886C02" w:rsidRPr="00D3301F">
        <w:rPr>
          <w:rFonts w:asciiTheme="minorHAnsi" w:hAnsiTheme="minorHAnsi" w:cs="Tahoma"/>
        </w:rPr>
        <w:t xml:space="preserve">receipt of </w:t>
      </w:r>
      <w:r w:rsidR="00BA4039" w:rsidRPr="00D3301F">
        <w:rPr>
          <w:rFonts w:asciiTheme="minorHAnsi" w:hAnsiTheme="minorHAnsi" w:cs="Tahoma"/>
        </w:rPr>
        <w:t xml:space="preserve">a </w:t>
      </w:r>
      <w:r w:rsidR="00886C02" w:rsidRPr="00D3301F">
        <w:rPr>
          <w:rFonts w:asciiTheme="minorHAnsi" w:hAnsiTheme="minorHAnsi" w:cs="Tahoma"/>
        </w:rPr>
        <w:t>referral from Saffron Housing Trust</w:t>
      </w:r>
    </w:p>
    <w:p w:rsidR="00DE72A2" w:rsidRPr="00D3301F" w:rsidRDefault="00DE72A2" w:rsidP="00DE72A2">
      <w:pPr>
        <w:ind w:left="720"/>
        <w:jc w:val="both"/>
        <w:rPr>
          <w:rFonts w:asciiTheme="minorHAnsi" w:hAnsiTheme="minorHAnsi" w:cs="Tahoma"/>
        </w:rPr>
      </w:pPr>
    </w:p>
    <w:p w:rsidR="00A65B31" w:rsidRPr="00D3301F" w:rsidRDefault="003046DE" w:rsidP="00C2248E">
      <w:pPr>
        <w:ind w:left="1440" w:hanging="720"/>
        <w:jc w:val="both"/>
        <w:rPr>
          <w:rFonts w:asciiTheme="minorHAnsi" w:hAnsiTheme="minorHAnsi" w:cs="Tahoma"/>
        </w:rPr>
      </w:pPr>
      <w:r>
        <w:rPr>
          <w:rFonts w:asciiTheme="minorHAnsi" w:hAnsiTheme="minorHAnsi" w:cs="Tahoma"/>
          <w:b/>
        </w:rPr>
        <w:t>15</w:t>
      </w:r>
      <w:r w:rsidR="00DE72A2" w:rsidRPr="00D3301F">
        <w:rPr>
          <w:rFonts w:asciiTheme="minorHAnsi" w:hAnsiTheme="minorHAnsi" w:cs="Tahoma"/>
          <w:b/>
        </w:rPr>
        <w:t>.3</w:t>
      </w:r>
      <w:r w:rsidR="00DE72A2" w:rsidRPr="00D3301F">
        <w:rPr>
          <w:rFonts w:asciiTheme="minorHAnsi" w:hAnsiTheme="minorHAnsi" w:cs="Tahoma"/>
        </w:rPr>
        <w:tab/>
      </w:r>
      <w:r w:rsidR="00176219" w:rsidRPr="00D3301F">
        <w:rPr>
          <w:rFonts w:asciiTheme="minorHAnsi" w:hAnsiTheme="minorHAnsi" w:cs="Tahoma"/>
        </w:rPr>
        <w:t>Maximum n</w:t>
      </w:r>
      <w:r w:rsidR="00A65B31" w:rsidRPr="00D3301F">
        <w:rPr>
          <w:rFonts w:asciiTheme="minorHAnsi" w:hAnsiTheme="minorHAnsi" w:cs="Tahoma"/>
        </w:rPr>
        <w:t xml:space="preserve">umber of referrals per month from Saffron Housing Trust which can be </w:t>
      </w:r>
      <w:r w:rsidR="00BA4039" w:rsidRPr="00D3301F">
        <w:rPr>
          <w:rFonts w:asciiTheme="minorHAnsi" w:hAnsiTheme="minorHAnsi" w:cs="Tahoma"/>
        </w:rPr>
        <w:t>inspected and EPC’s produced</w:t>
      </w:r>
    </w:p>
    <w:p w:rsidR="00215FB4" w:rsidRPr="00D3301F" w:rsidRDefault="00215FB4" w:rsidP="001D38C4">
      <w:pPr>
        <w:pStyle w:val="Heading2"/>
        <w:numPr>
          <w:ilvl w:val="0"/>
          <w:numId w:val="0"/>
        </w:numPr>
        <w:spacing w:before="0" w:after="0"/>
        <w:ind w:left="432"/>
        <w:rPr>
          <w:rFonts w:asciiTheme="minorHAnsi" w:hAnsiTheme="minorHAnsi"/>
          <w:b w:val="0"/>
          <w:sz w:val="24"/>
          <w:szCs w:val="24"/>
        </w:rPr>
      </w:pPr>
    </w:p>
    <w:p w:rsidR="00215FB4" w:rsidRPr="00D3301F" w:rsidRDefault="00215FB4"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The winning bidder will be issued with Saffron’s KPI’s and profile of </w:t>
      </w:r>
      <w:r w:rsidR="00702F88" w:rsidRPr="00D3301F">
        <w:rPr>
          <w:rFonts w:asciiTheme="minorHAnsi" w:hAnsiTheme="minorHAnsi"/>
          <w:b w:val="0"/>
          <w:sz w:val="24"/>
          <w:szCs w:val="24"/>
        </w:rPr>
        <w:t xml:space="preserve">inspections </w:t>
      </w:r>
      <w:r w:rsidRPr="00D3301F">
        <w:rPr>
          <w:rFonts w:asciiTheme="minorHAnsi" w:hAnsiTheme="minorHAnsi"/>
          <w:b w:val="0"/>
          <w:sz w:val="24"/>
          <w:szCs w:val="24"/>
        </w:rPr>
        <w:t>based on the responses to the installation times and overall capacity questions above.</w:t>
      </w:r>
    </w:p>
    <w:p w:rsidR="00BA4039" w:rsidRPr="00D3301F" w:rsidRDefault="00BA4039" w:rsidP="001D38C4">
      <w:pPr>
        <w:rPr>
          <w:rFonts w:asciiTheme="minorHAnsi" w:hAnsiTheme="minorHAnsi"/>
        </w:rPr>
      </w:pPr>
    </w:p>
    <w:p w:rsidR="000C08CA" w:rsidRPr="00D3301F" w:rsidRDefault="003046DE" w:rsidP="001D38C4">
      <w:pPr>
        <w:pStyle w:val="Heading2"/>
        <w:numPr>
          <w:ilvl w:val="0"/>
          <w:numId w:val="0"/>
        </w:numPr>
        <w:spacing w:before="0" w:after="0"/>
        <w:rPr>
          <w:rFonts w:asciiTheme="minorHAnsi" w:hAnsiTheme="minorHAnsi"/>
          <w:sz w:val="24"/>
          <w:szCs w:val="24"/>
        </w:rPr>
      </w:pPr>
      <w:r>
        <w:rPr>
          <w:rFonts w:asciiTheme="minorHAnsi" w:hAnsiTheme="minorHAnsi"/>
          <w:sz w:val="24"/>
          <w:szCs w:val="24"/>
        </w:rPr>
        <w:t>16</w:t>
      </w:r>
      <w:r w:rsidR="008A1FC1">
        <w:rPr>
          <w:rFonts w:asciiTheme="minorHAnsi" w:hAnsiTheme="minorHAnsi"/>
          <w:sz w:val="24"/>
          <w:szCs w:val="24"/>
        </w:rPr>
        <w:t>.0</w:t>
      </w:r>
      <w:r w:rsidR="00FC63E0" w:rsidRPr="00D3301F">
        <w:rPr>
          <w:rFonts w:asciiTheme="minorHAnsi" w:hAnsiTheme="minorHAnsi"/>
          <w:sz w:val="24"/>
          <w:szCs w:val="24"/>
        </w:rPr>
        <w:tab/>
      </w:r>
      <w:r w:rsidR="000C08CA" w:rsidRPr="00D3301F">
        <w:rPr>
          <w:rFonts w:asciiTheme="minorHAnsi" w:hAnsiTheme="minorHAnsi"/>
          <w:sz w:val="24"/>
          <w:szCs w:val="24"/>
        </w:rPr>
        <w:t xml:space="preserve">Staffing </w:t>
      </w:r>
    </w:p>
    <w:p w:rsidR="002E1CBA" w:rsidRPr="00D3301F" w:rsidRDefault="000E6C65" w:rsidP="001D38C4">
      <w:pPr>
        <w:pStyle w:val="Heading1"/>
        <w:numPr>
          <w:ilvl w:val="0"/>
          <w:numId w:val="0"/>
        </w:numPr>
        <w:spacing w:before="0" w:after="0"/>
        <w:rPr>
          <w:rFonts w:asciiTheme="minorHAnsi" w:hAnsiTheme="minorHAnsi"/>
          <w:b w:val="0"/>
          <w:sz w:val="24"/>
          <w:szCs w:val="24"/>
        </w:rPr>
      </w:pPr>
      <w:r>
        <w:rPr>
          <w:rFonts w:asciiTheme="minorHAnsi" w:hAnsiTheme="minorHAnsi"/>
          <w:b w:val="0"/>
          <w:sz w:val="24"/>
          <w:szCs w:val="24"/>
        </w:rPr>
        <w:t>It is</w:t>
      </w:r>
      <w:r w:rsidR="00491EF6" w:rsidRPr="00D3301F">
        <w:rPr>
          <w:rFonts w:asciiTheme="minorHAnsi" w:hAnsiTheme="minorHAnsi"/>
          <w:b w:val="0"/>
          <w:sz w:val="24"/>
          <w:szCs w:val="24"/>
        </w:rPr>
        <w:t xml:space="preserve"> </w:t>
      </w:r>
      <w:r w:rsidR="00172CCD" w:rsidRPr="00D3301F">
        <w:rPr>
          <w:rFonts w:asciiTheme="minorHAnsi" w:hAnsiTheme="minorHAnsi"/>
          <w:b w:val="0"/>
          <w:sz w:val="24"/>
          <w:szCs w:val="24"/>
        </w:rPr>
        <w:t>Saffron</w:t>
      </w:r>
      <w:r>
        <w:rPr>
          <w:rFonts w:asciiTheme="minorHAnsi" w:hAnsiTheme="minorHAnsi"/>
          <w:b w:val="0"/>
          <w:sz w:val="24"/>
          <w:szCs w:val="24"/>
        </w:rPr>
        <w:t>’s</w:t>
      </w:r>
      <w:r w:rsidR="00172CCD" w:rsidRPr="00D3301F">
        <w:rPr>
          <w:rFonts w:asciiTheme="minorHAnsi" w:hAnsiTheme="minorHAnsi"/>
          <w:b w:val="0"/>
          <w:sz w:val="24"/>
          <w:szCs w:val="24"/>
        </w:rPr>
        <w:t xml:space="preserve"> preference</w:t>
      </w:r>
      <w:r w:rsidR="00491EF6" w:rsidRPr="00D3301F">
        <w:rPr>
          <w:rFonts w:asciiTheme="minorHAnsi" w:hAnsiTheme="minorHAnsi"/>
          <w:b w:val="0"/>
          <w:sz w:val="24"/>
          <w:szCs w:val="24"/>
        </w:rPr>
        <w:t xml:space="preserve"> that all </w:t>
      </w:r>
      <w:r>
        <w:rPr>
          <w:rFonts w:asciiTheme="minorHAnsi" w:hAnsiTheme="minorHAnsi"/>
          <w:b w:val="0"/>
          <w:sz w:val="24"/>
          <w:szCs w:val="24"/>
        </w:rPr>
        <w:t xml:space="preserve">companies </w:t>
      </w:r>
      <w:r w:rsidR="00491EF6" w:rsidRPr="00D3301F">
        <w:rPr>
          <w:rFonts w:asciiTheme="minorHAnsi" w:hAnsiTheme="minorHAnsi"/>
          <w:b w:val="0"/>
          <w:sz w:val="24"/>
          <w:szCs w:val="24"/>
        </w:rPr>
        <w:t xml:space="preserve">employ their own staff on Saffron Housing Trust referrals and do not use </w:t>
      </w:r>
      <w:r w:rsidR="00205580" w:rsidRPr="00D3301F">
        <w:rPr>
          <w:rFonts w:asciiTheme="minorHAnsi" w:hAnsiTheme="minorHAnsi"/>
          <w:b w:val="0"/>
          <w:sz w:val="24"/>
          <w:szCs w:val="24"/>
        </w:rPr>
        <w:t>sub-</w:t>
      </w:r>
      <w:r w:rsidR="00491EF6" w:rsidRPr="00D3301F">
        <w:rPr>
          <w:rFonts w:asciiTheme="minorHAnsi" w:hAnsiTheme="minorHAnsi"/>
          <w:b w:val="0"/>
          <w:sz w:val="24"/>
          <w:szCs w:val="24"/>
        </w:rPr>
        <w:t>contractors.  This is to ensure that in the event of any difficulty</w:t>
      </w:r>
      <w:r>
        <w:rPr>
          <w:rFonts w:asciiTheme="minorHAnsi" w:hAnsiTheme="minorHAnsi"/>
          <w:b w:val="0"/>
          <w:sz w:val="24"/>
          <w:szCs w:val="24"/>
        </w:rPr>
        <w:t>,</w:t>
      </w:r>
      <w:r w:rsidR="00491EF6" w:rsidRPr="00D3301F">
        <w:rPr>
          <w:rFonts w:asciiTheme="minorHAnsi" w:hAnsiTheme="minorHAnsi"/>
          <w:b w:val="0"/>
          <w:sz w:val="24"/>
          <w:szCs w:val="24"/>
        </w:rPr>
        <w:t xml:space="preserve"> Saffron Housing Trust knows exactly who to contact and to ensure that the invoicing for completed</w:t>
      </w:r>
      <w:r w:rsidR="00702F88" w:rsidRPr="00D3301F">
        <w:rPr>
          <w:rFonts w:asciiTheme="minorHAnsi" w:hAnsiTheme="minorHAnsi"/>
          <w:b w:val="0"/>
          <w:sz w:val="24"/>
          <w:szCs w:val="24"/>
        </w:rPr>
        <w:t xml:space="preserve"> certification is</w:t>
      </w:r>
      <w:r w:rsidR="00491EF6" w:rsidRPr="00D3301F">
        <w:rPr>
          <w:rFonts w:asciiTheme="minorHAnsi" w:hAnsiTheme="minorHAnsi"/>
          <w:b w:val="0"/>
          <w:sz w:val="24"/>
          <w:szCs w:val="24"/>
        </w:rPr>
        <w:t xml:space="preserve"> as simple and transparent as possible. </w:t>
      </w:r>
      <w:r w:rsidR="00172CCD" w:rsidRPr="00D3301F">
        <w:rPr>
          <w:rFonts w:asciiTheme="minorHAnsi" w:hAnsiTheme="minorHAnsi"/>
          <w:b w:val="0"/>
          <w:sz w:val="24"/>
          <w:szCs w:val="24"/>
        </w:rPr>
        <w:t>However, if</w:t>
      </w:r>
      <w:r w:rsidR="00491EF6" w:rsidRPr="00D3301F">
        <w:rPr>
          <w:rFonts w:asciiTheme="minorHAnsi" w:hAnsiTheme="minorHAnsi"/>
          <w:b w:val="0"/>
          <w:sz w:val="24"/>
          <w:szCs w:val="24"/>
        </w:rPr>
        <w:t xml:space="preserve"> a third party company is to work on Saffron referrals</w:t>
      </w:r>
      <w:r w:rsidR="0033680D" w:rsidRPr="00D3301F">
        <w:rPr>
          <w:rFonts w:asciiTheme="minorHAnsi" w:hAnsiTheme="minorHAnsi"/>
          <w:b w:val="0"/>
          <w:sz w:val="24"/>
          <w:szCs w:val="24"/>
        </w:rPr>
        <w:t xml:space="preserve"> then prior agreement must be sought in </w:t>
      </w:r>
      <w:r w:rsidR="00172CCD" w:rsidRPr="00D3301F">
        <w:rPr>
          <w:rFonts w:asciiTheme="minorHAnsi" w:hAnsiTheme="minorHAnsi"/>
          <w:b w:val="0"/>
          <w:sz w:val="24"/>
          <w:szCs w:val="24"/>
        </w:rPr>
        <w:t>writing</w:t>
      </w:r>
      <w:r w:rsidR="0033680D" w:rsidRPr="00D3301F">
        <w:rPr>
          <w:rFonts w:asciiTheme="minorHAnsi" w:hAnsiTheme="minorHAnsi"/>
          <w:b w:val="0"/>
          <w:sz w:val="24"/>
          <w:szCs w:val="24"/>
        </w:rPr>
        <w:t>.</w:t>
      </w:r>
    </w:p>
    <w:p w:rsidR="00BA4039" w:rsidRPr="00D3301F" w:rsidRDefault="00BA4039" w:rsidP="001D38C4">
      <w:pPr>
        <w:rPr>
          <w:rFonts w:asciiTheme="minorHAnsi" w:hAnsiTheme="minorHAnsi"/>
        </w:rPr>
      </w:pPr>
    </w:p>
    <w:p w:rsidR="00491EF6" w:rsidRPr="00D3301F" w:rsidRDefault="00172CCD"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Please make it clear in this section whether or not you intend to use third party contractors from the beginning of the contract or whether there is potential to use them throughout.</w:t>
      </w:r>
      <w:r w:rsidR="00D5546E" w:rsidRPr="00D3301F">
        <w:rPr>
          <w:rFonts w:asciiTheme="minorHAnsi" w:hAnsiTheme="minorHAnsi"/>
          <w:b w:val="0"/>
          <w:sz w:val="24"/>
          <w:szCs w:val="24"/>
        </w:rPr>
        <w:t xml:space="preserve"> Also, please detail whether staff that will be visiting Saffron’s stock </w:t>
      </w:r>
      <w:r w:rsidR="00D5546E" w:rsidRPr="00D3301F">
        <w:rPr>
          <w:rFonts w:asciiTheme="minorHAnsi" w:hAnsiTheme="minorHAnsi"/>
          <w:b w:val="0"/>
          <w:sz w:val="24"/>
          <w:szCs w:val="24"/>
        </w:rPr>
        <w:lastRenderedPageBreak/>
        <w:t xml:space="preserve">will have </w:t>
      </w:r>
      <w:r w:rsidR="00702F88" w:rsidRPr="00D3301F">
        <w:rPr>
          <w:rFonts w:asciiTheme="minorHAnsi" w:hAnsiTheme="minorHAnsi"/>
          <w:b w:val="0"/>
          <w:sz w:val="24"/>
          <w:szCs w:val="24"/>
        </w:rPr>
        <w:t xml:space="preserve">any </w:t>
      </w:r>
      <w:r w:rsidR="00D5546E" w:rsidRPr="00D3301F">
        <w:rPr>
          <w:rFonts w:asciiTheme="minorHAnsi" w:hAnsiTheme="minorHAnsi"/>
          <w:b w:val="0"/>
          <w:sz w:val="24"/>
          <w:szCs w:val="24"/>
        </w:rPr>
        <w:t>company uniform</w:t>
      </w:r>
      <w:r w:rsidR="00702F88" w:rsidRPr="00D3301F">
        <w:rPr>
          <w:rFonts w:asciiTheme="minorHAnsi" w:hAnsiTheme="minorHAnsi"/>
          <w:b w:val="0"/>
          <w:sz w:val="24"/>
          <w:szCs w:val="24"/>
        </w:rPr>
        <w:t>, vans</w:t>
      </w:r>
      <w:r w:rsidR="00FD1EDC" w:rsidRPr="00D3301F">
        <w:rPr>
          <w:rFonts w:asciiTheme="minorHAnsi" w:hAnsiTheme="minorHAnsi"/>
          <w:b w:val="0"/>
          <w:sz w:val="24"/>
          <w:szCs w:val="24"/>
        </w:rPr>
        <w:t>,</w:t>
      </w:r>
      <w:r w:rsidR="00702F88" w:rsidRPr="00D3301F">
        <w:rPr>
          <w:rFonts w:asciiTheme="minorHAnsi" w:hAnsiTheme="minorHAnsi"/>
          <w:b w:val="0"/>
          <w:sz w:val="24"/>
          <w:szCs w:val="24"/>
        </w:rPr>
        <w:t xml:space="preserve"> identification etc. Saf</w:t>
      </w:r>
      <w:r w:rsidR="007973AD">
        <w:rPr>
          <w:rFonts w:asciiTheme="minorHAnsi" w:hAnsiTheme="minorHAnsi"/>
          <w:b w:val="0"/>
          <w:sz w:val="24"/>
          <w:szCs w:val="24"/>
        </w:rPr>
        <w:t>fron</w:t>
      </w:r>
      <w:r w:rsidR="006148F0">
        <w:rPr>
          <w:rFonts w:asciiTheme="minorHAnsi" w:hAnsiTheme="minorHAnsi"/>
          <w:b w:val="0"/>
          <w:sz w:val="24"/>
          <w:szCs w:val="24"/>
        </w:rPr>
        <w:t xml:space="preserve"> will provide </w:t>
      </w:r>
      <w:r w:rsidR="00702F88" w:rsidRPr="00D3301F">
        <w:rPr>
          <w:rFonts w:asciiTheme="minorHAnsi" w:hAnsiTheme="minorHAnsi"/>
          <w:b w:val="0"/>
          <w:sz w:val="24"/>
          <w:szCs w:val="24"/>
        </w:rPr>
        <w:t>saffron I.D badge</w:t>
      </w:r>
      <w:r w:rsidR="006148F0">
        <w:rPr>
          <w:rFonts w:asciiTheme="minorHAnsi" w:hAnsiTheme="minorHAnsi"/>
          <w:b w:val="0"/>
          <w:sz w:val="24"/>
          <w:szCs w:val="24"/>
        </w:rPr>
        <w:t>s</w:t>
      </w:r>
      <w:r w:rsidR="00702F88" w:rsidRPr="00D3301F">
        <w:rPr>
          <w:rFonts w:asciiTheme="minorHAnsi" w:hAnsiTheme="minorHAnsi"/>
          <w:b w:val="0"/>
          <w:sz w:val="24"/>
          <w:szCs w:val="24"/>
        </w:rPr>
        <w:t xml:space="preserve"> to the winning bidder.</w:t>
      </w:r>
    </w:p>
    <w:p w:rsidR="001D38C4" w:rsidRPr="00D3301F" w:rsidRDefault="001D38C4" w:rsidP="001D38C4">
      <w:pPr>
        <w:pStyle w:val="Heading1"/>
        <w:numPr>
          <w:ilvl w:val="0"/>
          <w:numId w:val="0"/>
        </w:numPr>
        <w:spacing w:before="0" w:after="0"/>
        <w:rPr>
          <w:rFonts w:asciiTheme="minorHAnsi" w:hAnsiTheme="minorHAnsi" w:cs="Times New Roman"/>
          <w:b w:val="0"/>
          <w:bCs w:val="0"/>
          <w:kern w:val="0"/>
          <w:sz w:val="24"/>
          <w:szCs w:val="24"/>
        </w:rPr>
      </w:pPr>
    </w:p>
    <w:p w:rsidR="001D38C4" w:rsidRPr="00D3301F" w:rsidRDefault="001D38C4" w:rsidP="001D38C4">
      <w:pPr>
        <w:pStyle w:val="Heading1"/>
        <w:numPr>
          <w:ilvl w:val="0"/>
          <w:numId w:val="0"/>
        </w:numPr>
        <w:spacing w:before="0" w:after="0"/>
        <w:rPr>
          <w:rFonts w:asciiTheme="minorHAnsi" w:hAnsiTheme="minorHAnsi" w:cs="Times New Roman"/>
          <w:b w:val="0"/>
          <w:bCs w:val="0"/>
          <w:kern w:val="0"/>
          <w:sz w:val="24"/>
          <w:szCs w:val="24"/>
        </w:rPr>
      </w:pPr>
    </w:p>
    <w:p w:rsidR="009C1258" w:rsidRPr="00D3301F" w:rsidRDefault="003046DE" w:rsidP="001D38C4">
      <w:pPr>
        <w:pStyle w:val="Heading1"/>
        <w:numPr>
          <w:ilvl w:val="0"/>
          <w:numId w:val="0"/>
        </w:numPr>
        <w:spacing w:before="0" w:after="0"/>
        <w:rPr>
          <w:rFonts w:asciiTheme="minorHAnsi" w:hAnsiTheme="minorHAnsi"/>
          <w:sz w:val="24"/>
          <w:szCs w:val="24"/>
        </w:rPr>
      </w:pPr>
      <w:r>
        <w:rPr>
          <w:rFonts w:asciiTheme="minorHAnsi" w:hAnsiTheme="minorHAnsi"/>
          <w:sz w:val="24"/>
          <w:szCs w:val="24"/>
        </w:rPr>
        <w:t>17</w:t>
      </w:r>
      <w:r w:rsidR="008A1FC1">
        <w:rPr>
          <w:rFonts w:asciiTheme="minorHAnsi" w:hAnsiTheme="minorHAnsi"/>
          <w:sz w:val="24"/>
          <w:szCs w:val="24"/>
        </w:rPr>
        <w:t>.0</w:t>
      </w:r>
      <w:r w:rsidR="00FC63E0" w:rsidRPr="00D3301F">
        <w:rPr>
          <w:rFonts w:asciiTheme="minorHAnsi" w:hAnsiTheme="minorHAnsi"/>
          <w:sz w:val="24"/>
          <w:szCs w:val="24"/>
        </w:rPr>
        <w:tab/>
      </w:r>
      <w:r w:rsidR="00DF213B" w:rsidRPr="00D3301F">
        <w:rPr>
          <w:rFonts w:asciiTheme="minorHAnsi" w:hAnsiTheme="minorHAnsi"/>
          <w:sz w:val="24"/>
          <w:szCs w:val="24"/>
        </w:rPr>
        <w:t>Professional &amp; Technical Standards</w:t>
      </w:r>
    </w:p>
    <w:p w:rsidR="00EF1C47" w:rsidRPr="00D3301F" w:rsidRDefault="00DF213B"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All applicants are expected to be members of </w:t>
      </w:r>
      <w:r w:rsidR="00BA4039" w:rsidRPr="00D3301F">
        <w:rPr>
          <w:rFonts w:asciiTheme="minorHAnsi" w:hAnsiTheme="minorHAnsi"/>
          <w:b w:val="0"/>
          <w:sz w:val="24"/>
          <w:szCs w:val="24"/>
        </w:rPr>
        <w:t>an accredited body in order to produce EPC’s</w:t>
      </w:r>
      <w:r w:rsidRPr="00D3301F">
        <w:rPr>
          <w:rFonts w:asciiTheme="minorHAnsi" w:hAnsiTheme="minorHAnsi"/>
          <w:b w:val="0"/>
          <w:sz w:val="24"/>
          <w:szCs w:val="24"/>
        </w:rPr>
        <w:t>, and as such to abide by their Code</w:t>
      </w:r>
      <w:r w:rsidR="004A4ACB" w:rsidRPr="00D3301F">
        <w:rPr>
          <w:rFonts w:asciiTheme="minorHAnsi" w:hAnsiTheme="minorHAnsi"/>
          <w:b w:val="0"/>
          <w:sz w:val="24"/>
          <w:szCs w:val="24"/>
        </w:rPr>
        <w:t>s</w:t>
      </w:r>
      <w:r w:rsidRPr="00D3301F">
        <w:rPr>
          <w:rFonts w:asciiTheme="minorHAnsi" w:hAnsiTheme="minorHAnsi"/>
          <w:b w:val="0"/>
          <w:sz w:val="24"/>
          <w:szCs w:val="24"/>
        </w:rPr>
        <w:t xml:space="preserve"> of Professional Practice.</w:t>
      </w:r>
      <w:r w:rsidR="00535E3B" w:rsidRPr="00D3301F">
        <w:rPr>
          <w:rFonts w:asciiTheme="minorHAnsi" w:hAnsiTheme="minorHAnsi"/>
          <w:b w:val="0"/>
          <w:sz w:val="24"/>
          <w:szCs w:val="24"/>
        </w:rPr>
        <w:t xml:space="preserve"> </w:t>
      </w:r>
      <w:r w:rsidRPr="00D3301F">
        <w:rPr>
          <w:rFonts w:asciiTheme="minorHAnsi" w:hAnsiTheme="minorHAnsi"/>
          <w:b w:val="0"/>
          <w:sz w:val="24"/>
          <w:szCs w:val="24"/>
        </w:rPr>
        <w:t>All applicants are also expected to work to industry technical standards</w:t>
      </w:r>
      <w:r w:rsidR="00EB405F" w:rsidRPr="00D3301F">
        <w:rPr>
          <w:rFonts w:asciiTheme="minorHAnsi" w:hAnsiTheme="minorHAnsi"/>
          <w:b w:val="0"/>
          <w:sz w:val="24"/>
          <w:szCs w:val="24"/>
        </w:rPr>
        <w:t xml:space="preserve"> (conventions)</w:t>
      </w:r>
      <w:r w:rsidRPr="00D3301F">
        <w:rPr>
          <w:rFonts w:asciiTheme="minorHAnsi" w:hAnsiTheme="minorHAnsi"/>
          <w:b w:val="0"/>
          <w:sz w:val="24"/>
          <w:szCs w:val="24"/>
        </w:rPr>
        <w:t xml:space="preserve">, as recognised by </w:t>
      </w:r>
      <w:r w:rsidR="00BA4039" w:rsidRPr="00D3301F">
        <w:rPr>
          <w:rFonts w:asciiTheme="minorHAnsi" w:hAnsiTheme="minorHAnsi"/>
          <w:b w:val="0"/>
          <w:sz w:val="24"/>
          <w:szCs w:val="24"/>
        </w:rPr>
        <w:t>their accreditation schemes.</w:t>
      </w:r>
      <w:r w:rsidR="00535E3B" w:rsidRPr="00D3301F">
        <w:rPr>
          <w:rFonts w:asciiTheme="minorHAnsi" w:hAnsiTheme="minorHAnsi"/>
          <w:b w:val="0"/>
          <w:sz w:val="24"/>
          <w:szCs w:val="24"/>
        </w:rPr>
        <w:t xml:space="preserve"> </w:t>
      </w:r>
      <w:r w:rsidR="005E6806" w:rsidRPr="00D3301F">
        <w:rPr>
          <w:rFonts w:asciiTheme="minorHAnsi" w:hAnsiTheme="minorHAnsi"/>
          <w:b w:val="0"/>
          <w:sz w:val="24"/>
          <w:szCs w:val="24"/>
        </w:rPr>
        <w:t>Should standards be superseded by new ones</w:t>
      </w:r>
      <w:r w:rsidR="007973AD">
        <w:rPr>
          <w:rFonts w:asciiTheme="minorHAnsi" w:hAnsiTheme="minorHAnsi"/>
          <w:b w:val="0"/>
          <w:sz w:val="24"/>
          <w:szCs w:val="24"/>
        </w:rPr>
        <w:t>,</w:t>
      </w:r>
      <w:r w:rsidR="005E6806" w:rsidRPr="00D3301F">
        <w:rPr>
          <w:rFonts w:asciiTheme="minorHAnsi" w:hAnsiTheme="minorHAnsi"/>
          <w:b w:val="0"/>
          <w:sz w:val="24"/>
          <w:szCs w:val="24"/>
        </w:rPr>
        <w:t xml:space="preserve"> then applicants are </w:t>
      </w:r>
      <w:r w:rsidR="006F4FB3">
        <w:rPr>
          <w:rFonts w:asciiTheme="minorHAnsi" w:hAnsiTheme="minorHAnsi"/>
          <w:b w:val="0"/>
          <w:sz w:val="24"/>
          <w:szCs w:val="24"/>
        </w:rPr>
        <w:t>expected to abide by these revised</w:t>
      </w:r>
      <w:r w:rsidR="005E6806" w:rsidRPr="00D3301F">
        <w:rPr>
          <w:rFonts w:asciiTheme="minorHAnsi" w:hAnsiTheme="minorHAnsi"/>
          <w:b w:val="0"/>
          <w:sz w:val="24"/>
          <w:szCs w:val="24"/>
        </w:rPr>
        <w:t xml:space="preserve"> standards.</w:t>
      </w:r>
      <w:r w:rsidR="00535E3B" w:rsidRPr="00D3301F">
        <w:rPr>
          <w:rFonts w:asciiTheme="minorHAnsi" w:hAnsiTheme="minorHAnsi"/>
          <w:b w:val="0"/>
          <w:sz w:val="24"/>
          <w:szCs w:val="24"/>
        </w:rPr>
        <w:t xml:space="preserve"> </w:t>
      </w:r>
      <w:r w:rsidR="005E6806" w:rsidRPr="00D3301F">
        <w:rPr>
          <w:rFonts w:asciiTheme="minorHAnsi" w:hAnsiTheme="minorHAnsi"/>
          <w:b w:val="0"/>
          <w:sz w:val="24"/>
          <w:szCs w:val="24"/>
        </w:rPr>
        <w:t>All applicants will be e</w:t>
      </w:r>
      <w:r w:rsidR="006F4FB3">
        <w:rPr>
          <w:rFonts w:asciiTheme="minorHAnsi" w:hAnsiTheme="minorHAnsi"/>
          <w:b w:val="0"/>
          <w:sz w:val="24"/>
          <w:szCs w:val="24"/>
        </w:rPr>
        <w:t>xpected to confirm that they abide by</w:t>
      </w:r>
      <w:r w:rsidR="005E6806" w:rsidRPr="00D3301F">
        <w:rPr>
          <w:rFonts w:asciiTheme="minorHAnsi" w:hAnsiTheme="minorHAnsi"/>
          <w:b w:val="0"/>
          <w:sz w:val="24"/>
          <w:szCs w:val="24"/>
        </w:rPr>
        <w:t xml:space="preserve"> relevant standards.</w:t>
      </w:r>
    </w:p>
    <w:p w:rsidR="00535E3B" w:rsidRPr="00D3301F" w:rsidRDefault="00535E3B" w:rsidP="00535E3B">
      <w:pPr>
        <w:rPr>
          <w:rFonts w:asciiTheme="minorHAnsi" w:hAnsiTheme="minorHAnsi"/>
        </w:rPr>
      </w:pPr>
    </w:p>
    <w:p w:rsidR="00EF1C47" w:rsidRPr="00D3301F" w:rsidRDefault="00EF1C47"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As Saffron has </w:t>
      </w:r>
      <w:r w:rsidR="00B95331">
        <w:rPr>
          <w:rFonts w:asciiTheme="minorHAnsi" w:hAnsiTheme="minorHAnsi"/>
          <w:b w:val="0"/>
          <w:sz w:val="24"/>
          <w:szCs w:val="24"/>
        </w:rPr>
        <w:t xml:space="preserve">a working relationship with </w:t>
      </w:r>
      <w:r w:rsidRPr="00D3301F">
        <w:rPr>
          <w:rFonts w:asciiTheme="minorHAnsi" w:hAnsiTheme="minorHAnsi"/>
          <w:b w:val="0"/>
          <w:sz w:val="24"/>
          <w:szCs w:val="24"/>
        </w:rPr>
        <w:t>NHER</w:t>
      </w:r>
      <w:r w:rsidR="00FE539D">
        <w:rPr>
          <w:rFonts w:asciiTheme="minorHAnsi" w:hAnsiTheme="minorHAnsi"/>
          <w:b w:val="0"/>
          <w:sz w:val="24"/>
          <w:szCs w:val="24"/>
        </w:rPr>
        <w:t xml:space="preserve"> (now Elmhurst)</w:t>
      </w:r>
      <w:r w:rsidR="00B95331">
        <w:rPr>
          <w:rFonts w:asciiTheme="minorHAnsi" w:hAnsiTheme="minorHAnsi"/>
          <w:b w:val="0"/>
          <w:sz w:val="24"/>
          <w:szCs w:val="24"/>
        </w:rPr>
        <w:t xml:space="preserve"> Accreditation,</w:t>
      </w:r>
      <w:r w:rsidRPr="00D3301F">
        <w:rPr>
          <w:rFonts w:asciiTheme="minorHAnsi" w:hAnsiTheme="minorHAnsi"/>
          <w:b w:val="0"/>
          <w:sz w:val="24"/>
          <w:szCs w:val="24"/>
        </w:rPr>
        <w:t xml:space="preserve"> the </w:t>
      </w:r>
      <w:r w:rsidR="00EC6B90">
        <w:rPr>
          <w:rFonts w:asciiTheme="minorHAnsi" w:hAnsiTheme="minorHAnsi"/>
          <w:b w:val="0"/>
          <w:sz w:val="24"/>
          <w:szCs w:val="24"/>
        </w:rPr>
        <w:t>successful</w:t>
      </w:r>
      <w:r w:rsidRPr="00D3301F">
        <w:rPr>
          <w:rFonts w:asciiTheme="minorHAnsi" w:hAnsiTheme="minorHAnsi"/>
          <w:b w:val="0"/>
          <w:sz w:val="24"/>
          <w:szCs w:val="24"/>
        </w:rPr>
        <w:t xml:space="preserve"> </w:t>
      </w:r>
      <w:r w:rsidR="002F7BE1" w:rsidRPr="00D3301F">
        <w:rPr>
          <w:rFonts w:asciiTheme="minorHAnsi" w:hAnsiTheme="minorHAnsi"/>
          <w:b w:val="0"/>
          <w:sz w:val="24"/>
          <w:szCs w:val="24"/>
        </w:rPr>
        <w:t xml:space="preserve">company </w:t>
      </w:r>
      <w:r w:rsidRPr="00D3301F">
        <w:rPr>
          <w:rFonts w:asciiTheme="minorHAnsi" w:hAnsiTheme="minorHAnsi"/>
          <w:b w:val="0"/>
          <w:sz w:val="24"/>
          <w:szCs w:val="24"/>
        </w:rPr>
        <w:t xml:space="preserve">will need to be able to lodge EPC’s through their scheme. We would also need to be supplied with the PRRN of the lodged </w:t>
      </w:r>
      <w:r w:rsidR="002F7BE1" w:rsidRPr="00D3301F">
        <w:rPr>
          <w:rFonts w:asciiTheme="minorHAnsi" w:hAnsiTheme="minorHAnsi"/>
          <w:b w:val="0"/>
          <w:sz w:val="24"/>
          <w:szCs w:val="24"/>
        </w:rPr>
        <w:t xml:space="preserve">EPC, the email address of the assessor lodging the EPC </w:t>
      </w:r>
      <w:r w:rsidRPr="00D3301F">
        <w:rPr>
          <w:rFonts w:asciiTheme="minorHAnsi" w:hAnsiTheme="minorHAnsi"/>
          <w:b w:val="0"/>
          <w:sz w:val="24"/>
          <w:szCs w:val="24"/>
        </w:rPr>
        <w:t xml:space="preserve">and a copy of the assessment form </w:t>
      </w:r>
      <w:r w:rsidR="002F7BE1" w:rsidRPr="00D3301F">
        <w:rPr>
          <w:rFonts w:asciiTheme="minorHAnsi" w:hAnsiTheme="minorHAnsi"/>
          <w:b w:val="0"/>
          <w:sz w:val="24"/>
          <w:szCs w:val="24"/>
        </w:rPr>
        <w:t>which shows the f</w:t>
      </w:r>
      <w:r w:rsidR="005C74AF" w:rsidRPr="00D3301F">
        <w:rPr>
          <w:rFonts w:asciiTheme="minorHAnsi" w:hAnsiTheme="minorHAnsi"/>
          <w:b w:val="0"/>
          <w:sz w:val="24"/>
          <w:szCs w:val="24"/>
        </w:rPr>
        <w:t>loor plan. We do not</w:t>
      </w:r>
      <w:r w:rsidR="00B95331">
        <w:rPr>
          <w:rFonts w:asciiTheme="minorHAnsi" w:hAnsiTheme="minorHAnsi"/>
          <w:b w:val="0"/>
          <w:sz w:val="24"/>
          <w:szCs w:val="24"/>
        </w:rPr>
        <w:t xml:space="preserve"> necessarily </w:t>
      </w:r>
      <w:r w:rsidR="005C74AF" w:rsidRPr="00D3301F">
        <w:rPr>
          <w:rFonts w:asciiTheme="minorHAnsi" w:hAnsiTheme="minorHAnsi"/>
          <w:b w:val="0"/>
          <w:sz w:val="24"/>
          <w:szCs w:val="24"/>
        </w:rPr>
        <w:t>require</w:t>
      </w:r>
      <w:r w:rsidR="002F7BE1" w:rsidRPr="00D3301F">
        <w:rPr>
          <w:rFonts w:asciiTheme="minorHAnsi" w:hAnsiTheme="minorHAnsi"/>
          <w:b w:val="0"/>
          <w:sz w:val="24"/>
          <w:szCs w:val="24"/>
        </w:rPr>
        <w:t xml:space="preserve"> a dedicated floor plan to be produced, but a scan of the assessment form</w:t>
      </w:r>
      <w:r w:rsidR="0078404D" w:rsidRPr="00D3301F">
        <w:rPr>
          <w:rFonts w:asciiTheme="minorHAnsi" w:hAnsiTheme="minorHAnsi"/>
          <w:b w:val="0"/>
          <w:sz w:val="24"/>
          <w:szCs w:val="24"/>
        </w:rPr>
        <w:t>, showing the floor plan,</w:t>
      </w:r>
      <w:r w:rsidR="002F7BE1" w:rsidRPr="00D3301F">
        <w:rPr>
          <w:rFonts w:asciiTheme="minorHAnsi" w:hAnsiTheme="minorHAnsi"/>
          <w:b w:val="0"/>
          <w:sz w:val="24"/>
          <w:szCs w:val="24"/>
        </w:rPr>
        <w:t xml:space="preserve"> is beneficial.</w:t>
      </w:r>
    </w:p>
    <w:p w:rsidR="009B20FB" w:rsidRPr="00D3301F" w:rsidRDefault="009B20FB" w:rsidP="001D38C4">
      <w:pPr>
        <w:jc w:val="both"/>
        <w:rPr>
          <w:rFonts w:asciiTheme="minorHAnsi" w:hAnsiTheme="minorHAnsi" w:cs="Tahoma"/>
        </w:rPr>
      </w:pPr>
    </w:p>
    <w:p w:rsidR="001D38C4" w:rsidRPr="00D3301F" w:rsidRDefault="001D38C4" w:rsidP="001D38C4">
      <w:pPr>
        <w:jc w:val="both"/>
        <w:rPr>
          <w:rFonts w:asciiTheme="minorHAnsi" w:hAnsiTheme="minorHAnsi" w:cs="Tahoma"/>
        </w:rPr>
      </w:pPr>
    </w:p>
    <w:p w:rsidR="009B20FB" w:rsidRPr="00D3301F" w:rsidRDefault="003046DE" w:rsidP="001D38C4">
      <w:pPr>
        <w:pStyle w:val="Heading1"/>
        <w:numPr>
          <w:ilvl w:val="0"/>
          <w:numId w:val="0"/>
        </w:numPr>
        <w:spacing w:before="0" w:after="0"/>
        <w:rPr>
          <w:rFonts w:asciiTheme="minorHAnsi" w:hAnsiTheme="minorHAnsi"/>
          <w:sz w:val="24"/>
          <w:szCs w:val="24"/>
        </w:rPr>
      </w:pPr>
      <w:r>
        <w:rPr>
          <w:rFonts w:asciiTheme="minorHAnsi" w:hAnsiTheme="minorHAnsi"/>
          <w:sz w:val="24"/>
          <w:szCs w:val="24"/>
        </w:rPr>
        <w:t>18</w:t>
      </w:r>
      <w:r w:rsidR="008A1FC1">
        <w:rPr>
          <w:rFonts w:asciiTheme="minorHAnsi" w:hAnsiTheme="minorHAnsi"/>
          <w:sz w:val="24"/>
          <w:szCs w:val="24"/>
        </w:rPr>
        <w:t>.0</w:t>
      </w:r>
      <w:r w:rsidR="00FC63E0" w:rsidRPr="00D3301F">
        <w:rPr>
          <w:rFonts w:asciiTheme="minorHAnsi" w:hAnsiTheme="minorHAnsi"/>
          <w:sz w:val="24"/>
          <w:szCs w:val="24"/>
        </w:rPr>
        <w:tab/>
      </w:r>
      <w:r w:rsidR="009B20FB" w:rsidRPr="00D3301F">
        <w:rPr>
          <w:rFonts w:asciiTheme="minorHAnsi" w:hAnsiTheme="minorHAnsi"/>
          <w:sz w:val="24"/>
          <w:szCs w:val="24"/>
        </w:rPr>
        <w:t>Complaints Procedure</w:t>
      </w:r>
    </w:p>
    <w:p w:rsidR="004A760C" w:rsidRPr="00D3301F" w:rsidRDefault="009B20FB"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Saffron Housing Trust </w:t>
      </w:r>
      <w:r w:rsidR="00DF7A7B" w:rsidRPr="00D3301F">
        <w:rPr>
          <w:rFonts w:asciiTheme="minorHAnsi" w:hAnsiTheme="minorHAnsi"/>
          <w:b w:val="0"/>
          <w:sz w:val="24"/>
          <w:szCs w:val="24"/>
        </w:rPr>
        <w:t xml:space="preserve">understands the difficulties that can arise when delivering a contract and </w:t>
      </w:r>
      <w:r w:rsidR="007F73A2" w:rsidRPr="00D3301F">
        <w:rPr>
          <w:rFonts w:asciiTheme="minorHAnsi" w:hAnsiTheme="minorHAnsi"/>
          <w:b w:val="0"/>
          <w:sz w:val="24"/>
          <w:szCs w:val="24"/>
        </w:rPr>
        <w:t xml:space="preserve">that </w:t>
      </w:r>
      <w:r w:rsidR="00B95331">
        <w:rPr>
          <w:rFonts w:asciiTheme="minorHAnsi" w:hAnsiTheme="minorHAnsi"/>
          <w:b w:val="0"/>
          <w:sz w:val="24"/>
          <w:szCs w:val="24"/>
        </w:rPr>
        <w:t>the odd complaint may</w:t>
      </w:r>
      <w:r w:rsidR="004A760C" w:rsidRPr="00D3301F">
        <w:rPr>
          <w:rFonts w:asciiTheme="minorHAnsi" w:hAnsiTheme="minorHAnsi"/>
          <w:b w:val="0"/>
          <w:sz w:val="24"/>
          <w:szCs w:val="24"/>
        </w:rPr>
        <w:t xml:space="preserve"> be received. Whilst we would all prefer that no complaints are lodged</w:t>
      </w:r>
      <w:r w:rsidR="00B95331">
        <w:rPr>
          <w:rFonts w:asciiTheme="minorHAnsi" w:hAnsiTheme="minorHAnsi"/>
          <w:b w:val="0"/>
          <w:sz w:val="24"/>
          <w:szCs w:val="24"/>
        </w:rPr>
        <w:t>,</w:t>
      </w:r>
      <w:r w:rsidRPr="00D3301F">
        <w:rPr>
          <w:rFonts w:asciiTheme="minorHAnsi" w:hAnsiTheme="minorHAnsi"/>
          <w:b w:val="0"/>
          <w:sz w:val="24"/>
          <w:szCs w:val="24"/>
        </w:rPr>
        <w:t xml:space="preserve"> the important thing is how they are handled</w:t>
      </w:r>
      <w:r w:rsidR="004A760C" w:rsidRPr="00D3301F">
        <w:rPr>
          <w:rFonts w:asciiTheme="minorHAnsi" w:hAnsiTheme="minorHAnsi"/>
          <w:b w:val="0"/>
          <w:sz w:val="24"/>
          <w:szCs w:val="24"/>
        </w:rPr>
        <w:t xml:space="preserve"> when </w:t>
      </w:r>
      <w:r w:rsidR="00B95331">
        <w:rPr>
          <w:rFonts w:asciiTheme="minorHAnsi" w:hAnsiTheme="minorHAnsi"/>
          <w:b w:val="0"/>
          <w:sz w:val="24"/>
          <w:szCs w:val="24"/>
        </w:rPr>
        <w:t>they</w:t>
      </w:r>
      <w:r w:rsidR="004A760C" w:rsidRPr="00D3301F">
        <w:rPr>
          <w:rFonts w:asciiTheme="minorHAnsi" w:hAnsiTheme="minorHAnsi"/>
          <w:b w:val="0"/>
          <w:sz w:val="24"/>
          <w:szCs w:val="24"/>
        </w:rPr>
        <w:t xml:space="preserve"> </w:t>
      </w:r>
      <w:r w:rsidR="00372DC5" w:rsidRPr="00D3301F">
        <w:rPr>
          <w:rFonts w:asciiTheme="minorHAnsi" w:hAnsiTheme="minorHAnsi"/>
          <w:b w:val="0"/>
          <w:sz w:val="24"/>
          <w:szCs w:val="24"/>
        </w:rPr>
        <w:t>arise</w:t>
      </w:r>
      <w:r w:rsidRPr="00D3301F">
        <w:rPr>
          <w:rFonts w:asciiTheme="minorHAnsi" w:hAnsiTheme="minorHAnsi"/>
          <w:b w:val="0"/>
          <w:sz w:val="24"/>
          <w:szCs w:val="24"/>
        </w:rPr>
        <w:t xml:space="preserve">.  </w:t>
      </w:r>
    </w:p>
    <w:p w:rsidR="00535E3B" w:rsidRPr="00D3301F" w:rsidRDefault="00535E3B" w:rsidP="00535E3B">
      <w:pPr>
        <w:rPr>
          <w:rFonts w:asciiTheme="minorHAnsi" w:hAnsiTheme="minorHAnsi"/>
        </w:rPr>
      </w:pPr>
    </w:p>
    <w:p w:rsidR="003F6F74" w:rsidRPr="00D3301F" w:rsidRDefault="009B20FB" w:rsidP="00D3301F">
      <w:pPr>
        <w:pStyle w:val="Heading1"/>
        <w:numPr>
          <w:ilvl w:val="0"/>
          <w:numId w:val="0"/>
        </w:numPr>
        <w:spacing w:before="0" w:after="0"/>
        <w:rPr>
          <w:rFonts w:asciiTheme="minorHAnsi" w:hAnsiTheme="minorHAnsi" w:cs="Tahoma"/>
        </w:rPr>
      </w:pPr>
      <w:r w:rsidRPr="00D3301F">
        <w:rPr>
          <w:rFonts w:asciiTheme="minorHAnsi" w:hAnsiTheme="minorHAnsi"/>
          <w:b w:val="0"/>
          <w:sz w:val="24"/>
          <w:szCs w:val="24"/>
        </w:rPr>
        <w:t>Detail here how your complaint system works and how you will liais</w:t>
      </w:r>
      <w:r w:rsidR="00B95331">
        <w:rPr>
          <w:rFonts w:asciiTheme="minorHAnsi" w:hAnsiTheme="minorHAnsi"/>
          <w:b w:val="0"/>
          <w:sz w:val="24"/>
          <w:szCs w:val="24"/>
        </w:rPr>
        <w:t>e with both Saffron and its</w:t>
      </w:r>
      <w:r w:rsidRPr="00D3301F">
        <w:rPr>
          <w:rFonts w:asciiTheme="minorHAnsi" w:hAnsiTheme="minorHAnsi"/>
          <w:b w:val="0"/>
          <w:sz w:val="24"/>
          <w:szCs w:val="24"/>
        </w:rPr>
        <w:t xml:space="preserve"> tenants to resolve</w:t>
      </w:r>
      <w:r w:rsidR="00B95331">
        <w:rPr>
          <w:rFonts w:asciiTheme="minorHAnsi" w:hAnsiTheme="minorHAnsi"/>
          <w:b w:val="0"/>
          <w:sz w:val="24"/>
          <w:szCs w:val="24"/>
        </w:rPr>
        <w:t xml:space="preserve"> any complaints</w:t>
      </w:r>
      <w:r w:rsidR="00076D11" w:rsidRPr="00D3301F">
        <w:rPr>
          <w:rFonts w:asciiTheme="minorHAnsi" w:hAnsiTheme="minorHAnsi"/>
          <w:b w:val="0"/>
          <w:sz w:val="24"/>
          <w:szCs w:val="24"/>
        </w:rPr>
        <w:t>.</w:t>
      </w:r>
    </w:p>
    <w:p w:rsidR="001D38C4" w:rsidRPr="00D3301F" w:rsidRDefault="001D38C4" w:rsidP="001D38C4">
      <w:pPr>
        <w:ind w:left="-142"/>
        <w:jc w:val="both"/>
        <w:rPr>
          <w:rFonts w:asciiTheme="minorHAnsi" w:hAnsiTheme="minorHAnsi" w:cs="Tahoma"/>
        </w:rPr>
      </w:pPr>
    </w:p>
    <w:p w:rsidR="009B20FB" w:rsidRPr="00D3301F" w:rsidRDefault="003046DE" w:rsidP="001D38C4">
      <w:pPr>
        <w:pStyle w:val="Heading1"/>
        <w:numPr>
          <w:ilvl w:val="0"/>
          <w:numId w:val="0"/>
        </w:numPr>
        <w:spacing w:before="0" w:after="0"/>
        <w:rPr>
          <w:rFonts w:asciiTheme="minorHAnsi" w:hAnsiTheme="minorHAnsi"/>
          <w:sz w:val="24"/>
          <w:szCs w:val="24"/>
        </w:rPr>
      </w:pPr>
      <w:r>
        <w:rPr>
          <w:rFonts w:asciiTheme="minorHAnsi" w:hAnsiTheme="minorHAnsi"/>
          <w:sz w:val="24"/>
          <w:szCs w:val="24"/>
        </w:rPr>
        <w:t>19</w:t>
      </w:r>
      <w:r w:rsidR="008A1FC1">
        <w:rPr>
          <w:rFonts w:asciiTheme="minorHAnsi" w:hAnsiTheme="minorHAnsi"/>
          <w:sz w:val="24"/>
          <w:szCs w:val="24"/>
        </w:rPr>
        <w:t>.0</w:t>
      </w:r>
      <w:r w:rsidR="00FC63E0" w:rsidRPr="00D3301F">
        <w:rPr>
          <w:rFonts w:asciiTheme="minorHAnsi" w:hAnsiTheme="minorHAnsi"/>
          <w:sz w:val="24"/>
          <w:szCs w:val="24"/>
        </w:rPr>
        <w:tab/>
      </w:r>
      <w:r w:rsidR="00076D11" w:rsidRPr="00D3301F">
        <w:rPr>
          <w:rFonts w:asciiTheme="minorHAnsi" w:hAnsiTheme="minorHAnsi"/>
          <w:sz w:val="24"/>
          <w:szCs w:val="24"/>
        </w:rPr>
        <w:t>Key Company Contacts</w:t>
      </w:r>
    </w:p>
    <w:p w:rsidR="001B40C8" w:rsidRPr="00D3301F" w:rsidRDefault="001B40C8"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Please enter your preferred point(s) of contact within your company to make Saffron Housing Trust aware who to contact if/when you are accepted as the winning contractor. </w:t>
      </w:r>
      <w:r w:rsidR="00A9349A" w:rsidRPr="00D3301F">
        <w:rPr>
          <w:rFonts w:asciiTheme="minorHAnsi" w:hAnsiTheme="minorHAnsi"/>
          <w:b w:val="0"/>
          <w:sz w:val="24"/>
          <w:szCs w:val="24"/>
        </w:rPr>
        <w:t xml:space="preserve">Saffron would always prefer one point of contact for contracts, but </w:t>
      </w:r>
      <w:r w:rsidR="00067A90">
        <w:rPr>
          <w:rFonts w:asciiTheme="minorHAnsi" w:hAnsiTheme="minorHAnsi"/>
          <w:b w:val="0"/>
          <w:sz w:val="24"/>
          <w:szCs w:val="24"/>
        </w:rPr>
        <w:t>we understand</w:t>
      </w:r>
      <w:r w:rsidR="00A9349A" w:rsidRPr="00D3301F">
        <w:rPr>
          <w:rFonts w:asciiTheme="minorHAnsi" w:hAnsiTheme="minorHAnsi"/>
          <w:b w:val="0"/>
          <w:sz w:val="24"/>
          <w:szCs w:val="24"/>
        </w:rPr>
        <w:t xml:space="preserve"> one person cannot always be available at all times.</w:t>
      </w:r>
    </w:p>
    <w:p w:rsidR="004A4E81" w:rsidRPr="00D3301F" w:rsidRDefault="004A4E81" w:rsidP="001D38C4">
      <w:pPr>
        <w:ind w:left="-142"/>
        <w:jc w:val="both"/>
        <w:rPr>
          <w:rFonts w:asciiTheme="minorHAnsi" w:hAnsiTheme="minorHAnsi" w:cs="Tahoma"/>
        </w:rPr>
      </w:pPr>
    </w:p>
    <w:p w:rsidR="001D38C4" w:rsidRPr="00D3301F" w:rsidRDefault="001D38C4" w:rsidP="001D38C4">
      <w:pPr>
        <w:pStyle w:val="Heading1"/>
        <w:numPr>
          <w:ilvl w:val="0"/>
          <w:numId w:val="0"/>
        </w:numPr>
        <w:spacing w:before="0" w:after="0"/>
        <w:rPr>
          <w:rFonts w:asciiTheme="minorHAnsi" w:hAnsiTheme="minorHAnsi" w:cs="Tahoma"/>
          <w:b w:val="0"/>
          <w:bCs w:val="0"/>
          <w:kern w:val="0"/>
          <w:sz w:val="24"/>
          <w:szCs w:val="24"/>
        </w:rPr>
      </w:pPr>
    </w:p>
    <w:p w:rsidR="00CD0B75" w:rsidRPr="00D3301F" w:rsidRDefault="003046DE" w:rsidP="001D38C4">
      <w:pPr>
        <w:pStyle w:val="Heading1"/>
        <w:numPr>
          <w:ilvl w:val="0"/>
          <w:numId w:val="0"/>
        </w:numPr>
        <w:spacing w:before="0" w:after="0"/>
        <w:rPr>
          <w:rFonts w:asciiTheme="minorHAnsi" w:hAnsiTheme="minorHAnsi"/>
          <w:sz w:val="24"/>
          <w:szCs w:val="24"/>
        </w:rPr>
      </w:pPr>
      <w:r>
        <w:rPr>
          <w:rFonts w:asciiTheme="minorHAnsi" w:hAnsiTheme="minorHAnsi"/>
          <w:sz w:val="24"/>
          <w:szCs w:val="24"/>
        </w:rPr>
        <w:t>20</w:t>
      </w:r>
      <w:r w:rsidR="008A1FC1">
        <w:rPr>
          <w:rFonts w:asciiTheme="minorHAnsi" w:hAnsiTheme="minorHAnsi"/>
          <w:sz w:val="24"/>
          <w:szCs w:val="24"/>
        </w:rPr>
        <w:t>.0</w:t>
      </w:r>
      <w:r w:rsidR="00FC63E0" w:rsidRPr="00D3301F">
        <w:rPr>
          <w:rFonts w:asciiTheme="minorHAnsi" w:hAnsiTheme="minorHAnsi"/>
          <w:sz w:val="24"/>
          <w:szCs w:val="24"/>
        </w:rPr>
        <w:tab/>
      </w:r>
      <w:r w:rsidR="00CD0B75" w:rsidRPr="00D3301F">
        <w:rPr>
          <w:rFonts w:asciiTheme="minorHAnsi" w:hAnsiTheme="minorHAnsi"/>
          <w:sz w:val="24"/>
          <w:szCs w:val="24"/>
        </w:rPr>
        <w:t>Pricing</w:t>
      </w:r>
    </w:p>
    <w:p w:rsidR="00B637A4" w:rsidRPr="00D3301F" w:rsidRDefault="0078404D" w:rsidP="00501BF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Saffron will</w:t>
      </w:r>
      <w:r w:rsidR="006148F0">
        <w:rPr>
          <w:rFonts w:asciiTheme="minorHAnsi" w:hAnsiTheme="minorHAnsi"/>
          <w:b w:val="0"/>
          <w:sz w:val="24"/>
          <w:szCs w:val="24"/>
        </w:rPr>
        <w:t xml:space="preserve"> be looking to undertake up to 1</w:t>
      </w:r>
      <w:r w:rsidRPr="00D3301F">
        <w:rPr>
          <w:rFonts w:asciiTheme="minorHAnsi" w:hAnsiTheme="minorHAnsi"/>
          <w:b w:val="0"/>
          <w:sz w:val="24"/>
          <w:szCs w:val="24"/>
        </w:rPr>
        <w:t xml:space="preserve">000 EPC’s in the next two years. This could be increased if extra budget is available or may be reduced slightly if there is a sudden change in </w:t>
      </w:r>
      <w:r w:rsidR="00EC0200">
        <w:rPr>
          <w:rFonts w:asciiTheme="minorHAnsi" w:hAnsiTheme="minorHAnsi"/>
          <w:b w:val="0"/>
          <w:sz w:val="24"/>
          <w:szCs w:val="24"/>
        </w:rPr>
        <w:t>financial sit</w:t>
      </w:r>
      <w:r w:rsidRPr="00D3301F">
        <w:rPr>
          <w:rFonts w:asciiTheme="minorHAnsi" w:hAnsiTheme="minorHAnsi"/>
          <w:b w:val="0"/>
          <w:sz w:val="24"/>
          <w:szCs w:val="24"/>
        </w:rPr>
        <w:t>uation.</w:t>
      </w:r>
      <w:r w:rsidR="00C71060" w:rsidRPr="00D3301F">
        <w:rPr>
          <w:rFonts w:asciiTheme="minorHAnsi" w:hAnsiTheme="minorHAnsi"/>
          <w:b w:val="0"/>
          <w:sz w:val="24"/>
          <w:szCs w:val="24"/>
        </w:rPr>
        <w:t xml:space="preserve"> Therefore</w:t>
      </w:r>
      <w:r w:rsidR="00EC0200">
        <w:rPr>
          <w:rFonts w:asciiTheme="minorHAnsi" w:hAnsiTheme="minorHAnsi"/>
          <w:b w:val="0"/>
          <w:sz w:val="24"/>
          <w:szCs w:val="24"/>
        </w:rPr>
        <w:t>,</w:t>
      </w:r>
      <w:r w:rsidR="006148F0">
        <w:rPr>
          <w:rFonts w:asciiTheme="minorHAnsi" w:hAnsiTheme="minorHAnsi"/>
          <w:b w:val="0"/>
          <w:sz w:val="24"/>
          <w:szCs w:val="24"/>
        </w:rPr>
        <w:t xml:space="preserve"> based around approximately 500</w:t>
      </w:r>
      <w:r w:rsidR="00C71060" w:rsidRPr="00D3301F">
        <w:rPr>
          <w:rFonts w:asciiTheme="minorHAnsi" w:hAnsiTheme="minorHAnsi"/>
          <w:b w:val="0"/>
          <w:sz w:val="24"/>
          <w:szCs w:val="24"/>
        </w:rPr>
        <w:t xml:space="preserve"> EPC’s each financial year, please place the prices as charged in the table below</w:t>
      </w:r>
      <w:r w:rsidR="00EC0200">
        <w:rPr>
          <w:rFonts w:asciiTheme="minorHAnsi" w:hAnsiTheme="minorHAnsi"/>
          <w:b w:val="0"/>
          <w:sz w:val="24"/>
          <w:szCs w:val="24"/>
        </w:rPr>
        <w:t>,</w:t>
      </w:r>
      <w:r w:rsidR="00C71060" w:rsidRPr="00D3301F">
        <w:rPr>
          <w:rFonts w:asciiTheme="minorHAnsi" w:hAnsiTheme="minorHAnsi"/>
          <w:b w:val="0"/>
          <w:sz w:val="24"/>
          <w:szCs w:val="24"/>
        </w:rPr>
        <w:t xml:space="preserve"> including VAT. If you </w:t>
      </w:r>
      <w:r w:rsidR="00B655D4" w:rsidRPr="00D3301F">
        <w:rPr>
          <w:rFonts w:asciiTheme="minorHAnsi" w:hAnsiTheme="minorHAnsi"/>
          <w:b w:val="0"/>
          <w:sz w:val="24"/>
          <w:szCs w:val="24"/>
        </w:rPr>
        <w:t xml:space="preserve">are </w:t>
      </w:r>
      <w:r w:rsidR="00EC0200">
        <w:rPr>
          <w:rFonts w:asciiTheme="minorHAnsi" w:hAnsiTheme="minorHAnsi"/>
          <w:b w:val="0"/>
          <w:sz w:val="24"/>
          <w:szCs w:val="24"/>
        </w:rPr>
        <w:t xml:space="preserve">VAT exempt, </w:t>
      </w:r>
      <w:r w:rsidR="00C71060" w:rsidRPr="00D3301F">
        <w:rPr>
          <w:rFonts w:asciiTheme="minorHAnsi" w:hAnsiTheme="minorHAnsi"/>
          <w:b w:val="0"/>
          <w:sz w:val="24"/>
          <w:szCs w:val="24"/>
        </w:rPr>
        <w:t>please make this clear in your</w:t>
      </w:r>
      <w:r w:rsidR="00B655D4" w:rsidRPr="00D3301F">
        <w:rPr>
          <w:rFonts w:asciiTheme="minorHAnsi" w:hAnsiTheme="minorHAnsi"/>
          <w:b w:val="0"/>
          <w:sz w:val="24"/>
          <w:szCs w:val="24"/>
        </w:rPr>
        <w:t xml:space="preserve"> return</w:t>
      </w:r>
      <w:r w:rsidR="00C71060" w:rsidRPr="00D3301F">
        <w:rPr>
          <w:rFonts w:asciiTheme="minorHAnsi" w:hAnsiTheme="minorHAnsi"/>
          <w:b w:val="0"/>
          <w:sz w:val="24"/>
          <w:szCs w:val="24"/>
        </w:rPr>
        <w:t xml:space="preserve"> tender </w:t>
      </w:r>
      <w:r w:rsidR="00B655D4" w:rsidRPr="00D3301F">
        <w:rPr>
          <w:rFonts w:asciiTheme="minorHAnsi" w:hAnsiTheme="minorHAnsi"/>
          <w:b w:val="0"/>
          <w:sz w:val="24"/>
          <w:szCs w:val="24"/>
        </w:rPr>
        <w:t>email/</w:t>
      </w:r>
      <w:r w:rsidR="00C71060" w:rsidRPr="00D3301F">
        <w:rPr>
          <w:rFonts w:asciiTheme="minorHAnsi" w:hAnsiTheme="minorHAnsi"/>
          <w:b w:val="0"/>
          <w:sz w:val="24"/>
          <w:szCs w:val="24"/>
        </w:rPr>
        <w:t>document.</w:t>
      </w:r>
      <w:r w:rsidR="00BC57BF" w:rsidRPr="00D3301F">
        <w:rPr>
          <w:rFonts w:asciiTheme="minorHAnsi" w:hAnsiTheme="minorHAnsi"/>
          <w:b w:val="0"/>
          <w:sz w:val="24"/>
          <w:szCs w:val="24"/>
        </w:rPr>
        <w:t xml:space="preserve"> </w:t>
      </w:r>
      <w:r w:rsidR="00C71060" w:rsidRPr="00D3301F">
        <w:rPr>
          <w:rFonts w:asciiTheme="minorHAnsi" w:hAnsiTheme="minorHAnsi"/>
          <w:b w:val="0"/>
          <w:sz w:val="24"/>
          <w:szCs w:val="24"/>
          <w:lang w:val="en-US"/>
        </w:rPr>
        <w:t xml:space="preserve">Saffron will expect that all fuel costs, </w:t>
      </w:r>
      <w:r w:rsidR="00A66B48">
        <w:rPr>
          <w:rFonts w:asciiTheme="minorHAnsi" w:hAnsiTheme="minorHAnsi"/>
          <w:b w:val="0"/>
          <w:sz w:val="24"/>
          <w:szCs w:val="24"/>
          <w:lang w:val="en-US"/>
        </w:rPr>
        <w:t xml:space="preserve">VAT </w:t>
      </w:r>
      <w:r w:rsidR="00C71060" w:rsidRPr="00D3301F">
        <w:rPr>
          <w:rFonts w:asciiTheme="minorHAnsi" w:hAnsiTheme="minorHAnsi"/>
          <w:b w:val="0"/>
          <w:sz w:val="24"/>
          <w:szCs w:val="24"/>
          <w:lang w:val="en-US"/>
        </w:rPr>
        <w:t>etc. are built i</w:t>
      </w:r>
      <w:r w:rsidR="00501BF4" w:rsidRPr="00D3301F">
        <w:rPr>
          <w:rFonts w:asciiTheme="minorHAnsi" w:hAnsiTheme="minorHAnsi"/>
          <w:b w:val="0"/>
          <w:sz w:val="24"/>
          <w:szCs w:val="24"/>
          <w:lang w:val="en-US"/>
        </w:rPr>
        <w:t>n</w:t>
      </w:r>
      <w:r w:rsidR="00EC0200">
        <w:rPr>
          <w:rFonts w:asciiTheme="minorHAnsi" w:hAnsiTheme="minorHAnsi"/>
          <w:b w:val="0"/>
          <w:sz w:val="24"/>
          <w:szCs w:val="24"/>
          <w:lang w:val="en-US"/>
        </w:rPr>
        <w:t>to</w:t>
      </w:r>
      <w:r w:rsidR="00501BF4" w:rsidRPr="00D3301F">
        <w:rPr>
          <w:rFonts w:asciiTheme="minorHAnsi" w:hAnsiTheme="minorHAnsi"/>
          <w:b w:val="0"/>
          <w:sz w:val="24"/>
          <w:szCs w:val="24"/>
          <w:lang w:val="en-US"/>
        </w:rPr>
        <w:t xml:space="preserve"> the price for the EPC’s.</w:t>
      </w:r>
    </w:p>
    <w:p w:rsidR="008C0963" w:rsidRPr="00D3301F" w:rsidRDefault="008C0963" w:rsidP="001D38C4">
      <w:pPr>
        <w:jc w:val="both"/>
        <w:rPr>
          <w:rFonts w:asciiTheme="minorHAnsi" w:hAnsiTheme="minorHAnsi" w:cs="Arial"/>
        </w:rPr>
      </w:pPr>
    </w:p>
    <w:tbl>
      <w:tblPr>
        <w:tblStyle w:val="TableGrid"/>
        <w:tblW w:w="0" w:type="auto"/>
        <w:jc w:val="center"/>
        <w:tblLook w:val="04A0" w:firstRow="1" w:lastRow="0" w:firstColumn="1" w:lastColumn="0" w:noHBand="0" w:noVBand="1"/>
      </w:tblPr>
      <w:tblGrid>
        <w:gridCol w:w="4815"/>
        <w:gridCol w:w="1276"/>
      </w:tblGrid>
      <w:tr w:rsidR="00C71060" w:rsidRPr="00D3301F" w:rsidTr="0050726D">
        <w:trPr>
          <w:jc w:val="center"/>
        </w:trPr>
        <w:tc>
          <w:tcPr>
            <w:tcW w:w="4815" w:type="dxa"/>
            <w:tcBorders>
              <w:top w:val="single" w:sz="4" w:space="0" w:color="auto"/>
              <w:left w:val="single" w:sz="4" w:space="0" w:color="auto"/>
              <w:bottom w:val="single" w:sz="4" w:space="0" w:color="auto"/>
              <w:right w:val="single" w:sz="4" w:space="0" w:color="auto"/>
            </w:tcBorders>
            <w:hideMark/>
          </w:tcPr>
          <w:p w:rsidR="00C71060" w:rsidRPr="00D3301F" w:rsidRDefault="0076114D" w:rsidP="001D38C4">
            <w:pPr>
              <w:pStyle w:val="Heading1"/>
              <w:numPr>
                <w:ilvl w:val="0"/>
                <w:numId w:val="0"/>
              </w:numPr>
              <w:spacing w:before="0" w:after="0"/>
              <w:outlineLvl w:val="0"/>
              <w:rPr>
                <w:rFonts w:asciiTheme="minorHAnsi" w:hAnsiTheme="minorHAnsi"/>
                <w:b w:val="0"/>
                <w:sz w:val="24"/>
                <w:szCs w:val="24"/>
                <w:lang w:val="en-US" w:eastAsia="en-US"/>
              </w:rPr>
            </w:pPr>
            <w:r w:rsidRPr="00D3301F">
              <w:rPr>
                <w:rFonts w:asciiTheme="minorHAnsi" w:hAnsiTheme="minorHAnsi"/>
                <w:b w:val="0"/>
                <w:sz w:val="24"/>
                <w:szCs w:val="24"/>
              </w:rPr>
              <w:t xml:space="preserve">Per </w:t>
            </w:r>
            <w:r w:rsidR="00C71060" w:rsidRPr="00D3301F">
              <w:rPr>
                <w:rFonts w:asciiTheme="minorHAnsi" w:hAnsiTheme="minorHAnsi"/>
                <w:b w:val="0"/>
                <w:sz w:val="24"/>
                <w:szCs w:val="24"/>
              </w:rPr>
              <w:t>Energy Performance Certificate</w:t>
            </w:r>
            <w:r w:rsidR="00501BF4" w:rsidRPr="00D3301F">
              <w:rPr>
                <w:rFonts w:asciiTheme="minorHAnsi" w:hAnsiTheme="minorHAnsi"/>
                <w:b w:val="0"/>
                <w:sz w:val="24"/>
                <w:szCs w:val="24"/>
              </w:rPr>
              <w:t xml:space="preserve"> (exc. VAT)</w:t>
            </w:r>
          </w:p>
        </w:tc>
        <w:tc>
          <w:tcPr>
            <w:tcW w:w="1276" w:type="dxa"/>
            <w:tcBorders>
              <w:top w:val="single" w:sz="4" w:space="0" w:color="auto"/>
              <w:left w:val="single" w:sz="4" w:space="0" w:color="auto"/>
              <w:bottom w:val="single" w:sz="4" w:space="0" w:color="auto"/>
              <w:right w:val="single" w:sz="4" w:space="0" w:color="auto"/>
            </w:tcBorders>
            <w:hideMark/>
          </w:tcPr>
          <w:p w:rsidR="00C71060" w:rsidRPr="00D3301F" w:rsidRDefault="00C71060" w:rsidP="001D38C4">
            <w:pPr>
              <w:pStyle w:val="Heading1"/>
              <w:numPr>
                <w:ilvl w:val="0"/>
                <w:numId w:val="0"/>
              </w:numPr>
              <w:spacing w:before="0" w:after="0"/>
              <w:outlineLvl w:val="0"/>
              <w:rPr>
                <w:rFonts w:asciiTheme="minorHAnsi" w:hAnsiTheme="minorHAnsi"/>
                <w:b w:val="0"/>
                <w:sz w:val="24"/>
                <w:szCs w:val="24"/>
                <w:lang w:val="en-US" w:eastAsia="en-US"/>
              </w:rPr>
            </w:pPr>
            <w:r w:rsidRPr="00D3301F">
              <w:rPr>
                <w:rFonts w:asciiTheme="minorHAnsi" w:hAnsiTheme="minorHAnsi"/>
                <w:b w:val="0"/>
                <w:sz w:val="24"/>
                <w:szCs w:val="24"/>
              </w:rPr>
              <w:t>£</w:t>
            </w:r>
          </w:p>
        </w:tc>
      </w:tr>
    </w:tbl>
    <w:p w:rsidR="003F6F74" w:rsidRDefault="003F6F74" w:rsidP="001D38C4">
      <w:pPr>
        <w:jc w:val="both"/>
        <w:rPr>
          <w:rFonts w:asciiTheme="minorHAnsi" w:hAnsiTheme="minorHAnsi" w:cs="Arial"/>
        </w:rPr>
      </w:pPr>
    </w:p>
    <w:p w:rsidR="008A1FC1" w:rsidRPr="00D3301F" w:rsidRDefault="008A1FC1" w:rsidP="001D38C4">
      <w:pPr>
        <w:jc w:val="both"/>
        <w:rPr>
          <w:rFonts w:asciiTheme="minorHAnsi" w:hAnsiTheme="minorHAnsi" w:cs="Arial"/>
        </w:rPr>
      </w:pPr>
      <w:r>
        <w:rPr>
          <w:rFonts w:asciiTheme="minorHAnsi" w:hAnsiTheme="minorHAnsi" w:cs="Arial"/>
        </w:rPr>
        <w:lastRenderedPageBreak/>
        <w:t>D</w:t>
      </w:r>
      <w:r w:rsidRPr="003046DE">
        <w:rPr>
          <w:rFonts w:asciiTheme="minorHAnsi" w:hAnsiTheme="minorHAnsi" w:cs="Arial"/>
        </w:rPr>
        <w:t>iscretionary mileage costs</w:t>
      </w:r>
      <w:r>
        <w:rPr>
          <w:rFonts w:asciiTheme="minorHAnsi" w:hAnsiTheme="minorHAnsi" w:cs="Arial"/>
        </w:rPr>
        <w:t xml:space="preserve"> can be discussed when a single property requires an EPC that is outside of Saffron’s core area of</w:t>
      </w:r>
      <w:r w:rsidR="00454C90">
        <w:rPr>
          <w:rFonts w:asciiTheme="minorHAnsi" w:hAnsiTheme="minorHAnsi" w:cs="Arial"/>
        </w:rPr>
        <w:t xml:space="preserve"> business.</w:t>
      </w:r>
      <w:r>
        <w:rPr>
          <w:rFonts w:asciiTheme="minorHAnsi" w:hAnsiTheme="minorHAnsi" w:cs="Arial"/>
        </w:rPr>
        <w:t xml:space="preserve"> </w:t>
      </w:r>
    </w:p>
    <w:p w:rsidR="00BC57BF" w:rsidRPr="00D3301F" w:rsidRDefault="00BC57BF" w:rsidP="001D38C4">
      <w:pPr>
        <w:pStyle w:val="Heading1"/>
        <w:numPr>
          <w:ilvl w:val="0"/>
          <w:numId w:val="0"/>
        </w:numPr>
        <w:spacing w:before="0" w:after="0"/>
        <w:rPr>
          <w:rFonts w:asciiTheme="minorHAnsi" w:hAnsiTheme="minorHAnsi"/>
          <w:b w:val="0"/>
          <w:sz w:val="24"/>
          <w:szCs w:val="24"/>
        </w:rPr>
      </w:pPr>
    </w:p>
    <w:p w:rsidR="005E6806" w:rsidRPr="00D3301F" w:rsidRDefault="00E66032"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 xml:space="preserve">Please list in this section </w:t>
      </w:r>
      <w:r w:rsidR="0076114D" w:rsidRPr="00D3301F">
        <w:rPr>
          <w:rFonts w:asciiTheme="minorHAnsi" w:hAnsiTheme="minorHAnsi"/>
          <w:b w:val="0"/>
          <w:sz w:val="24"/>
          <w:szCs w:val="24"/>
        </w:rPr>
        <w:t xml:space="preserve">if you have any </w:t>
      </w:r>
      <w:r w:rsidRPr="00D3301F">
        <w:rPr>
          <w:rFonts w:asciiTheme="minorHAnsi" w:hAnsiTheme="minorHAnsi"/>
          <w:b w:val="0"/>
          <w:sz w:val="24"/>
          <w:szCs w:val="24"/>
        </w:rPr>
        <w:t>thoughts on cost saving and sharing and how you feel this could be implemented to work in the contract with Saffron Housing Trust.</w:t>
      </w:r>
      <w:r w:rsidR="00372DC5" w:rsidRPr="00D3301F">
        <w:rPr>
          <w:rFonts w:asciiTheme="minorHAnsi" w:hAnsiTheme="minorHAnsi"/>
          <w:b w:val="0"/>
          <w:sz w:val="24"/>
          <w:szCs w:val="24"/>
        </w:rPr>
        <w:t xml:space="preserve"> Should the need arise, Saffron reserve</w:t>
      </w:r>
      <w:r w:rsidR="00EC0200">
        <w:rPr>
          <w:rFonts w:asciiTheme="minorHAnsi" w:hAnsiTheme="minorHAnsi"/>
          <w:b w:val="0"/>
          <w:sz w:val="24"/>
          <w:szCs w:val="24"/>
        </w:rPr>
        <w:t>s</w:t>
      </w:r>
      <w:r w:rsidR="00372DC5" w:rsidRPr="00D3301F">
        <w:rPr>
          <w:rFonts w:asciiTheme="minorHAnsi" w:hAnsiTheme="minorHAnsi"/>
          <w:b w:val="0"/>
          <w:sz w:val="24"/>
          <w:szCs w:val="24"/>
        </w:rPr>
        <w:t xml:space="preserve"> the right to request further clarification prior to </w:t>
      </w:r>
      <w:r w:rsidR="0096005D" w:rsidRPr="00D3301F">
        <w:rPr>
          <w:rFonts w:asciiTheme="minorHAnsi" w:hAnsiTheme="minorHAnsi"/>
          <w:b w:val="0"/>
          <w:sz w:val="24"/>
          <w:szCs w:val="24"/>
        </w:rPr>
        <w:t>award</w:t>
      </w:r>
      <w:r w:rsidR="0076114D" w:rsidRPr="00D3301F">
        <w:rPr>
          <w:rFonts w:asciiTheme="minorHAnsi" w:hAnsiTheme="minorHAnsi"/>
          <w:b w:val="0"/>
          <w:sz w:val="24"/>
          <w:szCs w:val="24"/>
        </w:rPr>
        <w:t>ing the contract</w:t>
      </w:r>
      <w:r w:rsidR="00372DC5" w:rsidRPr="00D3301F">
        <w:rPr>
          <w:rFonts w:asciiTheme="minorHAnsi" w:hAnsiTheme="minorHAnsi"/>
          <w:b w:val="0"/>
          <w:sz w:val="24"/>
          <w:szCs w:val="24"/>
        </w:rPr>
        <w:t>.</w:t>
      </w:r>
    </w:p>
    <w:p w:rsidR="0076114D" w:rsidRPr="00D3301F" w:rsidRDefault="0076114D" w:rsidP="001D38C4">
      <w:pPr>
        <w:jc w:val="both"/>
        <w:rPr>
          <w:rFonts w:asciiTheme="minorHAnsi" w:hAnsiTheme="minorHAnsi" w:cs="Tahoma"/>
        </w:rPr>
      </w:pPr>
    </w:p>
    <w:p w:rsidR="003046DE" w:rsidRDefault="003046DE" w:rsidP="003046DE"/>
    <w:p w:rsidR="003046DE" w:rsidRDefault="003046DE" w:rsidP="001D38C4">
      <w:pPr>
        <w:pStyle w:val="Heading1"/>
        <w:numPr>
          <w:ilvl w:val="0"/>
          <w:numId w:val="0"/>
        </w:numPr>
        <w:spacing w:before="0" w:after="0"/>
        <w:rPr>
          <w:rFonts w:asciiTheme="minorHAnsi" w:hAnsiTheme="minorHAnsi"/>
          <w:b w:val="0"/>
          <w:sz w:val="24"/>
          <w:szCs w:val="24"/>
        </w:rPr>
      </w:pPr>
      <w:r>
        <w:rPr>
          <w:rFonts w:asciiTheme="minorHAnsi" w:hAnsiTheme="minorHAnsi"/>
          <w:sz w:val="24"/>
          <w:szCs w:val="24"/>
        </w:rPr>
        <w:t>21</w:t>
      </w:r>
      <w:r w:rsidR="008A1FC1">
        <w:rPr>
          <w:rFonts w:asciiTheme="minorHAnsi" w:hAnsiTheme="minorHAnsi"/>
          <w:sz w:val="24"/>
          <w:szCs w:val="24"/>
        </w:rPr>
        <w:t>.0</w:t>
      </w:r>
      <w:r w:rsidRPr="00D3301F">
        <w:rPr>
          <w:rFonts w:asciiTheme="minorHAnsi" w:hAnsiTheme="minorHAnsi"/>
          <w:sz w:val="24"/>
          <w:szCs w:val="24"/>
        </w:rPr>
        <w:tab/>
      </w:r>
      <w:r>
        <w:rPr>
          <w:rFonts w:asciiTheme="minorHAnsi" w:hAnsiTheme="minorHAnsi"/>
          <w:sz w:val="24"/>
          <w:szCs w:val="24"/>
        </w:rPr>
        <w:t>Location</w:t>
      </w:r>
    </w:p>
    <w:p w:rsidR="00E450E5" w:rsidRDefault="0076114D" w:rsidP="001D38C4">
      <w:pPr>
        <w:pStyle w:val="Heading1"/>
        <w:numPr>
          <w:ilvl w:val="0"/>
          <w:numId w:val="0"/>
        </w:numPr>
        <w:spacing w:before="0" w:after="0"/>
        <w:rPr>
          <w:rFonts w:asciiTheme="minorHAnsi" w:hAnsiTheme="minorHAnsi"/>
          <w:b w:val="0"/>
          <w:sz w:val="24"/>
          <w:szCs w:val="24"/>
        </w:rPr>
      </w:pPr>
      <w:r w:rsidRPr="00D3301F">
        <w:rPr>
          <w:rFonts w:asciiTheme="minorHAnsi" w:hAnsiTheme="minorHAnsi"/>
          <w:b w:val="0"/>
          <w:sz w:val="24"/>
          <w:szCs w:val="24"/>
        </w:rPr>
        <w:t>As listed above, please ensure that all costs, including fuel, is rolled into the cost per certificate. Saffron’s stock covers a large section of Norfolk (as well</w:t>
      </w:r>
      <w:r w:rsidR="00EC0200">
        <w:rPr>
          <w:rFonts w:asciiTheme="minorHAnsi" w:hAnsiTheme="minorHAnsi"/>
          <w:b w:val="0"/>
          <w:sz w:val="24"/>
          <w:szCs w:val="24"/>
        </w:rPr>
        <w:t xml:space="preserve"> some areas outside of Norfolk)</w:t>
      </w:r>
      <w:r w:rsidRPr="00D3301F">
        <w:rPr>
          <w:rFonts w:asciiTheme="minorHAnsi" w:hAnsiTheme="minorHAnsi"/>
          <w:b w:val="0"/>
          <w:sz w:val="24"/>
          <w:szCs w:val="24"/>
        </w:rPr>
        <w:t xml:space="preserve"> so travelling will need to be taken into account. Properties can be grouped together as best as possible to try to minimise the amount of mileage covered.</w:t>
      </w:r>
    </w:p>
    <w:p w:rsidR="003046DE" w:rsidRDefault="003046DE" w:rsidP="003046DE"/>
    <w:p w:rsidR="003046DE" w:rsidRPr="003046DE" w:rsidRDefault="003046DE" w:rsidP="003046DE">
      <w:pPr>
        <w:rPr>
          <w:rFonts w:asciiTheme="minorHAnsi" w:hAnsiTheme="minorHAnsi"/>
        </w:rPr>
      </w:pPr>
      <w:r w:rsidRPr="003046DE">
        <w:rPr>
          <w:rFonts w:asciiTheme="minorHAnsi" w:hAnsiTheme="minorHAnsi" w:cs="Arial"/>
        </w:rPr>
        <w:t>As part of the contract it would be expected that properties outside of the core area would be treated to the same terms and conditions (with the exception of discretionary mileage costs) as the properties within the core area. See the map below for coverage information;</w:t>
      </w:r>
    </w:p>
    <w:p w:rsidR="003046DE" w:rsidRDefault="003046DE" w:rsidP="003046DE"/>
    <w:p w:rsidR="003046DE" w:rsidRPr="003046DE" w:rsidRDefault="003046DE" w:rsidP="003046DE"/>
    <w:p w:rsidR="00501BF4" w:rsidRPr="00D3301F" w:rsidRDefault="003046DE" w:rsidP="00501BF4">
      <w:pPr>
        <w:jc w:val="both"/>
        <w:rPr>
          <w:rFonts w:asciiTheme="minorHAnsi" w:hAnsiTheme="minorHAnsi"/>
        </w:rPr>
      </w:pPr>
      <w:r w:rsidRPr="00402BD0">
        <w:rPr>
          <w:rFonts w:ascii="Arial" w:hAnsi="Arial" w:cs="Arial"/>
          <w:noProof/>
          <w:sz w:val="22"/>
          <w:szCs w:val="22"/>
        </w:rPr>
        <w:drawing>
          <wp:inline distT="0" distB="0" distL="0" distR="0" wp14:anchorId="3ACAA48A" wp14:editId="0B170F3D">
            <wp:extent cx="3417481" cy="3990975"/>
            <wp:effectExtent l="0" t="0" r="0" b="0"/>
            <wp:docPr id="3" name="Picture 3" descr="cid:image001.png@01D0C555.9081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555.908101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17481" cy="3990975"/>
                    </a:xfrm>
                    <a:prstGeom prst="rect">
                      <a:avLst/>
                    </a:prstGeom>
                    <a:noFill/>
                    <a:ln>
                      <a:noFill/>
                    </a:ln>
                  </pic:spPr>
                </pic:pic>
              </a:graphicData>
            </a:graphic>
          </wp:inline>
        </w:drawing>
      </w:r>
    </w:p>
    <w:p w:rsidR="00501BF4" w:rsidRDefault="00501BF4" w:rsidP="00501BF4">
      <w:pPr>
        <w:jc w:val="both"/>
        <w:rPr>
          <w:rFonts w:asciiTheme="minorHAnsi" w:hAnsiTheme="minorHAnsi"/>
        </w:rPr>
      </w:pPr>
    </w:p>
    <w:p w:rsidR="00BD7CA1" w:rsidRDefault="00BD7CA1" w:rsidP="00501BF4">
      <w:pPr>
        <w:jc w:val="both"/>
        <w:rPr>
          <w:rFonts w:asciiTheme="minorHAnsi" w:hAnsiTheme="minorHAnsi"/>
        </w:rPr>
      </w:pPr>
    </w:p>
    <w:p w:rsidR="002B5F0A" w:rsidRDefault="002B5F0A" w:rsidP="00501BF4">
      <w:pPr>
        <w:jc w:val="both"/>
        <w:rPr>
          <w:rFonts w:asciiTheme="minorHAnsi" w:hAnsiTheme="minorHAnsi"/>
        </w:rPr>
      </w:pPr>
    </w:p>
    <w:p w:rsidR="001269A0" w:rsidRPr="00D3301F" w:rsidRDefault="008A1FC1" w:rsidP="00501BF4">
      <w:pPr>
        <w:jc w:val="both"/>
        <w:rPr>
          <w:rFonts w:asciiTheme="minorHAnsi" w:hAnsiTheme="minorHAnsi" w:cs="Tahoma"/>
          <w:b/>
        </w:rPr>
      </w:pPr>
      <w:r>
        <w:rPr>
          <w:rFonts w:asciiTheme="minorHAnsi" w:hAnsiTheme="minorHAnsi"/>
          <w:b/>
        </w:rPr>
        <w:lastRenderedPageBreak/>
        <w:t>22.0</w:t>
      </w:r>
      <w:r w:rsidR="00FC63E0" w:rsidRPr="00D3301F">
        <w:rPr>
          <w:rFonts w:asciiTheme="minorHAnsi" w:hAnsiTheme="minorHAnsi"/>
          <w:b/>
        </w:rPr>
        <w:tab/>
      </w:r>
      <w:r w:rsidR="001269A0" w:rsidRPr="00D3301F">
        <w:rPr>
          <w:rFonts w:asciiTheme="minorHAnsi" w:hAnsiTheme="minorHAnsi"/>
          <w:b/>
        </w:rPr>
        <w:t>Queries</w:t>
      </w:r>
    </w:p>
    <w:p w:rsidR="008A1FC1" w:rsidRPr="008A1FC1" w:rsidRDefault="008A1FC1" w:rsidP="008A1FC1">
      <w:pPr>
        <w:ind w:left="-142"/>
        <w:rPr>
          <w:rFonts w:asciiTheme="minorHAnsi" w:hAnsiTheme="minorHAnsi" w:cs="Arial"/>
          <w:bCs/>
          <w:kern w:val="32"/>
        </w:rPr>
      </w:pPr>
      <w:r w:rsidRPr="008A1FC1">
        <w:rPr>
          <w:rFonts w:asciiTheme="minorHAnsi" w:hAnsiTheme="minorHAnsi" w:cs="Arial"/>
          <w:bCs/>
          <w:kern w:val="32"/>
        </w:rPr>
        <w:t>Any queries to this benchmarking submission should be raised via email to Saffron Hous</w:t>
      </w:r>
      <w:r w:rsidR="002B5F0A">
        <w:rPr>
          <w:rFonts w:asciiTheme="minorHAnsi" w:hAnsiTheme="minorHAnsi" w:cs="Arial"/>
          <w:bCs/>
          <w:kern w:val="32"/>
        </w:rPr>
        <w:t>ing Trusts Procurement officer</w:t>
      </w:r>
      <w:r w:rsidRPr="008A1FC1">
        <w:rPr>
          <w:rFonts w:asciiTheme="minorHAnsi" w:hAnsiTheme="minorHAnsi" w:cs="Arial"/>
          <w:bCs/>
          <w:kern w:val="32"/>
        </w:rPr>
        <w:t xml:space="preserve"> at </w:t>
      </w:r>
      <w:hyperlink r:id="rId13" w:history="1">
        <w:r w:rsidR="002B5F0A" w:rsidRPr="00443476">
          <w:rPr>
            <w:rStyle w:val="Hyperlink"/>
            <w:rFonts w:asciiTheme="minorHAnsi" w:hAnsiTheme="minorHAnsi" w:cs="Arial"/>
            <w:bCs/>
            <w:kern w:val="32"/>
          </w:rPr>
          <w:t>tenderenquiries@saffronhousing.co.uk</w:t>
        </w:r>
      </w:hyperlink>
      <w:r w:rsidRPr="008A1FC1">
        <w:rPr>
          <w:rFonts w:asciiTheme="minorHAnsi" w:hAnsiTheme="minorHAnsi" w:cs="Arial"/>
          <w:bCs/>
          <w:kern w:val="32"/>
        </w:rPr>
        <w:t>. To prevent distortion of competition, Saffron Housing Trust does not enter into negotiations prior to full submission and uses best endeavours to ensure that any queries raised and subsequent answers given during the tender process are shared with all participating parties.</w:t>
      </w:r>
    </w:p>
    <w:p w:rsidR="001269A0" w:rsidRDefault="001269A0" w:rsidP="001D38C4">
      <w:pPr>
        <w:ind w:left="-142"/>
        <w:rPr>
          <w:rFonts w:asciiTheme="minorHAnsi" w:hAnsiTheme="minorHAnsi"/>
        </w:rPr>
      </w:pPr>
    </w:p>
    <w:p w:rsidR="008201C6" w:rsidRPr="00D3301F" w:rsidRDefault="008201C6" w:rsidP="001D38C4">
      <w:pPr>
        <w:ind w:left="-284"/>
        <w:rPr>
          <w:rFonts w:asciiTheme="minorHAnsi" w:hAnsiTheme="minorHAnsi"/>
        </w:rPr>
      </w:pPr>
    </w:p>
    <w:p w:rsidR="00D61CA8" w:rsidRPr="00D3301F" w:rsidRDefault="008A1FC1" w:rsidP="0059204D">
      <w:pPr>
        <w:pStyle w:val="Heading1"/>
        <w:numPr>
          <w:ilvl w:val="0"/>
          <w:numId w:val="0"/>
        </w:numPr>
        <w:spacing w:before="0" w:after="0"/>
        <w:ind w:left="-142"/>
        <w:rPr>
          <w:rFonts w:asciiTheme="minorHAnsi" w:hAnsiTheme="minorHAnsi"/>
          <w:sz w:val="24"/>
          <w:szCs w:val="24"/>
        </w:rPr>
      </w:pPr>
      <w:r>
        <w:rPr>
          <w:rFonts w:asciiTheme="minorHAnsi" w:hAnsiTheme="minorHAnsi"/>
          <w:sz w:val="24"/>
          <w:szCs w:val="24"/>
        </w:rPr>
        <w:t>23.0</w:t>
      </w:r>
      <w:r w:rsidR="00FC63E0" w:rsidRPr="00D3301F">
        <w:rPr>
          <w:rFonts w:asciiTheme="minorHAnsi" w:hAnsiTheme="minorHAnsi"/>
          <w:sz w:val="24"/>
          <w:szCs w:val="24"/>
        </w:rPr>
        <w:tab/>
      </w:r>
      <w:r w:rsidR="00D61CA8" w:rsidRPr="00D3301F">
        <w:rPr>
          <w:rFonts w:asciiTheme="minorHAnsi" w:hAnsiTheme="minorHAnsi"/>
          <w:sz w:val="24"/>
          <w:szCs w:val="24"/>
        </w:rPr>
        <w:t>Tender Returns</w:t>
      </w:r>
    </w:p>
    <w:p w:rsidR="008A1FC1" w:rsidRPr="008A1FC1" w:rsidRDefault="008A1FC1" w:rsidP="0059204D">
      <w:pPr>
        <w:ind w:left="-142"/>
        <w:rPr>
          <w:rFonts w:asciiTheme="minorHAnsi" w:hAnsiTheme="minorHAnsi" w:cs="Arial"/>
          <w:bCs/>
          <w:kern w:val="32"/>
        </w:rPr>
      </w:pPr>
      <w:r w:rsidRPr="008A1FC1">
        <w:rPr>
          <w:rFonts w:asciiTheme="minorHAnsi" w:hAnsiTheme="minorHAnsi" w:cs="Arial"/>
          <w:bCs/>
          <w:kern w:val="32"/>
        </w:rPr>
        <w:t xml:space="preserve">Tender submissions shall be returned fully completed to Saffron Housing Trust. The adjudication process is usually completed within three weeks of receipt and the award will be made within 5 working days from the end of the evaluation. The tender will be evaluated on a ratio of 60/40 with 60% being based on price. </w:t>
      </w:r>
    </w:p>
    <w:p w:rsidR="008A1FC1" w:rsidRPr="008A1FC1" w:rsidRDefault="008A1FC1" w:rsidP="008A1FC1">
      <w:pPr>
        <w:rPr>
          <w:rFonts w:asciiTheme="minorHAnsi" w:hAnsiTheme="minorHAnsi" w:cs="Arial"/>
          <w:bCs/>
          <w:kern w:val="32"/>
        </w:rPr>
      </w:pPr>
    </w:p>
    <w:p w:rsidR="008A1FC1" w:rsidRPr="008A1FC1" w:rsidRDefault="008A1FC1" w:rsidP="008A1FC1">
      <w:pPr>
        <w:rPr>
          <w:rFonts w:asciiTheme="minorHAnsi" w:hAnsiTheme="minorHAnsi" w:cs="Arial"/>
          <w:bCs/>
          <w:kern w:val="32"/>
        </w:rPr>
      </w:pPr>
    </w:p>
    <w:p w:rsidR="008A1FC1" w:rsidRPr="008A1FC1" w:rsidRDefault="008A1FC1" w:rsidP="0059204D">
      <w:pPr>
        <w:ind w:left="-142" w:firstLine="142"/>
        <w:rPr>
          <w:rFonts w:asciiTheme="minorHAnsi" w:hAnsiTheme="minorHAnsi" w:cs="Arial"/>
          <w:bCs/>
          <w:color w:val="FF0000"/>
          <w:kern w:val="32"/>
        </w:rPr>
      </w:pPr>
      <w:r w:rsidRPr="008A1FC1">
        <w:rPr>
          <w:rFonts w:asciiTheme="minorHAnsi" w:hAnsiTheme="minorHAnsi" w:cs="Arial"/>
          <w:bCs/>
          <w:color w:val="FF0000"/>
          <w:kern w:val="32"/>
        </w:rPr>
        <w:t xml:space="preserve">*Returns that are not supplied in the prescribed format will be considered void*  </w:t>
      </w:r>
    </w:p>
    <w:p w:rsidR="008A1FC1" w:rsidRPr="008A1FC1" w:rsidRDefault="008A1FC1" w:rsidP="0059204D">
      <w:pPr>
        <w:ind w:left="-142" w:firstLine="142"/>
        <w:rPr>
          <w:rFonts w:asciiTheme="minorHAnsi" w:hAnsiTheme="minorHAnsi" w:cs="Arial"/>
          <w:bCs/>
          <w:kern w:val="32"/>
        </w:rPr>
      </w:pPr>
    </w:p>
    <w:p w:rsidR="008A1FC1" w:rsidRPr="008A1FC1" w:rsidRDefault="008A1FC1" w:rsidP="0059204D">
      <w:pPr>
        <w:ind w:left="-142" w:firstLine="142"/>
        <w:rPr>
          <w:rFonts w:asciiTheme="minorHAnsi" w:hAnsiTheme="minorHAnsi" w:cs="Arial"/>
          <w:bCs/>
          <w:kern w:val="32"/>
        </w:rPr>
      </w:pPr>
    </w:p>
    <w:p w:rsidR="008A1FC1" w:rsidRPr="008A1FC1" w:rsidRDefault="00C0388D" w:rsidP="0059204D">
      <w:pPr>
        <w:ind w:left="-142"/>
        <w:rPr>
          <w:rFonts w:asciiTheme="minorHAnsi" w:hAnsiTheme="minorHAnsi" w:cs="Arial"/>
          <w:bCs/>
          <w:kern w:val="32"/>
        </w:rPr>
      </w:pPr>
      <w:r>
        <w:rPr>
          <w:rFonts w:asciiTheme="minorHAnsi" w:hAnsiTheme="minorHAnsi" w:cs="Arial"/>
          <w:bCs/>
          <w:kern w:val="32"/>
        </w:rPr>
        <w:t>The winning bidder will</w:t>
      </w:r>
      <w:r w:rsidR="008A1FC1" w:rsidRPr="008A1FC1">
        <w:rPr>
          <w:rFonts w:asciiTheme="minorHAnsi" w:hAnsiTheme="minorHAnsi" w:cs="Arial"/>
          <w:bCs/>
          <w:kern w:val="32"/>
        </w:rPr>
        <w:t xml:space="preserve"> be expected to sign a Measured Term JCT agreement. Also, if not already a member of Saffron’s approved contractors list, the winning bidder will be expected to apply to join. The winning of the tender will not guarantee a place on the approved contractors list if the winning bidder cannot supply all the required information. </w:t>
      </w:r>
    </w:p>
    <w:p w:rsidR="008A1FC1" w:rsidRPr="008A1FC1" w:rsidRDefault="008A1FC1" w:rsidP="0059204D">
      <w:pPr>
        <w:ind w:left="-142" w:firstLine="142"/>
        <w:rPr>
          <w:rFonts w:asciiTheme="minorHAnsi" w:hAnsiTheme="minorHAnsi" w:cs="Arial"/>
          <w:bCs/>
          <w:kern w:val="32"/>
        </w:rPr>
      </w:pPr>
    </w:p>
    <w:p w:rsidR="008A1FC1" w:rsidRDefault="008A1FC1" w:rsidP="0059204D">
      <w:pPr>
        <w:ind w:left="-142"/>
        <w:rPr>
          <w:rFonts w:asciiTheme="minorHAnsi" w:hAnsiTheme="minorHAnsi" w:cs="Arial"/>
          <w:bCs/>
          <w:kern w:val="32"/>
        </w:rPr>
      </w:pPr>
      <w:r w:rsidRPr="008A1FC1">
        <w:rPr>
          <w:rFonts w:asciiTheme="minorHAnsi" w:hAnsiTheme="minorHAnsi" w:cs="Arial"/>
          <w:bCs/>
          <w:kern w:val="32"/>
        </w:rPr>
        <w:t>Benchmarking submiss</w:t>
      </w:r>
      <w:r w:rsidR="00513A19">
        <w:rPr>
          <w:rFonts w:asciiTheme="minorHAnsi" w:hAnsiTheme="minorHAnsi" w:cs="Arial"/>
          <w:bCs/>
          <w:kern w:val="32"/>
        </w:rPr>
        <w:t>ions should be returned by the 1</w:t>
      </w:r>
      <w:r w:rsidR="00513A19">
        <w:rPr>
          <w:rFonts w:asciiTheme="minorHAnsi" w:hAnsiTheme="minorHAnsi" w:cs="Arial"/>
          <w:bCs/>
          <w:kern w:val="32"/>
          <w:vertAlign w:val="superscript"/>
        </w:rPr>
        <w:t>st</w:t>
      </w:r>
      <w:r w:rsidR="00C0388D">
        <w:rPr>
          <w:rFonts w:asciiTheme="minorHAnsi" w:hAnsiTheme="minorHAnsi" w:cs="Arial"/>
          <w:bCs/>
          <w:kern w:val="32"/>
        </w:rPr>
        <w:t xml:space="preserve"> June</w:t>
      </w:r>
      <w:r w:rsidRPr="008A1FC1">
        <w:rPr>
          <w:rFonts w:asciiTheme="minorHAnsi" w:hAnsiTheme="minorHAnsi" w:cs="Arial"/>
          <w:bCs/>
          <w:kern w:val="32"/>
        </w:rPr>
        <w:t xml:space="preserve"> 2017. These can be sent through via email as digital copies;</w:t>
      </w:r>
    </w:p>
    <w:p w:rsidR="00513A19" w:rsidRDefault="00513A19" w:rsidP="0059204D">
      <w:pPr>
        <w:ind w:left="-142" w:firstLine="142"/>
        <w:rPr>
          <w:rFonts w:asciiTheme="minorHAnsi" w:hAnsiTheme="minorHAnsi" w:cs="Arial"/>
          <w:bCs/>
          <w:kern w:val="32"/>
        </w:rPr>
      </w:pPr>
    </w:p>
    <w:p w:rsidR="00513A19" w:rsidRDefault="00513A19" w:rsidP="0059204D">
      <w:pPr>
        <w:ind w:left="-142" w:firstLine="142"/>
        <w:rPr>
          <w:rFonts w:asciiTheme="minorHAnsi" w:hAnsiTheme="minorHAnsi" w:cs="Arial"/>
          <w:bCs/>
          <w:kern w:val="32"/>
        </w:rPr>
      </w:pPr>
      <w:r>
        <w:rPr>
          <w:rFonts w:asciiTheme="minorHAnsi" w:hAnsiTheme="minorHAnsi" w:cs="Arial"/>
          <w:bCs/>
          <w:kern w:val="32"/>
        </w:rPr>
        <w:t>Procurement Officer</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Saffron Housing Trust</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Helen House</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Chequers Road</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Tharston</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Norwich</w:t>
      </w:r>
    </w:p>
    <w:p w:rsidR="00513A19" w:rsidRPr="00513A19" w:rsidRDefault="00513A19" w:rsidP="0059204D">
      <w:pPr>
        <w:ind w:left="-142" w:firstLine="142"/>
        <w:rPr>
          <w:rFonts w:asciiTheme="minorHAnsi" w:hAnsiTheme="minorHAnsi" w:cs="Arial"/>
          <w:bCs/>
          <w:kern w:val="32"/>
        </w:rPr>
      </w:pPr>
      <w:r w:rsidRPr="00513A19">
        <w:rPr>
          <w:rFonts w:asciiTheme="minorHAnsi" w:hAnsiTheme="minorHAnsi" w:cs="Arial"/>
          <w:bCs/>
          <w:kern w:val="32"/>
        </w:rPr>
        <w:t>NR15 2WZ</w:t>
      </w:r>
    </w:p>
    <w:bookmarkStart w:id="0" w:name="_GoBack"/>
    <w:bookmarkEnd w:id="0"/>
    <w:p w:rsidR="00513A19" w:rsidRDefault="002B5F0A" w:rsidP="0059204D">
      <w:pPr>
        <w:ind w:left="-142" w:firstLine="142"/>
        <w:rPr>
          <w:rFonts w:asciiTheme="minorHAnsi" w:hAnsiTheme="minorHAnsi" w:cs="Arial"/>
          <w:bCs/>
          <w:kern w:val="32"/>
        </w:rPr>
      </w:pPr>
      <w:r>
        <w:rPr>
          <w:rFonts w:asciiTheme="minorHAnsi" w:hAnsiTheme="minorHAnsi" w:cs="Arial"/>
          <w:bCs/>
          <w:kern w:val="32"/>
        </w:rPr>
        <w:fldChar w:fldCharType="begin"/>
      </w:r>
      <w:r>
        <w:rPr>
          <w:rFonts w:asciiTheme="minorHAnsi" w:hAnsiTheme="minorHAnsi" w:cs="Arial"/>
          <w:bCs/>
          <w:kern w:val="32"/>
        </w:rPr>
        <w:instrText xml:space="preserve"> HYPERLINK "mailto:</w:instrText>
      </w:r>
      <w:r w:rsidRPr="002B5F0A">
        <w:rPr>
          <w:rFonts w:asciiTheme="minorHAnsi" w:hAnsiTheme="minorHAnsi" w:cs="Arial"/>
          <w:bCs/>
          <w:kern w:val="32"/>
        </w:rPr>
        <w:instrText>tenders@saffronhousing.co.uk</w:instrText>
      </w:r>
      <w:r>
        <w:rPr>
          <w:rFonts w:asciiTheme="minorHAnsi" w:hAnsiTheme="minorHAnsi" w:cs="Arial"/>
          <w:bCs/>
          <w:kern w:val="32"/>
        </w:rPr>
        <w:instrText xml:space="preserve">" </w:instrText>
      </w:r>
      <w:r>
        <w:rPr>
          <w:rFonts w:asciiTheme="minorHAnsi" w:hAnsiTheme="minorHAnsi" w:cs="Arial"/>
          <w:bCs/>
          <w:kern w:val="32"/>
        </w:rPr>
        <w:fldChar w:fldCharType="separate"/>
      </w:r>
      <w:r w:rsidRPr="00443476">
        <w:rPr>
          <w:rStyle w:val="Hyperlink"/>
          <w:rFonts w:asciiTheme="minorHAnsi" w:hAnsiTheme="minorHAnsi" w:cs="Arial"/>
          <w:bCs/>
          <w:kern w:val="32"/>
        </w:rPr>
        <w:t>tenders@saffronhousing.co.uk</w:t>
      </w:r>
      <w:r>
        <w:rPr>
          <w:rFonts w:asciiTheme="minorHAnsi" w:hAnsiTheme="minorHAnsi" w:cs="Arial"/>
          <w:bCs/>
          <w:kern w:val="32"/>
        </w:rPr>
        <w:fldChar w:fldCharType="end"/>
      </w:r>
    </w:p>
    <w:p w:rsidR="006E0BE5" w:rsidRDefault="006E0BE5" w:rsidP="006E0BE5"/>
    <w:p w:rsidR="002B5F0A" w:rsidRDefault="002B5F0A" w:rsidP="006E0BE5">
      <w:pPr>
        <w:rPr>
          <w:rFonts w:asciiTheme="minorHAnsi" w:hAnsiTheme="minorHAnsi" w:cs="Arial"/>
          <w:bCs/>
          <w:kern w:val="32"/>
        </w:rPr>
      </w:pPr>
      <w:r w:rsidRPr="008A1FC1">
        <w:rPr>
          <w:rFonts w:asciiTheme="minorHAnsi" w:hAnsiTheme="minorHAnsi" w:cs="Arial"/>
          <w:bCs/>
          <w:kern w:val="32"/>
        </w:rPr>
        <w:t>Or</w:t>
      </w:r>
      <w:r w:rsidRPr="008A1FC1">
        <w:rPr>
          <w:rFonts w:asciiTheme="minorHAnsi" w:hAnsiTheme="minorHAnsi" w:cs="Arial"/>
          <w:bCs/>
          <w:kern w:val="32"/>
        </w:rPr>
        <w:t xml:space="preserve"> as hard copies in envelopes marked private &amp; confidential to</w:t>
      </w:r>
      <w:r>
        <w:rPr>
          <w:rFonts w:asciiTheme="minorHAnsi" w:hAnsiTheme="minorHAnsi" w:cs="Arial"/>
          <w:bCs/>
          <w:kern w:val="32"/>
        </w:rPr>
        <w:t>:</w:t>
      </w:r>
    </w:p>
    <w:p w:rsidR="002B5F0A" w:rsidRDefault="002B5F0A" w:rsidP="006E0BE5">
      <w:pPr>
        <w:rPr>
          <w:rFonts w:asciiTheme="minorHAnsi" w:hAnsiTheme="minorHAnsi" w:cs="Arial"/>
          <w:bCs/>
          <w:kern w:val="32"/>
        </w:rPr>
      </w:pPr>
    </w:p>
    <w:p w:rsidR="002B5F0A" w:rsidRDefault="002B5F0A" w:rsidP="006E0BE5">
      <w:pPr>
        <w:rPr>
          <w:rFonts w:asciiTheme="minorHAnsi" w:hAnsiTheme="minorHAnsi" w:cs="Arial"/>
          <w:bCs/>
          <w:kern w:val="32"/>
        </w:rPr>
      </w:pPr>
      <w:r>
        <w:rPr>
          <w:rFonts w:asciiTheme="minorHAnsi" w:hAnsiTheme="minorHAnsi" w:cs="Arial"/>
          <w:bCs/>
          <w:kern w:val="32"/>
        </w:rPr>
        <w:t>Financial Controller</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Saffron Housing Trust</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Helen House</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Chequers Road</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Tharston</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Norwich</w:t>
      </w:r>
    </w:p>
    <w:p w:rsidR="002B5F0A" w:rsidRPr="00513A19" w:rsidRDefault="002B5F0A" w:rsidP="002B5F0A">
      <w:pPr>
        <w:ind w:left="-142" w:firstLine="142"/>
        <w:rPr>
          <w:rFonts w:asciiTheme="minorHAnsi" w:hAnsiTheme="minorHAnsi" w:cs="Arial"/>
          <w:bCs/>
          <w:kern w:val="32"/>
        </w:rPr>
      </w:pPr>
      <w:r w:rsidRPr="00513A19">
        <w:rPr>
          <w:rFonts w:asciiTheme="minorHAnsi" w:hAnsiTheme="minorHAnsi" w:cs="Arial"/>
          <w:bCs/>
          <w:kern w:val="32"/>
        </w:rPr>
        <w:t>NR15 2WZ</w:t>
      </w:r>
    </w:p>
    <w:p w:rsidR="002B5F0A" w:rsidRDefault="002B5F0A" w:rsidP="006E0BE5"/>
    <w:p w:rsidR="006E0BE5" w:rsidRDefault="006E0BE5" w:rsidP="006E0BE5"/>
    <w:p w:rsidR="006E0BE5" w:rsidRDefault="00513A19" w:rsidP="006E0BE5">
      <w:pPr>
        <w:keepNext/>
        <w:outlineLvl w:val="0"/>
        <w:rPr>
          <w:rFonts w:asciiTheme="minorHAnsi" w:hAnsiTheme="minorHAnsi" w:cs="Arial"/>
          <w:b/>
          <w:bCs/>
          <w:kern w:val="32"/>
        </w:rPr>
      </w:pPr>
      <w:r>
        <w:rPr>
          <w:rFonts w:asciiTheme="minorHAnsi" w:hAnsiTheme="minorHAnsi" w:cs="Arial"/>
          <w:b/>
          <w:bCs/>
          <w:kern w:val="32"/>
        </w:rPr>
        <w:t>2</w:t>
      </w:r>
      <w:r w:rsidR="006E0BE5">
        <w:rPr>
          <w:rFonts w:asciiTheme="minorHAnsi" w:hAnsiTheme="minorHAnsi" w:cs="Arial"/>
          <w:b/>
          <w:bCs/>
          <w:kern w:val="32"/>
        </w:rPr>
        <w:t>4.0</w:t>
      </w:r>
      <w:r w:rsidR="006E0BE5" w:rsidRPr="006E0BE5">
        <w:rPr>
          <w:rFonts w:asciiTheme="minorHAnsi" w:hAnsiTheme="minorHAnsi" w:cs="Arial"/>
          <w:b/>
          <w:bCs/>
          <w:kern w:val="32"/>
        </w:rPr>
        <w:tab/>
      </w:r>
      <w:r w:rsidR="006E0BE5">
        <w:rPr>
          <w:rFonts w:asciiTheme="minorHAnsi" w:hAnsiTheme="minorHAnsi" w:cs="Arial"/>
          <w:b/>
          <w:bCs/>
          <w:kern w:val="32"/>
        </w:rPr>
        <w:t>Award</w:t>
      </w:r>
    </w:p>
    <w:p w:rsidR="006E0BE5" w:rsidRPr="006E0BE5" w:rsidRDefault="006E0BE5" w:rsidP="006E0BE5">
      <w:pPr>
        <w:keepNext/>
        <w:outlineLvl w:val="0"/>
        <w:rPr>
          <w:rFonts w:asciiTheme="minorHAnsi" w:hAnsiTheme="minorHAnsi" w:cs="Arial"/>
          <w:b/>
          <w:bCs/>
          <w:kern w:val="32"/>
          <w:sz w:val="28"/>
        </w:rPr>
      </w:pPr>
      <w:r w:rsidRPr="006E0BE5">
        <w:rPr>
          <w:rFonts w:asciiTheme="minorHAnsi" w:hAnsiTheme="minorHAnsi" w:cs="Arial"/>
          <w:szCs w:val="22"/>
        </w:rPr>
        <w:t>By issuing this invitation</w:t>
      </w:r>
      <w:r w:rsidR="00FE7B51">
        <w:rPr>
          <w:rFonts w:asciiTheme="minorHAnsi" w:hAnsiTheme="minorHAnsi" w:cs="Arial"/>
          <w:szCs w:val="22"/>
        </w:rPr>
        <w:t>, Saffron</w:t>
      </w:r>
      <w:r w:rsidRPr="006E0BE5">
        <w:rPr>
          <w:rFonts w:asciiTheme="minorHAnsi" w:hAnsiTheme="minorHAnsi" w:cs="Arial"/>
          <w:szCs w:val="22"/>
        </w:rPr>
        <w:t xml:space="preserve"> is not bound in any way</w:t>
      </w:r>
      <w:r w:rsidR="00F53A10">
        <w:rPr>
          <w:rFonts w:asciiTheme="minorHAnsi" w:hAnsiTheme="minorHAnsi" w:cs="Arial"/>
          <w:szCs w:val="22"/>
        </w:rPr>
        <w:t>,</w:t>
      </w:r>
      <w:r w:rsidRPr="006E0BE5">
        <w:rPr>
          <w:rFonts w:asciiTheme="minorHAnsi" w:hAnsiTheme="minorHAnsi" w:cs="Arial"/>
          <w:szCs w:val="22"/>
        </w:rPr>
        <w:t xml:space="preserve"> and does not have to accept any tender</w:t>
      </w:r>
      <w:r w:rsidR="00987B62">
        <w:rPr>
          <w:rFonts w:asciiTheme="minorHAnsi" w:hAnsiTheme="minorHAnsi" w:cs="Arial"/>
          <w:szCs w:val="22"/>
        </w:rPr>
        <w:t>. Saffron r</w:t>
      </w:r>
      <w:r w:rsidRPr="006E0BE5">
        <w:rPr>
          <w:rFonts w:asciiTheme="minorHAnsi" w:hAnsiTheme="minorHAnsi" w:cs="Arial"/>
          <w:szCs w:val="22"/>
        </w:rPr>
        <w:t>es</w:t>
      </w:r>
      <w:r w:rsidR="00FE7B51">
        <w:rPr>
          <w:rFonts w:asciiTheme="minorHAnsi" w:hAnsiTheme="minorHAnsi" w:cs="Arial"/>
          <w:szCs w:val="22"/>
        </w:rPr>
        <w:t xml:space="preserve">erves the right </w:t>
      </w:r>
      <w:r w:rsidR="00EC0200">
        <w:rPr>
          <w:rFonts w:asciiTheme="minorHAnsi" w:hAnsiTheme="minorHAnsi" w:cs="Arial"/>
          <w:szCs w:val="22"/>
        </w:rPr>
        <w:t>to not</w:t>
      </w:r>
      <w:r w:rsidR="00FE7B51">
        <w:rPr>
          <w:rFonts w:asciiTheme="minorHAnsi" w:hAnsiTheme="minorHAnsi" w:cs="Arial"/>
          <w:szCs w:val="22"/>
        </w:rPr>
        <w:t xml:space="preserve"> award a</w:t>
      </w:r>
      <w:r w:rsidRPr="006E0BE5">
        <w:rPr>
          <w:rFonts w:asciiTheme="minorHAnsi" w:hAnsiTheme="minorHAnsi" w:cs="Arial"/>
          <w:szCs w:val="22"/>
        </w:rPr>
        <w:t xml:space="preserve"> contract</w:t>
      </w:r>
      <w:r w:rsidR="00987B62">
        <w:rPr>
          <w:rFonts w:asciiTheme="minorHAnsi" w:hAnsiTheme="minorHAnsi" w:cs="Arial"/>
          <w:szCs w:val="22"/>
        </w:rPr>
        <w:t>,</w:t>
      </w:r>
      <w:r w:rsidRPr="006E0BE5">
        <w:rPr>
          <w:rFonts w:asciiTheme="minorHAnsi" w:hAnsiTheme="minorHAnsi" w:cs="Arial"/>
          <w:szCs w:val="22"/>
        </w:rPr>
        <w:t xml:space="preserve"> or to accept the whole</w:t>
      </w:r>
      <w:r w:rsidR="00EC0200">
        <w:rPr>
          <w:rFonts w:asciiTheme="minorHAnsi" w:hAnsiTheme="minorHAnsi" w:cs="Arial"/>
          <w:szCs w:val="22"/>
        </w:rPr>
        <w:t>,</w:t>
      </w:r>
      <w:r w:rsidRPr="006E0BE5">
        <w:rPr>
          <w:rFonts w:asciiTheme="minorHAnsi" w:hAnsiTheme="minorHAnsi" w:cs="Arial"/>
          <w:szCs w:val="22"/>
        </w:rPr>
        <w:t xml:space="preserve"> or any specified part of the tender.</w:t>
      </w:r>
    </w:p>
    <w:p w:rsidR="006E0BE5" w:rsidRDefault="006E0BE5" w:rsidP="006E0BE5">
      <w:pPr>
        <w:rPr>
          <w:rFonts w:asciiTheme="minorHAnsi" w:hAnsiTheme="minorHAnsi"/>
          <w:sz w:val="28"/>
        </w:rPr>
      </w:pPr>
    </w:p>
    <w:p w:rsidR="00CD6C06" w:rsidRDefault="00CD6C06" w:rsidP="00CD6C06">
      <w:pPr>
        <w:keepNext/>
        <w:outlineLvl w:val="0"/>
        <w:rPr>
          <w:rFonts w:asciiTheme="minorHAnsi" w:hAnsiTheme="minorHAnsi" w:cs="Arial"/>
          <w:b/>
          <w:bCs/>
          <w:kern w:val="32"/>
        </w:rPr>
      </w:pPr>
      <w:r>
        <w:rPr>
          <w:rFonts w:asciiTheme="minorHAnsi" w:hAnsiTheme="minorHAnsi" w:cs="Arial"/>
          <w:b/>
          <w:bCs/>
          <w:kern w:val="32"/>
        </w:rPr>
        <w:t>25.0</w:t>
      </w:r>
      <w:r w:rsidRPr="006E0BE5">
        <w:rPr>
          <w:rFonts w:asciiTheme="minorHAnsi" w:hAnsiTheme="minorHAnsi" w:cs="Arial"/>
          <w:b/>
          <w:bCs/>
          <w:kern w:val="32"/>
        </w:rPr>
        <w:tab/>
      </w:r>
      <w:r>
        <w:rPr>
          <w:rFonts w:asciiTheme="minorHAnsi" w:hAnsiTheme="minorHAnsi" w:cs="Arial"/>
          <w:b/>
          <w:bCs/>
          <w:kern w:val="32"/>
        </w:rPr>
        <w:t>Contract Dispute Resolution</w:t>
      </w:r>
    </w:p>
    <w:p w:rsidR="00CD6C06" w:rsidRPr="00CD6C06" w:rsidRDefault="00CD6C06" w:rsidP="00CD6C06">
      <w:pPr>
        <w:rPr>
          <w:rFonts w:asciiTheme="minorHAnsi" w:hAnsiTheme="minorHAnsi"/>
        </w:rPr>
      </w:pPr>
      <w:r w:rsidRPr="00CD6C06">
        <w:rPr>
          <w:rFonts w:asciiTheme="minorHAnsi" w:hAnsiTheme="minorHAnsi"/>
        </w:rPr>
        <w:t>This will follow the procedure set down in the winning bidders JCT agreement</w:t>
      </w:r>
    </w:p>
    <w:p w:rsidR="00CD6C06" w:rsidRDefault="00CD6C06" w:rsidP="006E0BE5">
      <w:pPr>
        <w:rPr>
          <w:rFonts w:asciiTheme="minorHAnsi" w:hAnsiTheme="minorHAnsi"/>
          <w:sz w:val="28"/>
        </w:rPr>
      </w:pPr>
    </w:p>
    <w:p w:rsidR="00CD6C06" w:rsidRDefault="00CD6C06" w:rsidP="00CD6C06">
      <w:pPr>
        <w:keepNext/>
        <w:outlineLvl w:val="0"/>
        <w:rPr>
          <w:rFonts w:asciiTheme="minorHAnsi" w:hAnsiTheme="minorHAnsi" w:cs="Arial"/>
          <w:b/>
          <w:bCs/>
          <w:kern w:val="32"/>
        </w:rPr>
      </w:pPr>
    </w:p>
    <w:p w:rsidR="00CD6C06" w:rsidRDefault="00CD6C06" w:rsidP="00CD6C06">
      <w:pPr>
        <w:keepNext/>
        <w:outlineLvl w:val="0"/>
        <w:rPr>
          <w:rFonts w:asciiTheme="minorHAnsi" w:hAnsiTheme="minorHAnsi" w:cs="Arial"/>
          <w:b/>
          <w:bCs/>
          <w:kern w:val="32"/>
        </w:rPr>
      </w:pPr>
      <w:r>
        <w:rPr>
          <w:rFonts w:asciiTheme="minorHAnsi" w:hAnsiTheme="minorHAnsi" w:cs="Arial"/>
          <w:b/>
          <w:bCs/>
          <w:kern w:val="32"/>
        </w:rPr>
        <w:t>26.0</w:t>
      </w:r>
      <w:r w:rsidRPr="006E0BE5">
        <w:rPr>
          <w:rFonts w:asciiTheme="minorHAnsi" w:hAnsiTheme="minorHAnsi" w:cs="Arial"/>
          <w:b/>
          <w:bCs/>
          <w:kern w:val="32"/>
        </w:rPr>
        <w:tab/>
      </w:r>
      <w:r>
        <w:rPr>
          <w:rFonts w:asciiTheme="minorHAnsi" w:hAnsiTheme="minorHAnsi" w:cs="Arial"/>
          <w:b/>
          <w:bCs/>
          <w:kern w:val="32"/>
        </w:rPr>
        <w:t>Contract Exit Clauses</w:t>
      </w:r>
    </w:p>
    <w:p w:rsidR="00CD6C06" w:rsidRPr="00CD6C06" w:rsidRDefault="00CD6C06" w:rsidP="00CD6C06">
      <w:pPr>
        <w:rPr>
          <w:rFonts w:asciiTheme="minorHAnsi" w:hAnsiTheme="minorHAnsi"/>
        </w:rPr>
      </w:pPr>
      <w:r w:rsidRPr="00CD6C06">
        <w:rPr>
          <w:rFonts w:asciiTheme="minorHAnsi" w:hAnsiTheme="minorHAnsi"/>
        </w:rPr>
        <w:t>Exit clauses will be written into the JCT agreement for any serious breach of the law, health &amp; Safety or continued contract performance failings.</w:t>
      </w:r>
    </w:p>
    <w:p w:rsidR="00CD6C06" w:rsidRDefault="00CD6C06" w:rsidP="006E0BE5">
      <w:pPr>
        <w:rPr>
          <w:rFonts w:asciiTheme="minorHAnsi" w:hAnsiTheme="minorHAnsi"/>
          <w:sz w:val="28"/>
        </w:rPr>
      </w:pPr>
    </w:p>
    <w:p w:rsidR="00B00527" w:rsidRDefault="00B00527" w:rsidP="006E0BE5">
      <w:pPr>
        <w:rPr>
          <w:rFonts w:asciiTheme="minorHAnsi" w:hAnsiTheme="minorHAnsi"/>
          <w:sz w:val="28"/>
        </w:rPr>
      </w:pPr>
    </w:p>
    <w:p w:rsidR="00B00527" w:rsidRDefault="00B00527" w:rsidP="00B00527">
      <w:pPr>
        <w:keepNext/>
        <w:outlineLvl w:val="0"/>
        <w:rPr>
          <w:rFonts w:asciiTheme="minorHAnsi" w:hAnsiTheme="minorHAnsi" w:cs="Arial"/>
          <w:b/>
          <w:bCs/>
          <w:kern w:val="32"/>
        </w:rPr>
      </w:pPr>
      <w:r>
        <w:rPr>
          <w:rFonts w:asciiTheme="minorHAnsi" w:hAnsiTheme="minorHAnsi" w:cs="Arial"/>
          <w:b/>
          <w:bCs/>
          <w:kern w:val="32"/>
        </w:rPr>
        <w:t>27.0</w:t>
      </w:r>
      <w:r w:rsidRPr="006E0BE5">
        <w:rPr>
          <w:rFonts w:asciiTheme="minorHAnsi" w:hAnsiTheme="minorHAnsi" w:cs="Arial"/>
          <w:b/>
          <w:bCs/>
          <w:kern w:val="32"/>
        </w:rPr>
        <w:tab/>
      </w:r>
      <w:r>
        <w:rPr>
          <w:rFonts w:asciiTheme="minorHAnsi" w:hAnsiTheme="minorHAnsi" w:cs="Arial"/>
          <w:b/>
          <w:bCs/>
          <w:kern w:val="32"/>
        </w:rPr>
        <w:t>Insurances</w:t>
      </w:r>
    </w:p>
    <w:p w:rsidR="00B00527" w:rsidRPr="00B00527" w:rsidRDefault="00B00527" w:rsidP="00B00527">
      <w:pPr>
        <w:rPr>
          <w:rFonts w:asciiTheme="minorHAnsi" w:hAnsiTheme="minorHAnsi"/>
        </w:rPr>
      </w:pPr>
      <w:r w:rsidRPr="00B00527">
        <w:rPr>
          <w:rFonts w:asciiTheme="minorHAnsi" w:hAnsiTheme="minorHAnsi"/>
        </w:rPr>
        <w:t>Saffron Housing Trust requires the successful Contractor to have the following insurances before being able to carry out any works on its behalf or its stock; the question on whether you have/willing to take out the required levels and types of insurance were built in the PQQ document. However, please confirm and submit evidence that these are currently in place, or confirmation that they will be before commencement of the contract.</w:t>
      </w:r>
    </w:p>
    <w:p w:rsidR="00B00527" w:rsidRDefault="00B00527" w:rsidP="006E0BE5">
      <w:pPr>
        <w:rPr>
          <w:rFonts w:asciiTheme="minorHAnsi" w:hAnsiTheme="minorHAnsi"/>
          <w:sz w:val="28"/>
        </w:rPr>
      </w:pPr>
    </w:p>
    <w:tbl>
      <w:tblPr>
        <w:tblStyle w:val="TableGrid"/>
        <w:tblW w:w="0" w:type="auto"/>
        <w:tblLook w:val="04A0" w:firstRow="1" w:lastRow="0" w:firstColumn="1" w:lastColumn="0" w:noHBand="0" w:noVBand="1"/>
      </w:tblPr>
      <w:tblGrid>
        <w:gridCol w:w="3887"/>
        <w:gridCol w:w="1619"/>
        <w:gridCol w:w="2790"/>
      </w:tblGrid>
      <w:tr w:rsidR="003972EA" w:rsidRPr="009B4B71" w:rsidTr="00687135">
        <w:tc>
          <w:tcPr>
            <w:tcW w:w="4786" w:type="dxa"/>
          </w:tcPr>
          <w:p w:rsidR="003972EA" w:rsidRPr="003972EA" w:rsidRDefault="003972EA" w:rsidP="00687135">
            <w:pPr>
              <w:rPr>
                <w:rFonts w:ascii="Arial" w:hAnsi="Arial" w:cs="Arial"/>
                <w:b/>
                <w:sz w:val="22"/>
                <w:szCs w:val="22"/>
              </w:rPr>
            </w:pPr>
            <w:r w:rsidRPr="003972EA">
              <w:rPr>
                <w:rFonts w:ascii="Arial" w:hAnsi="Arial" w:cs="Arial"/>
                <w:b/>
                <w:sz w:val="22"/>
                <w:szCs w:val="22"/>
              </w:rPr>
              <w:t>Please indicate which of the following current insurances you hold:</w:t>
            </w:r>
          </w:p>
        </w:tc>
        <w:tc>
          <w:tcPr>
            <w:tcW w:w="1859" w:type="dxa"/>
          </w:tcPr>
          <w:p w:rsidR="003972EA" w:rsidRPr="003972EA" w:rsidRDefault="003972EA" w:rsidP="00687135">
            <w:pPr>
              <w:jc w:val="center"/>
              <w:rPr>
                <w:rFonts w:ascii="Arial" w:hAnsi="Arial" w:cs="Arial"/>
                <w:b/>
                <w:sz w:val="22"/>
                <w:szCs w:val="22"/>
              </w:rPr>
            </w:pPr>
            <w:r w:rsidRPr="003972EA">
              <w:rPr>
                <w:rFonts w:ascii="Arial" w:hAnsi="Arial" w:cs="Arial"/>
                <w:b/>
                <w:sz w:val="22"/>
                <w:szCs w:val="22"/>
              </w:rPr>
              <w:t>Yes/No</w:t>
            </w:r>
          </w:p>
        </w:tc>
        <w:tc>
          <w:tcPr>
            <w:tcW w:w="3323" w:type="dxa"/>
          </w:tcPr>
          <w:p w:rsidR="003972EA" w:rsidRPr="003972EA" w:rsidRDefault="003972EA" w:rsidP="00687135">
            <w:pPr>
              <w:jc w:val="center"/>
              <w:rPr>
                <w:rFonts w:ascii="Arial" w:hAnsi="Arial" w:cs="Arial"/>
                <w:b/>
                <w:sz w:val="22"/>
                <w:szCs w:val="22"/>
              </w:rPr>
            </w:pPr>
            <w:r w:rsidRPr="003972EA">
              <w:rPr>
                <w:rFonts w:ascii="Arial" w:hAnsi="Arial" w:cs="Arial"/>
                <w:b/>
                <w:sz w:val="22"/>
                <w:szCs w:val="22"/>
              </w:rPr>
              <w:t>Indicate the level of indemnity:</w:t>
            </w:r>
          </w:p>
        </w:tc>
      </w:tr>
      <w:tr w:rsidR="003972EA" w:rsidTr="00687135">
        <w:tc>
          <w:tcPr>
            <w:tcW w:w="4786" w:type="dxa"/>
          </w:tcPr>
          <w:p w:rsidR="003972EA" w:rsidRPr="003972EA" w:rsidRDefault="003972EA" w:rsidP="00687135">
            <w:pPr>
              <w:rPr>
                <w:rFonts w:ascii="Arial" w:hAnsi="Arial" w:cs="Arial"/>
                <w:sz w:val="22"/>
                <w:szCs w:val="22"/>
              </w:rPr>
            </w:pPr>
            <w:r w:rsidRPr="003972EA">
              <w:rPr>
                <w:rFonts w:ascii="Arial" w:hAnsi="Arial" w:cs="Arial"/>
                <w:sz w:val="22"/>
                <w:szCs w:val="22"/>
              </w:rPr>
              <w:t>Public Liability:</w:t>
            </w:r>
          </w:p>
          <w:p w:rsidR="003972EA" w:rsidRPr="003972EA" w:rsidRDefault="003972EA" w:rsidP="00687135">
            <w:pPr>
              <w:rPr>
                <w:rFonts w:ascii="Arial" w:hAnsi="Arial" w:cs="Arial"/>
                <w:sz w:val="22"/>
                <w:szCs w:val="22"/>
              </w:rPr>
            </w:pPr>
            <w:r w:rsidRPr="003972EA">
              <w:rPr>
                <w:rFonts w:ascii="Arial" w:hAnsi="Arial" w:cs="Arial"/>
                <w:sz w:val="22"/>
                <w:szCs w:val="22"/>
              </w:rPr>
              <w:t>(Minimum cover £5m)</w:t>
            </w:r>
          </w:p>
        </w:tc>
        <w:tc>
          <w:tcPr>
            <w:tcW w:w="1859" w:type="dxa"/>
          </w:tcPr>
          <w:p w:rsidR="003972EA" w:rsidRPr="003972EA" w:rsidRDefault="003972EA" w:rsidP="00687135">
            <w:pPr>
              <w:jc w:val="center"/>
              <w:rPr>
                <w:rFonts w:ascii="Arial" w:hAnsi="Arial" w:cs="Arial"/>
                <w:sz w:val="22"/>
                <w:szCs w:val="22"/>
              </w:rPr>
            </w:pPr>
            <w:r w:rsidRPr="003972EA">
              <w:rPr>
                <w:rFonts w:ascii="Arial" w:hAnsi="Arial" w:cs="Arial"/>
                <w:sz w:val="22"/>
                <w:szCs w:val="22"/>
              </w:rPr>
              <w:t>Yes/No</w:t>
            </w:r>
          </w:p>
        </w:tc>
        <w:tc>
          <w:tcPr>
            <w:tcW w:w="3323" w:type="dxa"/>
          </w:tcPr>
          <w:p w:rsidR="003972EA" w:rsidRPr="003972EA" w:rsidRDefault="003972EA" w:rsidP="00687135">
            <w:pPr>
              <w:rPr>
                <w:rFonts w:ascii="Arial" w:hAnsi="Arial" w:cs="Arial"/>
                <w:sz w:val="22"/>
                <w:szCs w:val="22"/>
              </w:rPr>
            </w:pPr>
          </w:p>
        </w:tc>
      </w:tr>
      <w:tr w:rsidR="003972EA" w:rsidTr="00687135">
        <w:tc>
          <w:tcPr>
            <w:tcW w:w="4786" w:type="dxa"/>
          </w:tcPr>
          <w:p w:rsidR="003972EA" w:rsidRPr="003972EA" w:rsidRDefault="003972EA" w:rsidP="00687135">
            <w:pPr>
              <w:rPr>
                <w:rFonts w:ascii="Arial" w:hAnsi="Arial" w:cs="Arial"/>
                <w:sz w:val="22"/>
                <w:szCs w:val="22"/>
              </w:rPr>
            </w:pPr>
            <w:r w:rsidRPr="003972EA">
              <w:rPr>
                <w:rFonts w:ascii="Arial" w:hAnsi="Arial" w:cs="Arial"/>
                <w:sz w:val="22"/>
                <w:szCs w:val="22"/>
              </w:rPr>
              <w:t>Product Liability:</w:t>
            </w:r>
          </w:p>
          <w:p w:rsidR="003972EA" w:rsidRPr="003972EA" w:rsidRDefault="003972EA" w:rsidP="00687135">
            <w:pPr>
              <w:rPr>
                <w:rFonts w:ascii="Arial" w:hAnsi="Arial" w:cs="Arial"/>
                <w:sz w:val="22"/>
                <w:szCs w:val="22"/>
              </w:rPr>
            </w:pPr>
          </w:p>
        </w:tc>
        <w:tc>
          <w:tcPr>
            <w:tcW w:w="1859" w:type="dxa"/>
          </w:tcPr>
          <w:p w:rsidR="003972EA" w:rsidRPr="003972EA" w:rsidRDefault="003972EA" w:rsidP="00687135">
            <w:pPr>
              <w:jc w:val="center"/>
              <w:rPr>
                <w:rFonts w:ascii="Arial" w:hAnsi="Arial" w:cs="Arial"/>
                <w:sz w:val="22"/>
                <w:szCs w:val="22"/>
              </w:rPr>
            </w:pPr>
            <w:r w:rsidRPr="003972EA">
              <w:rPr>
                <w:rFonts w:ascii="Arial" w:hAnsi="Arial" w:cs="Arial"/>
                <w:sz w:val="22"/>
                <w:szCs w:val="22"/>
              </w:rPr>
              <w:t>Yes/No</w:t>
            </w:r>
          </w:p>
        </w:tc>
        <w:tc>
          <w:tcPr>
            <w:tcW w:w="3323" w:type="dxa"/>
          </w:tcPr>
          <w:p w:rsidR="003972EA" w:rsidRPr="003972EA" w:rsidRDefault="003972EA" w:rsidP="00687135">
            <w:pPr>
              <w:rPr>
                <w:rFonts w:ascii="Arial" w:hAnsi="Arial" w:cs="Arial"/>
                <w:sz w:val="22"/>
                <w:szCs w:val="22"/>
              </w:rPr>
            </w:pPr>
          </w:p>
        </w:tc>
      </w:tr>
      <w:tr w:rsidR="003972EA" w:rsidTr="00687135">
        <w:tc>
          <w:tcPr>
            <w:tcW w:w="4786" w:type="dxa"/>
          </w:tcPr>
          <w:p w:rsidR="003972EA" w:rsidRPr="003972EA" w:rsidRDefault="003972EA" w:rsidP="00687135">
            <w:pPr>
              <w:rPr>
                <w:rFonts w:ascii="Arial" w:hAnsi="Arial" w:cs="Arial"/>
                <w:sz w:val="22"/>
                <w:szCs w:val="22"/>
              </w:rPr>
            </w:pPr>
            <w:r w:rsidRPr="003972EA">
              <w:rPr>
                <w:rFonts w:ascii="Arial" w:hAnsi="Arial" w:cs="Arial"/>
                <w:sz w:val="22"/>
                <w:szCs w:val="22"/>
              </w:rPr>
              <w:t>Professional Indemnity:</w:t>
            </w:r>
          </w:p>
          <w:p w:rsidR="003972EA" w:rsidRPr="003972EA" w:rsidRDefault="003972EA" w:rsidP="00687135">
            <w:pPr>
              <w:rPr>
                <w:rFonts w:ascii="Arial" w:hAnsi="Arial" w:cs="Arial"/>
                <w:sz w:val="22"/>
                <w:szCs w:val="22"/>
              </w:rPr>
            </w:pPr>
          </w:p>
        </w:tc>
        <w:tc>
          <w:tcPr>
            <w:tcW w:w="1859" w:type="dxa"/>
          </w:tcPr>
          <w:p w:rsidR="003972EA" w:rsidRPr="003972EA" w:rsidRDefault="003972EA" w:rsidP="00687135">
            <w:pPr>
              <w:jc w:val="center"/>
              <w:rPr>
                <w:rFonts w:ascii="Arial" w:hAnsi="Arial" w:cs="Arial"/>
                <w:sz w:val="22"/>
                <w:szCs w:val="22"/>
              </w:rPr>
            </w:pPr>
            <w:r w:rsidRPr="003972EA">
              <w:rPr>
                <w:rFonts w:ascii="Arial" w:hAnsi="Arial" w:cs="Arial"/>
                <w:sz w:val="22"/>
                <w:szCs w:val="22"/>
              </w:rPr>
              <w:t>Yes/No</w:t>
            </w:r>
          </w:p>
        </w:tc>
        <w:tc>
          <w:tcPr>
            <w:tcW w:w="3323" w:type="dxa"/>
          </w:tcPr>
          <w:p w:rsidR="003972EA" w:rsidRPr="003972EA" w:rsidRDefault="003972EA" w:rsidP="00687135">
            <w:pPr>
              <w:rPr>
                <w:rFonts w:ascii="Arial" w:hAnsi="Arial" w:cs="Arial"/>
                <w:sz w:val="22"/>
                <w:szCs w:val="22"/>
              </w:rPr>
            </w:pPr>
          </w:p>
        </w:tc>
      </w:tr>
      <w:tr w:rsidR="003972EA" w:rsidTr="00687135">
        <w:tc>
          <w:tcPr>
            <w:tcW w:w="4786" w:type="dxa"/>
          </w:tcPr>
          <w:p w:rsidR="003972EA" w:rsidRPr="003972EA" w:rsidRDefault="003972EA" w:rsidP="00687135">
            <w:pPr>
              <w:rPr>
                <w:rFonts w:ascii="Arial" w:hAnsi="Arial" w:cs="Arial"/>
                <w:sz w:val="22"/>
                <w:szCs w:val="22"/>
              </w:rPr>
            </w:pPr>
            <w:r w:rsidRPr="003972EA">
              <w:rPr>
                <w:rFonts w:ascii="Arial" w:hAnsi="Arial" w:cs="Arial"/>
                <w:sz w:val="22"/>
                <w:szCs w:val="22"/>
              </w:rPr>
              <w:t>Employers Liability:</w:t>
            </w:r>
          </w:p>
          <w:p w:rsidR="003972EA" w:rsidRPr="003972EA" w:rsidRDefault="003972EA" w:rsidP="00687135">
            <w:pPr>
              <w:rPr>
                <w:rFonts w:ascii="Arial" w:hAnsi="Arial" w:cs="Arial"/>
                <w:sz w:val="22"/>
                <w:szCs w:val="22"/>
              </w:rPr>
            </w:pPr>
            <w:r w:rsidRPr="003972EA">
              <w:rPr>
                <w:rFonts w:ascii="Arial" w:hAnsi="Arial" w:cs="Arial"/>
                <w:sz w:val="22"/>
                <w:szCs w:val="22"/>
              </w:rPr>
              <w:t>(Minimum cover £5m)</w:t>
            </w:r>
          </w:p>
        </w:tc>
        <w:tc>
          <w:tcPr>
            <w:tcW w:w="1859" w:type="dxa"/>
          </w:tcPr>
          <w:p w:rsidR="003972EA" w:rsidRPr="003972EA" w:rsidRDefault="003972EA" w:rsidP="00687135">
            <w:pPr>
              <w:jc w:val="center"/>
              <w:rPr>
                <w:rFonts w:ascii="Arial" w:hAnsi="Arial" w:cs="Arial"/>
                <w:sz w:val="22"/>
                <w:szCs w:val="22"/>
              </w:rPr>
            </w:pPr>
            <w:r w:rsidRPr="003972EA">
              <w:rPr>
                <w:rFonts w:ascii="Arial" w:hAnsi="Arial" w:cs="Arial"/>
                <w:sz w:val="22"/>
                <w:szCs w:val="22"/>
              </w:rPr>
              <w:t>Yes/No</w:t>
            </w:r>
          </w:p>
        </w:tc>
        <w:tc>
          <w:tcPr>
            <w:tcW w:w="3323" w:type="dxa"/>
          </w:tcPr>
          <w:p w:rsidR="003972EA" w:rsidRPr="003972EA" w:rsidRDefault="003972EA" w:rsidP="00687135">
            <w:pPr>
              <w:rPr>
                <w:rFonts w:ascii="Arial" w:hAnsi="Arial" w:cs="Arial"/>
                <w:sz w:val="22"/>
                <w:szCs w:val="22"/>
              </w:rPr>
            </w:pPr>
          </w:p>
        </w:tc>
      </w:tr>
      <w:tr w:rsidR="003972EA" w:rsidTr="00687135">
        <w:tc>
          <w:tcPr>
            <w:tcW w:w="4786" w:type="dxa"/>
          </w:tcPr>
          <w:p w:rsidR="003972EA" w:rsidRPr="003972EA" w:rsidRDefault="003972EA" w:rsidP="00687135">
            <w:pPr>
              <w:rPr>
                <w:rFonts w:ascii="Arial" w:hAnsi="Arial" w:cs="Arial"/>
                <w:sz w:val="22"/>
                <w:szCs w:val="22"/>
              </w:rPr>
            </w:pPr>
            <w:r w:rsidRPr="003972EA">
              <w:rPr>
                <w:rFonts w:ascii="Arial" w:hAnsi="Arial" w:cs="Arial"/>
                <w:sz w:val="22"/>
                <w:szCs w:val="22"/>
              </w:rPr>
              <w:t>Contractors all Risk:</w:t>
            </w:r>
          </w:p>
          <w:p w:rsidR="003972EA" w:rsidRPr="003972EA" w:rsidRDefault="003972EA" w:rsidP="00687135">
            <w:pPr>
              <w:rPr>
                <w:rFonts w:ascii="Arial" w:hAnsi="Arial" w:cs="Arial"/>
                <w:sz w:val="22"/>
                <w:szCs w:val="22"/>
              </w:rPr>
            </w:pPr>
          </w:p>
        </w:tc>
        <w:tc>
          <w:tcPr>
            <w:tcW w:w="1859" w:type="dxa"/>
          </w:tcPr>
          <w:p w:rsidR="003972EA" w:rsidRPr="003972EA" w:rsidRDefault="003972EA" w:rsidP="00687135">
            <w:pPr>
              <w:jc w:val="center"/>
              <w:rPr>
                <w:rFonts w:ascii="Arial" w:hAnsi="Arial" w:cs="Arial"/>
                <w:sz w:val="22"/>
                <w:szCs w:val="22"/>
              </w:rPr>
            </w:pPr>
            <w:r w:rsidRPr="003972EA">
              <w:rPr>
                <w:rFonts w:ascii="Arial" w:hAnsi="Arial" w:cs="Arial"/>
                <w:sz w:val="22"/>
                <w:szCs w:val="22"/>
              </w:rPr>
              <w:t>Yes/No</w:t>
            </w:r>
          </w:p>
        </w:tc>
        <w:tc>
          <w:tcPr>
            <w:tcW w:w="3323" w:type="dxa"/>
          </w:tcPr>
          <w:p w:rsidR="003972EA" w:rsidRPr="003972EA" w:rsidRDefault="003972EA" w:rsidP="00687135">
            <w:pPr>
              <w:rPr>
                <w:rFonts w:ascii="Arial" w:hAnsi="Arial" w:cs="Arial"/>
                <w:sz w:val="22"/>
                <w:szCs w:val="22"/>
              </w:rPr>
            </w:pPr>
          </w:p>
        </w:tc>
      </w:tr>
    </w:tbl>
    <w:p w:rsidR="003972EA" w:rsidRDefault="003972EA" w:rsidP="006E0BE5">
      <w:pPr>
        <w:rPr>
          <w:rFonts w:asciiTheme="minorHAnsi" w:hAnsiTheme="minorHAnsi"/>
          <w:sz w:val="28"/>
        </w:rPr>
      </w:pPr>
    </w:p>
    <w:p w:rsidR="003972EA" w:rsidRPr="003972EA" w:rsidRDefault="003972EA" w:rsidP="003972EA">
      <w:pPr>
        <w:keepNext/>
        <w:outlineLvl w:val="0"/>
        <w:rPr>
          <w:rFonts w:asciiTheme="minorHAnsi" w:hAnsiTheme="minorHAnsi" w:cs="Arial"/>
          <w:b/>
          <w:bCs/>
          <w:kern w:val="32"/>
        </w:rPr>
      </w:pPr>
      <w:r>
        <w:rPr>
          <w:rFonts w:asciiTheme="minorHAnsi" w:hAnsiTheme="minorHAnsi" w:cs="Arial"/>
          <w:b/>
          <w:bCs/>
          <w:kern w:val="32"/>
        </w:rPr>
        <w:t>28.0</w:t>
      </w:r>
      <w:r w:rsidRPr="006E0BE5">
        <w:rPr>
          <w:rFonts w:asciiTheme="minorHAnsi" w:hAnsiTheme="minorHAnsi" w:cs="Arial"/>
          <w:b/>
          <w:bCs/>
          <w:kern w:val="32"/>
        </w:rPr>
        <w:tab/>
      </w:r>
      <w:r w:rsidR="0059204D">
        <w:rPr>
          <w:rFonts w:asciiTheme="minorHAnsi" w:hAnsiTheme="minorHAnsi" w:cs="Arial"/>
          <w:b/>
          <w:bCs/>
          <w:kern w:val="32"/>
        </w:rPr>
        <w:t>Data Protection Act</w:t>
      </w:r>
    </w:p>
    <w:p w:rsidR="003972EA" w:rsidRPr="003972EA" w:rsidRDefault="003972EA" w:rsidP="003972EA">
      <w:pPr>
        <w:rPr>
          <w:rFonts w:asciiTheme="minorHAnsi" w:hAnsiTheme="minorHAnsi"/>
        </w:rPr>
      </w:pPr>
      <w:r w:rsidRPr="003972EA">
        <w:rPr>
          <w:rFonts w:asciiTheme="minorHAnsi" w:hAnsiTheme="minorHAnsi"/>
        </w:rPr>
        <w:t>Saffron endorses and adheres to the Data Protection Act 1998. Saffron regards the lawful and correct treatment of personal information as very important to successful operations and to maintaining confidence with our customers. It will ensure that any document retained in whatever format will be done so in accordance with this legislation.</w:t>
      </w:r>
    </w:p>
    <w:p w:rsidR="003972EA" w:rsidRPr="003972EA" w:rsidRDefault="003972EA" w:rsidP="003972EA">
      <w:pPr>
        <w:rPr>
          <w:rFonts w:asciiTheme="minorHAnsi" w:hAnsiTheme="minorHAnsi"/>
        </w:rPr>
      </w:pPr>
    </w:p>
    <w:p w:rsidR="003972EA" w:rsidRPr="003972EA" w:rsidRDefault="003972EA" w:rsidP="003972EA">
      <w:pPr>
        <w:rPr>
          <w:rFonts w:asciiTheme="minorHAnsi" w:hAnsiTheme="minorHAnsi"/>
        </w:rPr>
      </w:pPr>
      <w:r w:rsidRPr="003972EA">
        <w:rPr>
          <w:rFonts w:asciiTheme="minorHAnsi" w:hAnsiTheme="minorHAnsi"/>
        </w:rPr>
        <w:t xml:space="preserve">Saffron will supply all data either by way of encrypted Microsoft office documents or by encrypted zip files that contain items such as work tickets that contain tenant’s details. Passwords will be supplied separately by a different form of communication, </w:t>
      </w:r>
      <w:r w:rsidRPr="003972EA">
        <w:rPr>
          <w:rFonts w:asciiTheme="minorHAnsi" w:hAnsiTheme="minorHAnsi"/>
        </w:rPr>
        <w:lastRenderedPageBreak/>
        <w:t>such as by a phone call to the person designated by the contractor to be responsible for that data.</w:t>
      </w:r>
    </w:p>
    <w:p w:rsidR="003972EA" w:rsidRPr="003972EA" w:rsidRDefault="003972EA" w:rsidP="003972EA">
      <w:pPr>
        <w:rPr>
          <w:rFonts w:asciiTheme="minorHAnsi" w:hAnsiTheme="minorHAnsi"/>
        </w:rPr>
      </w:pPr>
    </w:p>
    <w:p w:rsidR="003972EA" w:rsidRDefault="003972EA" w:rsidP="003972EA">
      <w:pPr>
        <w:rPr>
          <w:rFonts w:asciiTheme="minorHAnsi" w:hAnsiTheme="minorHAnsi"/>
        </w:rPr>
      </w:pPr>
      <w:r w:rsidRPr="003972EA">
        <w:rPr>
          <w:rFonts w:asciiTheme="minorHAnsi" w:hAnsiTheme="minorHAnsi"/>
        </w:rPr>
        <w:t xml:space="preserve">Please confirm that your company adheres to the Data Protection Act 1998 and how you deal with data retention once the works are complete. </w:t>
      </w:r>
    </w:p>
    <w:p w:rsidR="00A11068" w:rsidRDefault="00A11068" w:rsidP="003972EA">
      <w:pPr>
        <w:rPr>
          <w:rFonts w:asciiTheme="minorHAnsi" w:hAnsiTheme="minorHAnsi"/>
        </w:rPr>
      </w:pPr>
    </w:p>
    <w:p w:rsidR="003972EA" w:rsidRDefault="003972EA" w:rsidP="006E0BE5">
      <w:pPr>
        <w:rPr>
          <w:rFonts w:asciiTheme="minorHAnsi" w:hAnsiTheme="minorHAnsi"/>
          <w:sz w:val="28"/>
        </w:rPr>
      </w:pPr>
    </w:p>
    <w:p w:rsidR="00A11068" w:rsidRPr="003972EA" w:rsidRDefault="00A11068" w:rsidP="00A11068">
      <w:pPr>
        <w:keepNext/>
        <w:outlineLvl w:val="0"/>
        <w:rPr>
          <w:rFonts w:asciiTheme="minorHAnsi" w:hAnsiTheme="minorHAnsi" w:cs="Arial"/>
          <w:b/>
          <w:bCs/>
          <w:kern w:val="32"/>
        </w:rPr>
      </w:pPr>
      <w:r>
        <w:rPr>
          <w:rFonts w:asciiTheme="minorHAnsi" w:hAnsiTheme="minorHAnsi" w:cs="Arial"/>
          <w:b/>
          <w:bCs/>
          <w:kern w:val="32"/>
        </w:rPr>
        <w:t>29.0</w:t>
      </w:r>
      <w:r w:rsidRPr="006E0BE5">
        <w:rPr>
          <w:rFonts w:asciiTheme="minorHAnsi" w:hAnsiTheme="minorHAnsi" w:cs="Arial"/>
          <w:b/>
          <w:bCs/>
          <w:kern w:val="32"/>
        </w:rPr>
        <w:tab/>
      </w:r>
      <w:r>
        <w:rPr>
          <w:rFonts w:asciiTheme="minorHAnsi" w:hAnsiTheme="minorHAnsi" w:cs="Arial"/>
          <w:b/>
          <w:bCs/>
          <w:kern w:val="32"/>
        </w:rPr>
        <w:t>Equality Act</w:t>
      </w:r>
    </w:p>
    <w:p w:rsidR="00A11068" w:rsidRPr="00A11068" w:rsidRDefault="00A11068" w:rsidP="006E0BE5">
      <w:pPr>
        <w:rPr>
          <w:rFonts w:asciiTheme="minorHAnsi" w:hAnsiTheme="minorHAnsi"/>
        </w:rPr>
      </w:pPr>
    </w:p>
    <w:p w:rsidR="00A11068" w:rsidRPr="00A11068" w:rsidRDefault="00A11068" w:rsidP="00A11068">
      <w:pPr>
        <w:numPr>
          <w:ilvl w:val="0"/>
          <w:numId w:val="21"/>
        </w:numPr>
        <w:rPr>
          <w:rFonts w:asciiTheme="minorHAnsi" w:hAnsiTheme="minorHAnsi"/>
        </w:rPr>
      </w:pPr>
      <w:r w:rsidRPr="00A11068">
        <w:rPr>
          <w:rFonts w:asciiTheme="minorHAnsi" w:hAnsiTheme="minorHAnsi"/>
        </w:rPr>
        <w:t>The Contractor and any Sub-Contractor employed by the Contractor shall adopt a policy to comply with employers’ statutory obligations under the Equalities Act 2010 and, accordingly, will not discriminate directly or indirectly against any person because of their colour, race, nationality or national or ethnic origin in relation to decisions to recruit, train, promote, discipline or dismiss employees.</w:t>
      </w:r>
    </w:p>
    <w:p w:rsidR="00A11068" w:rsidRPr="00A11068" w:rsidRDefault="00A11068" w:rsidP="00687135">
      <w:pPr>
        <w:numPr>
          <w:ilvl w:val="0"/>
          <w:numId w:val="21"/>
        </w:numPr>
        <w:rPr>
          <w:rFonts w:asciiTheme="minorHAnsi" w:hAnsiTheme="minorHAnsi"/>
        </w:rPr>
      </w:pPr>
      <w:r w:rsidRPr="00A11068">
        <w:rPr>
          <w:rFonts w:asciiTheme="minorHAnsi" w:hAnsiTheme="minorHAnsi"/>
        </w:rPr>
        <w:t>The Contractor and any Sub-Contractor employed by the Contractor shall observe as far</w:t>
      </w:r>
      <w:r>
        <w:rPr>
          <w:rFonts w:asciiTheme="minorHAnsi" w:hAnsiTheme="minorHAnsi"/>
        </w:rPr>
        <w:t xml:space="preserve"> </w:t>
      </w:r>
      <w:r w:rsidRPr="00A11068">
        <w:rPr>
          <w:rFonts w:asciiTheme="minorHAnsi" w:hAnsiTheme="minorHAnsi"/>
        </w:rPr>
        <w:t>as possible the Commission for Racial Equality’s Code of Practice for Employment as approved by Parliament in 1983, which gives practical guidance to employers and others on the elimination of racial discriminations and the promotion of equality of opportunity in employment.</w:t>
      </w:r>
    </w:p>
    <w:p w:rsidR="00A11068" w:rsidRPr="00A11068" w:rsidRDefault="00A11068" w:rsidP="00687135">
      <w:pPr>
        <w:numPr>
          <w:ilvl w:val="0"/>
          <w:numId w:val="21"/>
        </w:numPr>
        <w:rPr>
          <w:rFonts w:asciiTheme="minorHAnsi" w:hAnsiTheme="minorHAnsi"/>
        </w:rPr>
      </w:pPr>
      <w:r w:rsidRPr="00A11068">
        <w:rPr>
          <w:rFonts w:asciiTheme="minorHAnsi" w:hAnsiTheme="minorHAnsi"/>
        </w:rPr>
        <w:t>In the event of any finding of unlawful racial discrimination being made against the</w:t>
      </w:r>
      <w:r>
        <w:rPr>
          <w:rFonts w:asciiTheme="minorHAnsi" w:hAnsiTheme="minorHAnsi"/>
        </w:rPr>
        <w:t xml:space="preserve"> </w:t>
      </w:r>
      <w:r w:rsidRPr="00A11068">
        <w:rPr>
          <w:rFonts w:asciiTheme="minorHAnsi" w:hAnsiTheme="minorHAnsi"/>
        </w:rPr>
        <w:t>Contractor or any Sub-Contractor employed by the Contractor during the contract period by any court of industrial tribunal, or of any adverse finding in any formal investigation by the Commission for Racial Equality over the same period, the Contractor shall inform Saffron of this finding and of the steps taken to prevent repetition of the unlawful discrimination.</w:t>
      </w:r>
    </w:p>
    <w:p w:rsidR="00A11068" w:rsidRPr="006E0BE5" w:rsidRDefault="00A11068" w:rsidP="006E0BE5">
      <w:pPr>
        <w:rPr>
          <w:rFonts w:asciiTheme="minorHAnsi" w:hAnsiTheme="minorHAnsi"/>
          <w:sz w:val="28"/>
        </w:rPr>
      </w:pPr>
    </w:p>
    <w:sectPr w:rsidR="00A11068" w:rsidRPr="006E0BE5">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135" w:rsidRDefault="00687135" w:rsidP="00CE424C">
      <w:r>
        <w:separator/>
      </w:r>
    </w:p>
  </w:endnote>
  <w:endnote w:type="continuationSeparator" w:id="0">
    <w:p w:rsidR="00687135" w:rsidRDefault="00687135" w:rsidP="00CE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45452"/>
      <w:docPartObj>
        <w:docPartGallery w:val="Page Numbers (Bottom of Page)"/>
        <w:docPartUnique/>
      </w:docPartObj>
    </w:sdtPr>
    <w:sdtEndPr>
      <w:rPr>
        <w:noProof/>
        <w:sz w:val="20"/>
      </w:rPr>
    </w:sdtEndPr>
    <w:sdtContent>
      <w:p w:rsidR="00687135" w:rsidRPr="00D3301F" w:rsidRDefault="00687135">
        <w:pPr>
          <w:pStyle w:val="Footer"/>
          <w:jc w:val="right"/>
          <w:rPr>
            <w:sz w:val="20"/>
          </w:rPr>
        </w:pPr>
        <w:r w:rsidRPr="00D3301F">
          <w:rPr>
            <w:sz w:val="20"/>
          </w:rPr>
          <w:fldChar w:fldCharType="begin"/>
        </w:r>
        <w:r w:rsidRPr="00D3301F">
          <w:rPr>
            <w:sz w:val="20"/>
          </w:rPr>
          <w:instrText xml:space="preserve"> PAGE   \* MERGEFORMAT </w:instrText>
        </w:r>
        <w:r w:rsidRPr="00D3301F">
          <w:rPr>
            <w:sz w:val="20"/>
          </w:rPr>
          <w:fldChar w:fldCharType="separate"/>
        </w:r>
        <w:r w:rsidR="002B5F0A">
          <w:rPr>
            <w:noProof/>
            <w:sz w:val="20"/>
          </w:rPr>
          <w:t>9</w:t>
        </w:r>
        <w:r w:rsidRPr="00D3301F">
          <w:rPr>
            <w:noProof/>
            <w:sz w:val="20"/>
          </w:rPr>
          <w:fldChar w:fldCharType="end"/>
        </w:r>
      </w:p>
    </w:sdtContent>
  </w:sdt>
  <w:p w:rsidR="00687135" w:rsidRDefault="00687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135" w:rsidRDefault="00687135" w:rsidP="00CE424C">
      <w:r>
        <w:separator/>
      </w:r>
    </w:p>
  </w:footnote>
  <w:footnote w:type="continuationSeparator" w:id="0">
    <w:p w:rsidR="00687135" w:rsidRDefault="00687135" w:rsidP="00CE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35" w:rsidRDefault="00687135" w:rsidP="009F4A01">
    <w:pPr>
      <w:pStyle w:val="Header"/>
      <w:tabs>
        <w:tab w:val="clear" w:pos="4513"/>
        <w:tab w:val="clear" w:pos="9026"/>
        <w:tab w:val="right" w:pos="8306"/>
      </w:tabs>
    </w:pPr>
    <w:r>
      <w:rPr>
        <w:noProof/>
      </w:rPr>
      <w:drawing>
        <wp:anchor distT="0" distB="0" distL="114300" distR="114300" simplePos="0" relativeHeight="251646976" behindDoc="1" locked="0" layoutInCell="1" allowOverlap="1" wp14:anchorId="67F0B244" wp14:editId="17F3CACC">
          <wp:simplePos x="0" y="0"/>
          <wp:positionH relativeFrom="column">
            <wp:posOffset>-942975</wp:posOffset>
          </wp:positionH>
          <wp:positionV relativeFrom="paragraph">
            <wp:posOffset>-355600</wp:posOffset>
          </wp:positionV>
          <wp:extent cx="1619250" cy="797560"/>
          <wp:effectExtent l="0" t="0" r="0" b="2540"/>
          <wp:wrapTight wrapText="bothSides">
            <wp:wrapPolygon edited="0">
              <wp:start x="0" y="0"/>
              <wp:lineTo x="0" y="21153"/>
              <wp:lineTo x="21346" y="2115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fron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797560"/>
                  </a:xfrm>
                  <a:prstGeom prst="rect">
                    <a:avLst/>
                  </a:prstGeom>
                </pic:spPr>
              </pic:pic>
            </a:graphicData>
          </a:graphic>
          <wp14:sizeRelH relativeFrom="page">
            <wp14:pctWidth>0</wp14:pctWidth>
          </wp14:sizeRelH>
          <wp14:sizeRelV relativeFrom="page">
            <wp14:pctHeight>0</wp14:pctHeight>
          </wp14:sizeRelV>
        </wp:anchor>
      </w:drawing>
    </w:r>
    <w:r>
      <w:tab/>
    </w:r>
    <w:r w:rsidRPr="00D3301F">
      <w:rPr>
        <w:sz w:val="20"/>
      </w:rPr>
      <w:t>March 2017</w:t>
    </w:r>
  </w:p>
  <w:p w:rsidR="00687135" w:rsidRDefault="00687135">
    <w:pPr>
      <w:pStyle w:val="Header"/>
    </w:pPr>
  </w:p>
  <w:p w:rsidR="00687135" w:rsidRDefault="00687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4598"/>
    <w:multiLevelType w:val="multilevel"/>
    <w:tmpl w:val="24F2B4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B0604B"/>
    <w:multiLevelType w:val="multilevel"/>
    <w:tmpl w:val="C4E8A4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E3B6D17"/>
    <w:multiLevelType w:val="hybridMultilevel"/>
    <w:tmpl w:val="020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17D55"/>
    <w:multiLevelType w:val="hybridMultilevel"/>
    <w:tmpl w:val="C49C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452BE"/>
    <w:multiLevelType w:val="multilevel"/>
    <w:tmpl w:val="356AB0BA"/>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5" w15:restartNumberingAfterBreak="0">
    <w:nsid w:val="3C80442B"/>
    <w:multiLevelType w:val="multilevel"/>
    <w:tmpl w:val="B86CAE28"/>
    <w:lvl w:ilvl="0">
      <w:start w:val="1"/>
      <w:numFmt w:val="decimal"/>
      <w:lvlText w:val="%1.0"/>
      <w:lvlJc w:val="left"/>
      <w:pPr>
        <w:ind w:left="301" w:hanging="585"/>
      </w:pPr>
      <w:rPr>
        <w:rFonts w:hint="default"/>
      </w:rPr>
    </w:lvl>
    <w:lvl w:ilvl="1">
      <w:start w:val="1"/>
      <w:numFmt w:val="decimal"/>
      <w:lvlText w:val="%1.%2"/>
      <w:lvlJc w:val="left"/>
      <w:pPr>
        <w:ind w:left="1021" w:hanging="585"/>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596"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96" w:hanging="1080"/>
      </w:pPr>
      <w:rPr>
        <w:rFonts w:hint="default"/>
      </w:rPr>
    </w:lvl>
    <w:lvl w:ilvl="6">
      <w:start w:val="1"/>
      <w:numFmt w:val="decimal"/>
      <w:lvlText w:val="%1.%2.%3.%4.%5.%6.%7"/>
      <w:lvlJc w:val="left"/>
      <w:pPr>
        <w:ind w:left="5476" w:hanging="1440"/>
      </w:pPr>
      <w:rPr>
        <w:rFonts w:hint="default"/>
      </w:rPr>
    </w:lvl>
    <w:lvl w:ilvl="7">
      <w:start w:val="1"/>
      <w:numFmt w:val="decimal"/>
      <w:lvlText w:val="%1.%2.%3.%4.%5.%6.%7.%8"/>
      <w:lvlJc w:val="left"/>
      <w:pPr>
        <w:ind w:left="6196" w:hanging="1440"/>
      </w:pPr>
      <w:rPr>
        <w:rFonts w:hint="default"/>
      </w:rPr>
    </w:lvl>
    <w:lvl w:ilvl="8">
      <w:start w:val="1"/>
      <w:numFmt w:val="decimal"/>
      <w:lvlText w:val="%1.%2.%3.%4.%5.%6.%7.%8.%9"/>
      <w:lvlJc w:val="left"/>
      <w:pPr>
        <w:ind w:left="7276" w:hanging="1800"/>
      </w:pPr>
      <w:rPr>
        <w:rFonts w:hint="default"/>
      </w:rPr>
    </w:lvl>
  </w:abstractNum>
  <w:abstractNum w:abstractNumId="6" w15:restartNumberingAfterBreak="0">
    <w:nsid w:val="40374C38"/>
    <w:multiLevelType w:val="hybridMultilevel"/>
    <w:tmpl w:val="B1CC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84D58"/>
    <w:multiLevelType w:val="hybridMultilevel"/>
    <w:tmpl w:val="A114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A847D6"/>
    <w:multiLevelType w:val="multilevel"/>
    <w:tmpl w:val="E2824150"/>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440"/>
        </w:tabs>
        <w:ind w:left="432" w:hanging="432"/>
      </w:pPr>
      <w:rPr>
        <w:rFonts w:ascii="Century Gothic" w:hAnsi="Century Gothic" w:hint="default"/>
        <w:sz w:val="20"/>
        <w:szCs w:val="20"/>
      </w:rPr>
    </w:lvl>
    <w:lvl w:ilvl="2">
      <w:start w:val="1"/>
      <w:numFmt w:val="decimal"/>
      <w:lvlText w:val="%1.%2.%3."/>
      <w:lvlJc w:val="left"/>
      <w:pPr>
        <w:tabs>
          <w:tab w:val="num" w:pos="2651"/>
        </w:tabs>
        <w:ind w:left="1355"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54AA375E"/>
    <w:multiLevelType w:val="multilevel"/>
    <w:tmpl w:val="A7C23608"/>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9D5167C"/>
    <w:multiLevelType w:val="hybridMultilevel"/>
    <w:tmpl w:val="75D8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76913"/>
    <w:multiLevelType w:val="hybridMultilevel"/>
    <w:tmpl w:val="94565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35B53"/>
    <w:multiLevelType w:val="hybridMultilevel"/>
    <w:tmpl w:val="8B3AD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B6D48"/>
    <w:multiLevelType w:val="hybridMultilevel"/>
    <w:tmpl w:val="7068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E6967"/>
    <w:multiLevelType w:val="hybridMultilevel"/>
    <w:tmpl w:val="621EA5A0"/>
    <w:lvl w:ilvl="0" w:tplc="E7EE5C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AC2D07"/>
    <w:multiLevelType w:val="hybridMultilevel"/>
    <w:tmpl w:val="26D4D922"/>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6" w15:restartNumberingAfterBreak="0">
    <w:nsid w:val="7CF520FE"/>
    <w:multiLevelType w:val="hybridMultilevel"/>
    <w:tmpl w:val="9CDE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lvlOverride w:ilvl="0">
      <w:startOverride w:val="2"/>
    </w:lvlOverride>
    <w:lvlOverride w:ilvl="1"/>
  </w:num>
  <w:num w:numId="6">
    <w:abstractNumId w:val="8"/>
    <w:lvlOverride w:ilvl="0">
      <w:startOverride w:val="2"/>
    </w:lvlOverride>
    <w:lvlOverride w:ilvl="1"/>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3"/>
  </w:num>
  <w:num w:numId="12">
    <w:abstractNumId w:val="6"/>
  </w:num>
  <w:num w:numId="13">
    <w:abstractNumId w:val="11"/>
  </w:num>
  <w:num w:numId="14">
    <w:abstractNumId w:val="5"/>
  </w:num>
  <w:num w:numId="15">
    <w:abstractNumId w:val="10"/>
  </w:num>
  <w:num w:numId="16">
    <w:abstractNumId w:val="16"/>
  </w:num>
  <w:num w:numId="17">
    <w:abstractNumId w:val="1"/>
  </w:num>
  <w:num w:numId="18">
    <w:abstractNumId w:val="7"/>
  </w:num>
  <w:num w:numId="19">
    <w:abstractNumId w:val="15"/>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E5"/>
    <w:rsid w:val="00004103"/>
    <w:rsid w:val="00026E23"/>
    <w:rsid w:val="0003084E"/>
    <w:rsid w:val="00032B18"/>
    <w:rsid w:val="00067A90"/>
    <w:rsid w:val="00076D11"/>
    <w:rsid w:val="000A48D6"/>
    <w:rsid w:val="000C08CA"/>
    <w:rsid w:val="000E6C65"/>
    <w:rsid w:val="000F7733"/>
    <w:rsid w:val="00107334"/>
    <w:rsid w:val="001269A0"/>
    <w:rsid w:val="00140AF3"/>
    <w:rsid w:val="00145A8A"/>
    <w:rsid w:val="00154082"/>
    <w:rsid w:val="00162B3C"/>
    <w:rsid w:val="00172CCD"/>
    <w:rsid w:val="00176219"/>
    <w:rsid w:val="001770BA"/>
    <w:rsid w:val="001B40C8"/>
    <w:rsid w:val="001B40EB"/>
    <w:rsid w:val="001C318A"/>
    <w:rsid w:val="001D38C4"/>
    <w:rsid w:val="00205580"/>
    <w:rsid w:val="00215FB4"/>
    <w:rsid w:val="002429D2"/>
    <w:rsid w:val="0026232E"/>
    <w:rsid w:val="002A49E2"/>
    <w:rsid w:val="002B5F0A"/>
    <w:rsid w:val="002D6E35"/>
    <w:rsid w:val="002E1CBA"/>
    <w:rsid w:val="002E5166"/>
    <w:rsid w:val="002F402F"/>
    <w:rsid w:val="002F4296"/>
    <w:rsid w:val="002F7BE1"/>
    <w:rsid w:val="002F7E23"/>
    <w:rsid w:val="003046DE"/>
    <w:rsid w:val="0030470C"/>
    <w:rsid w:val="0033680D"/>
    <w:rsid w:val="00357259"/>
    <w:rsid w:val="00372DC5"/>
    <w:rsid w:val="00386EE2"/>
    <w:rsid w:val="0039186E"/>
    <w:rsid w:val="0039247C"/>
    <w:rsid w:val="003972EA"/>
    <w:rsid w:val="003B4B73"/>
    <w:rsid w:val="003F6F74"/>
    <w:rsid w:val="00420485"/>
    <w:rsid w:val="00435D38"/>
    <w:rsid w:val="00450651"/>
    <w:rsid w:val="00454C90"/>
    <w:rsid w:val="004755C8"/>
    <w:rsid w:val="00491EF6"/>
    <w:rsid w:val="004949A8"/>
    <w:rsid w:val="004A4ACB"/>
    <w:rsid w:val="004A4E81"/>
    <w:rsid w:val="004A66F5"/>
    <w:rsid w:val="004A760C"/>
    <w:rsid w:val="004B0D6F"/>
    <w:rsid w:val="00501BF4"/>
    <w:rsid w:val="005036BA"/>
    <w:rsid w:val="0050726D"/>
    <w:rsid w:val="005111C5"/>
    <w:rsid w:val="00513A19"/>
    <w:rsid w:val="00535E3B"/>
    <w:rsid w:val="00536A99"/>
    <w:rsid w:val="00537D84"/>
    <w:rsid w:val="00567DB4"/>
    <w:rsid w:val="0057238A"/>
    <w:rsid w:val="00573CB0"/>
    <w:rsid w:val="0057584A"/>
    <w:rsid w:val="0059204D"/>
    <w:rsid w:val="005A53B5"/>
    <w:rsid w:val="005C74AF"/>
    <w:rsid w:val="005D3D0A"/>
    <w:rsid w:val="005E6806"/>
    <w:rsid w:val="005F4A17"/>
    <w:rsid w:val="00611C9F"/>
    <w:rsid w:val="006148F0"/>
    <w:rsid w:val="00623544"/>
    <w:rsid w:val="00627832"/>
    <w:rsid w:val="00640490"/>
    <w:rsid w:val="00667922"/>
    <w:rsid w:val="00687135"/>
    <w:rsid w:val="006D2E80"/>
    <w:rsid w:val="006E0BE5"/>
    <w:rsid w:val="006F4FB3"/>
    <w:rsid w:val="00702F88"/>
    <w:rsid w:val="0076114D"/>
    <w:rsid w:val="00774FA2"/>
    <w:rsid w:val="0078404D"/>
    <w:rsid w:val="00795022"/>
    <w:rsid w:val="007973AD"/>
    <w:rsid w:val="007A26C8"/>
    <w:rsid w:val="007B260D"/>
    <w:rsid w:val="007E4DC2"/>
    <w:rsid w:val="007F73A2"/>
    <w:rsid w:val="008073E0"/>
    <w:rsid w:val="00810CF3"/>
    <w:rsid w:val="008201C6"/>
    <w:rsid w:val="00822758"/>
    <w:rsid w:val="008369AA"/>
    <w:rsid w:val="0084120A"/>
    <w:rsid w:val="008645F2"/>
    <w:rsid w:val="00885E7A"/>
    <w:rsid w:val="008864B6"/>
    <w:rsid w:val="00886C02"/>
    <w:rsid w:val="00894A5F"/>
    <w:rsid w:val="008A0BC6"/>
    <w:rsid w:val="008A1FC1"/>
    <w:rsid w:val="008A589D"/>
    <w:rsid w:val="008C0963"/>
    <w:rsid w:val="008E68AA"/>
    <w:rsid w:val="008F4EEF"/>
    <w:rsid w:val="00900FDF"/>
    <w:rsid w:val="00907898"/>
    <w:rsid w:val="00914D2A"/>
    <w:rsid w:val="009153C0"/>
    <w:rsid w:val="0092736F"/>
    <w:rsid w:val="009379CE"/>
    <w:rsid w:val="0096005D"/>
    <w:rsid w:val="009728AA"/>
    <w:rsid w:val="00987B62"/>
    <w:rsid w:val="009B20FB"/>
    <w:rsid w:val="009C1258"/>
    <w:rsid w:val="009F4A01"/>
    <w:rsid w:val="00A03184"/>
    <w:rsid w:val="00A11068"/>
    <w:rsid w:val="00A463F0"/>
    <w:rsid w:val="00A65B31"/>
    <w:rsid w:val="00A66B48"/>
    <w:rsid w:val="00A769B5"/>
    <w:rsid w:val="00A9349A"/>
    <w:rsid w:val="00AC7605"/>
    <w:rsid w:val="00AD3FAD"/>
    <w:rsid w:val="00AE1C36"/>
    <w:rsid w:val="00AE3354"/>
    <w:rsid w:val="00AE6509"/>
    <w:rsid w:val="00B00527"/>
    <w:rsid w:val="00B147C1"/>
    <w:rsid w:val="00B34E04"/>
    <w:rsid w:val="00B42EB8"/>
    <w:rsid w:val="00B51D68"/>
    <w:rsid w:val="00B637A4"/>
    <w:rsid w:val="00B655D4"/>
    <w:rsid w:val="00B6768D"/>
    <w:rsid w:val="00B95331"/>
    <w:rsid w:val="00BA17E6"/>
    <w:rsid w:val="00BA4039"/>
    <w:rsid w:val="00BB1CEE"/>
    <w:rsid w:val="00BB76B2"/>
    <w:rsid w:val="00BC57BF"/>
    <w:rsid w:val="00BD72A9"/>
    <w:rsid w:val="00BD7CA1"/>
    <w:rsid w:val="00C0388D"/>
    <w:rsid w:val="00C211F0"/>
    <w:rsid w:val="00C2248E"/>
    <w:rsid w:val="00C25809"/>
    <w:rsid w:val="00C4163F"/>
    <w:rsid w:val="00C44025"/>
    <w:rsid w:val="00C479D6"/>
    <w:rsid w:val="00C55EEC"/>
    <w:rsid w:val="00C63B21"/>
    <w:rsid w:val="00C71060"/>
    <w:rsid w:val="00C73CF0"/>
    <w:rsid w:val="00CC60C4"/>
    <w:rsid w:val="00CD0B75"/>
    <w:rsid w:val="00CD118A"/>
    <w:rsid w:val="00CD6C06"/>
    <w:rsid w:val="00CE424C"/>
    <w:rsid w:val="00CE7A48"/>
    <w:rsid w:val="00D0125C"/>
    <w:rsid w:val="00D13EDE"/>
    <w:rsid w:val="00D2052A"/>
    <w:rsid w:val="00D3301F"/>
    <w:rsid w:val="00D418A5"/>
    <w:rsid w:val="00D43833"/>
    <w:rsid w:val="00D5546E"/>
    <w:rsid w:val="00D61CA8"/>
    <w:rsid w:val="00D6369B"/>
    <w:rsid w:val="00D80EF4"/>
    <w:rsid w:val="00D835C2"/>
    <w:rsid w:val="00DC6AE7"/>
    <w:rsid w:val="00DE72A2"/>
    <w:rsid w:val="00DF213B"/>
    <w:rsid w:val="00DF7A7B"/>
    <w:rsid w:val="00E026A0"/>
    <w:rsid w:val="00E152D2"/>
    <w:rsid w:val="00E31B80"/>
    <w:rsid w:val="00E450E5"/>
    <w:rsid w:val="00E65531"/>
    <w:rsid w:val="00E66032"/>
    <w:rsid w:val="00E80C7B"/>
    <w:rsid w:val="00E852F8"/>
    <w:rsid w:val="00E93555"/>
    <w:rsid w:val="00EB405F"/>
    <w:rsid w:val="00EB73A5"/>
    <w:rsid w:val="00EB7AB9"/>
    <w:rsid w:val="00EC0200"/>
    <w:rsid w:val="00EC6B90"/>
    <w:rsid w:val="00EE006F"/>
    <w:rsid w:val="00EE659D"/>
    <w:rsid w:val="00EF0337"/>
    <w:rsid w:val="00EF1C47"/>
    <w:rsid w:val="00F14056"/>
    <w:rsid w:val="00F42FEF"/>
    <w:rsid w:val="00F46B67"/>
    <w:rsid w:val="00F528AC"/>
    <w:rsid w:val="00F53A10"/>
    <w:rsid w:val="00F62F28"/>
    <w:rsid w:val="00FB79ED"/>
    <w:rsid w:val="00FC07CE"/>
    <w:rsid w:val="00FC63E0"/>
    <w:rsid w:val="00FD000C"/>
    <w:rsid w:val="00FD1834"/>
    <w:rsid w:val="00FD1EDC"/>
    <w:rsid w:val="00FE539D"/>
    <w:rsid w:val="00FE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3DE8949-3DC2-4366-905B-AAC42568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imes New Roman" w:hAnsi="Century Gothic"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BE5"/>
  </w:style>
  <w:style w:type="paragraph" w:styleId="Heading1">
    <w:name w:val="heading 1"/>
    <w:basedOn w:val="Normal"/>
    <w:next w:val="Normal"/>
    <w:link w:val="Heading1Char"/>
    <w:qFormat/>
    <w:rsid w:val="00E450E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50E5"/>
    <w:pPr>
      <w:keepNext/>
      <w:numPr>
        <w:ilvl w:val="1"/>
        <w:numId w:val="1"/>
      </w:numPr>
      <w:spacing w:before="240" w:after="60"/>
      <w:outlineLvl w:val="1"/>
    </w:pPr>
    <w:rPr>
      <w:rFonts w:ascii="Arial"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0E5"/>
    <w:rPr>
      <w:rFonts w:ascii="Arial" w:hAnsi="Arial" w:cs="Arial"/>
      <w:b/>
      <w:bCs/>
      <w:kern w:val="32"/>
      <w:sz w:val="32"/>
      <w:szCs w:val="32"/>
    </w:rPr>
  </w:style>
  <w:style w:type="character" w:customStyle="1" w:styleId="Heading2Char">
    <w:name w:val="Heading 2 Char"/>
    <w:basedOn w:val="DefaultParagraphFont"/>
    <w:link w:val="Heading2"/>
    <w:rsid w:val="00E450E5"/>
    <w:rPr>
      <w:rFonts w:ascii="Arial" w:hAnsi="Arial" w:cs="Arial"/>
      <w:b/>
      <w:bCs/>
      <w:iCs/>
      <w:sz w:val="28"/>
      <w:szCs w:val="28"/>
    </w:rPr>
  </w:style>
  <w:style w:type="paragraph" w:styleId="Header">
    <w:name w:val="header"/>
    <w:basedOn w:val="Normal"/>
    <w:link w:val="HeaderChar"/>
    <w:rsid w:val="00CE424C"/>
    <w:pPr>
      <w:tabs>
        <w:tab w:val="center" w:pos="4513"/>
        <w:tab w:val="right" w:pos="9026"/>
      </w:tabs>
    </w:pPr>
  </w:style>
  <w:style w:type="character" w:customStyle="1" w:styleId="HeaderChar">
    <w:name w:val="Header Char"/>
    <w:basedOn w:val="DefaultParagraphFont"/>
    <w:link w:val="Header"/>
    <w:rsid w:val="00CE424C"/>
  </w:style>
  <w:style w:type="paragraph" w:styleId="Footer">
    <w:name w:val="footer"/>
    <w:basedOn w:val="Normal"/>
    <w:link w:val="FooterChar"/>
    <w:uiPriority w:val="99"/>
    <w:rsid w:val="00CE424C"/>
    <w:pPr>
      <w:tabs>
        <w:tab w:val="center" w:pos="4513"/>
        <w:tab w:val="right" w:pos="9026"/>
      </w:tabs>
    </w:pPr>
  </w:style>
  <w:style w:type="character" w:customStyle="1" w:styleId="FooterChar">
    <w:name w:val="Footer Char"/>
    <w:basedOn w:val="DefaultParagraphFont"/>
    <w:link w:val="Footer"/>
    <w:uiPriority w:val="99"/>
    <w:rsid w:val="00CE424C"/>
  </w:style>
  <w:style w:type="paragraph" w:styleId="BalloonText">
    <w:name w:val="Balloon Text"/>
    <w:basedOn w:val="Normal"/>
    <w:link w:val="BalloonTextChar"/>
    <w:rsid w:val="00CE424C"/>
    <w:rPr>
      <w:rFonts w:ascii="Tahoma" w:hAnsi="Tahoma" w:cs="Tahoma"/>
      <w:sz w:val="16"/>
      <w:szCs w:val="16"/>
    </w:rPr>
  </w:style>
  <w:style w:type="character" w:customStyle="1" w:styleId="BalloonTextChar">
    <w:name w:val="Balloon Text Char"/>
    <w:basedOn w:val="DefaultParagraphFont"/>
    <w:link w:val="BalloonText"/>
    <w:rsid w:val="00CE424C"/>
    <w:rPr>
      <w:rFonts w:ascii="Tahoma" w:hAnsi="Tahoma" w:cs="Tahoma"/>
      <w:sz w:val="16"/>
      <w:szCs w:val="16"/>
    </w:rPr>
  </w:style>
  <w:style w:type="paragraph" w:styleId="ListParagraph">
    <w:name w:val="List Paragraph"/>
    <w:basedOn w:val="Normal"/>
    <w:uiPriority w:val="34"/>
    <w:qFormat/>
    <w:rsid w:val="009B20FB"/>
    <w:pPr>
      <w:ind w:left="720"/>
      <w:contextualSpacing/>
    </w:pPr>
  </w:style>
  <w:style w:type="table" w:styleId="TableGrid">
    <w:name w:val="Table Grid"/>
    <w:basedOn w:val="TableNormal"/>
    <w:rsid w:val="003F6F7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6E35"/>
    <w:rPr>
      <w:color w:val="0000FF" w:themeColor="hyperlink"/>
      <w:u w:val="single"/>
    </w:rPr>
  </w:style>
  <w:style w:type="paragraph" w:styleId="NoSpacing">
    <w:name w:val="No Spacing"/>
    <w:link w:val="NoSpacingChar"/>
    <w:uiPriority w:val="1"/>
    <w:qFormat/>
    <w:rsid w:val="006E0BE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E0BE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221">
      <w:bodyDiv w:val="1"/>
      <w:marLeft w:val="0"/>
      <w:marRight w:val="0"/>
      <w:marTop w:val="0"/>
      <w:marBottom w:val="0"/>
      <w:divBdr>
        <w:top w:val="none" w:sz="0" w:space="0" w:color="auto"/>
        <w:left w:val="none" w:sz="0" w:space="0" w:color="auto"/>
        <w:bottom w:val="none" w:sz="0" w:space="0" w:color="auto"/>
        <w:right w:val="none" w:sz="0" w:space="0" w:color="auto"/>
      </w:divBdr>
    </w:div>
    <w:div w:id="1006711577">
      <w:bodyDiv w:val="1"/>
      <w:marLeft w:val="0"/>
      <w:marRight w:val="0"/>
      <w:marTop w:val="0"/>
      <w:marBottom w:val="0"/>
      <w:divBdr>
        <w:top w:val="none" w:sz="0" w:space="0" w:color="auto"/>
        <w:left w:val="none" w:sz="0" w:space="0" w:color="auto"/>
        <w:bottom w:val="none" w:sz="0" w:space="0" w:color="auto"/>
        <w:right w:val="none" w:sz="0" w:space="0" w:color="auto"/>
      </w:divBdr>
      <w:divsChild>
        <w:div w:id="831991801">
          <w:marLeft w:val="0"/>
          <w:marRight w:val="0"/>
          <w:marTop w:val="0"/>
          <w:marBottom w:val="0"/>
          <w:divBdr>
            <w:top w:val="none" w:sz="0" w:space="0" w:color="auto"/>
            <w:left w:val="none" w:sz="0" w:space="0" w:color="auto"/>
            <w:bottom w:val="none" w:sz="0" w:space="0" w:color="auto"/>
            <w:right w:val="none" w:sz="0" w:space="0" w:color="auto"/>
          </w:divBdr>
          <w:divsChild>
            <w:div w:id="2116165576">
              <w:marLeft w:val="0"/>
              <w:marRight w:val="0"/>
              <w:marTop w:val="0"/>
              <w:marBottom w:val="0"/>
              <w:divBdr>
                <w:top w:val="none" w:sz="0" w:space="0" w:color="auto"/>
                <w:left w:val="none" w:sz="0" w:space="0" w:color="auto"/>
                <w:bottom w:val="none" w:sz="0" w:space="0" w:color="auto"/>
                <w:right w:val="none" w:sz="0" w:space="0" w:color="auto"/>
              </w:divBdr>
              <w:divsChild>
                <w:div w:id="133986065">
                  <w:marLeft w:val="0"/>
                  <w:marRight w:val="0"/>
                  <w:marTop w:val="0"/>
                  <w:marBottom w:val="0"/>
                  <w:divBdr>
                    <w:top w:val="none" w:sz="0" w:space="0" w:color="auto"/>
                    <w:left w:val="none" w:sz="0" w:space="0" w:color="auto"/>
                    <w:bottom w:val="none" w:sz="0" w:space="0" w:color="auto"/>
                    <w:right w:val="none" w:sz="0" w:space="0" w:color="auto"/>
                  </w:divBdr>
                  <w:divsChild>
                    <w:div w:id="17071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92602">
      <w:bodyDiv w:val="1"/>
      <w:marLeft w:val="0"/>
      <w:marRight w:val="0"/>
      <w:marTop w:val="0"/>
      <w:marBottom w:val="0"/>
      <w:divBdr>
        <w:top w:val="none" w:sz="0" w:space="0" w:color="auto"/>
        <w:left w:val="none" w:sz="0" w:space="0" w:color="auto"/>
        <w:bottom w:val="none" w:sz="0" w:space="0" w:color="auto"/>
        <w:right w:val="none" w:sz="0" w:space="0" w:color="auto"/>
      </w:divBdr>
    </w:div>
    <w:div w:id="1346639528">
      <w:bodyDiv w:val="1"/>
      <w:marLeft w:val="0"/>
      <w:marRight w:val="0"/>
      <w:marTop w:val="0"/>
      <w:marBottom w:val="0"/>
      <w:divBdr>
        <w:top w:val="none" w:sz="0" w:space="0" w:color="auto"/>
        <w:left w:val="none" w:sz="0" w:space="0" w:color="auto"/>
        <w:bottom w:val="none" w:sz="0" w:space="0" w:color="auto"/>
        <w:right w:val="none" w:sz="0" w:space="0" w:color="auto"/>
      </w:divBdr>
    </w:div>
    <w:div w:id="18159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enquiries@saffronhousing.co.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0C555.908101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contracts-find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EPC Contract 2017-2019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E38B2-00FB-4D5F-A0BB-447B710E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9CDDD32A.dotm</Template>
  <TotalTime>9</TotalTime>
  <Pages>11</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Saffron Housing Trust</vt:lpstr>
    </vt:vector>
  </TitlesOfParts>
  <Company>Saffron Housing Trust</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Saffron Housing Trust</dc:title>
  <dc:subject>Property Team</dc:subject>
  <dc:creator>Jason MacCormick</dc:creator>
  <cp:lastModifiedBy>Jason MacCormick</cp:lastModifiedBy>
  <cp:revision>4</cp:revision>
  <cp:lastPrinted>2014-10-28T15:27:00Z</cp:lastPrinted>
  <dcterms:created xsi:type="dcterms:W3CDTF">2017-03-29T08:01:00Z</dcterms:created>
  <dcterms:modified xsi:type="dcterms:W3CDTF">2017-05-02T14:32:00Z</dcterms:modified>
</cp:coreProperties>
</file>