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1B5F5" w14:textId="77777777" w:rsidR="004A33C7" w:rsidRDefault="004A33C7" w:rsidP="004A33C7">
      <w:r>
        <w:rPr>
          <w:noProof/>
        </w:rPr>
        <w:drawing>
          <wp:anchor distT="0" distB="0" distL="114300" distR="114300" simplePos="0" relativeHeight="251659264" behindDoc="1" locked="0" layoutInCell="1" allowOverlap="1" wp14:anchorId="5E098CD9" wp14:editId="2F6D55DF">
            <wp:simplePos x="0" y="0"/>
            <wp:positionH relativeFrom="margin">
              <wp:align>left</wp:align>
            </wp:positionH>
            <wp:positionV relativeFrom="paragraph">
              <wp:posOffset>9525</wp:posOffset>
            </wp:positionV>
            <wp:extent cx="1590675" cy="1280803"/>
            <wp:effectExtent l="0" t="0" r="0" b="0"/>
            <wp:wrapTight wrapText="bothSides">
              <wp:wrapPolygon edited="0">
                <wp:start x="0" y="0"/>
                <wp:lineTo x="0" y="21204"/>
                <wp:lineTo x="21212" y="21204"/>
                <wp:lineTo x="21212" y="0"/>
                <wp:lineTo x="0" y="0"/>
              </wp:wrapPolygon>
            </wp:wrapTight>
            <wp:docPr id="305649936" name="Picture 305649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590675" cy="1280803"/>
                    </a:xfrm>
                    <a:prstGeom prst="rect">
                      <a:avLst/>
                    </a:prstGeom>
                  </pic:spPr>
                </pic:pic>
              </a:graphicData>
            </a:graphic>
            <wp14:sizeRelH relativeFrom="page">
              <wp14:pctWidth>0</wp14:pctWidth>
            </wp14:sizeRelH>
            <wp14:sizeRelV relativeFrom="page">
              <wp14:pctHeight>0</wp14:pctHeight>
            </wp14:sizeRelV>
          </wp:anchor>
        </w:drawing>
      </w:r>
    </w:p>
    <w:p w14:paraId="6AEE5A75" w14:textId="77777777" w:rsidR="004A33C7" w:rsidRDefault="004A33C7" w:rsidP="004A33C7"/>
    <w:p w14:paraId="55112E44" w14:textId="77777777" w:rsidR="004A33C7" w:rsidRDefault="004A33C7" w:rsidP="004A33C7">
      <w:pPr>
        <w:pStyle w:val="paragraph"/>
        <w:spacing w:before="0" w:after="0"/>
        <w:jc w:val="center"/>
        <w:textAlignment w:val="baseline"/>
        <w:rPr>
          <w:rStyle w:val="normaltextrun"/>
          <w:rFonts w:ascii="Calibri" w:hAnsi="Calibri" w:cs="Calibri"/>
          <w:b/>
          <w:bCs/>
          <w:sz w:val="36"/>
          <w:szCs w:val="36"/>
        </w:rPr>
      </w:pPr>
    </w:p>
    <w:p w14:paraId="0F28D8F9" w14:textId="77777777" w:rsidR="004A33C7" w:rsidRDefault="004A33C7" w:rsidP="004A33C7">
      <w:pPr>
        <w:pStyle w:val="paragraph"/>
        <w:spacing w:before="0" w:after="0"/>
        <w:jc w:val="center"/>
        <w:textAlignment w:val="baseline"/>
        <w:rPr>
          <w:rStyle w:val="normaltextrun"/>
          <w:rFonts w:ascii="Calibri" w:hAnsi="Calibri" w:cs="Calibri"/>
          <w:b/>
          <w:bCs/>
          <w:sz w:val="36"/>
          <w:szCs w:val="36"/>
        </w:rPr>
      </w:pPr>
    </w:p>
    <w:p w14:paraId="2D187C02" w14:textId="77777777" w:rsidR="004A33C7" w:rsidRDefault="004A33C7" w:rsidP="004A33C7">
      <w:pPr>
        <w:pStyle w:val="paragraph"/>
        <w:spacing w:before="0" w:after="0"/>
        <w:jc w:val="center"/>
        <w:textAlignment w:val="baseline"/>
        <w:rPr>
          <w:rStyle w:val="normaltextrun"/>
          <w:rFonts w:ascii="Calibri" w:hAnsi="Calibri" w:cs="Calibri"/>
          <w:b/>
          <w:bCs/>
          <w:sz w:val="36"/>
          <w:szCs w:val="36"/>
        </w:rPr>
      </w:pPr>
    </w:p>
    <w:p w14:paraId="1F5A315E" w14:textId="77777777" w:rsidR="004A33C7" w:rsidRDefault="004A33C7" w:rsidP="004A33C7">
      <w:pPr>
        <w:pStyle w:val="paragraph"/>
        <w:spacing w:before="0" w:after="0"/>
        <w:jc w:val="center"/>
        <w:textAlignment w:val="baseline"/>
        <w:rPr>
          <w:rStyle w:val="normaltextrun"/>
          <w:rFonts w:ascii="Calibri" w:hAnsi="Calibri" w:cs="Calibri"/>
          <w:b/>
          <w:bCs/>
          <w:sz w:val="36"/>
          <w:szCs w:val="36"/>
        </w:rPr>
      </w:pPr>
    </w:p>
    <w:p w14:paraId="4BE2782C" w14:textId="77777777" w:rsidR="004A33C7" w:rsidRDefault="004A33C7" w:rsidP="004A33C7">
      <w:pPr>
        <w:pStyle w:val="paragraph"/>
        <w:spacing w:before="0" w:after="0"/>
        <w:jc w:val="center"/>
        <w:textAlignment w:val="baseline"/>
        <w:rPr>
          <w:rStyle w:val="normaltextrun"/>
          <w:rFonts w:ascii="Calibri" w:hAnsi="Calibri" w:cs="Calibri"/>
          <w:b/>
          <w:bCs/>
          <w:sz w:val="36"/>
          <w:szCs w:val="36"/>
        </w:rPr>
      </w:pPr>
    </w:p>
    <w:p w14:paraId="4A2912BD" w14:textId="77777777" w:rsidR="004A33C7" w:rsidRPr="00892FC3" w:rsidRDefault="004A33C7" w:rsidP="004A33C7">
      <w:pPr>
        <w:pStyle w:val="paragraph"/>
        <w:spacing w:before="0" w:after="0"/>
        <w:jc w:val="center"/>
        <w:textAlignment w:val="baseline"/>
        <w:rPr>
          <w:rFonts w:ascii="Segoe UI" w:hAnsi="Segoe UI" w:cs="Segoe UI"/>
          <w:sz w:val="36"/>
          <w:szCs w:val="36"/>
        </w:rPr>
      </w:pPr>
      <w:r w:rsidRPr="00892FC3">
        <w:rPr>
          <w:rStyle w:val="normaltextrun"/>
          <w:rFonts w:ascii="Calibri" w:hAnsi="Calibri" w:cs="Calibri"/>
          <w:b/>
          <w:bCs/>
          <w:sz w:val="36"/>
          <w:szCs w:val="36"/>
        </w:rPr>
        <w:t>703708451</w:t>
      </w:r>
      <w:r w:rsidRPr="00892FC3">
        <w:rPr>
          <w:rStyle w:val="eop"/>
          <w:rFonts w:ascii="Calibri" w:hAnsi="Calibri" w:cs="Calibri"/>
          <w:sz w:val="36"/>
          <w:szCs w:val="36"/>
        </w:rPr>
        <w:t> </w:t>
      </w:r>
    </w:p>
    <w:p w14:paraId="24C0C5F0" w14:textId="77777777" w:rsidR="004A33C7" w:rsidRPr="00892FC3" w:rsidRDefault="004A33C7" w:rsidP="004A33C7">
      <w:pPr>
        <w:pStyle w:val="paragraph"/>
        <w:spacing w:before="0" w:after="0"/>
        <w:textAlignment w:val="baseline"/>
        <w:rPr>
          <w:rFonts w:ascii="Segoe UI" w:hAnsi="Segoe UI" w:cs="Segoe UI"/>
          <w:sz w:val="36"/>
          <w:szCs w:val="36"/>
        </w:rPr>
      </w:pPr>
      <w:r w:rsidRPr="00892FC3">
        <w:rPr>
          <w:rStyle w:val="eop"/>
          <w:rFonts w:ascii="Calibri" w:hAnsi="Calibri" w:cs="Calibri"/>
          <w:sz w:val="36"/>
          <w:szCs w:val="36"/>
        </w:rPr>
        <w:t> </w:t>
      </w:r>
    </w:p>
    <w:p w14:paraId="12764389" w14:textId="77777777" w:rsidR="004A33C7" w:rsidRPr="00892FC3" w:rsidRDefault="004A33C7" w:rsidP="004A33C7">
      <w:pPr>
        <w:pStyle w:val="paragraph"/>
        <w:spacing w:before="0" w:after="0"/>
        <w:jc w:val="center"/>
        <w:textAlignment w:val="baseline"/>
        <w:rPr>
          <w:rFonts w:ascii="Segoe UI" w:hAnsi="Segoe UI" w:cs="Segoe UI"/>
          <w:sz w:val="36"/>
          <w:szCs w:val="36"/>
        </w:rPr>
      </w:pPr>
      <w:r w:rsidRPr="00892FC3">
        <w:rPr>
          <w:rStyle w:val="normaltextrun"/>
          <w:rFonts w:ascii="Calibri" w:hAnsi="Calibri" w:cs="Calibri"/>
          <w:b/>
          <w:bCs/>
          <w:caps/>
          <w:sz w:val="36"/>
          <w:szCs w:val="36"/>
          <w:lang w:val="fr-FR"/>
        </w:rPr>
        <w:t>THE PROVISION OF A LAND TRAINING TEST AND REFERENCE CAPABILITY (LTT&amp;RC)</w:t>
      </w:r>
      <w:r w:rsidRPr="00892FC3">
        <w:rPr>
          <w:rStyle w:val="eop"/>
          <w:rFonts w:ascii="Calibri" w:hAnsi="Calibri" w:cs="Calibri"/>
          <w:sz w:val="36"/>
          <w:szCs w:val="36"/>
        </w:rPr>
        <w:t> </w:t>
      </w:r>
    </w:p>
    <w:p w14:paraId="3DE5418A" w14:textId="77777777" w:rsidR="004A33C7" w:rsidRDefault="00AB2688" w:rsidP="004A33C7">
      <w:pPr>
        <w:jc w:val="center"/>
        <w:rPr>
          <w:b/>
          <w:bCs/>
          <w:sz w:val="36"/>
          <w:szCs w:val="36"/>
        </w:rPr>
      </w:pPr>
      <w:r>
        <w:rPr>
          <w:rFonts w:cs="Arial"/>
          <w:b/>
          <w:sz w:val="32"/>
          <w:szCs w:val="36"/>
          <w:lang w:val="fr-FR"/>
        </w:rPr>
        <w:tab/>
      </w:r>
    </w:p>
    <w:p w14:paraId="49E2D091" w14:textId="77777777" w:rsidR="004A33C7" w:rsidRPr="00892FC3" w:rsidRDefault="004A33C7" w:rsidP="004A33C7">
      <w:pPr>
        <w:rPr>
          <w:b/>
          <w:bCs/>
          <w:sz w:val="36"/>
          <w:szCs w:val="36"/>
        </w:rPr>
      </w:pPr>
    </w:p>
    <w:p w14:paraId="7C3EC507" w14:textId="1D6832AE" w:rsidR="007C2487" w:rsidRDefault="002E0C76" w:rsidP="004A33C7">
      <w:pPr>
        <w:tabs>
          <w:tab w:val="left" w:pos="6015"/>
        </w:tabs>
        <w:jc w:val="center"/>
        <w:rPr>
          <w:rFonts w:ascii="Arial Bold" w:hAnsi="Arial Bold" w:cs="Arial"/>
          <w:b/>
          <w:caps/>
          <w:sz w:val="36"/>
          <w:szCs w:val="36"/>
          <w:lang w:val="fr-FR"/>
        </w:rPr>
      </w:pPr>
      <w:r>
        <w:rPr>
          <w:rFonts w:ascii="Arial Bold" w:hAnsi="Arial Bold" w:cs="Arial"/>
          <w:b/>
          <w:caps/>
          <w:sz w:val="36"/>
          <w:szCs w:val="36"/>
          <w:lang w:val="fr-FR"/>
        </w:rPr>
        <w:t>Statement of Requirement</w:t>
      </w:r>
    </w:p>
    <w:p w14:paraId="667A6679" w14:textId="77777777" w:rsidR="007C2487" w:rsidRDefault="007C2487" w:rsidP="00253677">
      <w:pPr>
        <w:rPr>
          <w:rFonts w:ascii="Arial Bold" w:hAnsi="Arial Bold" w:cs="Arial"/>
          <w:b/>
          <w:caps/>
          <w:sz w:val="36"/>
          <w:szCs w:val="36"/>
          <w:lang w:val="fr-FR"/>
        </w:rPr>
      </w:pPr>
    </w:p>
    <w:p w14:paraId="00BA2A18" w14:textId="44F01474" w:rsidR="007C2487" w:rsidRDefault="004D29B3" w:rsidP="004D29B3">
      <w:pPr>
        <w:tabs>
          <w:tab w:val="left" w:pos="3615"/>
        </w:tabs>
        <w:rPr>
          <w:rFonts w:ascii="Arial Bold" w:hAnsi="Arial Bold" w:cs="Arial"/>
          <w:b/>
          <w:caps/>
          <w:sz w:val="36"/>
          <w:szCs w:val="36"/>
          <w:lang w:val="fr-FR"/>
        </w:rPr>
      </w:pPr>
      <w:r>
        <w:rPr>
          <w:rFonts w:ascii="Arial Bold" w:hAnsi="Arial Bold" w:cs="Arial"/>
          <w:b/>
          <w:caps/>
          <w:sz w:val="36"/>
          <w:szCs w:val="36"/>
          <w:lang w:val="fr-FR"/>
        </w:rPr>
        <w:tab/>
      </w:r>
    </w:p>
    <w:p w14:paraId="00ED910C" w14:textId="77777777" w:rsidR="007C2487" w:rsidRDefault="002E0C76">
      <w:pPr>
        <w:pStyle w:val="bodystrongcentred"/>
        <w:spacing w:after="240"/>
      </w:pPr>
      <w:r>
        <w:t>CONTENTS</w:t>
      </w:r>
    </w:p>
    <w:p w14:paraId="3E9B4D47" w14:textId="10B7DD7C" w:rsidR="00E24BF6" w:rsidRDefault="002E0C76" w:rsidP="00E24BF6">
      <w:pPr>
        <w:pStyle w:val="TOC1"/>
        <w:rPr>
          <w:rFonts w:asciiTheme="minorHAnsi" w:eastAsiaTheme="minorEastAsia" w:hAnsiTheme="minorHAnsi" w:cstheme="minorBidi"/>
          <w:noProof/>
          <w:lang w:eastAsia="en-GB"/>
        </w:rPr>
      </w:pPr>
      <w:r w:rsidRPr="00ED2C5D">
        <w:rPr>
          <w:rFonts w:asciiTheme="minorHAnsi" w:eastAsia="SimSun" w:hAnsiTheme="minorHAnsi" w:cstheme="minorHAnsi"/>
          <w:b/>
          <w:lang w:eastAsia="en-GB"/>
        </w:rPr>
        <w:fldChar w:fldCharType="begin"/>
      </w:r>
      <w:r w:rsidRPr="00ED2C5D">
        <w:rPr>
          <w:rFonts w:asciiTheme="minorHAnsi" w:hAnsiTheme="minorHAnsi" w:cstheme="minorHAnsi"/>
        </w:rPr>
        <w:instrText xml:space="preserve"> TOC \o "1-3" \u \h </w:instrText>
      </w:r>
      <w:r w:rsidRPr="00ED2C5D">
        <w:rPr>
          <w:rFonts w:asciiTheme="minorHAnsi" w:eastAsia="SimSun" w:hAnsiTheme="minorHAnsi" w:cstheme="minorHAnsi"/>
          <w:b/>
          <w:lang w:eastAsia="en-GB"/>
        </w:rPr>
        <w:fldChar w:fldCharType="separate"/>
      </w:r>
      <w:hyperlink w:anchor="_Toc112330477" w:history="1">
        <w:r w:rsidR="00E24BF6" w:rsidRPr="003C3068">
          <w:rPr>
            <w:rStyle w:val="Hyperlink"/>
            <w:rFonts w:cs="Calibri"/>
            <w:noProof/>
          </w:rPr>
          <w:t>1.</w:t>
        </w:r>
        <w:r w:rsidR="00E24BF6">
          <w:rPr>
            <w:rFonts w:asciiTheme="minorHAnsi" w:eastAsiaTheme="minorEastAsia" w:hAnsiTheme="minorHAnsi" w:cstheme="minorBidi"/>
            <w:noProof/>
            <w:lang w:eastAsia="en-GB"/>
          </w:rPr>
          <w:tab/>
        </w:r>
        <w:r w:rsidR="00E24BF6" w:rsidRPr="003C3068">
          <w:rPr>
            <w:rStyle w:val="Hyperlink"/>
            <w:rFonts w:cs="Calibri"/>
            <w:noProof/>
          </w:rPr>
          <w:t>PURPOSE</w:t>
        </w:r>
        <w:r w:rsidR="00E24BF6">
          <w:rPr>
            <w:noProof/>
          </w:rPr>
          <w:tab/>
        </w:r>
        <w:r w:rsidR="00E24BF6">
          <w:rPr>
            <w:noProof/>
          </w:rPr>
          <w:fldChar w:fldCharType="begin"/>
        </w:r>
        <w:r w:rsidR="00E24BF6">
          <w:rPr>
            <w:noProof/>
          </w:rPr>
          <w:instrText xml:space="preserve"> PAGEREF _Toc112330477 \h </w:instrText>
        </w:r>
        <w:r w:rsidR="00E24BF6">
          <w:rPr>
            <w:noProof/>
          </w:rPr>
        </w:r>
        <w:r w:rsidR="00E24BF6">
          <w:rPr>
            <w:noProof/>
          </w:rPr>
          <w:fldChar w:fldCharType="separate"/>
        </w:r>
        <w:r w:rsidR="00FF3149">
          <w:rPr>
            <w:noProof/>
          </w:rPr>
          <w:t>2</w:t>
        </w:r>
        <w:r w:rsidR="00E24BF6">
          <w:rPr>
            <w:noProof/>
          </w:rPr>
          <w:fldChar w:fldCharType="end"/>
        </w:r>
      </w:hyperlink>
    </w:p>
    <w:p w14:paraId="66F083D1" w14:textId="4BA6D330" w:rsidR="00E24BF6" w:rsidRDefault="00FF3149" w:rsidP="00E24BF6">
      <w:pPr>
        <w:pStyle w:val="TOC1"/>
        <w:rPr>
          <w:rFonts w:asciiTheme="minorHAnsi" w:eastAsiaTheme="minorEastAsia" w:hAnsiTheme="minorHAnsi" w:cstheme="minorBidi"/>
          <w:noProof/>
          <w:lang w:eastAsia="en-GB"/>
        </w:rPr>
      </w:pPr>
      <w:hyperlink w:anchor="_Toc112330478" w:history="1">
        <w:r w:rsidR="00E24BF6" w:rsidRPr="003C3068">
          <w:rPr>
            <w:rStyle w:val="Hyperlink"/>
            <w:rFonts w:cs="Calibri"/>
            <w:noProof/>
          </w:rPr>
          <w:t>2.</w:t>
        </w:r>
        <w:r w:rsidR="00E24BF6">
          <w:rPr>
            <w:rFonts w:asciiTheme="minorHAnsi" w:eastAsiaTheme="minorEastAsia" w:hAnsiTheme="minorHAnsi" w:cstheme="minorBidi"/>
            <w:noProof/>
            <w:lang w:eastAsia="en-GB"/>
          </w:rPr>
          <w:tab/>
        </w:r>
        <w:r w:rsidR="00E24BF6" w:rsidRPr="003C3068">
          <w:rPr>
            <w:rStyle w:val="Hyperlink"/>
            <w:rFonts w:cs="Calibri"/>
            <w:noProof/>
          </w:rPr>
          <w:t>BACKGROUND</w:t>
        </w:r>
        <w:r w:rsidR="00E24BF6">
          <w:rPr>
            <w:noProof/>
          </w:rPr>
          <w:tab/>
        </w:r>
        <w:r w:rsidR="00E24BF6">
          <w:rPr>
            <w:noProof/>
          </w:rPr>
          <w:fldChar w:fldCharType="begin"/>
        </w:r>
        <w:r w:rsidR="00E24BF6">
          <w:rPr>
            <w:noProof/>
          </w:rPr>
          <w:instrText xml:space="preserve"> PAGEREF _Toc112330478 \h </w:instrText>
        </w:r>
        <w:r w:rsidR="00E24BF6">
          <w:rPr>
            <w:noProof/>
          </w:rPr>
        </w:r>
        <w:r w:rsidR="00E24BF6">
          <w:rPr>
            <w:noProof/>
          </w:rPr>
          <w:fldChar w:fldCharType="separate"/>
        </w:r>
        <w:r>
          <w:rPr>
            <w:noProof/>
          </w:rPr>
          <w:t>2</w:t>
        </w:r>
        <w:r w:rsidR="00E24BF6">
          <w:rPr>
            <w:noProof/>
          </w:rPr>
          <w:fldChar w:fldCharType="end"/>
        </w:r>
      </w:hyperlink>
    </w:p>
    <w:p w14:paraId="33FDDFC3" w14:textId="28E5627C" w:rsidR="00E24BF6" w:rsidRDefault="00FF3149" w:rsidP="00E24BF6">
      <w:pPr>
        <w:pStyle w:val="TOC1"/>
        <w:rPr>
          <w:rFonts w:asciiTheme="minorHAnsi" w:eastAsiaTheme="minorEastAsia" w:hAnsiTheme="minorHAnsi" w:cstheme="minorBidi"/>
          <w:noProof/>
          <w:lang w:eastAsia="en-GB"/>
        </w:rPr>
      </w:pPr>
      <w:hyperlink w:anchor="_Toc112330479" w:history="1">
        <w:r w:rsidR="00E24BF6" w:rsidRPr="003C3068">
          <w:rPr>
            <w:rStyle w:val="Hyperlink"/>
            <w:rFonts w:cs="Calibri"/>
            <w:noProof/>
          </w:rPr>
          <w:t>3.</w:t>
        </w:r>
        <w:r w:rsidR="00E24BF6">
          <w:rPr>
            <w:rFonts w:asciiTheme="minorHAnsi" w:eastAsiaTheme="minorEastAsia" w:hAnsiTheme="minorHAnsi" w:cstheme="minorBidi"/>
            <w:noProof/>
            <w:lang w:eastAsia="en-GB"/>
          </w:rPr>
          <w:tab/>
        </w:r>
        <w:r w:rsidR="00E24BF6" w:rsidRPr="003C3068">
          <w:rPr>
            <w:rStyle w:val="Hyperlink"/>
            <w:rFonts w:cs="Calibri"/>
            <w:noProof/>
          </w:rPr>
          <w:t>OBJECTIVES</w:t>
        </w:r>
        <w:r w:rsidR="00E24BF6">
          <w:rPr>
            <w:noProof/>
          </w:rPr>
          <w:tab/>
        </w:r>
        <w:r w:rsidR="00E24BF6">
          <w:rPr>
            <w:noProof/>
          </w:rPr>
          <w:fldChar w:fldCharType="begin"/>
        </w:r>
        <w:r w:rsidR="00E24BF6">
          <w:rPr>
            <w:noProof/>
          </w:rPr>
          <w:instrText xml:space="preserve"> PAGEREF _Toc112330479 \h </w:instrText>
        </w:r>
        <w:r w:rsidR="00E24BF6">
          <w:rPr>
            <w:noProof/>
          </w:rPr>
        </w:r>
        <w:r w:rsidR="00E24BF6">
          <w:rPr>
            <w:noProof/>
          </w:rPr>
          <w:fldChar w:fldCharType="separate"/>
        </w:r>
        <w:r>
          <w:rPr>
            <w:noProof/>
          </w:rPr>
          <w:t>2</w:t>
        </w:r>
        <w:r w:rsidR="00E24BF6">
          <w:rPr>
            <w:noProof/>
          </w:rPr>
          <w:fldChar w:fldCharType="end"/>
        </w:r>
      </w:hyperlink>
    </w:p>
    <w:p w14:paraId="2D7E18D4" w14:textId="30F56D57" w:rsidR="00E24BF6" w:rsidRDefault="00FF3149" w:rsidP="00E24BF6">
      <w:pPr>
        <w:pStyle w:val="TOC1"/>
        <w:rPr>
          <w:rFonts w:asciiTheme="minorHAnsi" w:eastAsiaTheme="minorEastAsia" w:hAnsiTheme="minorHAnsi" w:cstheme="minorBidi"/>
          <w:noProof/>
          <w:lang w:eastAsia="en-GB"/>
        </w:rPr>
      </w:pPr>
      <w:hyperlink w:anchor="_Toc112330480" w:history="1">
        <w:r w:rsidR="00E24BF6" w:rsidRPr="003C3068">
          <w:rPr>
            <w:rStyle w:val="Hyperlink"/>
            <w:rFonts w:cs="Calibri"/>
            <w:noProof/>
          </w:rPr>
          <w:t>4.</w:t>
        </w:r>
        <w:r w:rsidR="00E24BF6">
          <w:rPr>
            <w:rFonts w:asciiTheme="minorHAnsi" w:eastAsiaTheme="minorEastAsia" w:hAnsiTheme="minorHAnsi" w:cstheme="minorBidi"/>
            <w:noProof/>
            <w:lang w:eastAsia="en-GB"/>
          </w:rPr>
          <w:tab/>
        </w:r>
        <w:r w:rsidR="00E24BF6" w:rsidRPr="003C3068">
          <w:rPr>
            <w:rStyle w:val="Hyperlink"/>
            <w:rFonts w:cs="Calibri"/>
            <w:noProof/>
          </w:rPr>
          <w:t>SCOPE</w:t>
        </w:r>
        <w:r w:rsidR="00E24BF6">
          <w:rPr>
            <w:noProof/>
          </w:rPr>
          <w:tab/>
        </w:r>
        <w:r w:rsidR="00E24BF6">
          <w:rPr>
            <w:noProof/>
          </w:rPr>
          <w:fldChar w:fldCharType="begin"/>
        </w:r>
        <w:r w:rsidR="00E24BF6">
          <w:rPr>
            <w:noProof/>
          </w:rPr>
          <w:instrText xml:space="preserve"> PAGEREF _Toc112330480 \h </w:instrText>
        </w:r>
        <w:r w:rsidR="00E24BF6">
          <w:rPr>
            <w:noProof/>
          </w:rPr>
        </w:r>
        <w:r w:rsidR="00E24BF6">
          <w:rPr>
            <w:noProof/>
          </w:rPr>
          <w:fldChar w:fldCharType="separate"/>
        </w:r>
        <w:r>
          <w:rPr>
            <w:noProof/>
          </w:rPr>
          <w:t>3</w:t>
        </w:r>
        <w:r w:rsidR="00E24BF6">
          <w:rPr>
            <w:noProof/>
          </w:rPr>
          <w:fldChar w:fldCharType="end"/>
        </w:r>
      </w:hyperlink>
    </w:p>
    <w:p w14:paraId="598B4073" w14:textId="6A14F802" w:rsidR="00E24BF6" w:rsidRDefault="00FF3149" w:rsidP="00E24BF6">
      <w:pPr>
        <w:pStyle w:val="TOC1"/>
        <w:rPr>
          <w:rFonts w:asciiTheme="minorHAnsi" w:eastAsiaTheme="minorEastAsia" w:hAnsiTheme="minorHAnsi" w:cstheme="minorBidi"/>
          <w:noProof/>
          <w:lang w:eastAsia="en-GB"/>
        </w:rPr>
      </w:pPr>
      <w:hyperlink w:anchor="_Toc112330481" w:history="1">
        <w:r w:rsidR="00E24BF6" w:rsidRPr="003C3068">
          <w:rPr>
            <w:rStyle w:val="Hyperlink"/>
            <w:rFonts w:cs="Calibri"/>
            <w:noProof/>
          </w:rPr>
          <w:t>5.</w:t>
        </w:r>
        <w:r w:rsidR="00E24BF6">
          <w:rPr>
            <w:rFonts w:asciiTheme="minorHAnsi" w:eastAsiaTheme="minorEastAsia" w:hAnsiTheme="minorHAnsi" w:cstheme="minorBidi"/>
            <w:noProof/>
            <w:lang w:eastAsia="en-GB"/>
          </w:rPr>
          <w:tab/>
        </w:r>
        <w:r w:rsidR="00E24BF6" w:rsidRPr="003C3068">
          <w:rPr>
            <w:rStyle w:val="Hyperlink"/>
            <w:rFonts w:cs="Calibri"/>
            <w:noProof/>
          </w:rPr>
          <w:t>DURATION</w:t>
        </w:r>
        <w:r w:rsidR="00E24BF6">
          <w:rPr>
            <w:noProof/>
          </w:rPr>
          <w:tab/>
        </w:r>
        <w:r w:rsidR="00E24BF6">
          <w:rPr>
            <w:noProof/>
          </w:rPr>
          <w:fldChar w:fldCharType="begin"/>
        </w:r>
        <w:r w:rsidR="00E24BF6">
          <w:rPr>
            <w:noProof/>
          </w:rPr>
          <w:instrText xml:space="preserve"> PAGEREF _Toc112330481 \h </w:instrText>
        </w:r>
        <w:r w:rsidR="00E24BF6">
          <w:rPr>
            <w:noProof/>
          </w:rPr>
        </w:r>
        <w:r w:rsidR="00E24BF6">
          <w:rPr>
            <w:noProof/>
          </w:rPr>
          <w:fldChar w:fldCharType="separate"/>
        </w:r>
        <w:r>
          <w:rPr>
            <w:noProof/>
          </w:rPr>
          <w:t>3</w:t>
        </w:r>
        <w:r w:rsidR="00E24BF6">
          <w:rPr>
            <w:noProof/>
          </w:rPr>
          <w:fldChar w:fldCharType="end"/>
        </w:r>
      </w:hyperlink>
    </w:p>
    <w:p w14:paraId="4E3467E6" w14:textId="225956CE" w:rsidR="00E24BF6" w:rsidRDefault="00FF3149" w:rsidP="00E24BF6">
      <w:pPr>
        <w:pStyle w:val="TOC1"/>
        <w:rPr>
          <w:rFonts w:asciiTheme="minorHAnsi" w:eastAsiaTheme="minorEastAsia" w:hAnsiTheme="minorHAnsi" w:cstheme="minorBidi"/>
          <w:noProof/>
          <w:lang w:eastAsia="en-GB"/>
        </w:rPr>
      </w:pPr>
      <w:hyperlink w:anchor="_Toc112330482" w:history="1">
        <w:r w:rsidR="00E24BF6" w:rsidRPr="003C3068">
          <w:rPr>
            <w:rStyle w:val="Hyperlink"/>
            <w:rFonts w:cs="Calibri"/>
            <w:noProof/>
          </w:rPr>
          <w:t>6.</w:t>
        </w:r>
        <w:r w:rsidR="00E24BF6">
          <w:rPr>
            <w:rFonts w:asciiTheme="minorHAnsi" w:eastAsiaTheme="minorEastAsia" w:hAnsiTheme="minorHAnsi" w:cstheme="minorBidi"/>
            <w:noProof/>
            <w:lang w:eastAsia="en-GB"/>
          </w:rPr>
          <w:tab/>
        </w:r>
        <w:r w:rsidR="00E24BF6" w:rsidRPr="003C3068">
          <w:rPr>
            <w:rStyle w:val="Hyperlink"/>
            <w:rFonts w:cs="Calibri"/>
            <w:noProof/>
          </w:rPr>
          <w:t>LOCATION</w:t>
        </w:r>
        <w:r w:rsidR="00E24BF6">
          <w:rPr>
            <w:noProof/>
          </w:rPr>
          <w:tab/>
        </w:r>
        <w:r w:rsidR="00E24BF6">
          <w:rPr>
            <w:noProof/>
          </w:rPr>
          <w:fldChar w:fldCharType="begin"/>
        </w:r>
        <w:r w:rsidR="00E24BF6">
          <w:rPr>
            <w:noProof/>
          </w:rPr>
          <w:instrText xml:space="preserve"> PAGEREF _Toc112330482 \h </w:instrText>
        </w:r>
        <w:r w:rsidR="00E24BF6">
          <w:rPr>
            <w:noProof/>
          </w:rPr>
        </w:r>
        <w:r w:rsidR="00E24BF6">
          <w:rPr>
            <w:noProof/>
          </w:rPr>
          <w:fldChar w:fldCharType="separate"/>
        </w:r>
        <w:r>
          <w:rPr>
            <w:noProof/>
          </w:rPr>
          <w:t>3</w:t>
        </w:r>
        <w:r w:rsidR="00E24BF6">
          <w:rPr>
            <w:noProof/>
          </w:rPr>
          <w:fldChar w:fldCharType="end"/>
        </w:r>
      </w:hyperlink>
    </w:p>
    <w:p w14:paraId="4B82C084" w14:textId="0FEF2009" w:rsidR="00E24BF6" w:rsidRDefault="00FF3149" w:rsidP="00E24BF6">
      <w:pPr>
        <w:pStyle w:val="TOC1"/>
        <w:rPr>
          <w:rFonts w:asciiTheme="minorHAnsi" w:eastAsiaTheme="minorEastAsia" w:hAnsiTheme="minorHAnsi" w:cstheme="minorBidi"/>
          <w:noProof/>
          <w:lang w:eastAsia="en-GB"/>
        </w:rPr>
      </w:pPr>
      <w:hyperlink w:anchor="_Toc112330483" w:history="1">
        <w:r w:rsidR="00E24BF6" w:rsidRPr="003C3068">
          <w:rPr>
            <w:rStyle w:val="Hyperlink"/>
            <w:rFonts w:cs="Calibri"/>
            <w:noProof/>
          </w:rPr>
          <w:t>7.</w:t>
        </w:r>
        <w:r w:rsidR="00E24BF6">
          <w:rPr>
            <w:rFonts w:asciiTheme="minorHAnsi" w:eastAsiaTheme="minorEastAsia" w:hAnsiTheme="minorHAnsi" w:cstheme="minorBidi"/>
            <w:noProof/>
            <w:lang w:eastAsia="en-GB"/>
          </w:rPr>
          <w:tab/>
        </w:r>
        <w:r w:rsidR="00E24BF6" w:rsidRPr="003C3068">
          <w:rPr>
            <w:rStyle w:val="Hyperlink"/>
            <w:rFonts w:cs="Calibri"/>
            <w:noProof/>
          </w:rPr>
          <w:t>REQUIREMENT</w:t>
        </w:r>
        <w:r w:rsidR="00E24BF6">
          <w:rPr>
            <w:noProof/>
          </w:rPr>
          <w:tab/>
        </w:r>
        <w:r w:rsidR="00E24BF6">
          <w:rPr>
            <w:noProof/>
          </w:rPr>
          <w:fldChar w:fldCharType="begin"/>
        </w:r>
        <w:r w:rsidR="00E24BF6">
          <w:rPr>
            <w:noProof/>
          </w:rPr>
          <w:instrText xml:space="preserve"> PAGEREF _Toc112330483 \h </w:instrText>
        </w:r>
        <w:r w:rsidR="00E24BF6">
          <w:rPr>
            <w:noProof/>
          </w:rPr>
        </w:r>
        <w:r w:rsidR="00E24BF6">
          <w:rPr>
            <w:noProof/>
          </w:rPr>
          <w:fldChar w:fldCharType="separate"/>
        </w:r>
        <w:r>
          <w:rPr>
            <w:noProof/>
          </w:rPr>
          <w:t>3</w:t>
        </w:r>
        <w:r w:rsidR="00E24BF6">
          <w:rPr>
            <w:noProof/>
          </w:rPr>
          <w:fldChar w:fldCharType="end"/>
        </w:r>
      </w:hyperlink>
    </w:p>
    <w:p w14:paraId="7220593F" w14:textId="3114DA85" w:rsidR="00E24BF6" w:rsidRDefault="00FF3149" w:rsidP="00E24BF6">
      <w:pPr>
        <w:pStyle w:val="TOC1"/>
        <w:rPr>
          <w:rFonts w:asciiTheme="minorHAnsi" w:eastAsiaTheme="minorEastAsia" w:hAnsiTheme="minorHAnsi" w:cstheme="minorBidi"/>
          <w:noProof/>
          <w:lang w:eastAsia="en-GB"/>
        </w:rPr>
      </w:pPr>
      <w:hyperlink w:anchor="_Toc112330484" w:history="1">
        <w:r w:rsidR="00E24BF6" w:rsidRPr="003C3068">
          <w:rPr>
            <w:rStyle w:val="Hyperlink"/>
            <w:rFonts w:cs="Calibri"/>
            <w:noProof/>
          </w:rPr>
          <w:t>8.</w:t>
        </w:r>
        <w:r w:rsidR="00E24BF6">
          <w:rPr>
            <w:rFonts w:asciiTheme="minorHAnsi" w:eastAsiaTheme="minorEastAsia" w:hAnsiTheme="minorHAnsi" w:cstheme="minorBidi"/>
            <w:noProof/>
            <w:lang w:eastAsia="en-GB"/>
          </w:rPr>
          <w:tab/>
        </w:r>
        <w:r w:rsidR="00E24BF6" w:rsidRPr="003C3068">
          <w:rPr>
            <w:rStyle w:val="Hyperlink"/>
            <w:rFonts w:cs="Calibri"/>
            <w:noProof/>
          </w:rPr>
          <w:t>DELIVERABLES</w:t>
        </w:r>
        <w:r w:rsidR="00E24BF6">
          <w:rPr>
            <w:noProof/>
          </w:rPr>
          <w:tab/>
        </w:r>
        <w:r w:rsidR="00E24BF6">
          <w:rPr>
            <w:noProof/>
          </w:rPr>
          <w:fldChar w:fldCharType="begin"/>
        </w:r>
        <w:r w:rsidR="00E24BF6">
          <w:rPr>
            <w:noProof/>
          </w:rPr>
          <w:instrText xml:space="preserve"> PAGEREF _Toc112330484 \h </w:instrText>
        </w:r>
        <w:r w:rsidR="00E24BF6">
          <w:rPr>
            <w:noProof/>
          </w:rPr>
        </w:r>
        <w:r w:rsidR="00E24BF6">
          <w:rPr>
            <w:noProof/>
          </w:rPr>
          <w:fldChar w:fldCharType="separate"/>
        </w:r>
        <w:r>
          <w:rPr>
            <w:noProof/>
          </w:rPr>
          <w:t>3</w:t>
        </w:r>
        <w:r w:rsidR="00E24BF6">
          <w:rPr>
            <w:noProof/>
          </w:rPr>
          <w:fldChar w:fldCharType="end"/>
        </w:r>
      </w:hyperlink>
    </w:p>
    <w:p w14:paraId="5E0CC929" w14:textId="01CB1C97" w:rsidR="00E24BF6" w:rsidRDefault="00FF3149" w:rsidP="00E24BF6">
      <w:pPr>
        <w:pStyle w:val="TOC1"/>
        <w:rPr>
          <w:rFonts w:asciiTheme="minorHAnsi" w:eastAsiaTheme="minorEastAsia" w:hAnsiTheme="minorHAnsi" w:cstheme="minorBidi"/>
          <w:noProof/>
          <w:lang w:eastAsia="en-GB"/>
        </w:rPr>
      </w:pPr>
      <w:hyperlink w:anchor="_Toc112330485" w:history="1">
        <w:r w:rsidR="00E24BF6" w:rsidRPr="003C3068">
          <w:rPr>
            <w:rStyle w:val="Hyperlink"/>
            <w:rFonts w:cs="Calibri"/>
            <w:noProof/>
          </w:rPr>
          <w:t>9.</w:t>
        </w:r>
        <w:r w:rsidR="00E24BF6">
          <w:rPr>
            <w:rFonts w:asciiTheme="minorHAnsi" w:eastAsiaTheme="minorEastAsia" w:hAnsiTheme="minorHAnsi" w:cstheme="minorBidi"/>
            <w:noProof/>
            <w:lang w:eastAsia="en-GB"/>
          </w:rPr>
          <w:tab/>
        </w:r>
        <w:r w:rsidR="00E24BF6" w:rsidRPr="003C3068">
          <w:rPr>
            <w:rStyle w:val="Hyperlink"/>
            <w:rFonts w:cs="Calibri"/>
            <w:noProof/>
          </w:rPr>
          <w:t>PAYMENT</w:t>
        </w:r>
        <w:r w:rsidR="00E24BF6">
          <w:rPr>
            <w:noProof/>
          </w:rPr>
          <w:tab/>
        </w:r>
        <w:r w:rsidR="00E24BF6">
          <w:rPr>
            <w:noProof/>
          </w:rPr>
          <w:fldChar w:fldCharType="begin"/>
        </w:r>
        <w:r w:rsidR="00E24BF6">
          <w:rPr>
            <w:noProof/>
          </w:rPr>
          <w:instrText xml:space="preserve"> PAGEREF _Toc112330485 \h </w:instrText>
        </w:r>
        <w:r w:rsidR="00E24BF6">
          <w:rPr>
            <w:noProof/>
          </w:rPr>
        </w:r>
        <w:r w:rsidR="00E24BF6">
          <w:rPr>
            <w:noProof/>
          </w:rPr>
          <w:fldChar w:fldCharType="separate"/>
        </w:r>
        <w:r>
          <w:rPr>
            <w:noProof/>
          </w:rPr>
          <w:t>8</w:t>
        </w:r>
        <w:r w:rsidR="00E24BF6">
          <w:rPr>
            <w:noProof/>
          </w:rPr>
          <w:fldChar w:fldCharType="end"/>
        </w:r>
      </w:hyperlink>
    </w:p>
    <w:p w14:paraId="2B8E0CBA" w14:textId="0D8EB221" w:rsidR="00E24BF6" w:rsidRDefault="00FF3149" w:rsidP="00E24BF6">
      <w:pPr>
        <w:pStyle w:val="TOC1"/>
        <w:rPr>
          <w:rFonts w:asciiTheme="minorHAnsi" w:eastAsiaTheme="minorEastAsia" w:hAnsiTheme="minorHAnsi" w:cstheme="minorBidi"/>
          <w:noProof/>
          <w:lang w:eastAsia="en-GB"/>
        </w:rPr>
      </w:pPr>
      <w:hyperlink w:anchor="_Toc112330486" w:history="1">
        <w:r w:rsidR="00E24BF6" w:rsidRPr="003C3068">
          <w:rPr>
            <w:rStyle w:val="Hyperlink"/>
            <w:rFonts w:cs="Calibri"/>
            <w:noProof/>
          </w:rPr>
          <w:t>10.</w:t>
        </w:r>
        <w:r w:rsidR="00E24BF6">
          <w:rPr>
            <w:rFonts w:asciiTheme="minorHAnsi" w:eastAsiaTheme="minorEastAsia" w:hAnsiTheme="minorHAnsi" w:cstheme="minorBidi"/>
            <w:noProof/>
            <w:lang w:eastAsia="en-GB"/>
          </w:rPr>
          <w:tab/>
        </w:r>
        <w:r w:rsidR="00E24BF6" w:rsidRPr="003C3068">
          <w:rPr>
            <w:rStyle w:val="Hyperlink"/>
            <w:rFonts w:cs="Calibri"/>
            <w:noProof/>
          </w:rPr>
          <w:t>ACCEPTANCE CRITERIA AND CONTRACT MANAGEMENT ARRANGEMENTS</w:t>
        </w:r>
        <w:r w:rsidR="00E24BF6">
          <w:rPr>
            <w:noProof/>
          </w:rPr>
          <w:tab/>
        </w:r>
        <w:r w:rsidR="00E24BF6">
          <w:rPr>
            <w:noProof/>
          </w:rPr>
          <w:fldChar w:fldCharType="begin"/>
        </w:r>
        <w:r w:rsidR="00E24BF6">
          <w:rPr>
            <w:noProof/>
          </w:rPr>
          <w:instrText xml:space="preserve"> PAGEREF _Toc112330486 \h </w:instrText>
        </w:r>
        <w:r w:rsidR="00E24BF6">
          <w:rPr>
            <w:noProof/>
          </w:rPr>
        </w:r>
        <w:r w:rsidR="00E24BF6">
          <w:rPr>
            <w:noProof/>
          </w:rPr>
          <w:fldChar w:fldCharType="separate"/>
        </w:r>
        <w:r>
          <w:rPr>
            <w:noProof/>
          </w:rPr>
          <w:t>8</w:t>
        </w:r>
        <w:r w:rsidR="00E24BF6">
          <w:rPr>
            <w:noProof/>
          </w:rPr>
          <w:fldChar w:fldCharType="end"/>
        </w:r>
      </w:hyperlink>
    </w:p>
    <w:p w14:paraId="038B0574" w14:textId="43D450F7" w:rsidR="00E24BF6" w:rsidRDefault="00FF3149" w:rsidP="00E24BF6">
      <w:pPr>
        <w:pStyle w:val="TOC1"/>
        <w:rPr>
          <w:rFonts w:asciiTheme="minorHAnsi" w:eastAsiaTheme="minorEastAsia" w:hAnsiTheme="minorHAnsi" w:cstheme="minorBidi"/>
          <w:noProof/>
          <w:lang w:eastAsia="en-GB"/>
        </w:rPr>
      </w:pPr>
      <w:hyperlink w:anchor="_Toc112330487" w:history="1">
        <w:r w:rsidR="00E24BF6" w:rsidRPr="003C3068">
          <w:rPr>
            <w:rStyle w:val="Hyperlink"/>
            <w:rFonts w:cstheme="minorHAnsi"/>
            <w:noProof/>
          </w:rPr>
          <w:t>11.</w:t>
        </w:r>
        <w:r w:rsidR="00E24BF6">
          <w:rPr>
            <w:rFonts w:asciiTheme="minorHAnsi" w:eastAsiaTheme="minorEastAsia" w:hAnsiTheme="minorHAnsi" w:cstheme="minorBidi"/>
            <w:noProof/>
            <w:lang w:eastAsia="en-GB"/>
          </w:rPr>
          <w:tab/>
        </w:r>
        <w:r w:rsidR="00E24BF6" w:rsidRPr="00E24BF6">
          <w:rPr>
            <w:rStyle w:val="Hyperlink"/>
            <w:rFonts w:cstheme="minorHAnsi"/>
            <w:caps/>
            <w:noProof/>
          </w:rPr>
          <w:t>Performance Monitoring</w:t>
        </w:r>
        <w:r w:rsidR="00E24BF6">
          <w:rPr>
            <w:noProof/>
          </w:rPr>
          <w:tab/>
        </w:r>
        <w:r w:rsidR="00E24BF6">
          <w:rPr>
            <w:noProof/>
          </w:rPr>
          <w:fldChar w:fldCharType="begin"/>
        </w:r>
        <w:r w:rsidR="00E24BF6">
          <w:rPr>
            <w:noProof/>
          </w:rPr>
          <w:instrText xml:space="preserve"> PAGEREF _Toc112330487 \h </w:instrText>
        </w:r>
        <w:r w:rsidR="00E24BF6">
          <w:rPr>
            <w:noProof/>
          </w:rPr>
        </w:r>
        <w:r w:rsidR="00E24BF6">
          <w:rPr>
            <w:noProof/>
          </w:rPr>
          <w:fldChar w:fldCharType="separate"/>
        </w:r>
        <w:r>
          <w:rPr>
            <w:noProof/>
          </w:rPr>
          <w:t>8</w:t>
        </w:r>
        <w:r w:rsidR="00E24BF6">
          <w:rPr>
            <w:noProof/>
          </w:rPr>
          <w:fldChar w:fldCharType="end"/>
        </w:r>
      </w:hyperlink>
    </w:p>
    <w:p w14:paraId="075CEA5E" w14:textId="1B4158BD" w:rsidR="00E24BF6" w:rsidRDefault="00FF3149" w:rsidP="00E24BF6">
      <w:pPr>
        <w:pStyle w:val="TOC1"/>
        <w:rPr>
          <w:rFonts w:asciiTheme="minorHAnsi" w:eastAsiaTheme="minorEastAsia" w:hAnsiTheme="minorHAnsi" w:cstheme="minorBidi"/>
          <w:noProof/>
          <w:lang w:eastAsia="en-GB"/>
        </w:rPr>
      </w:pPr>
      <w:hyperlink w:anchor="_Toc112330488" w:history="1">
        <w:r w:rsidR="00E24BF6" w:rsidRPr="003C3068">
          <w:rPr>
            <w:rStyle w:val="Hyperlink"/>
            <w:rFonts w:cstheme="minorHAnsi"/>
            <w:noProof/>
          </w:rPr>
          <w:t>12.</w:t>
        </w:r>
        <w:r w:rsidR="00E24BF6">
          <w:rPr>
            <w:rFonts w:asciiTheme="minorHAnsi" w:eastAsiaTheme="minorEastAsia" w:hAnsiTheme="minorHAnsi" w:cstheme="minorBidi"/>
            <w:noProof/>
            <w:lang w:eastAsia="en-GB"/>
          </w:rPr>
          <w:tab/>
        </w:r>
        <w:r w:rsidR="00E24BF6" w:rsidRPr="003C3068">
          <w:rPr>
            <w:rStyle w:val="Hyperlink"/>
            <w:rFonts w:cstheme="minorHAnsi"/>
            <w:noProof/>
          </w:rPr>
          <w:t>SECURITY REQUIREMENTS</w:t>
        </w:r>
        <w:r w:rsidR="00E24BF6">
          <w:rPr>
            <w:noProof/>
          </w:rPr>
          <w:tab/>
        </w:r>
        <w:r w:rsidR="00E24BF6">
          <w:rPr>
            <w:noProof/>
          </w:rPr>
          <w:fldChar w:fldCharType="begin"/>
        </w:r>
        <w:r w:rsidR="00E24BF6">
          <w:rPr>
            <w:noProof/>
          </w:rPr>
          <w:instrText xml:space="preserve"> PAGEREF _Toc112330488 \h </w:instrText>
        </w:r>
        <w:r w:rsidR="00E24BF6">
          <w:rPr>
            <w:noProof/>
          </w:rPr>
        </w:r>
        <w:r w:rsidR="00E24BF6">
          <w:rPr>
            <w:noProof/>
          </w:rPr>
          <w:fldChar w:fldCharType="separate"/>
        </w:r>
        <w:r>
          <w:rPr>
            <w:noProof/>
          </w:rPr>
          <w:t>8</w:t>
        </w:r>
        <w:r w:rsidR="00E24BF6">
          <w:rPr>
            <w:noProof/>
          </w:rPr>
          <w:fldChar w:fldCharType="end"/>
        </w:r>
      </w:hyperlink>
    </w:p>
    <w:p w14:paraId="1297C69B" w14:textId="334EC37A" w:rsidR="00E24BF6" w:rsidRDefault="00FF3149" w:rsidP="00E24BF6">
      <w:pPr>
        <w:pStyle w:val="TOC1"/>
        <w:rPr>
          <w:rFonts w:asciiTheme="minorHAnsi" w:eastAsiaTheme="minorEastAsia" w:hAnsiTheme="minorHAnsi" w:cstheme="minorBidi"/>
          <w:noProof/>
          <w:lang w:eastAsia="en-GB"/>
        </w:rPr>
      </w:pPr>
      <w:hyperlink w:anchor="_Toc112330489" w:history="1">
        <w:r w:rsidR="00E24BF6" w:rsidRPr="003C3068">
          <w:rPr>
            <w:rStyle w:val="Hyperlink"/>
            <w:rFonts w:cstheme="minorHAnsi"/>
            <w:noProof/>
          </w:rPr>
          <w:t>13.</w:t>
        </w:r>
        <w:r w:rsidR="00E24BF6">
          <w:rPr>
            <w:rFonts w:asciiTheme="minorHAnsi" w:eastAsiaTheme="minorEastAsia" w:hAnsiTheme="minorHAnsi" w:cstheme="minorBidi"/>
            <w:noProof/>
            <w:lang w:eastAsia="en-GB"/>
          </w:rPr>
          <w:tab/>
        </w:r>
        <w:r w:rsidR="00E24BF6" w:rsidRPr="003C3068">
          <w:rPr>
            <w:rStyle w:val="Hyperlink"/>
            <w:rFonts w:cstheme="minorHAnsi"/>
            <w:noProof/>
          </w:rPr>
          <w:t>GOVERNMENT FURNISHED SUPPLIES</w:t>
        </w:r>
        <w:r w:rsidR="00E24BF6">
          <w:rPr>
            <w:noProof/>
          </w:rPr>
          <w:tab/>
        </w:r>
        <w:r w:rsidR="00E24BF6">
          <w:rPr>
            <w:noProof/>
          </w:rPr>
          <w:fldChar w:fldCharType="begin"/>
        </w:r>
        <w:r w:rsidR="00E24BF6">
          <w:rPr>
            <w:noProof/>
          </w:rPr>
          <w:instrText xml:space="preserve"> PAGEREF _Toc112330489 \h </w:instrText>
        </w:r>
        <w:r w:rsidR="00E24BF6">
          <w:rPr>
            <w:noProof/>
          </w:rPr>
        </w:r>
        <w:r w:rsidR="00E24BF6">
          <w:rPr>
            <w:noProof/>
          </w:rPr>
          <w:fldChar w:fldCharType="separate"/>
        </w:r>
        <w:r>
          <w:rPr>
            <w:noProof/>
          </w:rPr>
          <w:t>8</w:t>
        </w:r>
        <w:r w:rsidR="00E24BF6">
          <w:rPr>
            <w:noProof/>
          </w:rPr>
          <w:fldChar w:fldCharType="end"/>
        </w:r>
      </w:hyperlink>
    </w:p>
    <w:p w14:paraId="63AAF376" w14:textId="54254CB8" w:rsidR="00E24BF6" w:rsidRDefault="00FF3149" w:rsidP="00E24BF6">
      <w:pPr>
        <w:pStyle w:val="TOC1"/>
        <w:rPr>
          <w:rFonts w:asciiTheme="minorHAnsi" w:eastAsiaTheme="minorEastAsia" w:hAnsiTheme="minorHAnsi" w:cstheme="minorBidi"/>
          <w:noProof/>
          <w:lang w:eastAsia="en-GB"/>
        </w:rPr>
      </w:pPr>
      <w:hyperlink w:anchor="_Toc112330490" w:history="1">
        <w:r w:rsidR="00E24BF6" w:rsidRPr="003C3068">
          <w:rPr>
            <w:rStyle w:val="Hyperlink"/>
            <w:rFonts w:cstheme="minorHAnsi"/>
            <w:noProof/>
          </w:rPr>
          <w:t>14.</w:t>
        </w:r>
        <w:r w:rsidR="00E24BF6">
          <w:rPr>
            <w:rFonts w:asciiTheme="minorHAnsi" w:eastAsiaTheme="minorEastAsia" w:hAnsiTheme="minorHAnsi" w:cstheme="minorBidi"/>
            <w:noProof/>
            <w:lang w:eastAsia="en-GB"/>
          </w:rPr>
          <w:tab/>
        </w:r>
        <w:r w:rsidR="00E24BF6" w:rsidRPr="003C3068">
          <w:rPr>
            <w:rStyle w:val="Hyperlink"/>
            <w:rFonts w:cstheme="minorHAnsi"/>
            <w:noProof/>
          </w:rPr>
          <w:t>IR35</w:t>
        </w:r>
        <w:r w:rsidR="00E24BF6">
          <w:rPr>
            <w:noProof/>
          </w:rPr>
          <w:tab/>
        </w:r>
        <w:r w:rsidR="00E24BF6">
          <w:rPr>
            <w:noProof/>
          </w:rPr>
          <w:fldChar w:fldCharType="begin"/>
        </w:r>
        <w:r w:rsidR="00E24BF6">
          <w:rPr>
            <w:noProof/>
          </w:rPr>
          <w:instrText xml:space="preserve"> PAGEREF _Toc112330490 \h </w:instrText>
        </w:r>
        <w:r w:rsidR="00E24BF6">
          <w:rPr>
            <w:noProof/>
          </w:rPr>
        </w:r>
        <w:r w:rsidR="00E24BF6">
          <w:rPr>
            <w:noProof/>
          </w:rPr>
          <w:fldChar w:fldCharType="separate"/>
        </w:r>
        <w:r>
          <w:rPr>
            <w:noProof/>
          </w:rPr>
          <w:t>9</w:t>
        </w:r>
        <w:r w:rsidR="00E24BF6">
          <w:rPr>
            <w:noProof/>
          </w:rPr>
          <w:fldChar w:fldCharType="end"/>
        </w:r>
      </w:hyperlink>
    </w:p>
    <w:p w14:paraId="304AD6D3" w14:textId="1309F82D" w:rsidR="00E24BF6" w:rsidRDefault="00FF3149" w:rsidP="00E24BF6">
      <w:pPr>
        <w:pStyle w:val="TOC1"/>
        <w:rPr>
          <w:rFonts w:asciiTheme="minorHAnsi" w:eastAsiaTheme="minorEastAsia" w:hAnsiTheme="minorHAnsi" w:cstheme="minorBidi"/>
          <w:noProof/>
          <w:lang w:eastAsia="en-GB"/>
        </w:rPr>
      </w:pPr>
      <w:hyperlink w:anchor="_Toc112330491" w:history="1">
        <w:r w:rsidR="00E24BF6" w:rsidRPr="003C3068">
          <w:rPr>
            <w:rStyle w:val="Hyperlink"/>
            <w:rFonts w:cstheme="minorHAnsi"/>
            <w:noProof/>
          </w:rPr>
          <w:t>15.</w:t>
        </w:r>
        <w:r w:rsidR="00E24BF6">
          <w:rPr>
            <w:rFonts w:asciiTheme="minorHAnsi" w:eastAsiaTheme="minorEastAsia" w:hAnsiTheme="minorHAnsi" w:cstheme="minorBidi"/>
            <w:noProof/>
            <w:lang w:eastAsia="en-GB"/>
          </w:rPr>
          <w:tab/>
        </w:r>
        <w:r w:rsidR="00E24BF6" w:rsidRPr="003C3068">
          <w:rPr>
            <w:rStyle w:val="Hyperlink"/>
            <w:rFonts w:cstheme="minorHAnsi"/>
            <w:noProof/>
          </w:rPr>
          <w:t>END OF CONTRACT/EXIT STRATEGY</w:t>
        </w:r>
        <w:r w:rsidR="00E24BF6">
          <w:rPr>
            <w:noProof/>
          </w:rPr>
          <w:tab/>
        </w:r>
        <w:r w:rsidR="00E24BF6">
          <w:rPr>
            <w:noProof/>
          </w:rPr>
          <w:fldChar w:fldCharType="begin"/>
        </w:r>
        <w:r w:rsidR="00E24BF6">
          <w:rPr>
            <w:noProof/>
          </w:rPr>
          <w:instrText xml:space="preserve"> PAGEREF _Toc112330491 \h </w:instrText>
        </w:r>
        <w:r w:rsidR="00E24BF6">
          <w:rPr>
            <w:noProof/>
          </w:rPr>
        </w:r>
        <w:r w:rsidR="00E24BF6">
          <w:rPr>
            <w:noProof/>
          </w:rPr>
          <w:fldChar w:fldCharType="separate"/>
        </w:r>
        <w:r>
          <w:rPr>
            <w:noProof/>
          </w:rPr>
          <w:t>9</w:t>
        </w:r>
        <w:r w:rsidR="00E24BF6">
          <w:rPr>
            <w:noProof/>
          </w:rPr>
          <w:fldChar w:fldCharType="end"/>
        </w:r>
      </w:hyperlink>
    </w:p>
    <w:p w14:paraId="42203824" w14:textId="5016A541" w:rsidR="00E24BF6" w:rsidRDefault="00FF3149" w:rsidP="00E24BF6">
      <w:pPr>
        <w:pStyle w:val="TOC1"/>
        <w:rPr>
          <w:rFonts w:asciiTheme="minorHAnsi" w:eastAsiaTheme="minorEastAsia" w:hAnsiTheme="minorHAnsi" w:cstheme="minorBidi"/>
          <w:noProof/>
          <w:lang w:eastAsia="en-GB"/>
        </w:rPr>
      </w:pPr>
      <w:hyperlink w:anchor="_Toc112330492" w:history="1">
        <w:r w:rsidR="00E24BF6" w:rsidRPr="003C3068">
          <w:rPr>
            <w:rStyle w:val="Hyperlink"/>
            <w:rFonts w:cstheme="minorHAnsi"/>
            <w:noProof/>
          </w:rPr>
          <w:t>16.</w:t>
        </w:r>
        <w:r w:rsidR="00E24BF6">
          <w:rPr>
            <w:rFonts w:asciiTheme="minorHAnsi" w:eastAsiaTheme="minorEastAsia" w:hAnsiTheme="minorHAnsi" w:cstheme="minorBidi"/>
            <w:noProof/>
            <w:lang w:eastAsia="en-GB"/>
          </w:rPr>
          <w:tab/>
        </w:r>
        <w:r w:rsidR="00E24BF6" w:rsidRPr="003C3068">
          <w:rPr>
            <w:rStyle w:val="Hyperlink"/>
            <w:rFonts w:cstheme="minorHAnsi"/>
            <w:noProof/>
          </w:rPr>
          <w:t>CONTINUOUS IMPROVEMENT</w:t>
        </w:r>
        <w:r w:rsidR="00E24BF6">
          <w:rPr>
            <w:noProof/>
          </w:rPr>
          <w:tab/>
        </w:r>
        <w:r w:rsidR="00E24BF6">
          <w:rPr>
            <w:noProof/>
          </w:rPr>
          <w:fldChar w:fldCharType="begin"/>
        </w:r>
        <w:r w:rsidR="00E24BF6">
          <w:rPr>
            <w:noProof/>
          </w:rPr>
          <w:instrText xml:space="preserve"> PAGEREF _Toc112330492 \h </w:instrText>
        </w:r>
        <w:r w:rsidR="00E24BF6">
          <w:rPr>
            <w:noProof/>
          </w:rPr>
        </w:r>
        <w:r w:rsidR="00E24BF6">
          <w:rPr>
            <w:noProof/>
          </w:rPr>
          <w:fldChar w:fldCharType="separate"/>
        </w:r>
        <w:r>
          <w:rPr>
            <w:noProof/>
          </w:rPr>
          <w:t>9</w:t>
        </w:r>
        <w:r w:rsidR="00E24BF6">
          <w:rPr>
            <w:noProof/>
          </w:rPr>
          <w:fldChar w:fldCharType="end"/>
        </w:r>
      </w:hyperlink>
    </w:p>
    <w:p w14:paraId="70F9A2A6" w14:textId="69168E99" w:rsidR="007C2487" w:rsidRDefault="002E0C76">
      <w:r w:rsidRPr="00ED2C5D">
        <w:rPr>
          <w:rFonts w:asciiTheme="minorHAnsi" w:hAnsiTheme="minorHAnsi" w:cstheme="minorHAnsi"/>
        </w:rPr>
        <w:fldChar w:fldCharType="end"/>
      </w:r>
    </w:p>
    <w:p w14:paraId="717E4FDB" w14:textId="77777777" w:rsidR="007C2487" w:rsidRDefault="002E0C76">
      <w:pPr>
        <w:pStyle w:val="Heading1"/>
        <w:pageBreakBefore/>
        <w:numPr>
          <w:ilvl w:val="0"/>
          <w:numId w:val="2"/>
        </w:numPr>
        <w:spacing w:after="160"/>
        <w:ind w:left="709" w:hanging="709"/>
        <w:rPr>
          <w:rFonts w:ascii="Calibri" w:hAnsi="Calibri" w:cs="Calibri"/>
        </w:rPr>
      </w:pPr>
      <w:bookmarkStart w:id="0" w:name="_Toc104459977"/>
      <w:bookmarkStart w:id="1" w:name="_Toc112330477"/>
      <w:r>
        <w:rPr>
          <w:rFonts w:ascii="Calibri" w:hAnsi="Calibri" w:cs="Calibri"/>
        </w:rPr>
        <w:lastRenderedPageBreak/>
        <w:t>PURPOSE</w:t>
      </w:r>
      <w:bookmarkEnd w:id="0"/>
      <w:bookmarkEnd w:id="1"/>
    </w:p>
    <w:p w14:paraId="15CA7C26" w14:textId="77777777" w:rsidR="007C2487" w:rsidRDefault="002E0C76">
      <w:pPr>
        <w:pStyle w:val="ListParagraph"/>
        <w:numPr>
          <w:ilvl w:val="1"/>
          <w:numId w:val="3"/>
        </w:numPr>
        <w:ind w:left="709" w:hanging="709"/>
        <w:contextualSpacing w:val="0"/>
        <w:jc w:val="both"/>
        <w:rPr>
          <w:rFonts w:cs="Calibri"/>
        </w:rPr>
      </w:pPr>
      <w:r>
        <w:rPr>
          <w:rFonts w:cs="Calibri"/>
        </w:rPr>
        <w:t xml:space="preserve">This Statement of Requirement (SOR) covers the delivery of a </w:t>
      </w:r>
      <w:bookmarkStart w:id="2" w:name="_Hlk108689129"/>
      <w:r>
        <w:rPr>
          <w:rFonts w:cs="Calibri"/>
        </w:rPr>
        <w:t xml:space="preserve">The Provision of a Land Training Test and Reference Capability (LTT&amp;RC) </w:t>
      </w:r>
      <w:bookmarkEnd w:id="2"/>
      <w:r>
        <w:rPr>
          <w:rFonts w:cs="Calibri"/>
        </w:rPr>
        <w:t>as an independent element of the Future Collective Training System (FCTS) which will facilitate reuse of in-service training delivery systems and sharing of information across training, support engagement with the international community, and provide technical governance.</w:t>
      </w:r>
    </w:p>
    <w:p w14:paraId="14096D63" w14:textId="77777777" w:rsidR="007C2487" w:rsidRDefault="002E0C76">
      <w:pPr>
        <w:pStyle w:val="Heading1"/>
        <w:numPr>
          <w:ilvl w:val="0"/>
          <w:numId w:val="2"/>
        </w:numPr>
        <w:spacing w:after="160"/>
        <w:ind w:left="709" w:hanging="709"/>
        <w:rPr>
          <w:rFonts w:ascii="Calibri" w:hAnsi="Calibri" w:cs="Calibri"/>
        </w:rPr>
      </w:pPr>
      <w:bookmarkStart w:id="3" w:name="_Toc104459978"/>
      <w:bookmarkStart w:id="4" w:name="_Toc112330478"/>
      <w:r>
        <w:rPr>
          <w:rFonts w:ascii="Calibri" w:hAnsi="Calibri" w:cs="Calibri"/>
        </w:rPr>
        <w:t>BACKGROUND</w:t>
      </w:r>
      <w:bookmarkEnd w:id="3"/>
      <w:bookmarkEnd w:id="4"/>
    </w:p>
    <w:p w14:paraId="48B62F8E" w14:textId="77777777" w:rsidR="007C2487" w:rsidRDefault="002E0C76">
      <w:pPr>
        <w:pStyle w:val="ListParagraph"/>
        <w:numPr>
          <w:ilvl w:val="1"/>
          <w:numId w:val="2"/>
        </w:numPr>
        <w:ind w:left="709" w:hanging="709"/>
        <w:contextualSpacing w:val="0"/>
        <w:jc w:val="both"/>
        <w:rPr>
          <w:rFonts w:eastAsia="STZhongsong" w:cs="Calibri"/>
          <w:szCs w:val="20"/>
          <w:lang w:eastAsia="zh-CN"/>
        </w:rPr>
      </w:pPr>
      <w:r>
        <w:rPr>
          <w:rFonts w:eastAsia="STZhongsong" w:cs="Calibri"/>
          <w:szCs w:val="20"/>
          <w:lang w:eastAsia="zh-CN"/>
        </w:rPr>
        <w:t>The MoD may be referred to as “the Authority” hereafter.</w:t>
      </w:r>
    </w:p>
    <w:p w14:paraId="104B2418" w14:textId="77777777" w:rsidR="007C2487" w:rsidRDefault="002E0C76">
      <w:pPr>
        <w:pStyle w:val="ListParagraph"/>
        <w:numPr>
          <w:ilvl w:val="1"/>
          <w:numId w:val="2"/>
        </w:numPr>
        <w:ind w:left="709" w:hanging="709"/>
        <w:contextualSpacing w:val="0"/>
        <w:jc w:val="both"/>
      </w:pPr>
      <w:r>
        <w:rPr>
          <w:rFonts w:cs="Calibri"/>
        </w:rPr>
        <w:t xml:space="preserve">The Collective Training Transformation Programme (CTTP) has identified the requirement for </w:t>
      </w:r>
      <w:proofErr w:type="gramStart"/>
      <w:r>
        <w:rPr>
          <w:rFonts w:cs="Calibri"/>
        </w:rPr>
        <w:t>a</w:t>
      </w:r>
      <w:proofErr w:type="gramEnd"/>
      <w:r>
        <w:rPr>
          <w:rFonts w:cs="Calibri"/>
        </w:rPr>
        <w:t xml:space="preserve"> LTT&amp;RC as a mechanism to bring technical coherence to Collective Training simulation and instrumentation through an architectural approach as a result of the pressing requirement to exploit information and reuse services across the enterprise. This project was initiated in May 2020 via a Dstl lead Capability Concept Demonstrator (CCD), this produced three distinct Phase reports, these can be requested if required.</w:t>
      </w:r>
    </w:p>
    <w:p w14:paraId="2DB46777" w14:textId="77777777" w:rsidR="007C2487" w:rsidRDefault="002E0C76">
      <w:pPr>
        <w:pStyle w:val="ListParagraph"/>
        <w:numPr>
          <w:ilvl w:val="1"/>
          <w:numId w:val="2"/>
        </w:numPr>
        <w:ind w:left="709" w:hanging="709"/>
        <w:contextualSpacing w:val="0"/>
        <w:jc w:val="both"/>
      </w:pPr>
      <w:r>
        <w:rPr>
          <w:rFonts w:cs="Calibri"/>
        </w:rPr>
        <w:t xml:space="preserve">There is no test and reference capability for Land collective training. The Defence Equipment and Support (DE&amp;S) delivery agent (Soldier Training and Special Projects) does not have a technical reference system, instead relying on industry contracted support and the Army Trials and Development Unit support to deliver test and evaluation of new acquisitions. </w:t>
      </w:r>
      <w:proofErr w:type="spellStart"/>
      <w:r>
        <w:rPr>
          <w:rFonts w:cs="Calibri"/>
        </w:rPr>
        <w:t>StratCom</w:t>
      </w:r>
      <w:proofErr w:type="spellEnd"/>
      <w:r>
        <w:rPr>
          <w:rFonts w:cs="Calibri"/>
        </w:rPr>
        <w:t xml:space="preserve"> sponsor the Defence Simulation Centre (DSC), which provides management of the Defence Modelling and Simulation Coherence catalogue and access to simulation licences, </w:t>
      </w:r>
      <w:proofErr w:type="gramStart"/>
      <w:r>
        <w:rPr>
          <w:rFonts w:cs="Calibri"/>
        </w:rPr>
        <w:t>terrains</w:t>
      </w:r>
      <w:proofErr w:type="gramEnd"/>
      <w:r>
        <w:rPr>
          <w:rFonts w:cs="Calibri"/>
        </w:rPr>
        <w:t xml:space="preserve"> and models through the DSC. However, this does not have the scope or capacity to deliver support required by Army Collective Training. The Land Systems Reference Centre provides test and reference capabilities for Communications and Information systems (CIS) but does not have the remit to support training either. These facilities provide specialist elements into a wider capability but critically cannot deliver the totality of complementary functions: reuse of training delivery systems, engagement with international community, and technical governance.</w:t>
      </w:r>
    </w:p>
    <w:p w14:paraId="7CF2034A" w14:textId="2D7A5BD2" w:rsidR="007C2487" w:rsidRDefault="002E0C76">
      <w:pPr>
        <w:pStyle w:val="ListParagraph"/>
        <w:numPr>
          <w:ilvl w:val="1"/>
          <w:numId w:val="2"/>
        </w:numPr>
        <w:tabs>
          <w:tab w:val="left" w:pos="709"/>
        </w:tabs>
        <w:ind w:left="709" w:hanging="709"/>
        <w:contextualSpacing w:val="0"/>
        <w:jc w:val="both"/>
      </w:pPr>
      <w:r>
        <w:rPr>
          <w:rFonts w:eastAsia="STZhongsong" w:cs="Calibri"/>
          <w:szCs w:val="20"/>
          <w:lang w:eastAsia="zh-CN"/>
        </w:rPr>
        <w:t>A Land Training Technical Governance Committee will be established to oversee the delivery of the LTT&amp;RC</w:t>
      </w:r>
      <w:r w:rsidRPr="00400D62">
        <w:rPr>
          <w:rFonts w:eastAsia="STZhongsong" w:cs="Calibri"/>
          <w:szCs w:val="20"/>
          <w:lang w:eastAsia="zh-CN"/>
        </w:rPr>
        <w:t xml:space="preserve">.  </w:t>
      </w:r>
      <w:r w:rsidR="00400D62" w:rsidRPr="00400D62">
        <w:rPr>
          <w:rFonts w:eastAsia="STZhongsong" w:cs="Calibri"/>
          <w:szCs w:val="20"/>
          <w:lang w:eastAsia="zh-CN"/>
        </w:rPr>
        <w:t xml:space="preserve">This Governance committee will be responsible for agreeing the priority of the tasks, agreeing scope and timing of </w:t>
      </w:r>
      <w:proofErr w:type="gramStart"/>
      <w:r w:rsidR="00400D62" w:rsidRPr="00400D62">
        <w:rPr>
          <w:rFonts w:eastAsia="STZhongsong" w:cs="Calibri"/>
          <w:szCs w:val="20"/>
          <w:lang w:eastAsia="zh-CN"/>
        </w:rPr>
        <w:t>taskings</w:t>
      </w:r>
      <w:proofErr w:type="gramEnd"/>
      <w:r w:rsidR="00400D62" w:rsidRPr="00400D62">
        <w:rPr>
          <w:rFonts w:eastAsia="STZhongsong" w:cs="Calibri"/>
          <w:szCs w:val="20"/>
          <w:lang w:eastAsia="zh-CN"/>
        </w:rPr>
        <w:t xml:space="preserve"> and confirming the outputs are delivered to time, cost and quality.</w:t>
      </w:r>
      <w:bookmarkStart w:id="5" w:name="_Toc104459979"/>
    </w:p>
    <w:p w14:paraId="6B751D86" w14:textId="77777777" w:rsidR="007C2487" w:rsidRDefault="002E0C76">
      <w:pPr>
        <w:pStyle w:val="Heading1"/>
        <w:numPr>
          <w:ilvl w:val="0"/>
          <w:numId w:val="4"/>
        </w:numPr>
        <w:tabs>
          <w:tab w:val="left" w:pos="709"/>
        </w:tabs>
        <w:spacing w:after="160"/>
        <w:ind w:left="709" w:hanging="709"/>
        <w:rPr>
          <w:rFonts w:ascii="Calibri" w:hAnsi="Calibri" w:cs="Calibri"/>
        </w:rPr>
      </w:pPr>
      <w:bookmarkStart w:id="6" w:name="_Toc112330479"/>
      <w:r>
        <w:rPr>
          <w:rFonts w:ascii="Calibri" w:hAnsi="Calibri" w:cs="Calibri"/>
        </w:rPr>
        <w:t>OBJECTIVES</w:t>
      </w:r>
      <w:bookmarkEnd w:id="5"/>
      <w:bookmarkEnd w:id="6"/>
    </w:p>
    <w:p w14:paraId="06FA9066" w14:textId="77777777" w:rsidR="007C2487" w:rsidRDefault="002E0C76">
      <w:pPr>
        <w:pStyle w:val="ListParagraph"/>
        <w:numPr>
          <w:ilvl w:val="1"/>
          <w:numId w:val="5"/>
        </w:numPr>
        <w:tabs>
          <w:tab w:val="left" w:pos="709"/>
        </w:tabs>
        <w:ind w:left="709" w:hanging="709"/>
        <w:contextualSpacing w:val="0"/>
        <w:jc w:val="both"/>
      </w:pPr>
      <w:r>
        <w:rPr>
          <w:rFonts w:cs="Calibri"/>
        </w:rPr>
        <w:t>The objectives of the Land Training Test and Reference Capability (LTT&amp;RC) are:</w:t>
      </w:r>
    </w:p>
    <w:p w14:paraId="55825020" w14:textId="77777777" w:rsidR="007C2487" w:rsidRDefault="002E0C76">
      <w:pPr>
        <w:pStyle w:val="ListParagraph"/>
        <w:numPr>
          <w:ilvl w:val="2"/>
          <w:numId w:val="5"/>
        </w:numPr>
        <w:ind w:left="1701" w:hanging="992"/>
        <w:contextualSpacing w:val="0"/>
        <w:jc w:val="both"/>
      </w:pPr>
      <w:r>
        <w:rPr>
          <w:rFonts w:cs="Calibri"/>
          <w:b/>
          <w:bCs/>
        </w:rPr>
        <w:t>Provide Technical Governance</w:t>
      </w:r>
      <w:r>
        <w:rPr>
          <w:rFonts w:cs="Calibri"/>
        </w:rPr>
        <w:t xml:space="preserve">. Establishing the governance function that will enable the Army to technically assure its implementation of Defence Modelling and Simulation Coherence principles, drawing upon the reference architecture, technical </w:t>
      </w:r>
      <w:proofErr w:type="gramStart"/>
      <w:r>
        <w:rPr>
          <w:rFonts w:cs="Calibri"/>
        </w:rPr>
        <w:t>standards</w:t>
      </w:r>
      <w:proofErr w:type="gramEnd"/>
      <w:r>
        <w:rPr>
          <w:rFonts w:cs="Calibri"/>
        </w:rPr>
        <w:t xml:space="preserve"> and a test bed for evaluating integration compatibility. JSP 939 mandates the Service Command Technical Authority (SCTA) to confirm compliance with the Defence Modelling and Simulation Profile (DMSP) standards. A test bed environment will also be used to test compliance with open standards and support MoD commercial in their role as the Authority accepting integrated training systems into service. This role requires understanding and management of intellectual property alongside technical Suitably Qualified and Experienced Personnel (SQEP).</w:t>
      </w:r>
    </w:p>
    <w:p w14:paraId="0348C8E0" w14:textId="77777777" w:rsidR="007C2487" w:rsidRDefault="002E0C76" w:rsidP="00A03A1F">
      <w:pPr>
        <w:pStyle w:val="ListParagraph"/>
        <w:numPr>
          <w:ilvl w:val="2"/>
          <w:numId w:val="5"/>
        </w:numPr>
        <w:ind w:left="1701" w:hanging="992"/>
        <w:contextualSpacing w:val="0"/>
        <w:jc w:val="both"/>
      </w:pPr>
      <w:r>
        <w:rPr>
          <w:rFonts w:eastAsia="STZhongsong" w:cs="Calibri"/>
          <w:b/>
          <w:bCs/>
          <w:szCs w:val="20"/>
          <w:lang w:eastAsia="zh-CN"/>
        </w:rPr>
        <w:t>Facilitate Reuse</w:t>
      </w:r>
      <w:r>
        <w:rPr>
          <w:rFonts w:eastAsia="STZhongsong" w:cs="Calibri"/>
          <w:szCs w:val="20"/>
          <w:lang w:eastAsia="zh-CN"/>
        </w:rPr>
        <w:t xml:space="preserve">. As directed through JSP 906, the Army must reuse in-service training delivery systems and share information across individual, trade and collective training and force development. There is a need to establish an Army Modelling and Simulation (M&amp;S) catalogue and store that enables both joint users and industry providers to access existing systems and simulation services. This critical function will provide assurance to MoD </w:t>
      </w:r>
      <w:r>
        <w:rPr>
          <w:rFonts w:eastAsia="STZhongsong" w:cs="Calibri"/>
          <w:szCs w:val="20"/>
          <w:lang w:eastAsia="zh-CN"/>
        </w:rPr>
        <w:lastRenderedPageBreak/>
        <w:t>commercial that technical Government Furnished Assets (GFA) can be delivered to new suppliers, support access to systems by Defence innovation and research projects and provide reference systems for integration with training partners.</w:t>
      </w:r>
    </w:p>
    <w:p w14:paraId="1A4EE669" w14:textId="77777777" w:rsidR="007C2487" w:rsidRDefault="002E0C76" w:rsidP="00A03A1F">
      <w:pPr>
        <w:pStyle w:val="ListParagraph"/>
        <w:numPr>
          <w:ilvl w:val="2"/>
          <w:numId w:val="5"/>
        </w:numPr>
        <w:ind w:left="1701" w:hanging="992"/>
        <w:contextualSpacing w:val="0"/>
        <w:jc w:val="both"/>
      </w:pPr>
      <w:r>
        <w:rPr>
          <w:rFonts w:eastAsia="STZhongsong" w:cs="Calibri"/>
          <w:b/>
          <w:bCs/>
          <w:szCs w:val="20"/>
          <w:lang w:eastAsia="zh-CN"/>
        </w:rPr>
        <w:t>Support Engagement</w:t>
      </w:r>
      <w:r>
        <w:rPr>
          <w:rFonts w:eastAsia="STZhongsong" w:cs="Calibri"/>
          <w:szCs w:val="20"/>
          <w:lang w:eastAsia="zh-CN"/>
        </w:rPr>
        <w:t xml:space="preserve">. It is critical that the UK engages with the international community to influence technology standards and encourage convergence of approaches, especially with wider industry </w:t>
      </w:r>
      <w:proofErr w:type="gramStart"/>
      <w:r>
        <w:rPr>
          <w:rFonts w:eastAsia="STZhongsong" w:cs="Calibri"/>
          <w:szCs w:val="20"/>
          <w:lang w:eastAsia="zh-CN"/>
        </w:rPr>
        <w:t>areas;</w:t>
      </w:r>
      <w:proofErr w:type="gramEnd"/>
      <w:r>
        <w:rPr>
          <w:rFonts w:eastAsia="STZhongsong" w:cs="Calibri"/>
          <w:szCs w:val="20"/>
          <w:lang w:eastAsia="zh-CN"/>
        </w:rPr>
        <w:t xml:space="preserve"> for example, the gaming and information technology markets. International engagement requires a Government interface; as the MoD’s technical authority, the LTT&amp;RC will be used to promote collaboration, provide independent </w:t>
      </w:r>
      <w:proofErr w:type="gramStart"/>
      <w:r>
        <w:rPr>
          <w:rFonts w:eastAsia="STZhongsong" w:cs="Calibri"/>
          <w:szCs w:val="20"/>
          <w:lang w:eastAsia="zh-CN"/>
        </w:rPr>
        <w:t>advice</w:t>
      </w:r>
      <w:proofErr w:type="gramEnd"/>
      <w:r>
        <w:rPr>
          <w:rFonts w:eastAsia="STZhongsong" w:cs="Calibri"/>
          <w:szCs w:val="20"/>
          <w:lang w:eastAsia="zh-CN"/>
        </w:rPr>
        <w:t xml:space="preserve"> and assure technical coherence in all services that contribute to the delivery of the FCTS. The engagement function is required to ensure adoption and realising of the benefits from the Defence Synthetic Environment Platform which underpins CTTP’s transformation of Collective Training simulation systems.</w:t>
      </w:r>
    </w:p>
    <w:p w14:paraId="5FEA03FD" w14:textId="77777777" w:rsidR="007C2487" w:rsidRDefault="002E0C76">
      <w:pPr>
        <w:pStyle w:val="Heading1"/>
        <w:numPr>
          <w:ilvl w:val="0"/>
          <w:numId w:val="4"/>
        </w:numPr>
        <w:tabs>
          <w:tab w:val="left" w:pos="709"/>
        </w:tabs>
        <w:spacing w:after="160"/>
        <w:ind w:left="709" w:hanging="709"/>
        <w:rPr>
          <w:rFonts w:ascii="Calibri" w:hAnsi="Calibri" w:cs="Calibri"/>
        </w:rPr>
      </w:pPr>
      <w:bookmarkStart w:id="7" w:name="_Toc112330480"/>
      <w:r>
        <w:rPr>
          <w:rFonts w:ascii="Calibri" w:hAnsi="Calibri" w:cs="Calibri"/>
        </w:rPr>
        <w:t>SCOPE</w:t>
      </w:r>
      <w:bookmarkEnd w:id="7"/>
    </w:p>
    <w:p w14:paraId="2FA7FA72" w14:textId="77777777" w:rsidR="007C2487" w:rsidRDefault="002E0C76">
      <w:pPr>
        <w:pStyle w:val="ListParagraph"/>
        <w:numPr>
          <w:ilvl w:val="1"/>
          <w:numId w:val="6"/>
        </w:numPr>
        <w:tabs>
          <w:tab w:val="left" w:pos="709"/>
        </w:tabs>
        <w:ind w:left="709" w:hanging="709"/>
        <w:contextualSpacing w:val="0"/>
        <w:jc w:val="both"/>
        <w:rPr>
          <w:rFonts w:eastAsia="STZhongsong" w:cs="Calibri"/>
          <w:szCs w:val="20"/>
          <w:lang w:eastAsia="zh-CN"/>
        </w:rPr>
      </w:pPr>
      <w:r>
        <w:rPr>
          <w:rFonts w:eastAsia="STZhongsong" w:cs="Calibri"/>
          <w:szCs w:val="20"/>
          <w:lang w:eastAsia="zh-CN"/>
        </w:rPr>
        <w:t>The LTT&amp;RC will act on behalf of the Authority to support the technical acceptance of capabilities introduced by the Strategic Training Partner.  The LTT&amp;RC provider must therefore be independent from the Strategic Training Partner and unable to play an active part in the competition.</w:t>
      </w:r>
    </w:p>
    <w:p w14:paraId="5A3FB2B7" w14:textId="77777777" w:rsidR="007C2487" w:rsidRDefault="002E0C76">
      <w:pPr>
        <w:pStyle w:val="ListParagraph"/>
        <w:numPr>
          <w:ilvl w:val="1"/>
          <w:numId w:val="6"/>
        </w:numPr>
        <w:tabs>
          <w:tab w:val="left" w:pos="709"/>
        </w:tabs>
        <w:ind w:left="709" w:hanging="709"/>
        <w:contextualSpacing w:val="0"/>
        <w:jc w:val="both"/>
        <w:rPr>
          <w:rFonts w:eastAsia="STZhongsong" w:cs="Calibri"/>
          <w:szCs w:val="20"/>
          <w:lang w:eastAsia="zh-CN"/>
        </w:rPr>
      </w:pPr>
      <w:r>
        <w:rPr>
          <w:rFonts w:eastAsia="STZhongsong" w:cs="Calibri"/>
          <w:szCs w:val="20"/>
          <w:lang w:eastAsia="zh-CN"/>
        </w:rPr>
        <w:t>The LTT&amp;RC will not be required to support the delivery of training.</w:t>
      </w:r>
    </w:p>
    <w:p w14:paraId="58B80560" w14:textId="77777777" w:rsidR="007C2487" w:rsidRDefault="002E0C76">
      <w:pPr>
        <w:pStyle w:val="ListParagraph"/>
        <w:numPr>
          <w:ilvl w:val="1"/>
          <w:numId w:val="6"/>
        </w:numPr>
        <w:tabs>
          <w:tab w:val="left" w:pos="709"/>
        </w:tabs>
        <w:ind w:left="709" w:hanging="709"/>
        <w:contextualSpacing w:val="0"/>
        <w:jc w:val="both"/>
        <w:rPr>
          <w:rFonts w:eastAsia="STZhongsong" w:cs="Calibri"/>
          <w:szCs w:val="20"/>
          <w:lang w:eastAsia="zh-CN"/>
        </w:rPr>
      </w:pPr>
      <w:r>
        <w:rPr>
          <w:rFonts w:eastAsia="STZhongsong" w:cs="Calibri"/>
          <w:szCs w:val="20"/>
          <w:lang w:eastAsia="zh-CN"/>
        </w:rPr>
        <w:t>There are enduring requirements for provision of technical governance and reuse. There are also likely to be emergent requirements for engagement support, these will be defined by the Army and provided to the LTT&amp;RC supplier for scheduling and costing, subject to affordability and value for money within the contract.</w:t>
      </w:r>
    </w:p>
    <w:p w14:paraId="26B3071F" w14:textId="77777777" w:rsidR="007C2487" w:rsidRDefault="002E0C76">
      <w:pPr>
        <w:pStyle w:val="ListParagraph"/>
        <w:numPr>
          <w:ilvl w:val="1"/>
          <w:numId w:val="6"/>
        </w:numPr>
        <w:tabs>
          <w:tab w:val="left" w:pos="709"/>
        </w:tabs>
        <w:ind w:left="709" w:hanging="709"/>
        <w:contextualSpacing w:val="0"/>
        <w:jc w:val="both"/>
        <w:rPr>
          <w:rFonts w:eastAsia="STZhongsong" w:cs="Calibri"/>
          <w:szCs w:val="20"/>
          <w:lang w:eastAsia="zh-CN"/>
        </w:rPr>
      </w:pPr>
      <w:r>
        <w:rPr>
          <w:rFonts w:eastAsia="STZhongsong" w:cs="Calibri"/>
          <w:szCs w:val="20"/>
          <w:lang w:eastAsia="zh-CN"/>
        </w:rPr>
        <w:t>It is expected that the LTT&amp;RC front door is available during office hours, available to support the CTTP delivery team in Andover.</w:t>
      </w:r>
    </w:p>
    <w:p w14:paraId="3D250289" w14:textId="77777777" w:rsidR="007C2487" w:rsidRDefault="002E0C76">
      <w:pPr>
        <w:pStyle w:val="Heading1"/>
        <w:numPr>
          <w:ilvl w:val="0"/>
          <w:numId w:val="4"/>
        </w:numPr>
        <w:tabs>
          <w:tab w:val="left" w:pos="709"/>
        </w:tabs>
        <w:spacing w:after="160"/>
        <w:ind w:left="709" w:hanging="709"/>
        <w:rPr>
          <w:rFonts w:ascii="Calibri" w:hAnsi="Calibri" w:cs="Calibri"/>
        </w:rPr>
      </w:pPr>
      <w:bookmarkStart w:id="8" w:name="_Toc112330481"/>
      <w:r>
        <w:rPr>
          <w:rFonts w:ascii="Calibri" w:hAnsi="Calibri" w:cs="Calibri"/>
        </w:rPr>
        <w:t>DURATION</w:t>
      </w:r>
      <w:bookmarkEnd w:id="8"/>
    </w:p>
    <w:p w14:paraId="4FDF062E" w14:textId="58CAACE2" w:rsidR="007C2487" w:rsidRDefault="002E0C76">
      <w:pPr>
        <w:ind w:left="709" w:hanging="709"/>
        <w:jc w:val="both"/>
      </w:pPr>
      <w:r>
        <w:t>5.1</w:t>
      </w:r>
      <w:r>
        <w:tab/>
        <w:t xml:space="preserve">The duration of the overall requirement is for a thirty-six (36) month period, </w:t>
      </w:r>
      <w:r w:rsidR="00A267ED">
        <w:t xml:space="preserve">to start </w:t>
      </w:r>
      <w:r w:rsidR="2739318E">
        <w:t>on</w:t>
      </w:r>
      <w:r w:rsidR="00A267ED">
        <w:t xml:space="preserve"> </w:t>
      </w:r>
      <w:r w:rsidR="00400D62">
        <w:t>27 Feb 2023</w:t>
      </w:r>
      <w:r w:rsidR="7D906AE7">
        <w:t xml:space="preserve"> and expiring on</w:t>
      </w:r>
      <w:r>
        <w:t xml:space="preserve"> 31 Mar 2026, with one (1) x twelve (12) month option period.</w:t>
      </w:r>
    </w:p>
    <w:p w14:paraId="39FCE655" w14:textId="77777777" w:rsidR="007C2487" w:rsidRDefault="002E0C76">
      <w:pPr>
        <w:pStyle w:val="Heading1"/>
        <w:numPr>
          <w:ilvl w:val="0"/>
          <w:numId w:val="4"/>
        </w:numPr>
        <w:tabs>
          <w:tab w:val="left" w:pos="709"/>
        </w:tabs>
        <w:spacing w:after="160"/>
        <w:ind w:left="709" w:hanging="709"/>
        <w:rPr>
          <w:rFonts w:ascii="Calibri" w:hAnsi="Calibri" w:cs="Calibri"/>
        </w:rPr>
      </w:pPr>
      <w:bookmarkStart w:id="9" w:name="_Toc112330482"/>
      <w:r>
        <w:rPr>
          <w:rFonts w:ascii="Calibri" w:hAnsi="Calibri" w:cs="Calibri"/>
        </w:rPr>
        <w:t>LOCATION</w:t>
      </w:r>
      <w:bookmarkEnd w:id="9"/>
    </w:p>
    <w:p w14:paraId="361D19A1" w14:textId="40421F3F" w:rsidR="007C2487" w:rsidRPr="005C2E3F" w:rsidRDefault="002E0C76">
      <w:pPr>
        <w:ind w:left="709" w:hanging="709"/>
        <w:jc w:val="both"/>
        <w:rPr>
          <w:color w:val="000000" w:themeColor="text1"/>
        </w:rPr>
      </w:pPr>
      <w:r w:rsidRPr="005C2E3F">
        <w:rPr>
          <w:color w:val="000000" w:themeColor="text1"/>
        </w:rPr>
        <w:t>6.1</w:t>
      </w:r>
      <w:r w:rsidRPr="005C2E3F">
        <w:rPr>
          <w:color w:val="000000" w:themeColor="text1"/>
        </w:rPr>
        <w:tab/>
      </w:r>
      <w:r w:rsidR="0036257F" w:rsidRPr="005C2E3F">
        <w:rPr>
          <w:color w:val="000000" w:themeColor="text1"/>
        </w:rPr>
        <w:t xml:space="preserve">The LTT&amp;RC will work </w:t>
      </w:r>
      <w:r w:rsidR="00E14BEC" w:rsidRPr="005C2E3F">
        <w:rPr>
          <w:color w:val="000000" w:themeColor="text1"/>
        </w:rPr>
        <w:t xml:space="preserve">primarily </w:t>
      </w:r>
      <w:r w:rsidR="0036257F" w:rsidRPr="005C2E3F">
        <w:rPr>
          <w:color w:val="000000" w:themeColor="text1"/>
        </w:rPr>
        <w:t>from Army HQ in Andover for the duration of contract</w:t>
      </w:r>
      <w:r w:rsidR="00E14BEC" w:rsidRPr="005C2E3F">
        <w:rPr>
          <w:color w:val="000000" w:themeColor="text1"/>
        </w:rPr>
        <w:t>. T</w:t>
      </w:r>
      <w:r w:rsidR="00A708B1" w:rsidRPr="005C2E3F">
        <w:rPr>
          <w:color w:val="000000" w:themeColor="text1"/>
        </w:rPr>
        <w:t>he provider</w:t>
      </w:r>
      <w:r w:rsidR="0036257F" w:rsidRPr="005C2E3F">
        <w:rPr>
          <w:color w:val="000000" w:themeColor="text1"/>
        </w:rPr>
        <w:t xml:space="preserve"> will require the ability to travel </w:t>
      </w:r>
      <w:r w:rsidR="00164FE2" w:rsidRPr="005C2E3F">
        <w:rPr>
          <w:color w:val="000000" w:themeColor="text1"/>
        </w:rPr>
        <w:t xml:space="preserve">across the UK and could include </w:t>
      </w:r>
      <w:r w:rsidR="005C2E3F" w:rsidRPr="005C2E3F">
        <w:rPr>
          <w:color w:val="000000" w:themeColor="text1"/>
        </w:rPr>
        <w:t xml:space="preserve">five </w:t>
      </w:r>
      <w:r w:rsidR="008A1F03" w:rsidRPr="005C2E3F">
        <w:rPr>
          <w:color w:val="000000" w:themeColor="text1"/>
        </w:rPr>
        <w:t>(</w:t>
      </w:r>
      <w:r w:rsidR="005C2E3F" w:rsidRPr="005C2E3F">
        <w:rPr>
          <w:color w:val="000000" w:themeColor="text1"/>
        </w:rPr>
        <w:t>5</w:t>
      </w:r>
      <w:r w:rsidR="008A1F03" w:rsidRPr="005C2E3F">
        <w:rPr>
          <w:color w:val="000000" w:themeColor="text1"/>
        </w:rPr>
        <w:t xml:space="preserve">) </w:t>
      </w:r>
      <w:r w:rsidR="00164FE2" w:rsidRPr="005C2E3F">
        <w:rPr>
          <w:color w:val="000000" w:themeColor="text1"/>
        </w:rPr>
        <w:t>international</w:t>
      </w:r>
      <w:r w:rsidR="004C4035" w:rsidRPr="005C2E3F">
        <w:rPr>
          <w:color w:val="000000" w:themeColor="text1"/>
        </w:rPr>
        <w:t xml:space="preserve"> vis</w:t>
      </w:r>
      <w:r w:rsidR="00E14BEC" w:rsidRPr="005C2E3F">
        <w:rPr>
          <w:color w:val="000000" w:themeColor="text1"/>
        </w:rPr>
        <w:t>i</w:t>
      </w:r>
      <w:r w:rsidR="004C4035" w:rsidRPr="005C2E3F">
        <w:rPr>
          <w:color w:val="000000" w:themeColor="text1"/>
        </w:rPr>
        <w:t xml:space="preserve">ts </w:t>
      </w:r>
      <w:r w:rsidR="00E14BEC" w:rsidRPr="005C2E3F">
        <w:rPr>
          <w:color w:val="000000" w:themeColor="text1"/>
        </w:rPr>
        <w:t xml:space="preserve">per year </w:t>
      </w:r>
      <w:r w:rsidR="004C4035" w:rsidRPr="005C2E3F">
        <w:rPr>
          <w:color w:val="000000" w:themeColor="text1"/>
        </w:rPr>
        <w:t>(</w:t>
      </w:r>
      <w:r w:rsidR="00D3644E" w:rsidRPr="005C2E3F">
        <w:rPr>
          <w:color w:val="000000" w:themeColor="text1"/>
        </w:rPr>
        <w:t>2</w:t>
      </w:r>
      <w:r w:rsidR="004C4035" w:rsidRPr="005C2E3F">
        <w:rPr>
          <w:color w:val="000000" w:themeColor="text1"/>
        </w:rPr>
        <w:t xml:space="preserve"> x America, 2 x </w:t>
      </w:r>
      <w:r w:rsidR="00D3644E" w:rsidRPr="005C2E3F">
        <w:rPr>
          <w:color w:val="000000" w:themeColor="text1"/>
        </w:rPr>
        <w:t>Europe</w:t>
      </w:r>
      <w:r w:rsidR="00E14BEC" w:rsidRPr="005C2E3F">
        <w:rPr>
          <w:color w:val="000000" w:themeColor="text1"/>
        </w:rPr>
        <w:t xml:space="preserve">, 1 x </w:t>
      </w:r>
      <w:r w:rsidR="005C2E3F" w:rsidRPr="005C2E3F">
        <w:rPr>
          <w:color w:val="000000" w:themeColor="text1"/>
        </w:rPr>
        <w:t>rest of the world</w:t>
      </w:r>
      <w:r w:rsidR="00E14BEC" w:rsidRPr="005C2E3F">
        <w:rPr>
          <w:color w:val="000000" w:themeColor="text1"/>
        </w:rPr>
        <w:t xml:space="preserve">) to </w:t>
      </w:r>
      <w:r w:rsidR="0036257F" w:rsidRPr="005C2E3F">
        <w:rPr>
          <w:color w:val="000000" w:themeColor="text1"/>
        </w:rPr>
        <w:t>deliver the requirements.</w:t>
      </w:r>
      <w:r w:rsidR="00607420" w:rsidRPr="005C2E3F">
        <w:rPr>
          <w:color w:val="000000" w:themeColor="text1"/>
        </w:rPr>
        <w:t xml:space="preserve"> </w:t>
      </w:r>
      <w:r w:rsidR="0036257F" w:rsidRPr="005C2E3F">
        <w:rPr>
          <w:color w:val="000000" w:themeColor="text1"/>
        </w:rPr>
        <w:t xml:space="preserve"> </w:t>
      </w:r>
    </w:p>
    <w:p w14:paraId="156D0BA9" w14:textId="77777777" w:rsidR="007C2487" w:rsidRDefault="002E0C76">
      <w:pPr>
        <w:pStyle w:val="Heading1"/>
        <w:numPr>
          <w:ilvl w:val="0"/>
          <w:numId w:val="4"/>
        </w:numPr>
        <w:tabs>
          <w:tab w:val="left" w:pos="709"/>
        </w:tabs>
        <w:spacing w:after="160"/>
        <w:ind w:left="709" w:hanging="709"/>
        <w:rPr>
          <w:rFonts w:ascii="Calibri" w:hAnsi="Calibri" w:cs="Calibri"/>
        </w:rPr>
      </w:pPr>
      <w:bookmarkStart w:id="10" w:name="_Toc112330483"/>
      <w:r>
        <w:rPr>
          <w:rFonts w:ascii="Calibri" w:hAnsi="Calibri" w:cs="Calibri"/>
        </w:rPr>
        <w:t>REQUIREMENT</w:t>
      </w:r>
      <w:bookmarkEnd w:id="10"/>
    </w:p>
    <w:p w14:paraId="13650187" w14:textId="23C71565" w:rsidR="007C2487" w:rsidRDefault="002E0C76" w:rsidP="006C088E">
      <w:pPr>
        <w:pStyle w:val="ListParagraph"/>
        <w:numPr>
          <w:ilvl w:val="1"/>
          <w:numId w:val="4"/>
        </w:numPr>
        <w:ind w:left="709" w:hanging="709"/>
        <w:jc w:val="both"/>
      </w:pPr>
      <w:r>
        <w:t xml:space="preserve">The requirements are detailed in Table </w:t>
      </w:r>
      <w:r w:rsidR="006C088E">
        <w:t>1 (see pages 4-</w:t>
      </w:r>
      <w:r w:rsidR="00997EE3">
        <w:t>5</w:t>
      </w:r>
      <w:r w:rsidR="006C088E">
        <w:t>).</w:t>
      </w:r>
    </w:p>
    <w:p w14:paraId="2CE82683" w14:textId="77777777" w:rsidR="006C088E" w:rsidRDefault="006C088E" w:rsidP="006C088E">
      <w:pPr>
        <w:pStyle w:val="Heading1"/>
        <w:numPr>
          <w:ilvl w:val="0"/>
          <w:numId w:val="4"/>
        </w:numPr>
        <w:tabs>
          <w:tab w:val="left" w:pos="709"/>
        </w:tabs>
        <w:spacing w:after="160"/>
        <w:ind w:left="709" w:hanging="709"/>
        <w:rPr>
          <w:rFonts w:ascii="Calibri" w:hAnsi="Calibri" w:cs="Calibri"/>
        </w:rPr>
      </w:pPr>
      <w:bookmarkStart w:id="11" w:name="_Toc112330484"/>
      <w:r>
        <w:rPr>
          <w:rFonts w:ascii="Calibri" w:hAnsi="Calibri" w:cs="Calibri"/>
        </w:rPr>
        <w:t>DELIVERABLES</w:t>
      </w:r>
      <w:bookmarkEnd w:id="11"/>
    </w:p>
    <w:p w14:paraId="2D3FCA52" w14:textId="48CEFC09" w:rsidR="006C088E" w:rsidRDefault="006C088E" w:rsidP="006C088E">
      <w:pPr>
        <w:ind w:left="709" w:hanging="709"/>
        <w:jc w:val="both"/>
      </w:pPr>
      <w:r>
        <w:t>8.1</w:t>
      </w:r>
      <w:r>
        <w:tab/>
        <w:t>There are enduring deliverables throughout the life of the LTT&amp;RC as shown in Table 2 (see page</w:t>
      </w:r>
      <w:r w:rsidR="00997EE3">
        <w:t>s 6-7</w:t>
      </w:r>
      <w:r>
        <w:t xml:space="preserve">).  </w:t>
      </w:r>
    </w:p>
    <w:p w14:paraId="0CD8A319" w14:textId="77777777" w:rsidR="006C088E" w:rsidRDefault="006C088E">
      <w:pPr>
        <w:suppressAutoHyphens w:val="0"/>
      </w:pPr>
      <w:r>
        <w:br w:type="page"/>
      </w:r>
    </w:p>
    <w:tbl>
      <w:tblPr>
        <w:tblW w:w="9771" w:type="dxa"/>
        <w:tblLayout w:type="fixed"/>
        <w:tblCellMar>
          <w:left w:w="10" w:type="dxa"/>
          <w:right w:w="10" w:type="dxa"/>
        </w:tblCellMar>
        <w:tblLook w:val="04A0" w:firstRow="1" w:lastRow="0" w:firstColumn="1" w:lastColumn="0" w:noHBand="0" w:noVBand="1"/>
      </w:tblPr>
      <w:tblGrid>
        <w:gridCol w:w="793"/>
        <w:gridCol w:w="2551"/>
        <w:gridCol w:w="1041"/>
        <w:gridCol w:w="2835"/>
        <w:gridCol w:w="2551"/>
      </w:tblGrid>
      <w:tr w:rsidR="007C2487" w14:paraId="039D4212" w14:textId="77777777" w:rsidTr="004D29B3">
        <w:trPr>
          <w:trHeight w:val="647"/>
          <w:tblHeader/>
        </w:trPr>
        <w:tc>
          <w:tcPr>
            <w:tcW w:w="793"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BDD6EE" w:themeFill="accent5" w:themeFillTint="66"/>
            <w:tcMar>
              <w:top w:w="0" w:type="dxa"/>
              <w:left w:w="108" w:type="dxa"/>
              <w:bottom w:w="0" w:type="dxa"/>
              <w:right w:w="108" w:type="dxa"/>
            </w:tcMar>
            <w:vAlign w:val="center"/>
          </w:tcPr>
          <w:p w14:paraId="24F85530" w14:textId="77777777" w:rsidR="007C2487" w:rsidRDefault="002E0C76">
            <w:pPr>
              <w:spacing w:before="40" w:after="40"/>
              <w:jc w:val="center"/>
              <w:rPr>
                <w:rFonts w:cs="Calibri"/>
                <w:b/>
                <w:bCs/>
                <w:color w:val="000000"/>
                <w:lang w:eastAsia="en-GB"/>
              </w:rPr>
            </w:pPr>
            <w:r>
              <w:rPr>
                <w:rFonts w:cs="Calibri"/>
                <w:b/>
                <w:bCs/>
                <w:color w:val="000000"/>
                <w:lang w:eastAsia="en-GB"/>
              </w:rPr>
              <w:lastRenderedPageBreak/>
              <w:t>ID</w:t>
            </w:r>
          </w:p>
        </w:tc>
        <w:tc>
          <w:tcPr>
            <w:tcW w:w="2551" w:type="dxa"/>
            <w:tcBorders>
              <w:top w:val="single" w:sz="8" w:space="0" w:color="000000" w:themeColor="text1"/>
              <w:bottom w:val="single" w:sz="4" w:space="0" w:color="000000" w:themeColor="text1"/>
              <w:right w:val="single" w:sz="8" w:space="0" w:color="000000" w:themeColor="text1"/>
            </w:tcBorders>
            <w:shd w:val="clear" w:color="auto" w:fill="BDD6EE" w:themeFill="accent5" w:themeFillTint="66"/>
            <w:tcMar>
              <w:top w:w="0" w:type="dxa"/>
              <w:left w:w="108" w:type="dxa"/>
              <w:bottom w:w="0" w:type="dxa"/>
              <w:right w:w="108" w:type="dxa"/>
            </w:tcMar>
            <w:vAlign w:val="center"/>
          </w:tcPr>
          <w:p w14:paraId="65E8CE4E" w14:textId="77777777" w:rsidR="007C2487" w:rsidRDefault="002E0C76">
            <w:pPr>
              <w:spacing w:before="40" w:after="40"/>
              <w:jc w:val="center"/>
              <w:rPr>
                <w:rFonts w:cs="Calibri"/>
                <w:b/>
                <w:bCs/>
                <w:color w:val="000000"/>
                <w:lang w:eastAsia="en-GB"/>
              </w:rPr>
            </w:pPr>
            <w:r>
              <w:rPr>
                <w:rFonts w:cs="Calibri"/>
                <w:b/>
                <w:bCs/>
                <w:color w:val="000000"/>
                <w:lang w:eastAsia="en-GB"/>
              </w:rPr>
              <w:t>Requirement Text</w:t>
            </w:r>
          </w:p>
        </w:tc>
        <w:tc>
          <w:tcPr>
            <w:tcW w:w="1041" w:type="dxa"/>
            <w:tcBorders>
              <w:top w:val="single" w:sz="8" w:space="0" w:color="000000" w:themeColor="text1"/>
              <w:bottom w:val="single" w:sz="4" w:space="0" w:color="000000" w:themeColor="text1"/>
              <w:right w:val="single" w:sz="8" w:space="0" w:color="000000" w:themeColor="text1"/>
            </w:tcBorders>
            <w:shd w:val="clear" w:color="auto" w:fill="BDD6EE" w:themeFill="accent5" w:themeFillTint="66"/>
            <w:tcMar>
              <w:top w:w="0" w:type="dxa"/>
              <w:left w:w="108" w:type="dxa"/>
              <w:bottom w:w="0" w:type="dxa"/>
              <w:right w:w="108" w:type="dxa"/>
            </w:tcMar>
            <w:vAlign w:val="center"/>
          </w:tcPr>
          <w:p w14:paraId="2F3F6532" w14:textId="77777777" w:rsidR="007C2487" w:rsidRDefault="002E0C76">
            <w:pPr>
              <w:spacing w:before="40" w:after="40"/>
              <w:jc w:val="center"/>
              <w:rPr>
                <w:rFonts w:cs="Calibri"/>
                <w:b/>
                <w:bCs/>
                <w:color w:val="000000"/>
                <w:lang w:eastAsia="en-GB"/>
              </w:rPr>
            </w:pPr>
            <w:r>
              <w:rPr>
                <w:rFonts w:cs="Calibri"/>
                <w:b/>
                <w:bCs/>
                <w:color w:val="000000"/>
                <w:lang w:eastAsia="en-GB"/>
              </w:rPr>
              <w:t>User</w:t>
            </w:r>
          </w:p>
        </w:tc>
        <w:tc>
          <w:tcPr>
            <w:tcW w:w="2835" w:type="dxa"/>
            <w:tcBorders>
              <w:top w:val="single" w:sz="8" w:space="0" w:color="000000" w:themeColor="text1"/>
              <w:bottom w:val="single" w:sz="4" w:space="0" w:color="000000" w:themeColor="text1"/>
              <w:right w:val="single" w:sz="8" w:space="0" w:color="000000" w:themeColor="text1"/>
            </w:tcBorders>
            <w:shd w:val="clear" w:color="auto" w:fill="BDD6EE" w:themeFill="accent5" w:themeFillTint="66"/>
            <w:tcMar>
              <w:top w:w="0" w:type="dxa"/>
              <w:left w:w="108" w:type="dxa"/>
              <w:bottom w:w="0" w:type="dxa"/>
              <w:right w:w="108" w:type="dxa"/>
            </w:tcMar>
            <w:vAlign w:val="center"/>
          </w:tcPr>
          <w:p w14:paraId="2E1A075B" w14:textId="77777777" w:rsidR="007C2487" w:rsidRDefault="002E0C76">
            <w:pPr>
              <w:spacing w:before="40" w:after="40"/>
              <w:jc w:val="center"/>
              <w:rPr>
                <w:rFonts w:cs="Calibri"/>
                <w:b/>
                <w:bCs/>
                <w:color w:val="000000"/>
                <w:lang w:eastAsia="en-GB"/>
              </w:rPr>
            </w:pPr>
            <w:r>
              <w:rPr>
                <w:rFonts w:cs="Calibri"/>
                <w:b/>
                <w:bCs/>
                <w:color w:val="000000"/>
                <w:lang w:eastAsia="en-GB"/>
              </w:rPr>
              <w:t>Threshold Measure of Effectiveness (MOE)</w:t>
            </w:r>
          </w:p>
        </w:tc>
        <w:tc>
          <w:tcPr>
            <w:tcW w:w="2551" w:type="dxa"/>
            <w:tcBorders>
              <w:top w:val="single" w:sz="8" w:space="0" w:color="000000" w:themeColor="text1"/>
              <w:bottom w:val="single" w:sz="4" w:space="0" w:color="000000" w:themeColor="text1"/>
              <w:right w:val="single" w:sz="8" w:space="0" w:color="000000" w:themeColor="text1"/>
            </w:tcBorders>
            <w:shd w:val="clear" w:color="auto" w:fill="BDD6EE" w:themeFill="accent5" w:themeFillTint="66"/>
            <w:tcMar>
              <w:top w:w="0" w:type="dxa"/>
              <w:left w:w="108" w:type="dxa"/>
              <w:bottom w:w="0" w:type="dxa"/>
              <w:right w:w="108" w:type="dxa"/>
            </w:tcMar>
            <w:vAlign w:val="center"/>
          </w:tcPr>
          <w:p w14:paraId="3798FFE2" w14:textId="77777777" w:rsidR="007C2487" w:rsidRDefault="002E0C76">
            <w:pPr>
              <w:spacing w:before="40" w:after="40"/>
              <w:jc w:val="center"/>
              <w:rPr>
                <w:rFonts w:cs="Calibri"/>
                <w:b/>
                <w:bCs/>
                <w:color w:val="000000"/>
                <w:lang w:eastAsia="en-GB"/>
              </w:rPr>
            </w:pPr>
            <w:r>
              <w:rPr>
                <w:rFonts w:cs="Calibri"/>
                <w:b/>
                <w:bCs/>
                <w:color w:val="000000"/>
                <w:lang w:eastAsia="en-GB"/>
              </w:rPr>
              <w:t>Objective MOE</w:t>
            </w:r>
          </w:p>
        </w:tc>
      </w:tr>
      <w:tr w:rsidR="007C2487" w14:paraId="0C608681" w14:textId="77777777" w:rsidTr="004D29B3">
        <w:trPr>
          <w:trHeight w:val="468"/>
        </w:trPr>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FC4C29" w14:textId="77777777" w:rsidR="007C2487" w:rsidRDefault="002E0C76">
            <w:pPr>
              <w:spacing w:before="40" w:after="40"/>
              <w:jc w:val="center"/>
              <w:rPr>
                <w:rFonts w:cs="Calibri"/>
                <w:color w:val="212121"/>
              </w:rPr>
            </w:pPr>
            <w:r>
              <w:rPr>
                <w:rFonts w:cs="Calibri"/>
                <w:color w:val="212121"/>
              </w:rPr>
              <w:t>UR-1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028D65" w14:textId="77777777" w:rsidR="007C2487" w:rsidRDefault="002E0C76">
            <w:pPr>
              <w:spacing w:before="40" w:after="40"/>
              <w:rPr>
                <w:rFonts w:cs="Calibri"/>
                <w:color w:val="212121"/>
              </w:rPr>
            </w:pPr>
            <w:r>
              <w:rPr>
                <w:rFonts w:cs="Calibri"/>
                <w:color w:val="212121"/>
              </w:rPr>
              <w:t>The User shall have technical decision support informed by SQEP.</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F746FD" w14:textId="77777777" w:rsidR="007C2487" w:rsidRDefault="002E0C76">
            <w:pPr>
              <w:spacing w:before="40" w:after="40"/>
              <w:rPr>
                <w:rFonts w:cs="Calibri"/>
                <w:color w:val="212121"/>
              </w:rPr>
            </w:pPr>
            <w:r>
              <w:rPr>
                <w:rFonts w:cs="Calibri"/>
                <w:color w:val="212121"/>
              </w:rPr>
              <w:t>Land SCTA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6B35F2" w14:textId="77777777" w:rsidR="007C2487" w:rsidRDefault="002E0C76">
            <w:pPr>
              <w:spacing w:before="40" w:after="40"/>
              <w:rPr>
                <w:rFonts w:cs="Calibri"/>
                <w:color w:val="212121"/>
              </w:rPr>
            </w:pPr>
            <w:r>
              <w:rPr>
                <w:rFonts w:cs="Calibri"/>
                <w:color w:val="212121"/>
              </w:rPr>
              <w:t>Qualified through Cranfield’s Modelling and Simulation MSc or equivalent with at least two years practitioner delivery experience.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015D2E" w14:textId="77777777" w:rsidR="007C2487" w:rsidRDefault="002E0C76">
            <w:pPr>
              <w:spacing w:before="40" w:after="40"/>
              <w:rPr>
                <w:rFonts w:cs="Calibri"/>
                <w:color w:val="212121"/>
              </w:rPr>
            </w:pPr>
            <w:r>
              <w:rPr>
                <w:rFonts w:cs="Calibri"/>
                <w:color w:val="212121"/>
              </w:rPr>
              <w:t>As threshold.</w:t>
            </w:r>
          </w:p>
        </w:tc>
      </w:tr>
      <w:tr w:rsidR="007C2487" w14:paraId="5FCDA30E" w14:textId="77777777" w:rsidTr="004D29B3">
        <w:trPr>
          <w:trHeight w:val="487"/>
        </w:trPr>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14BFB4" w14:textId="77777777" w:rsidR="007C2487" w:rsidRDefault="002E0C76">
            <w:pPr>
              <w:spacing w:before="40" w:after="40"/>
              <w:jc w:val="center"/>
              <w:rPr>
                <w:rFonts w:cs="Calibri"/>
                <w:color w:val="212121"/>
              </w:rPr>
            </w:pPr>
            <w:r>
              <w:rPr>
                <w:rFonts w:cs="Calibri"/>
                <w:color w:val="212121"/>
              </w:rPr>
              <w:t>UR-2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0B491D" w14:textId="77777777" w:rsidR="007C2487" w:rsidRDefault="002E0C76">
            <w:pPr>
              <w:spacing w:before="40" w:after="40"/>
              <w:rPr>
                <w:rFonts w:cs="Calibri"/>
                <w:color w:val="212121"/>
              </w:rPr>
            </w:pPr>
            <w:r>
              <w:rPr>
                <w:rFonts w:cs="Calibri"/>
                <w:color w:val="212121"/>
              </w:rPr>
              <w:t>The User will have technical evidence to write the CTAR.</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00A698" w14:textId="77777777" w:rsidR="007C2487" w:rsidRDefault="002E0C76">
            <w:pPr>
              <w:spacing w:before="40" w:after="40"/>
              <w:rPr>
                <w:rFonts w:cs="Calibri"/>
                <w:color w:val="212121"/>
              </w:rPr>
            </w:pPr>
            <w:r>
              <w:rPr>
                <w:rFonts w:cs="Calibri"/>
                <w:color w:val="212121"/>
              </w:rPr>
              <w:t>Land SCTA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03CC85" w14:textId="77777777" w:rsidR="007C2487" w:rsidRDefault="002E0C76">
            <w:pPr>
              <w:spacing w:before="40" w:after="40"/>
              <w:rPr>
                <w:rFonts w:cs="Calibri"/>
                <w:color w:val="212121"/>
              </w:rPr>
            </w:pPr>
            <w:r>
              <w:rPr>
                <w:rFonts w:cs="Calibri"/>
                <w:color w:val="212121"/>
              </w:rPr>
              <w:t>Objective evidence from analysis of the proposals.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C9BFBE" w14:textId="77777777" w:rsidR="007C2487" w:rsidRDefault="002E0C76">
            <w:pPr>
              <w:spacing w:before="40" w:after="40"/>
              <w:rPr>
                <w:rFonts w:cs="Calibri"/>
                <w:color w:val="212121"/>
              </w:rPr>
            </w:pPr>
            <w:r>
              <w:rPr>
                <w:rFonts w:cs="Calibri"/>
                <w:color w:val="212121"/>
              </w:rPr>
              <w:t>Objective evidence from technical investigation of the proposals.</w:t>
            </w:r>
          </w:p>
        </w:tc>
      </w:tr>
      <w:tr w:rsidR="007C2487" w14:paraId="1BC45449" w14:textId="77777777" w:rsidTr="004D29B3">
        <w:trPr>
          <w:trHeight w:val="617"/>
        </w:trPr>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F5316A" w14:textId="77777777" w:rsidR="007C2487" w:rsidRDefault="002E0C76">
            <w:pPr>
              <w:spacing w:before="40" w:after="40"/>
              <w:jc w:val="center"/>
              <w:rPr>
                <w:rFonts w:cs="Calibri"/>
              </w:rPr>
            </w:pPr>
            <w:r>
              <w:rPr>
                <w:rFonts w:cs="Calibri"/>
              </w:rPr>
              <w:t>UR-3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75ADD6" w14:textId="77777777" w:rsidR="007C2487" w:rsidRDefault="002E0C76">
            <w:pPr>
              <w:spacing w:before="40" w:after="40"/>
              <w:rPr>
                <w:rFonts w:cs="Calibri"/>
                <w:color w:val="212121"/>
              </w:rPr>
            </w:pPr>
            <w:r>
              <w:rPr>
                <w:rFonts w:cs="Calibri"/>
                <w:color w:val="212121"/>
              </w:rPr>
              <w:t xml:space="preserve">The User shall have an effective system of technical governance. </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9ACE2B" w14:textId="77777777" w:rsidR="007C2487" w:rsidRDefault="002E0C76">
            <w:pPr>
              <w:spacing w:before="40" w:after="40"/>
              <w:rPr>
                <w:rFonts w:cs="Calibri"/>
                <w:color w:val="212121"/>
              </w:rPr>
            </w:pPr>
            <w:r>
              <w:rPr>
                <w:rFonts w:cs="Calibri"/>
                <w:color w:val="212121"/>
              </w:rPr>
              <w:t>CTTP</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E4493E" w14:textId="77777777" w:rsidR="007C2487" w:rsidRDefault="002E0C76">
            <w:pPr>
              <w:spacing w:before="40" w:after="40"/>
              <w:rPr>
                <w:rFonts w:cs="Calibri"/>
                <w:color w:val="212121"/>
              </w:rPr>
            </w:pPr>
            <w:r>
              <w:rPr>
                <w:rFonts w:cs="Calibri"/>
                <w:color w:val="212121"/>
              </w:rPr>
              <w:t>Objective evidence to support technical acceptance tests.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DAD904" w14:textId="77777777" w:rsidR="007C2487" w:rsidRDefault="002E0C76">
            <w:pPr>
              <w:spacing w:before="40" w:after="40"/>
              <w:rPr>
                <w:rFonts w:cs="Calibri"/>
                <w:color w:val="212121"/>
              </w:rPr>
            </w:pPr>
            <w:r>
              <w:rPr>
                <w:rFonts w:cs="Calibri"/>
                <w:color w:val="212121"/>
              </w:rPr>
              <w:t>As threshold.</w:t>
            </w:r>
          </w:p>
        </w:tc>
      </w:tr>
      <w:tr w:rsidR="007C2487" w14:paraId="1CAA2049" w14:textId="77777777" w:rsidTr="004D29B3">
        <w:trPr>
          <w:trHeight w:val="852"/>
        </w:trPr>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E2223A" w14:textId="77777777" w:rsidR="007C2487" w:rsidRDefault="002E0C76">
            <w:pPr>
              <w:spacing w:before="40" w:after="40"/>
              <w:jc w:val="center"/>
              <w:rPr>
                <w:rFonts w:cs="Calibri"/>
                <w:color w:val="212121"/>
              </w:rPr>
            </w:pPr>
            <w:r>
              <w:rPr>
                <w:rFonts w:cs="Calibri"/>
                <w:color w:val="212121"/>
              </w:rPr>
              <w:t>UR-4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47DD44" w14:textId="77777777" w:rsidR="007C2487" w:rsidRDefault="002E0C76">
            <w:pPr>
              <w:spacing w:before="40" w:after="40"/>
              <w:rPr>
                <w:rFonts w:cs="Calibri"/>
                <w:color w:val="212121"/>
              </w:rPr>
            </w:pPr>
            <w:r>
              <w:rPr>
                <w:rFonts w:cs="Calibri"/>
                <w:color w:val="212121"/>
              </w:rPr>
              <w:t>The User shall receive advice on technical risk.</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005D81" w14:textId="77777777" w:rsidR="007C2487" w:rsidRDefault="002E0C76">
            <w:pPr>
              <w:spacing w:before="40" w:after="40"/>
              <w:rPr>
                <w:rFonts w:cs="Calibri"/>
                <w:color w:val="212121"/>
              </w:rPr>
            </w:pPr>
            <w:r>
              <w:rPr>
                <w:rFonts w:cs="Calibri"/>
                <w:color w:val="212121"/>
              </w:rPr>
              <w:t>CTTP</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101BF8" w14:textId="77777777" w:rsidR="007C2487" w:rsidRDefault="002E0C76">
            <w:pPr>
              <w:spacing w:before="40" w:after="40"/>
              <w:rPr>
                <w:rFonts w:cs="Calibri"/>
                <w:color w:val="212121"/>
              </w:rPr>
            </w:pPr>
            <w:r>
              <w:rPr>
                <w:rFonts w:cs="Calibri"/>
                <w:color w:val="212121"/>
              </w:rPr>
              <w:t>Objective advice on mitigation and control of technical risks.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0DC779" w14:textId="77777777" w:rsidR="007C2487" w:rsidRDefault="002E0C76">
            <w:pPr>
              <w:spacing w:before="40" w:after="40"/>
              <w:rPr>
                <w:rFonts w:cs="Calibri"/>
                <w:color w:val="212121"/>
              </w:rPr>
            </w:pPr>
            <w:r>
              <w:rPr>
                <w:rFonts w:cs="Calibri"/>
                <w:color w:val="212121"/>
              </w:rPr>
              <w:t>As threshold.</w:t>
            </w:r>
          </w:p>
        </w:tc>
      </w:tr>
      <w:tr w:rsidR="007C2487" w14:paraId="66D8B68E" w14:textId="77777777" w:rsidTr="004D29B3">
        <w:trPr>
          <w:trHeight w:val="325"/>
        </w:trPr>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A55441" w14:textId="77777777" w:rsidR="007C2487" w:rsidRDefault="002E0C76">
            <w:pPr>
              <w:spacing w:before="40" w:after="40"/>
              <w:jc w:val="center"/>
              <w:rPr>
                <w:rFonts w:cs="Calibri"/>
                <w:color w:val="212121"/>
              </w:rPr>
            </w:pPr>
            <w:r>
              <w:rPr>
                <w:rFonts w:cs="Calibri"/>
                <w:color w:val="212121"/>
              </w:rPr>
              <w:t>UR-5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9E233E" w14:textId="016451E2" w:rsidR="007C2487" w:rsidRDefault="002E0C76">
            <w:pPr>
              <w:spacing w:before="40" w:after="40"/>
            </w:pPr>
            <w:r w:rsidRPr="41DCEEA8">
              <w:rPr>
                <w:rFonts w:cs="Calibri"/>
                <w:color w:val="212121"/>
              </w:rPr>
              <w:t xml:space="preserve">The User shall facilitate </w:t>
            </w:r>
            <w:bookmarkStart w:id="12" w:name="_Int_Jyb3QGda"/>
            <w:r w:rsidRPr="41DCEEA8">
              <w:rPr>
                <w:rFonts w:cs="Calibri"/>
                <w:color w:val="212121"/>
              </w:rPr>
              <w:t>GFE (Government Furnished Equipment)</w:t>
            </w:r>
            <w:bookmarkEnd w:id="12"/>
            <w:r w:rsidRPr="41DCEEA8">
              <w:rPr>
                <w:rFonts w:cs="Calibri"/>
                <w:color w:val="212121"/>
              </w:rPr>
              <w:t xml:space="preserve"> </w:t>
            </w:r>
            <w:r w:rsidRPr="41DCEEA8">
              <w:rPr>
                <w:rFonts w:cs="Calibri"/>
                <w:b/>
                <w:bCs/>
                <w:i/>
                <w:iCs/>
                <w:color w:val="212121"/>
              </w:rPr>
              <w:t>to</w:t>
            </w:r>
            <w:r w:rsidRPr="41DCEEA8">
              <w:rPr>
                <w:rFonts w:cs="Calibri"/>
                <w:b/>
                <w:bCs/>
                <w:color w:val="212121"/>
              </w:rPr>
              <w:t xml:space="preserve"> </w:t>
            </w:r>
            <w:r w:rsidRPr="41DCEEA8">
              <w:rPr>
                <w:rFonts w:cs="Calibri"/>
                <w:color w:val="212121"/>
              </w:rPr>
              <w:t xml:space="preserve">the FCTS drawing it </w:t>
            </w:r>
            <w:r w:rsidRPr="41DCEEA8">
              <w:rPr>
                <w:rFonts w:cs="Calibri"/>
                <w:b/>
                <w:bCs/>
                <w:i/>
                <w:iCs/>
                <w:color w:val="212121"/>
              </w:rPr>
              <w:t>from</w:t>
            </w:r>
            <w:r w:rsidRPr="41DCEEA8">
              <w:rPr>
                <w:rFonts w:cs="Calibri"/>
                <w:b/>
                <w:bCs/>
                <w:color w:val="212121"/>
              </w:rPr>
              <w:t xml:space="preserve"> </w:t>
            </w:r>
            <w:r w:rsidRPr="41DCEEA8">
              <w:rPr>
                <w:rFonts w:cs="Calibri"/>
                <w:color w:val="212121"/>
              </w:rPr>
              <w:t>wider in-service training delivery systems and services.</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BAF55D" w14:textId="77777777" w:rsidR="007C2487" w:rsidRDefault="002E0C76">
            <w:pPr>
              <w:spacing w:before="40" w:after="40"/>
              <w:rPr>
                <w:rFonts w:cs="Calibri"/>
                <w:color w:val="212121"/>
              </w:rPr>
            </w:pPr>
            <w:r>
              <w:rPr>
                <w:rFonts w:cs="Calibri"/>
                <w:color w:val="212121"/>
              </w:rPr>
              <w:t>CTTP</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63C3BC" w14:textId="77777777" w:rsidR="007C2487" w:rsidRDefault="002E0C76">
            <w:pPr>
              <w:spacing w:before="40" w:after="40"/>
              <w:rPr>
                <w:rFonts w:cs="Calibri"/>
                <w:color w:val="212121"/>
              </w:rPr>
            </w:pPr>
            <w:r>
              <w:rPr>
                <w:rFonts w:cs="Calibri"/>
                <w:color w:val="212121"/>
              </w:rPr>
              <w:t>Response within two working days and, where available, provision of GFE elements within two working weeks.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58B9B3" w14:textId="77777777" w:rsidR="007C2487" w:rsidRDefault="002E0C76">
            <w:pPr>
              <w:spacing w:before="40" w:after="40"/>
              <w:rPr>
                <w:rFonts w:cs="Calibri"/>
                <w:color w:val="212121"/>
              </w:rPr>
            </w:pPr>
            <w:r>
              <w:rPr>
                <w:rFonts w:cs="Calibri"/>
                <w:color w:val="212121"/>
              </w:rPr>
              <w:t>Response within one working day and where available, provision of GFE elements within one working week.</w:t>
            </w:r>
          </w:p>
        </w:tc>
      </w:tr>
      <w:tr w:rsidR="3E1B06F4" w14:paraId="044B4F45" w14:textId="77777777" w:rsidTr="004D29B3">
        <w:trPr>
          <w:trHeight w:val="325"/>
        </w:trPr>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7E9F2A" w14:textId="6F4F78D2" w:rsidR="002E0C76" w:rsidRPr="28E48D92" w:rsidRDefault="002E0C76" w:rsidP="28E48D92">
            <w:pPr>
              <w:spacing w:before="40" w:after="40"/>
              <w:jc w:val="center"/>
              <w:rPr>
                <w:rFonts w:cs="Calibri"/>
                <w:color w:val="212121"/>
              </w:rPr>
            </w:pPr>
            <w:r w:rsidRPr="28E48D92">
              <w:rPr>
                <w:rFonts w:cs="Calibri"/>
                <w:color w:val="212121"/>
              </w:rPr>
              <w:t>UR-6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130155" w14:textId="55B445BE" w:rsidR="002E0C76" w:rsidRDefault="002E0C76" w:rsidP="28E48D92">
            <w:pPr>
              <w:spacing w:before="40" w:after="40"/>
            </w:pPr>
            <w:r w:rsidRPr="28E48D92">
              <w:rPr>
                <w:rFonts w:cs="Calibri"/>
                <w:color w:val="212121"/>
              </w:rPr>
              <w:t xml:space="preserve">The User shall </w:t>
            </w:r>
            <w:r w:rsidRPr="727DF424">
              <w:rPr>
                <w:rFonts w:cs="Calibri"/>
                <w:color w:val="212121"/>
              </w:rPr>
              <w:t>facilitate</w:t>
            </w:r>
            <w:r w:rsidRPr="7DEC755D">
              <w:rPr>
                <w:rFonts w:cs="Calibri"/>
                <w:color w:val="212121"/>
              </w:rPr>
              <w:t xml:space="preserve"> </w:t>
            </w:r>
            <w:r w:rsidRPr="28E48D92">
              <w:rPr>
                <w:rFonts w:cs="Calibri"/>
                <w:color w:val="212121"/>
              </w:rPr>
              <w:t xml:space="preserve">GFE </w:t>
            </w:r>
            <w:r w:rsidRPr="23186249">
              <w:rPr>
                <w:rFonts w:cs="Calibri"/>
                <w:b/>
                <w:i/>
                <w:color w:val="212121"/>
              </w:rPr>
              <w:t>to</w:t>
            </w:r>
            <w:r w:rsidRPr="23186249">
              <w:rPr>
                <w:rFonts w:cs="Calibri"/>
                <w:b/>
                <w:color w:val="212121"/>
              </w:rPr>
              <w:t xml:space="preserve"> </w:t>
            </w:r>
            <w:r w:rsidRPr="7454A2DF">
              <w:rPr>
                <w:rFonts w:cs="Calibri"/>
                <w:color w:val="212121"/>
              </w:rPr>
              <w:t xml:space="preserve">wider in-service </w:t>
            </w:r>
            <w:r w:rsidRPr="30A2892C">
              <w:rPr>
                <w:rFonts w:cs="Calibri"/>
                <w:color w:val="212121"/>
              </w:rPr>
              <w:t xml:space="preserve">training </w:t>
            </w:r>
            <w:r w:rsidRPr="4C9393F5">
              <w:rPr>
                <w:rFonts w:cs="Calibri"/>
                <w:color w:val="212121"/>
              </w:rPr>
              <w:t>delivery systems</w:t>
            </w:r>
            <w:r w:rsidRPr="613CF750">
              <w:rPr>
                <w:rFonts w:cs="Calibri"/>
                <w:color w:val="212121"/>
              </w:rPr>
              <w:t xml:space="preserve"> and services</w:t>
            </w:r>
            <w:r w:rsidRPr="28E48D92">
              <w:rPr>
                <w:rFonts w:cs="Calibri"/>
                <w:color w:val="212121"/>
              </w:rPr>
              <w:t xml:space="preserve"> drawing it </w:t>
            </w:r>
            <w:r w:rsidRPr="466A7850">
              <w:rPr>
                <w:rFonts w:cs="Calibri"/>
                <w:b/>
                <w:i/>
                <w:color w:val="212121"/>
              </w:rPr>
              <w:t>from</w:t>
            </w:r>
            <w:r w:rsidRPr="56A4E2C8">
              <w:rPr>
                <w:rFonts w:cs="Calibri"/>
                <w:b/>
                <w:i/>
                <w:color w:val="212121"/>
              </w:rPr>
              <w:t xml:space="preserve"> </w:t>
            </w:r>
            <w:r w:rsidRPr="12ADD226">
              <w:rPr>
                <w:rFonts w:cs="Calibri"/>
                <w:color w:val="212121"/>
              </w:rPr>
              <w:t>the</w:t>
            </w:r>
            <w:r w:rsidRPr="56A4E2C8">
              <w:rPr>
                <w:rFonts w:cs="Calibri"/>
                <w:b/>
                <w:bCs/>
                <w:color w:val="212121"/>
              </w:rPr>
              <w:t xml:space="preserve"> </w:t>
            </w:r>
            <w:r w:rsidRPr="29FFF132">
              <w:rPr>
                <w:rFonts w:cs="Calibri"/>
                <w:color w:val="212121"/>
              </w:rPr>
              <w:t>FCTS</w:t>
            </w:r>
            <w:r w:rsidRPr="28E48D92">
              <w:rPr>
                <w:rFonts w:cs="Calibri"/>
                <w:color w:val="212121"/>
              </w:rPr>
              <w:t>.</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61C07C" w14:textId="77777777" w:rsidR="002E0C76" w:rsidRPr="28E48D92" w:rsidRDefault="002E0C76" w:rsidP="28E48D92">
            <w:pPr>
              <w:spacing w:before="40" w:after="40"/>
              <w:rPr>
                <w:rFonts w:cs="Calibri"/>
                <w:color w:val="212121"/>
              </w:rPr>
            </w:pPr>
            <w:r w:rsidRPr="28E48D92">
              <w:rPr>
                <w:rFonts w:cs="Calibri"/>
                <w:color w:val="212121"/>
              </w:rPr>
              <w:t>CTTP</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55D8DC" w14:textId="77777777" w:rsidR="002E0C76" w:rsidRPr="28E48D92" w:rsidRDefault="002E0C76" w:rsidP="28E48D92">
            <w:pPr>
              <w:spacing w:before="40" w:after="40"/>
              <w:rPr>
                <w:rFonts w:cs="Calibri"/>
                <w:color w:val="212121"/>
              </w:rPr>
            </w:pPr>
            <w:r w:rsidRPr="28E48D92">
              <w:rPr>
                <w:rFonts w:cs="Calibri"/>
                <w:color w:val="212121"/>
              </w:rPr>
              <w:t>Response within two working days and, where available, provision of GFE elements within two working weeks.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21C4F6" w14:textId="77777777" w:rsidR="002E0C76" w:rsidRPr="28E48D92" w:rsidRDefault="002E0C76" w:rsidP="28E48D92">
            <w:pPr>
              <w:spacing w:before="40" w:after="40"/>
              <w:rPr>
                <w:rFonts w:cs="Calibri"/>
                <w:color w:val="212121"/>
              </w:rPr>
            </w:pPr>
            <w:r w:rsidRPr="28E48D92">
              <w:rPr>
                <w:rFonts w:cs="Calibri"/>
                <w:color w:val="212121"/>
              </w:rPr>
              <w:t>Response within one working day and where available, provision of GFE elements within one working week.</w:t>
            </w:r>
          </w:p>
        </w:tc>
      </w:tr>
      <w:tr w:rsidR="007C2487" w14:paraId="76EC3132" w14:textId="77777777" w:rsidTr="004D29B3">
        <w:trPr>
          <w:trHeight w:val="1455"/>
        </w:trPr>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BBF71A" w14:textId="1276A04A" w:rsidR="007C2487" w:rsidRDefault="002E0C76">
            <w:pPr>
              <w:spacing w:before="40" w:after="40"/>
              <w:jc w:val="center"/>
              <w:rPr>
                <w:rFonts w:cs="Calibri"/>
                <w:color w:val="212121"/>
              </w:rPr>
            </w:pPr>
            <w:r>
              <w:rPr>
                <w:rFonts w:cs="Calibri"/>
                <w:color w:val="212121"/>
              </w:rPr>
              <w:t>UR-</w:t>
            </w:r>
            <w:r w:rsidRPr="232D338D">
              <w:rPr>
                <w:rFonts w:cs="Calibri"/>
                <w:color w:val="212121"/>
              </w:rPr>
              <w:t>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03678D" w14:textId="77777777" w:rsidR="007C2487" w:rsidRDefault="002E0C76">
            <w:pPr>
              <w:spacing w:before="40" w:after="40"/>
              <w:rPr>
                <w:rFonts w:cs="Calibri"/>
                <w:color w:val="212121"/>
              </w:rPr>
            </w:pPr>
            <w:r>
              <w:rPr>
                <w:rFonts w:cs="Calibri"/>
                <w:color w:val="212121"/>
              </w:rPr>
              <w:t xml:space="preserve">The user shall share modelling and simulation information from individual, </w:t>
            </w:r>
            <w:proofErr w:type="gramStart"/>
            <w:r>
              <w:rPr>
                <w:rFonts w:cs="Calibri"/>
                <w:color w:val="212121"/>
              </w:rPr>
              <w:t>trade</w:t>
            </w:r>
            <w:proofErr w:type="gramEnd"/>
            <w:r>
              <w:rPr>
                <w:rFonts w:cs="Calibri"/>
                <w:color w:val="212121"/>
              </w:rPr>
              <w:t xml:space="preserve"> and collective training.</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A87487" w14:textId="77777777" w:rsidR="007C2487" w:rsidRDefault="002E0C76">
            <w:pPr>
              <w:spacing w:before="40" w:after="40"/>
              <w:rPr>
                <w:rFonts w:cs="Calibri"/>
                <w:color w:val="212121"/>
              </w:rPr>
            </w:pPr>
            <w:r>
              <w:rPr>
                <w:rFonts w:cs="Calibri"/>
                <w:color w:val="212121"/>
              </w:rPr>
              <w:t>Land SCTA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8B0C85" w14:textId="77777777" w:rsidR="007C2487" w:rsidRDefault="002E0C76">
            <w:pPr>
              <w:spacing w:before="40" w:after="40"/>
              <w:rPr>
                <w:rFonts w:cs="Calibri"/>
                <w:color w:val="212121"/>
              </w:rPr>
            </w:pPr>
            <w:r>
              <w:rPr>
                <w:rFonts w:cs="Calibri"/>
                <w:color w:val="212121"/>
              </w:rPr>
              <w:t xml:space="preserve">Maintenance of a catalogue with metadata correctly to enable the efficient discovery and validation of currency, </w:t>
            </w:r>
            <w:proofErr w:type="gramStart"/>
            <w:r>
              <w:rPr>
                <w:rFonts w:cs="Calibri"/>
                <w:color w:val="212121"/>
              </w:rPr>
              <w:t>provenance</w:t>
            </w:r>
            <w:proofErr w:type="gramEnd"/>
            <w:r>
              <w:rPr>
                <w:rFonts w:cs="Calibri"/>
                <w:color w:val="212121"/>
              </w:rPr>
              <w:t xml:space="preserve"> and authority of information from nominated systems.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6C5456" w14:textId="77777777" w:rsidR="007C2487" w:rsidRDefault="002E0C76">
            <w:pPr>
              <w:spacing w:before="40" w:after="40"/>
              <w:rPr>
                <w:rFonts w:cs="Calibri"/>
                <w:color w:val="212121"/>
              </w:rPr>
            </w:pPr>
            <w:r>
              <w:rPr>
                <w:rFonts w:cs="Calibri"/>
                <w:color w:val="212121"/>
              </w:rPr>
              <w:t>As per threshold with store of information with configuration/version managed through GIT or equivalent.</w:t>
            </w:r>
          </w:p>
        </w:tc>
      </w:tr>
      <w:tr w:rsidR="007C2487" w14:paraId="69C2014A" w14:textId="77777777" w:rsidTr="004D29B3">
        <w:trPr>
          <w:trHeight w:val="468"/>
        </w:trPr>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82FB7" w14:textId="18767CDD" w:rsidR="007C2487" w:rsidRDefault="002E0C76">
            <w:pPr>
              <w:spacing w:before="40" w:after="40"/>
              <w:jc w:val="center"/>
              <w:rPr>
                <w:rFonts w:cs="Calibri"/>
                <w:color w:val="212121"/>
              </w:rPr>
            </w:pPr>
            <w:r>
              <w:rPr>
                <w:rFonts w:cs="Calibri"/>
                <w:color w:val="212121"/>
              </w:rPr>
              <w:t>UR-</w:t>
            </w:r>
            <w:r w:rsidRPr="232D338D">
              <w:rPr>
                <w:rFonts w:cs="Calibri"/>
                <w:color w:val="212121"/>
              </w:rPr>
              <w:t>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BB76B1" w14:textId="3A3455DC" w:rsidR="007C2487" w:rsidRDefault="002E0C76">
            <w:pPr>
              <w:spacing w:before="40" w:after="40"/>
              <w:rPr>
                <w:rFonts w:cs="Calibri"/>
                <w:color w:val="212121"/>
              </w:rPr>
            </w:pPr>
            <w:r>
              <w:rPr>
                <w:rFonts w:cs="Calibri"/>
                <w:color w:val="212121"/>
              </w:rPr>
              <w:t xml:space="preserve">The user shall collate and provide </w:t>
            </w:r>
            <w:bookmarkStart w:id="13" w:name="_Int_DDRJ45S3"/>
            <w:r>
              <w:rPr>
                <w:rFonts w:cs="Calibri"/>
                <w:color w:val="212121"/>
              </w:rPr>
              <w:t xml:space="preserve">GFI </w:t>
            </w:r>
            <w:r w:rsidRPr="6A015275">
              <w:rPr>
                <w:rFonts w:cs="Calibri"/>
                <w:color w:val="212121"/>
              </w:rPr>
              <w:t xml:space="preserve">(Government Furnished </w:t>
            </w:r>
            <w:r w:rsidRPr="12F29644">
              <w:rPr>
                <w:rFonts w:cs="Calibri"/>
                <w:color w:val="212121"/>
              </w:rPr>
              <w:t>Information</w:t>
            </w:r>
            <w:r w:rsidRPr="6A015275">
              <w:rPr>
                <w:rFonts w:cs="Calibri"/>
                <w:color w:val="212121"/>
              </w:rPr>
              <w:t>)</w:t>
            </w:r>
            <w:bookmarkEnd w:id="13"/>
            <w:r w:rsidRPr="6A015275">
              <w:rPr>
                <w:rFonts w:cs="Calibri"/>
                <w:color w:val="212121"/>
              </w:rPr>
              <w:t xml:space="preserve"> </w:t>
            </w:r>
            <w:r>
              <w:rPr>
                <w:rFonts w:cs="Calibri"/>
                <w:color w:val="212121"/>
              </w:rPr>
              <w:t xml:space="preserve">for </w:t>
            </w:r>
            <w:r w:rsidRPr="059074B5">
              <w:rPr>
                <w:rFonts w:cs="Calibri"/>
                <w:color w:val="212121"/>
              </w:rPr>
              <w:t>the FCTS.</w:t>
            </w:r>
            <w:r>
              <w:rPr>
                <w:rFonts w:cs="Calibri"/>
                <w:color w:val="212121"/>
              </w:rPr>
              <w:t xml:space="preserve"> </w:t>
            </w:r>
            <w:bookmarkStart w:id="14" w:name="_Int_8kLyChVy"/>
            <w:r w:rsidRPr="6A015275">
              <w:rPr>
                <w:rFonts w:cs="Calibri"/>
                <w:color w:val="212121"/>
              </w:rPr>
              <w:t>NATO (NORTH ATLANTIC TREATY ORGANIZATION)</w:t>
            </w:r>
            <w:bookmarkEnd w:id="14"/>
            <w:r>
              <w:rPr>
                <w:rFonts w:cs="Calibri"/>
                <w:color w:val="212121"/>
              </w:rPr>
              <w:t xml:space="preserve"> MS / </w:t>
            </w:r>
            <w:bookmarkStart w:id="15" w:name="_Int_X7yimMsw"/>
            <w:r>
              <w:rPr>
                <w:rFonts w:cs="Calibri"/>
                <w:color w:val="212121"/>
              </w:rPr>
              <w:t xml:space="preserve">US </w:t>
            </w:r>
            <w:r w:rsidRPr="6EE20CF8">
              <w:rPr>
                <w:rFonts w:cs="Calibri"/>
                <w:color w:val="212121"/>
              </w:rPr>
              <w:t>(UNITED STATES)</w:t>
            </w:r>
            <w:bookmarkEnd w:id="15"/>
            <w:r w:rsidRPr="6EE20CF8">
              <w:rPr>
                <w:rFonts w:cs="Calibri"/>
                <w:color w:val="212121"/>
              </w:rPr>
              <w:t xml:space="preserve"> </w:t>
            </w:r>
            <w:r w:rsidRPr="5BCD8992">
              <w:rPr>
                <w:rFonts w:cs="Calibri"/>
                <w:color w:val="212121"/>
              </w:rPr>
              <w:t>Synthetic</w:t>
            </w:r>
            <w:r w:rsidRPr="59F3B2AE">
              <w:rPr>
                <w:rFonts w:cs="Calibri"/>
                <w:color w:val="212121"/>
              </w:rPr>
              <w:t xml:space="preserve"> Training </w:t>
            </w:r>
            <w:r w:rsidRPr="5BCD8992">
              <w:rPr>
                <w:rFonts w:cs="Calibri"/>
                <w:color w:val="212121"/>
              </w:rPr>
              <w:t xml:space="preserve">Environment cross </w:t>
            </w:r>
            <w:r w:rsidRPr="30D24935">
              <w:rPr>
                <w:rFonts w:cs="Calibri"/>
                <w:color w:val="212121"/>
              </w:rPr>
              <w:t>functional team</w:t>
            </w:r>
            <w:r>
              <w:rPr>
                <w:rFonts w:cs="Calibri"/>
                <w:color w:val="212121"/>
              </w:rPr>
              <w:t xml:space="preserve"> – other sources – Fight Club, </w:t>
            </w:r>
            <w:r w:rsidRPr="03EB88D9">
              <w:rPr>
                <w:rFonts w:cs="Calibri"/>
                <w:color w:val="212121"/>
              </w:rPr>
              <w:t>academia,</w:t>
            </w:r>
            <w:r>
              <w:rPr>
                <w:rFonts w:cs="Calibri"/>
                <w:color w:val="212121"/>
              </w:rPr>
              <w:t xml:space="preserve"> </w:t>
            </w:r>
            <w:bookmarkStart w:id="16" w:name="_Int_S9E0MKyR"/>
            <w:r>
              <w:rPr>
                <w:rFonts w:cs="Calibri"/>
                <w:color w:val="212121"/>
              </w:rPr>
              <w:t>DSTL</w:t>
            </w:r>
            <w:r w:rsidRPr="7C1593D1">
              <w:rPr>
                <w:rFonts w:cs="Calibri"/>
                <w:color w:val="212121"/>
              </w:rPr>
              <w:t xml:space="preserve"> (Defence Science &amp; Technology Laboratory)</w:t>
            </w:r>
            <w:bookmarkEnd w:id="16"/>
            <w:r w:rsidRPr="7C1593D1">
              <w:rPr>
                <w:rFonts w:cs="Calibri"/>
                <w:color w:val="212121"/>
              </w:rPr>
              <w:t>,</w:t>
            </w:r>
            <w:r>
              <w:rPr>
                <w:rFonts w:cs="Calibri"/>
                <w:color w:val="212121"/>
              </w:rPr>
              <w:t xml:space="preserve"> list not exhaustive.  </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C53DC4" w14:textId="77777777" w:rsidR="007C2487" w:rsidRDefault="002E0C76">
            <w:pPr>
              <w:spacing w:before="40" w:after="40"/>
              <w:rPr>
                <w:rFonts w:cs="Calibri"/>
                <w:color w:val="212121"/>
              </w:rPr>
            </w:pPr>
            <w:r>
              <w:rPr>
                <w:rFonts w:cs="Calibri"/>
                <w:color w:val="212121"/>
              </w:rPr>
              <w:t>CTTP</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DF5D65" w14:textId="1E7654EF" w:rsidR="007C2487" w:rsidRDefault="002E0C76">
            <w:pPr>
              <w:spacing w:before="40" w:after="40"/>
              <w:rPr>
                <w:rFonts w:cs="Calibri"/>
                <w:color w:val="212121"/>
              </w:rPr>
            </w:pPr>
            <w:proofErr w:type="spellStart"/>
            <w:r w:rsidRPr="5D15C8F6">
              <w:rPr>
                <w:rFonts w:cs="Calibri"/>
                <w:color w:val="212121"/>
              </w:rPr>
              <w:t>MODnet</w:t>
            </w:r>
            <w:proofErr w:type="spellEnd"/>
            <w:r w:rsidRPr="5D15C8F6">
              <w:rPr>
                <w:rFonts w:cs="Calibri"/>
                <w:color w:val="212121"/>
              </w:rPr>
              <w:t xml:space="preserve"> Application to expose information with metadata to correctly to enable the efficient discovery and validation of currency, </w:t>
            </w:r>
            <w:proofErr w:type="gramStart"/>
            <w:r w:rsidRPr="5D15C8F6">
              <w:rPr>
                <w:rFonts w:cs="Calibri"/>
                <w:color w:val="212121"/>
              </w:rPr>
              <w:t>provenance</w:t>
            </w:r>
            <w:proofErr w:type="gramEnd"/>
            <w:r w:rsidRPr="5D15C8F6">
              <w:rPr>
                <w:rFonts w:cs="Calibri"/>
                <w:color w:val="212121"/>
              </w:rPr>
              <w:t xml:space="preserve"> and authority of information.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0ED9B0" w14:textId="77777777" w:rsidR="007C2487" w:rsidRDefault="002E0C76">
            <w:pPr>
              <w:spacing w:before="40" w:after="40"/>
              <w:rPr>
                <w:rFonts w:cs="Calibri"/>
                <w:color w:val="212121"/>
              </w:rPr>
            </w:pPr>
            <w:r>
              <w:rPr>
                <w:rFonts w:cs="Calibri"/>
                <w:color w:val="212121"/>
              </w:rPr>
              <w:t>As threshold.</w:t>
            </w:r>
          </w:p>
        </w:tc>
      </w:tr>
      <w:tr w:rsidR="007C2487" w14:paraId="62940DE0" w14:textId="77777777" w:rsidTr="004D29B3">
        <w:trPr>
          <w:trHeight w:val="1455"/>
        </w:trPr>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B8513E" w14:textId="7C56F401" w:rsidR="007C2487" w:rsidRDefault="002E0C76">
            <w:pPr>
              <w:spacing w:before="40" w:after="40"/>
              <w:jc w:val="center"/>
              <w:rPr>
                <w:rFonts w:cs="Calibri"/>
                <w:color w:val="212121"/>
              </w:rPr>
            </w:pPr>
            <w:r>
              <w:rPr>
                <w:rFonts w:cs="Calibri"/>
                <w:color w:val="212121"/>
              </w:rPr>
              <w:lastRenderedPageBreak/>
              <w:t>UR-</w:t>
            </w:r>
            <w:r w:rsidRPr="232D338D">
              <w:rPr>
                <w:rFonts w:cs="Calibri"/>
                <w:color w:val="212121"/>
              </w:rPr>
              <w:t>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119DCE" w14:textId="6DD9C5A4" w:rsidR="007C2487" w:rsidRDefault="002E0C76" w:rsidP="41DCEEA8">
            <w:pPr>
              <w:spacing w:before="40" w:after="40"/>
              <w:rPr>
                <w:rFonts w:asciiTheme="minorHAnsi" w:eastAsiaTheme="minorEastAsia" w:hAnsiTheme="minorHAnsi" w:cstheme="minorBidi"/>
                <w:color w:val="000000" w:themeColor="text1"/>
              </w:rPr>
            </w:pPr>
            <w:r w:rsidRPr="41DCEEA8">
              <w:rPr>
                <w:rFonts w:cs="Calibri"/>
                <w:color w:val="212121"/>
              </w:rPr>
              <w:t xml:space="preserve">The user shall drive convergence in interoperability standards from NATO Modelling and Simulation Group (NMSG), </w:t>
            </w:r>
            <w:bookmarkStart w:id="17" w:name="_Int_IOxVC153"/>
            <w:r w:rsidRPr="41DCEEA8">
              <w:rPr>
                <w:rFonts w:cs="Calibri"/>
                <w:color w:val="212121"/>
              </w:rPr>
              <w:t>SISO (Simulation Interoperability Standards Organisation)</w:t>
            </w:r>
            <w:bookmarkEnd w:id="17"/>
            <w:r w:rsidRPr="41DCEEA8">
              <w:rPr>
                <w:rFonts w:cs="Calibri"/>
                <w:color w:val="212121"/>
              </w:rPr>
              <w:t xml:space="preserve"> and </w:t>
            </w:r>
            <w:r w:rsidRPr="41DCEEA8">
              <w:rPr>
                <w:rFonts w:asciiTheme="minorHAnsi" w:eastAsiaTheme="minorEastAsia" w:hAnsiTheme="minorHAnsi" w:cstheme="minorBidi"/>
                <w:color w:val="212121"/>
              </w:rPr>
              <w:t>M</w:t>
            </w:r>
            <w:r w:rsidR="747DE419" w:rsidRPr="41DCEEA8">
              <w:rPr>
                <w:rFonts w:asciiTheme="minorHAnsi" w:eastAsiaTheme="minorEastAsia" w:hAnsiTheme="minorHAnsi" w:cstheme="minorBidi"/>
              </w:rPr>
              <w:t>odelling, Instrumentation and Simulation for Training (</w:t>
            </w:r>
            <w:r w:rsidR="4AADCF98" w:rsidRPr="41DCEEA8">
              <w:rPr>
                <w:rFonts w:asciiTheme="minorHAnsi" w:eastAsiaTheme="minorEastAsia" w:hAnsiTheme="minorHAnsi" w:cstheme="minorBidi"/>
              </w:rPr>
              <w:t>MIST</w:t>
            </w:r>
            <w:r w:rsidR="747DE419" w:rsidRPr="41DCEEA8">
              <w:rPr>
                <w:rFonts w:asciiTheme="minorHAnsi" w:eastAsiaTheme="minorEastAsia" w:hAnsiTheme="minorHAnsi" w:cstheme="minorBidi"/>
              </w:rPr>
              <w:t>)</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DF98FD" w14:textId="77777777" w:rsidR="007C2487" w:rsidRDefault="002E0C76">
            <w:pPr>
              <w:spacing w:before="40" w:after="40"/>
              <w:rPr>
                <w:rFonts w:cs="Calibri"/>
                <w:color w:val="212121"/>
              </w:rPr>
            </w:pPr>
            <w:r>
              <w:rPr>
                <w:rFonts w:cs="Calibri"/>
                <w:color w:val="212121"/>
              </w:rPr>
              <w:t>Land SCTA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FD01BE" w14:textId="21606E6E" w:rsidR="007C2487" w:rsidRPr="00C978FB" w:rsidRDefault="002E0C76" w:rsidP="41DCEEA8">
            <w:pPr>
              <w:spacing w:before="40" w:after="40"/>
              <w:rPr>
                <w:rFonts w:cs="Calibri"/>
                <w:color w:val="212121"/>
              </w:rPr>
            </w:pPr>
            <w:r w:rsidRPr="41DCEEA8">
              <w:rPr>
                <w:rFonts w:cs="Calibri"/>
                <w:color w:val="212121"/>
              </w:rPr>
              <w:t xml:space="preserve">Maintenance of references to </w:t>
            </w:r>
            <w:bookmarkStart w:id="18" w:name="_Int_cGJQXdDP"/>
            <w:r w:rsidRPr="41DCEEA8">
              <w:rPr>
                <w:rFonts w:cs="Calibri"/>
                <w:color w:val="212121"/>
              </w:rPr>
              <w:t>NMSG (NSMG)</w:t>
            </w:r>
            <w:bookmarkEnd w:id="18"/>
            <w:r w:rsidRPr="41DCEEA8">
              <w:rPr>
                <w:rFonts w:cs="Calibri"/>
                <w:color w:val="212121"/>
              </w:rPr>
              <w:t xml:space="preserve">, SISO and MIST work strands focussed on interoperability required between elements within Defence, across other government departments, permanent coalitions </w:t>
            </w:r>
            <w:r w:rsidR="00F943C6" w:rsidRPr="41DCEEA8">
              <w:rPr>
                <w:rFonts w:cs="Calibri"/>
                <w:color w:val="212121"/>
              </w:rPr>
              <w:t>includ</w:t>
            </w:r>
            <w:r w:rsidR="00945F79" w:rsidRPr="41DCEEA8">
              <w:rPr>
                <w:rFonts w:cs="Calibri"/>
                <w:color w:val="212121"/>
              </w:rPr>
              <w:t>i</w:t>
            </w:r>
            <w:r w:rsidR="00F943C6" w:rsidRPr="41DCEEA8">
              <w:rPr>
                <w:rFonts w:cs="Calibri"/>
                <w:color w:val="212121"/>
              </w:rPr>
              <w:t>ng</w:t>
            </w:r>
            <w:r w:rsidRPr="41DCEEA8">
              <w:rPr>
                <w:rFonts w:cs="Calibri"/>
                <w:color w:val="212121"/>
              </w:rPr>
              <w:t xml:space="preserve"> NATO partners</w:t>
            </w:r>
            <w:r w:rsidR="00C978FB" w:rsidRPr="41DCEEA8">
              <w:rPr>
                <w:rFonts w:cs="Calibri"/>
                <w:color w:val="212121"/>
              </w:rPr>
              <w:t>.</w:t>
            </w:r>
            <w:r w:rsidR="00C978FB">
              <w:t xml:space="preserve"> </w:t>
            </w:r>
            <w:r w:rsidR="00C978FB" w:rsidRPr="41DCEEA8">
              <w:rPr>
                <w:rFonts w:cs="Calibri"/>
                <w:color w:val="212121"/>
              </w:rPr>
              <w:t>List not exhaustive.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38BC13" w14:textId="6145842B" w:rsidR="007C2487" w:rsidRPr="00C978FB" w:rsidRDefault="002E0C76">
            <w:pPr>
              <w:spacing w:before="40" w:after="40"/>
            </w:pPr>
            <w:r w:rsidRPr="00C978FB">
              <w:rPr>
                <w:rFonts w:cs="Calibri"/>
                <w:color w:val="212121"/>
              </w:rPr>
              <w:t xml:space="preserve">As threshold and contribution to NMSG, SISO and MIST bodies for interoperability required between elements within Defence, across other government departments, permanent </w:t>
            </w:r>
            <w:proofErr w:type="gramStart"/>
            <w:r w:rsidRPr="00C978FB">
              <w:rPr>
                <w:rFonts w:cs="Calibri"/>
                <w:color w:val="212121"/>
              </w:rPr>
              <w:t>coalitions</w:t>
            </w:r>
            <w:proofErr w:type="gramEnd"/>
            <w:r w:rsidRPr="00C978FB">
              <w:rPr>
                <w:rFonts w:cs="Calibri"/>
                <w:color w:val="212121"/>
              </w:rPr>
              <w:t xml:space="preserve"> and NATO partners</w:t>
            </w:r>
            <w:r w:rsidR="00C978FB">
              <w:rPr>
                <w:rFonts w:cs="Calibri"/>
                <w:color w:val="212121"/>
              </w:rPr>
              <w:t>.</w:t>
            </w:r>
            <w:r w:rsidR="00C978FB">
              <w:t xml:space="preserve"> </w:t>
            </w:r>
            <w:r w:rsidR="00C978FB" w:rsidRPr="00C978FB">
              <w:rPr>
                <w:rFonts w:cs="Calibri"/>
                <w:color w:val="212121"/>
              </w:rPr>
              <w:t>List not exhaustive</w:t>
            </w:r>
            <w:r w:rsidR="00C978FB">
              <w:rPr>
                <w:rFonts w:cs="Calibri"/>
                <w:color w:val="212121"/>
              </w:rPr>
              <w:t>.</w:t>
            </w:r>
          </w:p>
        </w:tc>
      </w:tr>
      <w:tr w:rsidR="007C2487" w14:paraId="32BD2AFC" w14:textId="77777777" w:rsidTr="004D29B3">
        <w:trPr>
          <w:trHeight w:val="1455"/>
        </w:trPr>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E536A5" w14:textId="68031D2A" w:rsidR="007C2487" w:rsidRDefault="002E0C76">
            <w:pPr>
              <w:spacing w:before="40" w:after="40"/>
              <w:jc w:val="center"/>
              <w:rPr>
                <w:rFonts w:cs="Calibri"/>
                <w:color w:val="212121"/>
              </w:rPr>
            </w:pPr>
            <w:r>
              <w:rPr>
                <w:rFonts w:cs="Calibri"/>
                <w:color w:val="212121"/>
              </w:rPr>
              <w:t>UR-</w:t>
            </w:r>
            <w:r w:rsidRPr="17BEB254">
              <w:rPr>
                <w:rFonts w:cs="Calibri"/>
                <w:color w:val="212121"/>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6E43D7" w14:textId="4F32A93F" w:rsidR="007C2487" w:rsidRDefault="002E0C76">
            <w:pPr>
              <w:spacing w:before="40" w:after="40"/>
              <w:rPr>
                <w:rFonts w:cs="Calibri"/>
                <w:color w:val="212121"/>
              </w:rPr>
            </w:pPr>
            <w:r>
              <w:rPr>
                <w:rFonts w:cs="Calibri"/>
                <w:color w:val="212121"/>
              </w:rPr>
              <w:t xml:space="preserve">The user shall exploit </w:t>
            </w:r>
            <w:bookmarkStart w:id="19" w:name="_Int_0QP9LWQ2"/>
            <w:r>
              <w:rPr>
                <w:rFonts w:cs="Calibri"/>
                <w:color w:val="212121"/>
              </w:rPr>
              <w:t xml:space="preserve">COTS </w:t>
            </w:r>
            <w:r w:rsidRPr="71A25C74">
              <w:rPr>
                <w:rFonts w:cs="Calibri"/>
                <w:color w:val="212121"/>
              </w:rPr>
              <w:t>(Commercial off the Shelf)</w:t>
            </w:r>
            <w:bookmarkEnd w:id="19"/>
            <w:r w:rsidRPr="71A25C74">
              <w:rPr>
                <w:rFonts w:cs="Calibri"/>
                <w:color w:val="212121"/>
              </w:rPr>
              <w:t xml:space="preserve"> </w:t>
            </w:r>
            <w:r>
              <w:rPr>
                <w:rFonts w:cs="Calibri"/>
                <w:color w:val="212121"/>
              </w:rPr>
              <w:t>technology.</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2D5829" w14:textId="09AB136B" w:rsidR="007C2487" w:rsidRDefault="002E0C76">
            <w:pPr>
              <w:spacing w:before="40" w:after="40"/>
              <w:rPr>
                <w:rFonts w:cs="Calibri"/>
                <w:color w:val="212121"/>
              </w:rPr>
            </w:pPr>
            <w:bookmarkStart w:id="20" w:name="_Int_OieG2Gu1"/>
            <w:r w:rsidRPr="12026021">
              <w:rPr>
                <w:rFonts w:cs="Calibri"/>
                <w:color w:val="212121"/>
              </w:rPr>
              <w:t>DLW (Director Land Warfare)</w:t>
            </w:r>
            <w:bookmarkEnd w:id="20"/>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9BFA8D" w14:textId="77777777" w:rsidR="007C2487" w:rsidRDefault="002E0C76">
            <w:pPr>
              <w:spacing w:before="40" w:after="40"/>
              <w:rPr>
                <w:rFonts w:cs="Calibri"/>
                <w:color w:val="212121"/>
              </w:rPr>
            </w:pPr>
            <w:r>
              <w:rPr>
                <w:rFonts w:cs="Calibri"/>
                <w:color w:val="212121"/>
              </w:rPr>
              <w:t>Maintenance of market intelligence and references to commercial approaches to enable commercial systems and services to be exploited.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E7F55F" w14:textId="77777777" w:rsidR="007C2487" w:rsidRDefault="002E0C76">
            <w:pPr>
              <w:spacing w:before="40" w:after="40"/>
              <w:rPr>
                <w:rFonts w:cs="Calibri"/>
                <w:color w:val="212121"/>
              </w:rPr>
            </w:pPr>
            <w:r>
              <w:rPr>
                <w:rFonts w:cs="Calibri"/>
                <w:color w:val="212121"/>
              </w:rPr>
              <w:t>As threshold and review of research papers and conferences where commercial approaches are exposed.</w:t>
            </w:r>
          </w:p>
        </w:tc>
      </w:tr>
      <w:tr w:rsidR="007C2487" w14:paraId="14421881" w14:textId="77777777" w:rsidTr="004D29B3">
        <w:trPr>
          <w:trHeight w:val="1455"/>
        </w:trPr>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26C77C" w14:textId="627D67A5" w:rsidR="007C2487" w:rsidRDefault="002E0C76">
            <w:pPr>
              <w:spacing w:before="40" w:after="40"/>
              <w:jc w:val="center"/>
              <w:rPr>
                <w:rFonts w:cs="Calibri"/>
                <w:color w:val="212121"/>
              </w:rPr>
            </w:pPr>
            <w:r>
              <w:rPr>
                <w:rFonts w:cs="Calibri"/>
                <w:color w:val="212121"/>
              </w:rPr>
              <w:t>UR-</w:t>
            </w:r>
            <w:r w:rsidR="00B17ED4" w:rsidRPr="17BEB254">
              <w:rPr>
                <w:rFonts w:cs="Calibri"/>
                <w:color w:val="212121"/>
              </w:rPr>
              <w:t>11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BFB3E4" w14:textId="77777777" w:rsidR="007C2487" w:rsidRDefault="002E0C76">
            <w:pPr>
              <w:spacing w:before="40" w:after="40"/>
              <w:rPr>
                <w:rFonts w:cs="Calibri"/>
                <w:color w:val="212121"/>
              </w:rPr>
            </w:pPr>
            <w:r>
              <w:rPr>
                <w:rFonts w:cs="Calibri"/>
                <w:color w:val="212121"/>
              </w:rPr>
              <w:t>The User shall understand technical implications of partners training requirements.</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65157B" w14:textId="77777777" w:rsidR="007C2487" w:rsidRDefault="002E0C76">
            <w:pPr>
              <w:spacing w:before="40" w:after="40"/>
              <w:rPr>
                <w:rFonts w:cs="Calibri"/>
                <w:color w:val="212121"/>
              </w:rPr>
            </w:pPr>
            <w:r>
              <w:rPr>
                <w:rFonts w:cs="Calibri"/>
                <w:color w:val="212121"/>
              </w:rPr>
              <w:t>DLW</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F5FFD9" w14:textId="77777777" w:rsidR="007C2487" w:rsidRDefault="002E0C76">
            <w:pPr>
              <w:spacing w:before="40" w:after="40"/>
              <w:rPr>
                <w:rFonts w:cs="Calibri"/>
                <w:color w:val="212121"/>
              </w:rPr>
            </w:pPr>
            <w:r>
              <w:rPr>
                <w:rFonts w:cs="Calibri"/>
                <w:color w:val="212121"/>
              </w:rPr>
              <w:t>A single point of contact for defining technical standards employed in Combined, Joint, Interagency, Intergovernmental and Multinational (CJIIM) training with a Land contribution.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6524D1" w14:textId="77777777" w:rsidR="007C2487" w:rsidRDefault="002E0C76">
            <w:pPr>
              <w:spacing w:before="40" w:after="40"/>
              <w:rPr>
                <w:rFonts w:cs="Calibri"/>
                <w:color w:val="212121"/>
              </w:rPr>
            </w:pPr>
            <w:r>
              <w:rPr>
                <w:rFonts w:cs="Calibri"/>
                <w:color w:val="212121"/>
              </w:rPr>
              <w:t>As threshold.</w:t>
            </w:r>
          </w:p>
        </w:tc>
      </w:tr>
      <w:tr w:rsidR="007C2487" w14:paraId="5C781165" w14:textId="77777777" w:rsidTr="004D29B3">
        <w:trPr>
          <w:trHeight w:val="1016"/>
        </w:trPr>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B2D7A4" w14:textId="075413C1" w:rsidR="007C2487" w:rsidRDefault="002E0C76">
            <w:pPr>
              <w:spacing w:before="40" w:after="40"/>
              <w:jc w:val="center"/>
            </w:pPr>
            <w:r>
              <w:rPr>
                <w:rFonts w:cs="Calibri"/>
                <w:color w:val="212121"/>
              </w:rPr>
              <w:t>UR-</w:t>
            </w:r>
            <w:r w:rsidR="00B17ED4" w:rsidRPr="1E2CC4E8">
              <w:rPr>
                <w:rFonts w:cs="Calibri"/>
                <w:color w:val="212121"/>
              </w:rPr>
              <w:t>12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07930E" w14:textId="77777777" w:rsidR="007C2487" w:rsidRDefault="002E0C76">
            <w:pPr>
              <w:spacing w:before="40" w:after="40"/>
              <w:rPr>
                <w:rFonts w:cs="Calibri"/>
                <w:color w:val="212121"/>
              </w:rPr>
            </w:pPr>
            <w:r>
              <w:rPr>
                <w:rFonts w:cs="Calibri"/>
                <w:color w:val="212121"/>
              </w:rPr>
              <w:t>The User shall have managed Enterprise Architecture.</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A1702D" w14:textId="77777777" w:rsidR="007C2487" w:rsidRDefault="002E0C76">
            <w:pPr>
              <w:spacing w:before="40" w:after="40"/>
              <w:rPr>
                <w:rFonts w:cs="Calibri"/>
                <w:color w:val="212121"/>
              </w:rPr>
            </w:pPr>
            <w:r>
              <w:rPr>
                <w:rFonts w:cs="Calibri"/>
                <w:color w:val="212121"/>
              </w:rPr>
              <w:t>D Info</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59645B" w14:textId="77777777" w:rsidR="007C2487" w:rsidRDefault="002E0C76">
            <w:pPr>
              <w:spacing w:before="40" w:after="40"/>
              <w:rPr>
                <w:rFonts w:cs="Calibri"/>
                <w:color w:val="212121"/>
              </w:rPr>
            </w:pPr>
            <w:r>
              <w:rPr>
                <w:rFonts w:cs="Calibri"/>
                <w:color w:val="212121"/>
              </w:rPr>
              <w:t>Architecture maintained using ArchiMate 3.1 using SPARX EA on the Army Hosting Environment.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6BFA8F" w14:textId="77777777" w:rsidR="007C2487" w:rsidRDefault="002E0C76">
            <w:pPr>
              <w:spacing w:before="40" w:after="40"/>
              <w:rPr>
                <w:rFonts w:cs="Calibri"/>
                <w:color w:val="212121"/>
              </w:rPr>
            </w:pPr>
            <w:r>
              <w:rPr>
                <w:rFonts w:cs="Calibri"/>
                <w:color w:val="212121"/>
              </w:rPr>
              <w:t>As threshold.</w:t>
            </w:r>
          </w:p>
        </w:tc>
      </w:tr>
      <w:tr w:rsidR="007C2487" w14:paraId="4D5F9BAC" w14:textId="77777777" w:rsidTr="004D29B3">
        <w:trPr>
          <w:trHeight w:val="1408"/>
        </w:trPr>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403A8B" w14:textId="719B27F6" w:rsidR="007C2487" w:rsidRDefault="002E0C76">
            <w:pPr>
              <w:spacing w:before="40" w:after="40"/>
              <w:jc w:val="center"/>
              <w:rPr>
                <w:rFonts w:cs="Calibri"/>
                <w:color w:val="212121"/>
              </w:rPr>
            </w:pPr>
            <w:r>
              <w:rPr>
                <w:rFonts w:cs="Calibri"/>
                <w:color w:val="212121"/>
              </w:rPr>
              <w:t>UR-</w:t>
            </w:r>
            <w:r w:rsidRPr="1E2CC4E8">
              <w:rPr>
                <w:rFonts w:cs="Calibri"/>
                <w:color w:val="212121"/>
              </w:rPr>
              <w:t>13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129ABA" w14:textId="77777777" w:rsidR="007C2487" w:rsidRDefault="002E0C76">
            <w:pPr>
              <w:spacing w:before="40" w:after="40"/>
              <w:rPr>
                <w:rFonts w:cs="Calibri"/>
                <w:color w:val="212121"/>
              </w:rPr>
            </w:pPr>
            <w:r>
              <w:rPr>
                <w:rFonts w:cs="Calibri"/>
                <w:color w:val="212121"/>
              </w:rPr>
              <w:t>The User shall have managed technical documentation.</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C675D6" w14:textId="5F3456A8" w:rsidR="004D29B3" w:rsidRPr="004D29B3" w:rsidRDefault="002E0C76" w:rsidP="004D29B3">
            <w:pPr>
              <w:spacing w:before="40" w:after="40"/>
              <w:rPr>
                <w:rFonts w:cs="Calibri"/>
                <w:color w:val="212121"/>
              </w:rPr>
            </w:pPr>
            <w:r>
              <w:rPr>
                <w:rFonts w:cs="Calibri"/>
                <w:color w:val="212121"/>
              </w:rPr>
              <w:t>D Info</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A36949" w14:textId="2B540054" w:rsidR="007C2487" w:rsidRDefault="002E0C76">
            <w:pPr>
              <w:spacing w:before="40" w:after="40"/>
              <w:rPr>
                <w:rFonts w:cs="Calibri"/>
                <w:color w:val="212121"/>
              </w:rPr>
            </w:pPr>
            <w:r w:rsidRPr="5D15C8F6">
              <w:rPr>
                <w:rFonts w:cs="Calibri"/>
                <w:color w:val="212121"/>
              </w:rPr>
              <w:t xml:space="preserve">Application to expose information through </w:t>
            </w:r>
            <w:proofErr w:type="spellStart"/>
            <w:r w:rsidRPr="5D15C8F6">
              <w:rPr>
                <w:rFonts w:cs="Calibri"/>
                <w:color w:val="212121"/>
              </w:rPr>
              <w:t>MODnet</w:t>
            </w:r>
            <w:proofErr w:type="spellEnd"/>
            <w:r w:rsidRPr="5D15C8F6">
              <w:rPr>
                <w:rFonts w:cs="Calibri"/>
                <w:color w:val="212121"/>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0AE77E" w14:textId="77777777" w:rsidR="007C2487" w:rsidRDefault="002E0C76">
            <w:pPr>
              <w:spacing w:before="40" w:after="40"/>
              <w:rPr>
                <w:rFonts w:cs="Calibri"/>
                <w:color w:val="212121"/>
              </w:rPr>
            </w:pPr>
            <w:r>
              <w:rPr>
                <w:rFonts w:cs="Calibri"/>
                <w:color w:val="212121"/>
              </w:rPr>
              <w:t>As threshold with technical documentation maintained within the Architecture.</w:t>
            </w:r>
          </w:p>
        </w:tc>
      </w:tr>
      <w:tr w:rsidR="007C2487" w14:paraId="6B454706" w14:textId="77777777" w:rsidTr="004D29B3">
        <w:trPr>
          <w:trHeight w:val="1455"/>
        </w:trPr>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E3F996" w14:textId="5481C618" w:rsidR="007C2487" w:rsidRDefault="002E0C76">
            <w:pPr>
              <w:spacing w:before="40" w:after="40"/>
              <w:jc w:val="center"/>
              <w:rPr>
                <w:rFonts w:cs="Calibri"/>
                <w:color w:val="212121"/>
              </w:rPr>
            </w:pPr>
            <w:r>
              <w:rPr>
                <w:rFonts w:cs="Calibri"/>
                <w:color w:val="212121"/>
              </w:rPr>
              <w:t>UR-</w:t>
            </w:r>
            <w:r w:rsidRPr="2FA24722">
              <w:rPr>
                <w:rFonts w:cs="Calibri"/>
                <w:color w:val="212121"/>
              </w:rPr>
              <w:t>14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EAE31C" w14:textId="77777777" w:rsidR="007C2487" w:rsidRDefault="002E0C76">
            <w:pPr>
              <w:spacing w:before="40" w:after="40"/>
            </w:pPr>
            <w:r>
              <w:rPr>
                <w:rFonts w:cs="Calibri"/>
                <w:color w:val="212121"/>
              </w:rPr>
              <w:t>The user shall be provided with technical advice on resolution of disputes between 3</w:t>
            </w:r>
            <w:r>
              <w:rPr>
                <w:rFonts w:cs="Calibri"/>
                <w:color w:val="212121"/>
                <w:vertAlign w:val="superscript"/>
              </w:rPr>
              <w:t>rd</w:t>
            </w:r>
            <w:r>
              <w:rPr>
                <w:rFonts w:cs="Calibri"/>
                <w:color w:val="212121"/>
              </w:rPr>
              <w:t xml:space="preserve"> parties.</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176710" w14:textId="77777777" w:rsidR="007C2487" w:rsidRDefault="002E0C76">
            <w:pPr>
              <w:spacing w:before="40" w:after="40"/>
              <w:rPr>
                <w:rFonts w:cs="Calibri"/>
                <w:color w:val="212121"/>
              </w:rPr>
            </w:pPr>
            <w:r>
              <w:rPr>
                <w:rFonts w:cs="Calibri"/>
                <w:color w:val="212121"/>
              </w:rPr>
              <w:t>CTTP</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D9AC00" w14:textId="77777777" w:rsidR="007C2487" w:rsidRDefault="002E0C76">
            <w:pPr>
              <w:spacing w:before="40" w:after="40"/>
              <w:rPr>
                <w:rFonts w:cs="Calibri"/>
                <w:color w:val="212121"/>
              </w:rPr>
            </w:pPr>
            <w:r>
              <w:rPr>
                <w:rFonts w:cs="Calibri"/>
                <w:color w:val="212121"/>
              </w:rPr>
              <w:t>Objective evidence to support arbitration and resolution of technical disputes.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A85804" w14:textId="77777777" w:rsidR="007C2487" w:rsidRDefault="002E0C76">
            <w:pPr>
              <w:spacing w:before="40" w:after="40"/>
              <w:rPr>
                <w:rFonts w:cs="Calibri"/>
                <w:color w:val="212121"/>
              </w:rPr>
            </w:pPr>
            <w:r>
              <w:rPr>
                <w:rFonts w:cs="Calibri"/>
                <w:color w:val="212121"/>
              </w:rPr>
              <w:t>As threshold.</w:t>
            </w:r>
          </w:p>
        </w:tc>
      </w:tr>
      <w:tr w:rsidR="007C2487" w14:paraId="6267B696" w14:textId="77777777" w:rsidTr="004D29B3">
        <w:trPr>
          <w:trHeight w:val="1455"/>
        </w:trPr>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C2AC83" w14:textId="2A70EAAC" w:rsidR="007C2487" w:rsidRDefault="002E0C76">
            <w:pPr>
              <w:spacing w:before="40" w:after="40"/>
              <w:jc w:val="center"/>
              <w:rPr>
                <w:rFonts w:cs="Calibri"/>
                <w:color w:val="212121"/>
              </w:rPr>
            </w:pPr>
            <w:r>
              <w:rPr>
                <w:rFonts w:cs="Calibri"/>
                <w:color w:val="212121"/>
              </w:rPr>
              <w:t>UR-</w:t>
            </w:r>
            <w:r w:rsidR="00B17ED4" w:rsidRPr="2FA24722">
              <w:rPr>
                <w:rFonts w:cs="Calibri"/>
                <w:color w:val="212121"/>
              </w:rPr>
              <w:t>15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60F6D4" w14:textId="77777777" w:rsidR="007C2487" w:rsidRDefault="002E0C76">
            <w:pPr>
              <w:spacing w:before="40" w:after="40"/>
              <w:rPr>
                <w:rFonts w:cs="Calibri"/>
                <w:color w:val="212121"/>
              </w:rPr>
            </w:pPr>
            <w:r>
              <w:rPr>
                <w:rFonts w:cs="Calibri"/>
                <w:color w:val="212121"/>
              </w:rPr>
              <w:t>The User shall have access to the LTT&amp;RC.</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EA09AA" w14:textId="77777777" w:rsidR="007C2487" w:rsidRDefault="002E0C76">
            <w:pPr>
              <w:spacing w:before="40" w:after="40"/>
              <w:rPr>
                <w:rFonts w:cs="Calibri"/>
                <w:color w:val="212121"/>
              </w:rPr>
            </w:pPr>
            <w:r>
              <w:rPr>
                <w:rFonts w:cs="Calibri"/>
                <w:color w:val="212121"/>
              </w:rPr>
              <w:t>CTTP, DLW, D Info and Land SCTA.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81B91E" w14:textId="77777777" w:rsidR="007C2487" w:rsidRDefault="002E0C76">
            <w:pPr>
              <w:spacing w:before="40" w:after="40"/>
              <w:rPr>
                <w:rFonts w:cs="Calibri"/>
                <w:color w:val="212121"/>
              </w:rPr>
            </w:pPr>
            <w:r>
              <w:rPr>
                <w:rFonts w:cs="Calibri"/>
                <w:color w:val="212121"/>
              </w:rPr>
              <w:t>During office hours</w:t>
            </w:r>
          </w:p>
          <w:p w14:paraId="44A77F20" w14:textId="77777777" w:rsidR="007C2487" w:rsidRDefault="002E0C76">
            <w:pPr>
              <w:spacing w:before="40" w:after="40"/>
              <w:rPr>
                <w:rFonts w:cs="Calibri"/>
                <w:color w:val="212121"/>
              </w:rPr>
            </w:pPr>
            <w:r>
              <w:rPr>
                <w:rFonts w:cs="Calibri"/>
                <w:color w:val="212121"/>
              </w:rPr>
              <w:t>08:30 to 16:30 every day except weekends and bank holidays.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C4D68C" w14:textId="77777777" w:rsidR="007C2487" w:rsidRDefault="002E0C76">
            <w:pPr>
              <w:spacing w:before="40" w:after="40"/>
              <w:rPr>
                <w:rFonts w:cs="Calibri"/>
                <w:color w:val="212121"/>
              </w:rPr>
            </w:pPr>
            <w:r>
              <w:rPr>
                <w:rFonts w:cs="Calibri"/>
                <w:color w:val="212121"/>
              </w:rPr>
              <w:t>As threshold with addition of exceptional working to satisfy exceptional requests for support.</w:t>
            </w:r>
          </w:p>
        </w:tc>
      </w:tr>
    </w:tbl>
    <w:p w14:paraId="7E1CB48A" w14:textId="77777777" w:rsidR="0058745F" w:rsidRDefault="002E0C76">
      <w:pPr>
        <w:spacing w:before="120"/>
        <w:jc w:val="center"/>
        <w:rPr>
          <w:i/>
          <w:iCs/>
        </w:rPr>
        <w:sectPr w:rsidR="0058745F" w:rsidSect="004D29B3">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993" w:left="1080" w:header="624" w:footer="624" w:gutter="0"/>
          <w:cols w:space="720"/>
          <w:docGrid w:linePitch="299"/>
        </w:sectPr>
      </w:pPr>
      <w:bookmarkStart w:id="21" w:name="_Ref103860814"/>
      <w:bookmarkStart w:id="22" w:name="_Ref103860810"/>
      <w:r>
        <w:rPr>
          <w:i/>
          <w:iCs/>
        </w:rPr>
        <w:t>Table 1</w:t>
      </w:r>
      <w:bookmarkEnd w:id="21"/>
      <w:r>
        <w:rPr>
          <w:i/>
          <w:iCs/>
        </w:rPr>
        <w:t xml:space="preserve"> – The endorsed user requirements for the LTT&amp;RC</w:t>
      </w:r>
      <w:bookmarkEnd w:id="22"/>
    </w:p>
    <w:p w14:paraId="3FD490C1" w14:textId="435A668B" w:rsidR="007C2487" w:rsidRDefault="007C2487">
      <w:pPr>
        <w:spacing w:before="120"/>
        <w:jc w:val="center"/>
        <w:rPr>
          <w:i/>
          <w:iCs/>
        </w:rPr>
      </w:pPr>
    </w:p>
    <w:tbl>
      <w:tblPr>
        <w:tblW w:w="14777" w:type="dxa"/>
        <w:tblInd w:w="-5" w:type="dxa"/>
        <w:tblCellMar>
          <w:left w:w="10" w:type="dxa"/>
          <w:right w:w="10" w:type="dxa"/>
        </w:tblCellMar>
        <w:tblLook w:val="04A0" w:firstRow="1" w:lastRow="0" w:firstColumn="1" w:lastColumn="0" w:noHBand="0" w:noVBand="1"/>
      </w:tblPr>
      <w:tblGrid>
        <w:gridCol w:w="512"/>
        <w:gridCol w:w="2413"/>
        <w:gridCol w:w="3637"/>
        <w:gridCol w:w="1540"/>
        <w:gridCol w:w="1223"/>
        <w:gridCol w:w="1951"/>
        <w:gridCol w:w="2802"/>
        <w:gridCol w:w="699"/>
      </w:tblGrid>
      <w:tr w:rsidR="003C5BA8" w14:paraId="2DA70BBA" w14:textId="77777777" w:rsidTr="5D15C8F6">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Mar>
              <w:top w:w="0" w:type="dxa"/>
              <w:left w:w="108" w:type="dxa"/>
              <w:bottom w:w="0" w:type="dxa"/>
              <w:right w:w="108" w:type="dxa"/>
            </w:tcMar>
          </w:tcPr>
          <w:p w14:paraId="01BC1196" w14:textId="357E818A" w:rsidR="007C2487" w:rsidRDefault="002E0C76">
            <w:pPr>
              <w:spacing w:before="40" w:after="40"/>
              <w:jc w:val="center"/>
              <w:rPr>
                <w:rFonts w:cs="Calibri"/>
                <w:b/>
                <w:bCs/>
              </w:rPr>
            </w:pPr>
            <w:r>
              <w:t xml:space="preserve"> </w:t>
            </w:r>
            <w:r>
              <w:rPr>
                <w:rFonts w:cs="Calibri"/>
                <w:b/>
                <w:bCs/>
              </w:rPr>
              <w:t xml:space="preserve">Ser </w:t>
            </w:r>
          </w:p>
        </w:tc>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Mar>
              <w:top w:w="0" w:type="dxa"/>
              <w:left w:w="108" w:type="dxa"/>
              <w:bottom w:w="0" w:type="dxa"/>
              <w:right w:w="108" w:type="dxa"/>
            </w:tcMar>
          </w:tcPr>
          <w:p w14:paraId="26FB68E8" w14:textId="77777777" w:rsidR="007C2487" w:rsidRDefault="002E0C76">
            <w:pPr>
              <w:spacing w:before="40" w:after="40"/>
              <w:jc w:val="center"/>
              <w:rPr>
                <w:rFonts w:cs="Calibri"/>
                <w:b/>
                <w:bCs/>
              </w:rPr>
            </w:pPr>
            <w:r>
              <w:rPr>
                <w:rFonts w:cs="Calibri"/>
                <w:b/>
                <w:bCs/>
              </w:rPr>
              <w:t>Title</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Mar>
              <w:top w:w="0" w:type="dxa"/>
              <w:left w:w="108" w:type="dxa"/>
              <w:bottom w:w="0" w:type="dxa"/>
              <w:right w:w="108" w:type="dxa"/>
            </w:tcMar>
          </w:tcPr>
          <w:p w14:paraId="15F455B7" w14:textId="77777777" w:rsidR="007C2487" w:rsidRDefault="002E0C76">
            <w:pPr>
              <w:spacing w:before="40" w:after="40"/>
              <w:jc w:val="center"/>
              <w:rPr>
                <w:rFonts w:cs="Calibri"/>
                <w:b/>
                <w:bCs/>
              </w:rPr>
            </w:pPr>
            <w:r>
              <w:rPr>
                <w:rFonts w:cs="Calibri"/>
                <w:b/>
                <w:bCs/>
              </w:rPr>
              <w:t>Description</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Mar>
              <w:top w:w="0" w:type="dxa"/>
              <w:left w:w="108" w:type="dxa"/>
              <w:bottom w:w="0" w:type="dxa"/>
              <w:right w:w="108" w:type="dxa"/>
            </w:tcMar>
          </w:tcPr>
          <w:p w14:paraId="59891842" w14:textId="77777777" w:rsidR="007C2487" w:rsidRDefault="002E0C76">
            <w:pPr>
              <w:spacing w:before="40" w:after="40"/>
              <w:jc w:val="center"/>
              <w:rPr>
                <w:rFonts w:cs="Calibri"/>
                <w:b/>
                <w:bCs/>
              </w:rPr>
            </w:pPr>
            <w:r>
              <w:rPr>
                <w:rFonts w:cs="Calibri"/>
                <w:b/>
                <w:bCs/>
              </w:rPr>
              <w:t>Guidance</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Mar>
              <w:top w:w="0" w:type="dxa"/>
              <w:left w:w="108" w:type="dxa"/>
              <w:bottom w:w="0" w:type="dxa"/>
              <w:right w:w="108" w:type="dxa"/>
            </w:tcMar>
          </w:tcPr>
          <w:p w14:paraId="7B748074" w14:textId="77777777" w:rsidR="007C2487" w:rsidRDefault="002E0C76">
            <w:pPr>
              <w:spacing w:before="40" w:after="40"/>
              <w:jc w:val="center"/>
              <w:rPr>
                <w:rFonts w:cs="Calibri"/>
                <w:b/>
                <w:bCs/>
              </w:rPr>
            </w:pPr>
            <w:r>
              <w:rPr>
                <w:rFonts w:cs="Calibri"/>
                <w:b/>
                <w:bCs/>
              </w:rPr>
              <w:t>Frequency</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Mar>
              <w:top w:w="0" w:type="dxa"/>
              <w:left w:w="108" w:type="dxa"/>
              <w:bottom w:w="0" w:type="dxa"/>
              <w:right w:w="108" w:type="dxa"/>
            </w:tcMar>
          </w:tcPr>
          <w:p w14:paraId="3F70D23C" w14:textId="77777777" w:rsidR="007C2487" w:rsidRDefault="002E0C76">
            <w:pPr>
              <w:spacing w:before="40" w:after="40"/>
              <w:jc w:val="center"/>
              <w:rPr>
                <w:rFonts w:cs="Calibri"/>
                <w:b/>
                <w:bCs/>
              </w:rPr>
            </w:pPr>
            <w:r>
              <w:rPr>
                <w:rFonts w:cs="Calibri"/>
                <w:b/>
                <w:bCs/>
              </w:rPr>
              <w:t>Deliverable</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Mar>
              <w:top w:w="0" w:type="dxa"/>
              <w:left w:w="108" w:type="dxa"/>
              <w:bottom w:w="0" w:type="dxa"/>
              <w:right w:w="108" w:type="dxa"/>
            </w:tcMar>
          </w:tcPr>
          <w:p w14:paraId="663E1772" w14:textId="77777777" w:rsidR="007C2487" w:rsidRDefault="002E0C76">
            <w:pPr>
              <w:spacing w:before="40" w:after="40"/>
              <w:jc w:val="center"/>
              <w:rPr>
                <w:rFonts w:cs="Calibri"/>
                <w:b/>
                <w:bCs/>
              </w:rPr>
            </w:pPr>
            <w:r>
              <w:rPr>
                <w:rFonts w:cs="Calibri"/>
                <w:b/>
                <w:bCs/>
              </w:rPr>
              <w:t>Acceptance Criteria</w:t>
            </w:r>
          </w:p>
        </w:tc>
        <w:tc>
          <w:tcPr>
            <w:tcW w:w="741" w:type="dxa"/>
            <w:shd w:val="clear" w:color="auto" w:fill="auto"/>
            <w:tcMar>
              <w:top w:w="0" w:type="dxa"/>
              <w:left w:w="10" w:type="dxa"/>
              <w:bottom w:w="0" w:type="dxa"/>
              <w:right w:w="10" w:type="dxa"/>
            </w:tcMar>
          </w:tcPr>
          <w:p w14:paraId="77164D79" w14:textId="77777777" w:rsidR="007C2487" w:rsidRDefault="007C2487">
            <w:pPr>
              <w:spacing w:before="40" w:after="40"/>
              <w:jc w:val="center"/>
              <w:rPr>
                <w:rFonts w:cs="Calibri"/>
                <w:b/>
                <w:bCs/>
              </w:rPr>
            </w:pPr>
          </w:p>
        </w:tc>
      </w:tr>
      <w:tr w:rsidR="00B0599D" w14:paraId="5D51AB85" w14:textId="77777777" w:rsidTr="5D15C8F6">
        <w:tc>
          <w:tcPr>
            <w:tcW w:w="140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tcPr>
          <w:p w14:paraId="7C79A047" w14:textId="77777777" w:rsidR="007C2487" w:rsidRDefault="002E0C76">
            <w:pPr>
              <w:spacing w:before="40" w:after="40"/>
              <w:rPr>
                <w:rFonts w:cs="Calibri"/>
                <w:b/>
                <w:bCs/>
              </w:rPr>
            </w:pPr>
            <w:r>
              <w:rPr>
                <w:rFonts w:cs="Calibri"/>
                <w:b/>
                <w:bCs/>
              </w:rPr>
              <w:t>Enduring Outputs</w:t>
            </w:r>
          </w:p>
        </w:tc>
        <w:tc>
          <w:tcPr>
            <w:tcW w:w="741" w:type="dxa"/>
          </w:tcPr>
          <w:p w14:paraId="6106CF75" w14:textId="77777777" w:rsidR="007C2487" w:rsidRDefault="007C2487">
            <w:pPr>
              <w:spacing w:before="40" w:after="40"/>
              <w:rPr>
                <w:rFonts w:cs="Calibri"/>
                <w:b/>
                <w:bCs/>
              </w:rPr>
            </w:pPr>
          </w:p>
        </w:tc>
      </w:tr>
      <w:tr w:rsidR="00DD32DB" w14:paraId="1E7AD3CB" w14:textId="77777777" w:rsidTr="5D15C8F6">
        <w:trPr>
          <w:trHeight w:val="1298"/>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2DFC5D" w14:textId="77777777" w:rsidR="007C2487" w:rsidRDefault="002E0C76">
            <w:pPr>
              <w:spacing w:before="40" w:after="40"/>
              <w:jc w:val="center"/>
              <w:rPr>
                <w:rFonts w:cs="Calibri"/>
                <w:b/>
                <w:bCs/>
              </w:rPr>
            </w:pPr>
            <w:r>
              <w:rPr>
                <w:rFonts w:cs="Calibri"/>
                <w:b/>
                <w:bCs/>
              </w:rPr>
              <w:t>1</w:t>
            </w:r>
          </w:p>
        </w:tc>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37369A" w14:textId="77777777" w:rsidR="007C2487" w:rsidRDefault="002E0C76">
            <w:pPr>
              <w:spacing w:before="40" w:after="40"/>
              <w:jc w:val="center"/>
              <w:rPr>
                <w:rFonts w:cs="Calibri"/>
                <w:b/>
                <w:bCs/>
              </w:rPr>
            </w:pPr>
            <w:r>
              <w:rPr>
                <w:rFonts w:cs="Calibri"/>
                <w:b/>
                <w:bCs/>
              </w:rPr>
              <w:t>Technical Governance – Actionable Recommendations</w:t>
            </w:r>
          </w:p>
          <w:p w14:paraId="6D36A256" w14:textId="77777777" w:rsidR="007C2487" w:rsidRDefault="007C2487">
            <w:pPr>
              <w:spacing w:before="40" w:after="40"/>
              <w:jc w:val="center"/>
              <w:rPr>
                <w:rFonts w:cs="Calibri"/>
                <w:b/>
                <w:bCs/>
              </w:rPr>
            </w:pPr>
          </w:p>
          <w:p w14:paraId="63FEA8C3" w14:textId="77777777" w:rsidR="007C2487" w:rsidRDefault="007C2487">
            <w:pPr>
              <w:spacing w:before="40" w:after="40"/>
              <w:jc w:val="center"/>
              <w:rPr>
                <w:rFonts w:cs="Calibri"/>
                <w:b/>
                <w:bCs/>
              </w:rPr>
            </w:pP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9D33DB" w14:textId="77777777" w:rsidR="007C2487" w:rsidRDefault="002E0C76">
            <w:pPr>
              <w:spacing w:before="40" w:after="40"/>
              <w:rPr>
                <w:rFonts w:cs="Calibri"/>
              </w:rPr>
            </w:pPr>
            <w:r>
              <w:rPr>
                <w:rFonts w:cs="Calibri"/>
              </w:rPr>
              <w:t>Routine technical advice and decision support delivered on:</w:t>
            </w:r>
          </w:p>
          <w:p w14:paraId="69CFC195" w14:textId="3CC0C4C9" w:rsidR="007C2487" w:rsidRDefault="002E0C76" w:rsidP="41DCEEA8">
            <w:pPr>
              <w:pStyle w:val="ListParagraph"/>
              <w:numPr>
                <w:ilvl w:val="0"/>
                <w:numId w:val="7"/>
              </w:numPr>
              <w:spacing w:before="40" w:after="40"/>
              <w:rPr>
                <w:rFonts w:asciiTheme="minorHAnsi" w:eastAsiaTheme="minorEastAsia" w:hAnsiTheme="minorHAnsi" w:cstheme="minorBidi"/>
              </w:rPr>
            </w:pPr>
            <w:r w:rsidRPr="41DCEEA8">
              <w:rPr>
                <w:rFonts w:cs="Calibri"/>
                <w:color w:val="212121"/>
              </w:rPr>
              <w:t>A</w:t>
            </w:r>
            <w:r w:rsidRPr="41DCEEA8">
              <w:rPr>
                <w:rFonts w:asciiTheme="minorHAnsi" w:eastAsiaTheme="minorEastAsia" w:hAnsiTheme="minorHAnsi" w:cstheme="minorBidi"/>
                <w:color w:val="212121"/>
              </w:rPr>
              <w:t xml:space="preserve">pplicability of NMSG, Simulation Interoperability Standards Organisation (SISO), </w:t>
            </w:r>
            <w:bookmarkStart w:id="23" w:name="_Int_zNKJYPTz"/>
            <w:r w:rsidRPr="41DCEEA8">
              <w:rPr>
                <w:rFonts w:asciiTheme="minorHAnsi" w:eastAsiaTheme="minorEastAsia" w:hAnsiTheme="minorHAnsi" w:cstheme="minorBidi"/>
                <w:color w:val="212121"/>
              </w:rPr>
              <w:t>Institute of Electrical and Electronics Engineers (IEEE)</w:t>
            </w:r>
            <w:bookmarkEnd w:id="23"/>
            <w:r w:rsidRPr="41DCEEA8">
              <w:rPr>
                <w:rFonts w:asciiTheme="minorHAnsi" w:eastAsiaTheme="minorEastAsia" w:hAnsiTheme="minorHAnsi" w:cstheme="minorBidi"/>
                <w:color w:val="212121"/>
              </w:rPr>
              <w:t xml:space="preserve"> and </w:t>
            </w:r>
            <w:r w:rsidR="13F2FACD" w:rsidRPr="41DCEEA8">
              <w:rPr>
                <w:rFonts w:asciiTheme="minorHAnsi" w:eastAsiaTheme="minorEastAsia" w:hAnsiTheme="minorHAnsi" w:cstheme="minorBidi"/>
              </w:rPr>
              <w:t>MIST.</w:t>
            </w:r>
            <w:r w:rsidR="3ECEDB88" w:rsidRPr="41DCEEA8">
              <w:rPr>
                <w:rFonts w:asciiTheme="minorHAnsi" w:eastAsiaTheme="minorEastAsia" w:hAnsiTheme="minorHAnsi" w:cstheme="minorBidi"/>
                <w:color w:val="000000" w:themeColor="text1"/>
              </w:rPr>
              <w:t xml:space="preserve"> </w:t>
            </w:r>
          </w:p>
          <w:p w14:paraId="18DB2B6F" w14:textId="6DBD60FA" w:rsidR="007C2487" w:rsidRDefault="002E0C76" w:rsidP="3088BFBA">
            <w:pPr>
              <w:pStyle w:val="ListParagraph"/>
              <w:numPr>
                <w:ilvl w:val="0"/>
                <w:numId w:val="7"/>
              </w:numPr>
              <w:spacing w:before="40" w:after="40"/>
              <w:rPr>
                <w:rFonts w:asciiTheme="minorHAnsi" w:eastAsiaTheme="minorEastAsia" w:hAnsiTheme="minorHAnsi" w:cstheme="minorBidi"/>
              </w:rPr>
            </w:pPr>
            <w:proofErr w:type="gramStart"/>
            <w:r w:rsidRPr="3CE5A711">
              <w:rPr>
                <w:rFonts w:asciiTheme="minorHAnsi" w:eastAsiaTheme="minorEastAsia" w:hAnsiTheme="minorHAnsi" w:cstheme="minorBidi"/>
              </w:rPr>
              <w:t>Standards;</w:t>
            </w:r>
            <w:proofErr w:type="gramEnd"/>
          </w:p>
          <w:p w14:paraId="2B1DF0C1" w14:textId="1EC206D9" w:rsidR="007C2487" w:rsidRDefault="002E0C76">
            <w:pPr>
              <w:pStyle w:val="ListParagraph"/>
              <w:numPr>
                <w:ilvl w:val="0"/>
                <w:numId w:val="7"/>
              </w:numPr>
              <w:spacing w:before="40" w:after="40"/>
              <w:contextualSpacing w:val="0"/>
            </w:pPr>
            <w:r>
              <w:rPr>
                <w:rFonts w:cs="Calibri"/>
              </w:rPr>
              <w:t xml:space="preserve">Interoperability constraints between </w:t>
            </w:r>
            <w:proofErr w:type="gramStart"/>
            <w:r>
              <w:rPr>
                <w:rFonts w:cs="Calibri"/>
              </w:rPr>
              <w:t>systems;</w:t>
            </w:r>
            <w:proofErr w:type="gramEnd"/>
            <w:r>
              <w:rPr>
                <w:rFonts w:cs="Calibri"/>
              </w:rPr>
              <w:t xml:space="preserve"> </w:t>
            </w:r>
          </w:p>
          <w:p w14:paraId="36A9F521" w14:textId="4BAD1396" w:rsidR="007C2487" w:rsidRDefault="002E0C76">
            <w:pPr>
              <w:pStyle w:val="ListParagraph"/>
              <w:numPr>
                <w:ilvl w:val="0"/>
                <w:numId w:val="7"/>
              </w:numPr>
              <w:spacing w:before="40" w:after="40"/>
              <w:contextualSpacing w:val="0"/>
            </w:pPr>
            <w:r>
              <w:rPr>
                <w:rFonts w:cs="Calibri"/>
              </w:rPr>
              <w:t>ITAR/IP/Licencing constraints associated with re-</w:t>
            </w:r>
            <w:proofErr w:type="gramStart"/>
            <w:r>
              <w:rPr>
                <w:rFonts w:cs="Calibri"/>
              </w:rPr>
              <w:t>use;</w:t>
            </w:r>
            <w:proofErr w:type="gramEnd"/>
          </w:p>
          <w:p w14:paraId="312DC4BC" w14:textId="49D5393C" w:rsidR="007C2487" w:rsidRDefault="002E0C76">
            <w:pPr>
              <w:pStyle w:val="ListParagraph"/>
              <w:numPr>
                <w:ilvl w:val="0"/>
                <w:numId w:val="7"/>
              </w:numPr>
              <w:spacing w:before="40" w:after="40"/>
              <w:contextualSpacing w:val="0"/>
            </w:pPr>
            <w:r>
              <w:rPr>
                <w:rFonts w:cs="Calibri"/>
              </w:rPr>
              <w:t xml:space="preserve">Technical performance.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E140A8" w14:textId="575E7057" w:rsidR="007C2487" w:rsidRDefault="002E0C76">
            <w:pPr>
              <w:spacing w:before="40" w:after="40"/>
              <w:jc w:val="center"/>
              <w:rPr>
                <w:rFonts w:cs="Calibri"/>
              </w:rPr>
            </w:pPr>
            <w:r>
              <w:rPr>
                <w:rFonts w:cs="Calibri"/>
              </w:rPr>
              <w:t xml:space="preserve">To meet </w:t>
            </w:r>
            <w:bookmarkStart w:id="24" w:name="_Int_wzJ0LkUa"/>
            <w:r>
              <w:rPr>
                <w:rFonts w:cs="Calibri"/>
              </w:rPr>
              <w:t xml:space="preserve">UR </w:t>
            </w:r>
            <w:r w:rsidRPr="0EF8872A">
              <w:rPr>
                <w:rFonts w:cs="Calibri"/>
              </w:rPr>
              <w:t>(User Requirements)</w:t>
            </w:r>
            <w:bookmarkEnd w:id="24"/>
            <w:r w:rsidRPr="0EF8872A">
              <w:rPr>
                <w:rFonts w:cs="Calibri"/>
              </w:rPr>
              <w:t xml:space="preserve"> </w:t>
            </w:r>
            <w:r>
              <w:rPr>
                <w:rFonts w:cs="Calibri"/>
              </w:rPr>
              <w:t>1, 4, 9 and 15</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7A3723" w14:textId="77777777" w:rsidR="007C2487" w:rsidRDefault="002E0C76">
            <w:pPr>
              <w:spacing w:before="40" w:after="40"/>
              <w:jc w:val="center"/>
              <w:rPr>
                <w:rFonts w:cs="Calibri"/>
              </w:rPr>
            </w:pPr>
            <w:r>
              <w:rPr>
                <w:rFonts w:cs="Calibri"/>
              </w:rPr>
              <w:t>Monthly</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A205D7" w14:textId="77777777" w:rsidR="007C2487" w:rsidRDefault="002E0C76">
            <w:pPr>
              <w:spacing w:before="40" w:after="40"/>
              <w:jc w:val="center"/>
              <w:rPr>
                <w:rFonts w:cs="Calibri"/>
              </w:rPr>
            </w:pPr>
            <w:r>
              <w:rPr>
                <w:rFonts w:cs="Calibri"/>
              </w:rPr>
              <w:t>PowerPoint brief to the Technical Governance Committee.</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C6F7ED" w14:textId="77777777" w:rsidR="007C2487" w:rsidRDefault="002E0C76">
            <w:pPr>
              <w:spacing w:before="40" w:after="40"/>
              <w:jc w:val="center"/>
              <w:rPr>
                <w:rFonts w:cs="Calibri"/>
              </w:rPr>
            </w:pPr>
            <w:r>
              <w:rPr>
                <w:rFonts w:cs="Calibri"/>
              </w:rPr>
              <w:t>Qualified through Cranfield’s Modelling and Simulation MSc or equivalent with at least two years practitioner delivery experience.</w:t>
            </w:r>
          </w:p>
          <w:p w14:paraId="08220B74" w14:textId="77777777" w:rsidR="007C2487" w:rsidRDefault="007C2487">
            <w:pPr>
              <w:spacing w:before="40" w:after="40"/>
              <w:jc w:val="center"/>
              <w:rPr>
                <w:rFonts w:cs="Calibri"/>
              </w:rPr>
            </w:pPr>
          </w:p>
          <w:p w14:paraId="1D1E1824" w14:textId="2BCAB9DE" w:rsidR="007C2487" w:rsidRDefault="002E0C76">
            <w:pPr>
              <w:spacing w:before="40" w:after="40"/>
              <w:jc w:val="center"/>
              <w:rPr>
                <w:rFonts w:cs="Calibri"/>
              </w:rPr>
            </w:pPr>
            <w:r>
              <w:rPr>
                <w:rFonts w:cs="Calibri"/>
              </w:rPr>
              <w:t xml:space="preserve">Decision support delivered in accordance with </w:t>
            </w:r>
            <w:r w:rsidRPr="5E2DF35A">
              <w:rPr>
                <w:rFonts w:cs="Calibri"/>
              </w:rPr>
              <w:t>Her</w:t>
            </w:r>
            <w:r>
              <w:rPr>
                <w:rFonts w:cs="Calibri"/>
              </w:rPr>
              <w:t xml:space="preserve"> </w:t>
            </w:r>
            <w:r w:rsidRPr="12C10636">
              <w:rPr>
                <w:rFonts w:cs="Calibri"/>
              </w:rPr>
              <w:t>Majesty's</w:t>
            </w:r>
            <w:r w:rsidRPr="6AA306EF">
              <w:rPr>
                <w:rFonts w:cs="Calibri"/>
              </w:rPr>
              <w:t xml:space="preserve"> </w:t>
            </w:r>
            <w:proofErr w:type="gramStart"/>
            <w:r w:rsidRPr="1C55B08B">
              <w:rPr>
                <w:rFonts w:cs="Calibri"/>
              </w:rPr>
              <w:t>Treasury</w:t>
            </w:r>
            <w:r w:rsidRPr="12C10636">
              <w:rPr>
                <w:rFonts w:cs="Calibri"/>
              </w:rPr>
              <w:t xml:space="preserve">, </w:t>
            </w:r>
            <w:r w:rsidRPr="6AA306EF">
              <w:rPr>
                <w:rFonts w:cs="Calibri"/>
              </w:rPr>
              <w:t xml:space="preserve"> </w:t>
            </w:r>
            <w:r w:rsidRPr="48243570">
              <w:rPr>
                <w:rFonts w:cs="Calibri"/>
              </w:rPr>
              <w:t>Analysis</w:t>
            </w:r>
            <w:proofErr w:type="gramEnd"/>
            <w:r>
              <w:rPr>
                <w:rFonts w:cs="Calibri"/>
              </w:rPr>
              <w:t xml:space="preserve"> Quality Assurance (AQUA) Book.</w:t>
            </w:r>
          </w:p>
        </w:tc>
        <w:tc>
          <w:tcPr>
            <w:tcW w:w="741" w:type="dxa"/>
            <w:shd w:val="clear" w:color="auto" w:fill="auto"/>
            <w:tcMar>
              <w:top w:w="0" w:type="dxa"/>
              <w:left w:w="10" w:type="dxa"/>
              <w:bottom w:w="0" w:type="dxa"/>
              <w:right w:w="10" w:type="dxa"/>
            </w:tcMar>
          </w:tcPr>
          <w:p w14:paraId="2690DCFE" w14:textId="77777777" w:rsidR="007C2487" w:rsidRDefault="007C2487">
            <w:pPr>
              <w:spacing w:before="40" w:after="40"/>
              <w:jc w:val="center"/>
              <w:rPr>
                <w:rFonts w:cs="Calibri"/>
              </w:rPr>
            </w:pPr>
          </w:p>
        </w:tc>
      </w:tr>
      <w:tr w:rsidR="00DD32DB" w14:paraId="12B08DF9" w14:textId="77777777" w:rsidTr="5D15C8F6">
        <w:trPr>
          <w:trHeight w:val="1298"/>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1BCC37" w14:textId="77777777" w:rsidR="007C2487" w:rsidRDefault="002E0C76">
            <w:pPr>
              <w:spacing w:before="40" w:after="40"/>
              <w:jc w:val="center"/>
              <w:rPr>
                <w:rFonts w:cs="Calibri"/>
                <w:b/>
                <w:bCs/>
              </w:rPr>
            </w:pPr>
            <w:r>
              <w:rPr>
                <w:rFonts w:cs="Calibri"/>
                <w:b/>
                <w:bCs/>
              </w:rPr>
              <w:t>2</w:t>
            </w:r>
          </w:p>
        </w:tc>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764008" w14:textId="77777777" w:rsidR="007C2487" w:rsidRDefault="002E0C76">
            <w:pPr>
              <w:spacing w:before="40" w:after="40"/>
              <w:jc w:val="center"/>
              <w:rPr>
                <w:rFonts w:cs="Calibri"/>
                <w:b/>
                <w:bCs/>
              </w:rPr>
            </w:pPr>
            <w:r>
              <w:rPr>
                <w:rFonts w:cs="Calibri"/>
                <w:b/>
                <w:bCs/>
              </w:rPr>
              <w:t>Technical Governance - Architecture</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835BE1" w14:textId="77777777" w:rsidR="007C2487" w:rsidRDefault="002E0C76">
            <w:pPr>
              <w:spacing w:before="40" w:after="40"/>
              <w:rPr>
                <w:rFonts w:cs="Calibri"/>
              </w:rPr>
            </w:pPr>
            <w:r>
              <w:rPr>
                <w:rFonts w:cs="Calibri"/>
              </w:rPr>
              <w:t>Training Enterprise Architecture is maintained and updated in response to changes in external interfaces or CTTP’s strategic training partner service delivery model.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68B2F0" w14:textId="77777777" w:rsidR="007C2487" w:rsidRDefault="002E0C76">
            <w:pPr>
              <w:spacing w:before="40" w:after="40"/>
              <w:jc w:val="center"/>
              <w:rPr>
                <w:rFonts w:cs="Calibri"/>
              </w:rPr>
            </w:pPr>
            <w:r>
              <w:rPr>
                <w:rFonts w:cs="Calibri"/>
              </w:rPr>
              <w:t>To meet UR 12 and 13</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A55FC0" w14:textId="77777777" w:rsidR="007C2487" w:rsidRDefault="002E0C76">
            <w:pPr>
              <w:spacing w:before="40" w:after="40"/>
              <w:jc w:val="center"/>
              <w:rPr>
                <w:rFonts w:cs="Calibri"/>
              </w:rPr>
            </w:pPr>
            <w:r>
              <w:rPr>
                <w:rFonts w:cs="Calibri"/>
              </w:rPr>
              <w:t>Quarterly</w:t>
            </w:r>
          </w:p>
          <w:p w14:paraId="65573C4A" w14:textId="74CB1A02" w:rsidR="007C2487" w:rsidRDefault="002E0C76">
            <w:pPr>
              <w:spacing w:before="40" w:after="40"/>
              <w:jc w:val="center"/>
            </w:pPr>
            <w:r>
              <w:rPr>
                <w:rFonts w:cs="Calibri"/>
              </w:rPr>
              <w:t>(1</w:t>
            </w:r>
            <w:r>
              <w:rPr>
                <w:rFonts w:cs="Calibri"/>
                <w:vertAlign w:val="superscript"/>
              </w:rPr>
              <w:t>st</w:t>
            </w:r>
            <w:r>
              <w:rPr>
                <w:rFonts w:cs="Calibri"/>
              </w:rPr>
              <w:t xml:space="preserve"> Weds of the</w:t>
            </w:r>
            <w:r>
              <w:rPr>
                <w:rFonts w:cs="Calibri"/>
                <w:strike/>
                <w:color w:val="FF0000"/>
              </w:rPr>
              <w:t xml:space="preserve"> </w:t>
            </w:r>
            <w:r>
              <w:rPr>
                <w:rFonts w:cs="Calibri"/>
              </w:rPr>
              <w:t>Month)</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B0C02B" w14:textId="77777777" w:rsidR="007C2487" w:rsidRDefault="002E0C76">
            <w:pPr>
              <w:spacing w:before="40" w:after="40"/>
              <w:jc w:val="center"/>
              <w:rPr>
                <w:rFonts w:cs="Calibri"/>
              </w:rPr>
            </w:pPr>
            <w:r>
              <w:rPr>
                <w:rFonts w:cs="Calibri"/>
              </w:rPr>
              <w:t>PowerPoint brief to the Army Enterprise Architecture Board.</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C910EE" w14:textId="77777777" w:rsidR="007C2487" w:rsidRDefault="002E0C76">
            <w:pPr>
              <w:spacing w:before="40" w:after="40"/>
              <w:jc w:val="center"/>
              <w:rPr>
                <w:rFonts w:cs="Calibri"/>
              </w:rPr>
            </w:pPr>
            <w:r>
              <w:rPr>
                <w:rFonts w:cs="Calibri"/>
              </w:rPr>
              <w:t>Architecture maintained using ArchiMate 3.1 using SPARX EA on the Army Hosting Environment.</w:t>
            </w:r>
          </w:p>
          <w:p w14:paraId="659B5619" w14:textId="77777777" w:rsidR="007C2487" w:rsidRDefault="007C2487">
            <w:pPr>
              <w:spacing w:before="40" w:after="40"/>
              <w:jc w:val="center"/>
              <w:rPr>
                <w:rFonts w:cs="Calibri"/>
              </w:rPr>
            </w:pPr>
          </w:p>
          <w:p w14:paraId="1342DC8B" w14:textId="77777777" w:rsidR="007C2487" w:rsidRDefault="002E0C76">
            <w:pPr>
              <w:spacing w:before="40" w:after="40"/>
              <w:jc w:val="center"/>
              <w:rPr>
                <w:rFonts w:cs="Calibri"/>
              </w:rPr>
            </w:pPr>
            <w:r>
              <w:rPr>
                <w:rFonts w:cs="Calibri"/>
              </w:rPr>
              <w:t>Accepted with advice from the Army Enterprise Architecture Board.</w:t>
            </w:r>
          </w:p>
        </w:tc>
        <w:tc>
          <w:tcPr>
            <w:tcW w:w="741" w:type="dxa"/>
            <w:shd w:val="clear" w:color="auto" w:fill="auto"/>
            <w:tcMar>
              <w:top w:w="0" w:type="dxa"/>
              <w:left w:w="10" w:type="dxa"/>
              <w:bottom w:w="0" w:type="dxa"/>
              <w:right w:w="10" w:type="dxa"/>
            </w:tcMar>
          </w:tcPr>
          <w:p w14:paraId="071383B6" w14:textId="77777777" w:rsidR="007C2487" w:rsidRDefault="007C2487">
            <w:pPr>
              <w:spacing w:before="40" w:after="40"/>
              <w:jc w:val="center"/>
              <w:rPr>
                <w:rFonts w:cs="Calibri"/>
              </w:rPr>
            </w:pPr>
          </w:p>
        </w:tc>
      </w:tr>
      <w:tr w:rsidR="00DD32DB" w14:paraId="5FE503F5" w14:textId="77777777" w:rsidTr="5D15C8F6">
        <w:trPr>
          <w:trHeight w:val="416"/>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434D6B" w14:textId="77777777" w:rsidR="007C2487" w:rsidRDefault="002E0C76">
            <w:pPr>
              <w:spacing w:before="40" w:after="40"/>
              <w:jc w:val="center"/>
              <w:rPr>
                <w:rFonts w:cs="Calibri"/>
                <w:b/>
                <w:bCs/>
              </w:rPr>
            </w:pPr>
            <w:r>
              <w:rPr>
                <w:rFonts w:cs="Calibri"/>
                <w:b/>
                <w:bCs/>
              </w:rPr>
              <w:t>3</w:t>
            </w:r>
          </w:p>
        </w:tc>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FDD20C" w14:textId="77777777" w:rsidR="007C2487" w:rsidRDefault="002E0C76">
            <w:pPr>
              <w:spacing w:before="40" w:after="40"/>
              <w:jc w:val="center"/>
              <w:rPr>
                <w:rFonts w:cs="Calibri"/>
                <w:b/>
                <w:bCs/>
              </w:rPr>
            </w:pPr>
            <w:r>
              <w:rPr>
                <w:rFonts w:cs="Calibri"/>
                <w:b/>
                <w:bCs/>
              </w:rPr>
              <w:t>Technical Governance - Quality Management</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6FD778" w14:textId="77777777" w:rsidR="007C2487" w:rsidRDefault="002E0C76">
            <w:pPr>
              <w:spacing w:before="40" w:after="40"/>
              <w:rPr>
                <w:rFonts w:cs="Calibri"/>
              </w:rPr>
            </w:pPr>
            <w:r>
              <w:rPr>
                <w:rFonts w:cs="Calibri"/>
              </w:rPr>
              <w:t xml:space="preserve">Test and reference tasks are managed and conducted with quality processes aligned to MoD governance.  </w:t>
            </w:r>
          </w:p>
          <w:p w14:paraId="23AA10E1" w14:textId="77777777" w:rsidR="007C2487" w:rsidRDefault="007C2487">
            <w:pPr>
              <w:spacing w:before="40" w:after="40"/>
              <w:rPr>
                <w:rFonts w:cs="Calibri"/>
              </w:rPr>
            </w:pPr>
          </w:p>
          <w:p w14:paraId="4E564BFF" w14:textId="77777777" w:rsidR="007C2487" w:rsidRDefault="002E0C76">
            <w:pPr>
              <w:spacing w:before="40" w:after="40"/>
              <w:rPr>
                <w:rFonts w:cs="Calibri"/>
              </w:rPr>
            </w:pPr>
            <w:r>
              <w:rPr>
                <w:rFonts w:cs="Calibri"/>
              </w:rPr>
              <w:t xml:space="preserve">Evaluation tasks to be tracked and reported </w:t>
            </w:r>
            <w:proofErr w:type="spellStart"/>
            <w:r>
              <w:rPr>
                <w:rFonts w:cs="Calibri"/>
              </w:rPr>
              <w:t>iaw</w:t>
            </w:r>
            <w:proofErr w:type="spellEnd"/>
            <w:r>
              <w:rPr>
                <w:rFonts w:cs="Calibri"/>
              </w:rPr>
              <w:t xml:space="preserve"> Technical Governance Committee defined priorities.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AE61AF" w14:textId="77777777" w:rsidR="007C2487" w:rsidRDefault="002E0C76">
            <w:pPr>
              <w:spacing w:before="40" w:after="40"/>
              <w:jc w:val="center"/>
              <w:rPr>
                <w:rFonts w:cs="Calibri"/>
              </w:rPr>
            </w:pPr>
            <w:r>
              <w:rPr>
                <w:rFonts w:cs="Calibri"/>
              </w:rPr>
              <w:lastRenderedPageBreak/>
              <w:t>To meet UR 3 and 15</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E64D91" w14:textId="77777777" w:rsidR="007C2487" w:rsidRDefault="002E0C76">
            <w:pPr>
              <w:spacing w:before="40" w:after="40"/>
              <w:jc w:val="center"/>
              <w:rPr>
                <w:rFonts w:cs="Calibri"/>
              </w:rPr>
            </w:pPr>
            <w:r>
              <w:rPr>
                <w:rFonts w:cs="Calibri"/>
              </w:rPr>
              <w:t>-</w:t>
            </w:r>
          </w:p>
          <w:p w14:paraId="013A8919" w14:textId="77777777" w:rsidR="007C2487" w:rsidRDefault="007C2487">
            <w:pPr>
              <w:spacing w:before="40" w:after="40"/>
              <w:jc w:val="center"/>
              <w:rPr>
                <w:rFonts w:cs="Calibri"/>
              </w:rPr>
            </w:pPr>
          </w:p>
          <w:p w14:paraId="3DAA3A41" w14:textId="77777777" w:rsidR="007C2487" w:rsidRDefault="007C2487">
            <w:pPr>
              <w:spacing w:before="40" w:after="40"/>
              <w:jc w:val="center"/>
              <w:rPr>
                <w:rFonts w:cs="Calibri"/>
              </w:rPr>
            </w:pPr>
          </w:p>
          <w:p w14:paraId="4689B5F7" w14:textId="77777777" w:rsidR="007C2487" w:rsidRDefault="007C2487">
            <w:pPr>
              <w:spacing w:before="40" w:after="40"/>
              <w:jc w:val="center"/>
              <w:rPr>
                <w:rFonts w:cs="Calibri"/>
              </w:rPr>
            </w:pPr>
          </w:p>
          <w:p w14:paraId="2C16AEAE" w14:textId="77777777" w:rsidR="007C2487" w:rsidRDefault="002E0C76">
            <w:pPr>
              <w:spacing w:before="40" w:after="40"/>
              <w:jc w:val="center"/>
              <w:rPr>
                <w:rFonts w:cs="Calibri"/>
              </w:rPr>
            </w:pPr>
            <w:r>
              <w:rPr>
                <w:rFonts w:cs="Calibri"/>
              </w:rPr>
              <w:t>Monthly</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381CE7" w14:textId="77777777" w:rsidR="007C2487" w:rsidRDefault="002E0C76">
            <w:pPr>
              <w:spacing w:before="40" w:after="40"/>
              <w:jc w:val="center"/>
              <w:rPr>
                <w:rFonts w:cs="Calibri"/>
              </w:rPr>
            </w:pPr>
            <w:r>
              <w:rPr>
                <w:rFonts w:cs="Calibri"/>
              </w:rPr>
              <w:lastRenderedPageBreak/>
              <w:t>Quality Assurance Plan on Contract Award 3 Months.</w:t>
            </w:r>
          </w:p>
          <w:p w14:paraId="6CB9C5FF" w14:textId="77777777" w:rsidR="007C2487" w:rsidRDefault="007C2487">
            <w:pPr>
              <w:spacing w:before="40" w:after="40"/>
              <w:jc w:val="center"/>
              <w:rPr>
                <w:rFonts w:cs="Calibri"/>
              </w:rPr>
            </w:pPr>
          </w:p>
          <w:p w14:paraId="2DEDC00C" w14:textId="77777777" w:rsidR="007C2487" w:rsidRDefault="002E0C76">
            <w:pPr>
              <w:spacing w:before="40" w:after="40"/>
              <w:jc w:val="center"/>
              <w:rPr>
                <w:rFonts w:cs="Calibri"/>
              </w:rPr>
            </w:pPr>
            <w:r>
              <w:rPr>
                <w:rFonts w:cs="Calibri"/>
              </w:rPr>
              <w:t>PowerPoint brief to the Technical Governance Committee.</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ED624E" w14:textId="0F48F393" w:rsidR="007C2487" w:rsidRDefault="002E0C76">
            <w:pPr>
              <w:spacing w:before="40" w:after="40"/>
              <w:jc w:val="center"/>
              <w:rPr>
                <w:rFonts w:cs="Calibri"/>
              </w:rPr>
            </w:pPr>
            <w:r>
              <w:rPr>
                <w:rFonts w:cs="Calibri"/>
              </w:rPr>
              <w:lastRenderedPageBreak/>
              <w:t xml:space="preserve">Delivery </w:t>
            </w:r>
            <w:proofErr w:type="spellStart"/>
            <w:r>
              <w:rPr>
                <w:rFonts w:cs="Calibri"/>
              </w:rPr>
              <w:t>iaw</w:t>
            </w:r>
            <w:proofErr w:type="spellEnd"/>
            <w:r>
              <w:rPr>
                <w:rFonts w:cs="Calibri"/>
              </w:rPr>
              <w:t xml:space="preserve"> </w:t>
            </w:r>
            <w:bookmarkStart w:id="25" w:name="_Int_qaZILf2I"/>
            <w:r>
              <w:rPr>
                <w:rFonts w:cs="Calibri"/>
              </w:rPr>
              <w:t xml:space="preserve">DEFCON </w:t>
            </w:r>
            <w:r w:rsidRPr="461D93DB">
              <w:rPr>
                <w:rFonts w:cs="Calibri"/>
              </w:rPr>
              <w:t>(Defence Condition)</w:t>
            </w:r>
            <w:bookmarkEnd w:id="25"/>
            <w:r w:rsidRPr="461D93DB">
              <w:rPr>
                <w:rFonts w:cs="Calibri"/>
              </w:rPr>
              <w:t xml:space="preserve"> </w:t>
            </w:r>
            <w:r>
              <w:rPr>
                <w:rFonts w:cs="Calibri"/>
              </w:rPr>
              <w:t>602A Supplier.</w:t>
            </w:r>
          </w:p>
          <w:p w14:paraId="71E10AEC" w14:textId="77777777" w:rsidR="007C2487" w:rsidRDefault="007C2487">
            <w:pPr>
              <w:spacing w:before="40" w:after="40"/>
              <w:jc w:val="center"/>
              <w:rPr>
                <w:rFonts w:cs="Calibri"/>
              </w:rPr>
            </w:pPr>
          </w:p>
          <w:p w14:paraId="616CEF9A" w14:textId="77777777" w:rsidR="007C2487" w:rsidRDefault="007C2487">
            <w:pPr>
              <w:spacing w:before="40" w:after="40"/>
              <w:jc w:val="center"/>
              <w:rPr>
                <w:rFonts w:cs="Calibri"/>
              </w:rPr>
            </w:pPr>
          </w:p>
          <w:p w14:paraId="375BD8FA" w14:textId="19F92C50" w:rsidR="007C2487" w:rsidRDefault="002E0C76" w:rsidP="00253677">
            <w:pPr>
              <w:spacing w:before="40" w:after="40"/>
              <w:jc w:val="center"/>
              <w:rPr>
                <w:rFonts w:cs="Calibri"/>
              </w:rPr>
            </w:pPr>
            <w:r>
              <w:rPr>
                <w:rFonts w:cs="Calibri"/>
              </w:rPr>
              <w:t>Processes are ISO 9001 accredited.</w:t>
            </w:r>
          </w:p>
        </w:tc>
        <w:tc>
          <w:tcPr>
            <w:tcW w:w="741" w:type="dxa"/>
            <w:shd w:val="clear" w:color="auto" w:fill="auto"/>
            <w:tcMar>
              <w:top w:w="0" w:type="dxa"/>
              <w:left w:w="10" w:type="dxa"/>
              <w:bottom w:w="0" w:type="dxa"/>
              <w:right w:w="10" w:type="dxa"/>
            </w:tcMar>
          </w:tcPr>
          <w:p w14:paraId="599FBB65" w14:textId="77777777" w:rsidR="007C2487" w:rsidRDefault="007C2487">
            <w:pPr>
              <w:spacing w:before="40" w:after="40"/>
              <w:jc w:val="center"/>
              <w:rPr>
                <w:rFonts w:cs="Calibri"/>
              </w:rPr>
            </w:pPr>
          </w:p>
        </w:tc>
      </w:tr>
      <w:tr w:rsidR="00DD32DB" w14:paraId="6FB803B3" w14:textId="77777777" w:rsidTr="5D15C8F6">
        <w:trPr>
          <w:trHeight w:val="1298"/>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D5A7EA" w14:textId="77777777" w:rsidR="007C2487" w:rsidRDefault="002E0C76">
            <w:pPr>
              <w:spacing w:before="40" w:after="40"/>
              <w:jc w:val="center"/>
              <w:rPr>
                <w:rFonts w:cs="Calibri"/>
                <w:b/>
                <w:bCs/>
              </w:rPr>
            </w:pPr>
            <w:r>
              <w:rPr>
                <w:rFonts w:cs="Calibri"/>
                <w:b/>
                <w:bCs/>
              </w:rPr>
              <w:t>4</w:t>
            </w:r>
          </w:p>
        </w:tc>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97BB02" w14:textId="77777777" w:rsidR="007C2487" w:rsidRDefault="002E0C76">
            <w:pPr>
              <w:spacing w:before="40" w:after="40"/>
              <w:jc w:val="center"/>
              <w:rPr>
                <w:rFonts w:cs="Calibri"/>
                <w:b/>
                <w:bCs/>
              </w:rPr>
            </w:pPr>
            <w:r>
              <w:rPr>
                <w:rFonts w:cs="Calibri"/>
                <w:b/>
                <w:bCs/>
              </w:rPr>
              <w:t>Technical Governance - Capability Technical Assessment Report Evidence</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EE376F" w14:textId="77777777" w:rsidR="007C2487" w:rsidRDefault="002E0C76">
            <w:pPr>
              <w:spacing w:before="40" w:after="40"/>
              <w:rPr>
                <w:rFonts w:cs="Calibri"/>
              </w:rPr>
            </w:pPr>
            <w:r>
              <w:rPr>
                <w:rFonts w:cs="Calibri"/>
              </w:rPr>
              <w:t>Technical evidence to support the Service Command Technical Authority create the Capability Technical Assessment Report (CTAR).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D172F7" w14:textId="5FE8DF59" w:rsidR="007C2487" w:rsidRDefault="002E0C76">
            <w:pPr>
              <w:spacing w:before="40" w:after="40"/>
              <w:jc w:val="center"/>
              <w:rPr>
                <w:rFonts w:cs="Calibri"/>
              </w:rPr>
            </w:pPr>
            <w:r>
              <w:rPr>
                <w:rFonts w:cs="Calibri"/>
              </w:rPr>
              <w:t xml:space="preserve">To meet </w:t>
            </w:r>
            <w:bookmarkStart w:id="26" w:name="_Int_3zk0TM3w"/>
            <w:r>
              <w:rPr>
                <w:rFonts w:cs="Calibri"/>
              </w:rPr>
              <w:t xml:space="preserve">URs </w:t>
            </w:r>
            <w:r w:rsidRPr="0BA98473">
              <w:rPr>
                <w:rFonts w:cs="Calibri"/>
              </w:rPr>
              <w:t>(User Requirements)</w:t>
            </w:r>
            <w:bookmarkEnd w:id="26"/>
            <w:r w:rsidRPr="0BA98473">
              <w:rPr>
                <w:rFonts w:cs="Calibri"/>
              </w:rPr>
              <w:t xml:space="preserve"> </w:t>
            </w:r>
            <w:r>
              <w:rPr>
                <w:rFonts w:cs="Calibri"/>
              </w:rPr>
              <w:t>1,2, 7 and 9</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345F2D" w14:textId="77777777" w:rsidR="007C2487" w:rsidRDefault="002E0C76">
            <w:pPr>
              <w:spacing w:before="40" w:after="40"/>
              <w:jc w:val="center"/>
              <w:rPr>
                <w:rFonts w:cs="Calibri"/>
              </w:rPr>
            </w:pPr>
            <w:r>
              <w:rPr>
                <w:rFonts w:cs="Calibri"/>
              </w:rPr>
              <w:t>Monthly</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33F51F" w14:textId="77777777" w:rsidR="007C2487" w:rsidRDefault="002E0C76">
            <w:pPr>
              <w:spacing w:before="40" w:after="40"/>
              <w:jc w:val="center"/>
              <w:rPr>
                <w:rFonts w:cs="Calibri"/>
              </w:rPr>
            </w:pPr>
            <w:r>
              <w:rPr>
                <w:rFonts w:cs="Calibri"/>
              </w:rPr>
              <w:t>PowerPoint brief to the Service Command Technical Authority.</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4F93D0" w14:textId="77777777" w:rsidR="007C2487" w:rsidRDefault="002E0C76">
            <w:pPr>
              <w:spacing w:before="40" w:after="40"/>
              <w:jc w:val="center"/>
              <w:rPr>
                <w:rFonts w:cs="Calibri"/>
              </w:rPr>
            </w:pPr>
            <w:r>
              <w:rPr>
                <w:rFonts w:cs="Calibri"/>
              </w:rPr>
              <w:t xml:space="preserve">Practice </w:t>
            </w:r>
            <w:proofErr w:type="spellStart"/>
            <w:r>
              <w:rPr>
                <w:rFonts w:cs="Calibri"/>
              </w:rPr>
              <w:t>iaw</w:t>
            </w:r>
            <w:proofErr w:type="spellEnd"/>
            <w:r>
              <w:rPr>
                <w:rFonts w:cs="Calibri"/>
              </w:rPr>
              <w:t xml:space="preserve"> JSP 939.</w:t>
            </w:r>
          </w:p>
        </w:tc>
        <w:tc>
          <w:tcPr>
            <w:tcW w:w="741" w:type="dxa"/>
            <w:shd w:val="clear" w:color="auto" w:fill="auto"/>
            <w:tcMar>
              <w:top w:w="0" w:type="dxa"/>
              <w:left w:w="10" w:type="dxa"/>
              <w:bottom w:w="0" w:type="dxa"/>
              <w:right w:w="10" w:type="dxa"/>
            </w:tcMar>
          </w:tcPr>
          <w:p w14:paraId="6FE6437D" w14:textId="77777777" w:rsidR="007C2487" w:rsidRDefault="007C2487">
            <w:pPr>
              <w:spacing w:before="40" w:after="40"/>
              <w:jc w:val="center"/>
              <w:rPr>
                <w:rFonts w:cs="Calibri"/>
              </w:rPr>
            </w:pPr>
          </w:p>
        </w:tc>
      </w:tr>
      <w:tr w:rsidR="00DD32DB" w14:paraId="1C01BED9" w14:textId="77777777" w:rsidTr="5D15C8F6">
        <w:trPr>
          <w:trHeight w:val="1244"/>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72DC72" w14:textId="77777777" w:rsidR="007C2487" w:rsidRDefault="002E0C76">
            <w:pPr>
              <w:spacing w:before="40" w:after="40"/>
              <w:jc w:val="center"/>
              <w:rPr>
                <w:rFonts w:cs="Calibri"/>
                <w:b/>
                <w:bCs/>
              </w:rPr>
            </w:pPr>
            <w:r>
              <w:rPr>
                <w:rFonts w:cs="Calibri"/>
                <w:b/>
                <w:bCs/>
              </w:rPr>
              <w:t>5</w:t>
            </w:r>
          </w:p>
        </w:tc>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7FC2FA" w14:textId="77777777" w:rsidR="007C2487" w:rsidRDefault="002E0C76">
            <w:pPr>
              <w:spacing w:before="40" w:after="40"/>
              <w:jc w:val="center"/>
              <w:rPr>
                <w:rFonts w:cs="Calibri"/>
                <w:b/>
                <w:bCs/>
              </w:rPr>
            </w:pPr>
            <w:r>
              <w:rPr>
                <w:rFonts w:cs="Calibri"/>
                <w:b/>
                <w:bCs/>
              </w:rPr>
              <w:t>Re-use – Catalogue Government Furnished Assets</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67C82F" w14:textId="77777777" w:rsidR="007C2487" w:rsidRDefault="002E0C76">
            <w:pPr>
              <w:spacing w:before="40" w:after="40"/>
              <w:rPr>
                <w:rFonts w:cs="Calibri"/>
              </w:rPr>
            </w:pPr>
            <w:r>
              <w:rPr>
                <w:rFonts w:cs="Calibri"/>
              </w:rPr>
              <w:t xml:space="preserve">Publish list of available Army Simulation Assets with associated technical documentation (inc. Equipment, resources, Information and Facilities) on </w:t>
            </w:r>
            <w:proofErr w:type="spellStart"/>
            <w:r>
              <w:rPr>
                <w:rFonts w:cs="Calibri"/>
              </w:rPr>
              <w:t>MODnet</w:t>
            </w:r>
            <w:proofErr w:type="spellEnd"/>
            <w:r>
              <w:rPr>
                <w:rFonts w:cs="Calibri"/>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77B6D7" w14:textId="77777777" w:rsidR="007C2487" w:rsidRDefault="002E0C76">
            <w:pPr>
              <w:spacing w:before="40" w:after="40"/>
              <w:jc w:val="center"/>
              <w:rPr>
                <w:rFonts w:cs="Calibri"/>
              </w:rPr>
            </w:pPr>
            <w:r>
              <w:rPr>
                <w:rFonts w:cs="Calibri"/>
              </w:rPr>
              <w:t>To meet UR 5, 8, 13</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AE066F" w14:textId="77777777" w:rsidR="007C2487" w:rsidRDefault="002E0C76">
            <w:pPr>
              <w:spacing w:before="40" w:after="40"/>
              <w:jc w:val="center"/>
              <w:rPr>
                <w:rFonts w:cs="Calibri"/>
              </w:rPr>
            </w:pPr>
            <w:r>
              <w:rPr>
                <w:rFonts w:cs="Calibri"/>
              </w:rPr>
              <w:t>Updated Monthly</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39B03B" w14:textId="77777777" w:rsidR="007C2487" w:rsidRDefault="002E0C76">
            <w:pPr>
              <w:spacing w:before="40" w:after="40"/>
              <w:jc w:val="center"/>
              <w:rPr>
                <w:rFonts w:cs="Calibri"/>
              </w:rPr>
            </w:pPr>
            <w:r>
              <w:rPr>
                <w:rFonts w:cs="Calibri"/>
              </w:rPr>
              <w:t>Using Army SharePoint.</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2AB475" w14:textId="7A928E24" w:rsidR="007C2487" w:rsidRDefault="002E0C76">
            <w:pPr>
              <w:spacing w:before="40" w:after="40"/>
              <w:jc w:val="center"/>
              <w:rPr>
                <w:rFonts w:cs="Calibri"/>
              </w:rPr>
            </w:pPr>
            <w:proofErr w:type="spellStart"/>
            <w:r w:rsidRPr="5D15C8F6">
              <w:rPr>
                <w:rFonts w:cs="Calibri"/>
              </w:rPr>
              <w:t>iaw</w:t>
            </w:r>
            <w:proofErr w:type="spellEnd"/>
            <w:r w:rsidRPr="5D15C8F6">
              <w:rPr>
                <w:rFonts w:cs="Calibri"/>
              </w:rPr>
              <w:t xml:space="preserve"> </w:t>
            </w:r>
            <w:bookmarkStart w:id="27" w:name="_Int_LNtBkMoz"/>
            <w:proofErr w:type="spellStart"/>
            <w:r w:rsidRPr="5D15C8F6">
              <w:rPr>
                <w:rFonts w:cs="Calibri"/>
              </w:rPr>
              <w:t>MODNet</w:t>
            </w:r>
            <w:proofErr w:type="spellEnd"/>
            <w:r w:rsidRPr="5D15C8F6">
              <w:rPr>
                <w:rFonts w:cs="Calibri"/>
              </w:rPr>
              <w:t xml:space="preserve"> (Ministry of Defence Network)</w:t>
            </w:r>
            <w:bookmarkEnd w:id="27"/>
            <w:r w:rsidRPr="5D15C8F6">
              <w:rPr>
                <w:rFonts w:cs="Calibri"/>
              </w:rPr>
              <w:t xml:space="preserve"> </w:t>
            </w:r>
            <w:bookmarkStart w:id="28" w:name="_Int_kpFAkYn8"/>
            <w:proofErr w:type="spellStart"/>
            <w:r w:rsidRPr="5D15C8F6">
              <w:rPr>
                <w:rFonts w:cs="Calibri"/>
              </w:rPr>
              <w:t>SyOPs</w:t>
            </w:r>
            <w:proofErr w:type="spellEnd"/>
            <w:r w:rsidRPr="5D15C8F6">
              <w:rPr>
                <w:rFonts w:cs="Calibri"/>
              </w:rPr>
              <w:t xml:space="preserve"> (SECURITY OPERATING PROCEDURES)</w:t>
            </w:r>
            <w:bookmarkEnd w:id="28"/>
          </w:p>
        </w:tc>
        <w:tc>
          <w:tcPr>
            <w:tcW w:w="741" w:type="dxa"/>
            <w:shd w:val="clear" w:color="auto" w:fill="auto"/>
            <w:tcMar>
              <w:top w:w="0" w:type="dxa"/>
              <w:left w:w="10" w:type="dxa"/>
              <w:bottom w:w="0" w:type="dxa"/>
              <w:right w:w="10" w:type="dxa"/>
            </w:tcMar>
          </w:tcPr>
          <w:p w14:paraId="4559AAFE" w14:textId="77777777" w:rsidR="007C2487" w:rsidRDefault="007C2487">
            <w:pPr>
              <w:spacing w:before="40" w:after="40"/>
              <w:jc w:val="center"/>
              <w:rPr>
                <w:rFonts w:cs="Calibri"/>
              </w:rPr>
            </w:pPr>
          </w:p>
        </w:tc>
      </w:tr>
      <w:tr w:rsidR="00DD32DB" w14:paraId="7947C58C" w14:textId="77777777" w:rsidTr="5D15C8F6">
        <w:trPr>
          <w:trHeight w:val="1298"/>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0345E1" w14:textId="77777777" w:rsidR="007C2487" w:rsidRDefault="002E0C76">
            <w:pPr>
              <w:spacing w:before="40" w:after="40"/>
              <w:jc w:val="center"/>
              <w:rPr>
                <w:rFonts w:cs="Calibri"/>
                <w:b/>
                <w:bCs/>
              </w:rPr>
            </w:pPr>
            <w:r>
              <w:rPr>
                <w:rFonts w:cs="Calibri"/>
                <w:b/>
                <w:bCs/>
              </w:rPr>
              <w:t>6</w:t>
            </w:r>
          </w:p>
        </w:tc>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9C814F" w14:textId="77777777" w:rsidR="007C2487" w:rsidRDefault="002E0C76">
            <w:pPr>
              <w:spacing w:before="40" w:after="40"/>
              <w:jc w:val="center"/>
              <w:rPr>
                <w:rFonts w:cs="Calibri"/>
                <w:b/>
                <w:bCs/>
              </w:rPr>
            </w:pPr>
            <w:r>
              <w:rPr>
                <w:rFonts w:cs="Calibri"/>
                <w:b/>
                <w:bCs/>
              </w:rPr>
              <w:t>Re-use – hold and issue Government Furnished Assets</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1992DC" w14:textId="77777777" w:rsidR="007C2487" w:rsidRDefault="002E0C76">
            <w:pPr>
              <w:spacing w:before="40" w:after="40"/>
              <w:rPr>
                <w:rFonts w:cs="Calibri"/>
              </w:rPr>
            </w:pPr>
            <w:r>
              <w:rPr>
                <w:rFonts w:cs="Calibri"/>
              </w:rPr>
              <w:t>Hold and issue Army Simulation Software and Simulation Assets with associated technical documentation on behalf of the Army.</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23CF9F" w14:textId="77777777" w:rsidR="007C2487" w:rsidRDefault="002E0C76">
            <w:pPr>
              <w:spacing w:before="40" w:after="40"/>
              <w:jc w:val="center"/>
              <w:rPr>
                <w:rFonts w:cs="Calibri"/>
              </w:rPr>
            </w:pPr>
            <w:r>
              <w:rPr>
                <w:rFonts w:cs="Calibri"/>
              </w:rPr>
              <w:t>To meet UR 5</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E0EE77" w14:textId="77777777" w:rsidR="007C2487" w:rsidRDefault="002E0C76">
            <w:pPr>
              <w:spacing w:before="40" w:after="40"/>
              <w:jc w:val="center"/>
              <w:rPr>
                <w:rFonts w:cs="Calibri"/>
              </w:rPr>
            </w:pPr>
            <w:r>
              <w:rPr>
                <w:rFonts w:cs="Calibri"/>
              </w:rPr>
              <w:t>-</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290DB0" w14:textId="77777777" w:rsidR="007C2487" w:rsidRDefault="002E0C76">
            <w:pPr>
              <w:spacing w:before="40" w:after="40"/>
              <w:jc w:val="center"/>
              <w:rPr>
                <w:rFonts w:cs="Calibri"/>
              </w:rPr>
            </w:pPr>
            <w:r>
              <w:rPr>
                <w:rFonts w:cs="Calibri"/>
              </w:rPr>
              <w:t>-</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FF1D90" w14:textId="77777777" w:rsidR="007C2487" w:rsidRDefault="002E0C76">
            <w:pPr>
              <w:spacing w:before="40" w:after="40"/>
              <w:jc w:val="center"/>
              <w:rPr>
                <w:rFonts w:cs="Calibri"/>
              </w:rPr>
            </w:pPr>
            <w:r>
              <w:rPr>
                <w:rFonts w:cs="Calibri"/>
              </w:rPr>
              <w:t>Capacity to securely store physical assets not to exceed 4x 40’ ISO containers.</w:t>
            </w:r>
          </w:p>
          <w:p w14:paraId="181DE446" w14:textId="77777777" w:rsidR="007C2487" w:rsidRDefault="002E0C76">
            <w:pPr>
              <w:spacing w:before="40" w:after="40"/>
              <w:jc w:val="center"/>
              <w:rPr>
                <w:rFonts w:cs="Calibri"/>
              </w:rPr>
            </w:pPr>
            <w:r>
              <w:rPr>
                <w:rFonts w:cs="Calibri"/>
              </w:rPr>
              <w:t>Capacity to securely store software not to exceed 4TB software.</w:t>
            </w:r>
          </w:p>
          <w:p w14:paraId="4DCB056E" w14:textId="77777777" w:rsidR="007C2487" w:rsidRDefault="007C2487">
            <w:pPr>
              <w:spacing w:before="40" w:after="40"/>
              <w:jc w:val="center"/>
              <w:rPr>
                <w:rFonts w:cs="Calibri"/>
              </w:rPr>
            </w:pPr>
          </w:p>
          <w:p w14:paraId="009C290D" w14:textId="77777777" w:rsidR="007C2487" w:rsidRDefault="002E0C76">
            <w:pPr>
              <w:spacing w:before="40" w:after="40"/>
              <w:jc w:val="center"/>
              <w:rPr>
                <w:rFonts w:cs="Calibri"/>
              </w:rPr>
            </w:pPr>
            <w:proofErr w:type="spellStart"/>
            <w:r>
              <w:rPr>
                <w:rFonts w:cs="Calibri"/>
              </w:rPr>
              <w:t>iaw</w:t>
            </w:r>
            <w:proofErr w:type="spellEnd"/>
            <w:r>
              <w:rPr>
                <w:rFonts w:cs="Calibri"/>
              </w:rPr>
              <w:t xml:space="preserve"> DEFCON 611 and DEF STAN 05-099.</w:t>
            </w:r>
          </w:p>
        </w:tc>
        <w:tc>
          <w:tcPr>
            <w:tcW w:w="741" w:type="dxa"/>
            <w:shd w:val="clear" w:color="auto" w:fill="auto"/>
            <w:tcMar>
              <w:top w:w="0" w:type="dxa"/>
              <w:left w:w="10" w:type="dxa"/>
              <w:bottom w:w="0" w:type="dxa"/>
              <w:right w:w="10" w:type="dxa"/>
            </w:tcMar>
          </w:tcPr>
          <w:p w14:paraId="01DF9445" w14:textId="77777777" w:rsidR="007C2487" w:rsidRDefault="007C2487">
            <w:pPr>
              <w:spacing w:before="40" w:after="40"/>
              <w:jc w:val="center"/>
              <w:rPr>
                <w:rFonts w:cs="Calibri"/>
              </w:rPr>
            </w:pPr>
          </w:p>
        </w:tc>
      </w:tr>
    </w:tbl>
    <w:p w14:paraId="5172972F" w14:textId="77777777" w:rsidR="007C2487" w:rsidRDefault="002E0C76">
      <w:pPr>
        <w:pStyle w:val="Caption"/>
        <w:tabs>
          <w:tab w:val="left" w:pos="0"/>
        </w:tabs>
        <w:spacing w:before="120" w:after="160"/>
        <w:jc w:val="center"/>
        <w:rPr>
          <w:rFonts w:cs="Calibri"/>
          <w:color w:val="000000"/>
          <w:sz w:val="22"/>
          <w:szCs w:val="22"/>
        </w:rPr>
      </w:pPr>
      <w:r>
        <w:rPr>
          <w:rFonts w:cs="Calibri"/>
          <w:color w:val="000000"/>
          <w:sz w:val="22"/>
          <w:szCs w:val="22"/>
        </w:rPr>
        <w:t>Table 2 – The enduring deliverables for LTT&amp;RC</w:t>
      </w:r>
    </w:p>
    <w:p w14:paraId="341ED964" w14:textId="77777777" w:rsidR="007C2487" w:rsidRDefault="007C2487">
      <w:pPr>
        <w:ind w:left="709" w:hanging="709"/>
        <w:jc w:val="both"/>
      </w:pPr>
    </w:p>
    <w:p w14:paraId="6A4AFEB8" w14:textId="77777777" w:rsidR="007C2487" w:rsidRDefault="007C2487">
      <w:pPr>
        <w:tabs>
          <w:tab w:val="left" w:pos="709"/>
        </w:tabs>
        <w:rPr>
          <w:rFonts w:eastAsia="STZhongsong" w:cs="Calibri"/>
          <w:szCs w:val="20"/>
          <w:lang w:eastAsia="zh-CN"/>
        </w:rPr>
        <w:sectPr w:rsidR="007C2487" w:rsidSect="0058745F">
          <w:pgSz w:w="16838" w:h="11906" w:orient="landscape"/>
          <w:pgMar w:top="1440" w:right="1440" w:bottom="1440" w:left="1276" w:header="720" w:footer="567" w:gutter="0"/>
          <w:cols w:space="720"/>
          <w:docGrid w:linePitch="299"/>
        </w:sectPr>
      </w:pPr>
    </w:p>
    <w:p w14:paraId="5A1AC989" w14:textId="77777777" w:rsidR="007C2487" w:rsidRDefault="002E0C76" w:rsidP="00826690">
      <w:pPr>
        <w:pStyle w:val="Heading1"/>
        <w:numPr>
          <w:ilvl w:val="0"/>
          <w:numId w:val="4"/>
        </w:numPr>
        <w:tabs>
          <w:tab w:val="left" w:pos="709"/>
        </w:tabs>
        <w:spacing w:after="160"/>
        <w:ind w:left="709" w:hanging="709"/>
        <w:rPr>
          <w:rFonts w:ascii="Calibri" w:hAnsi="Calibri" w:cs="Calibri"/>
        </w:rPr>
      </w:pPr>
      <w:bookmarkStart w:id="29" w:name="_Toc112330485"/>
      <w:r>
        <w:rPr>
          <w:rFonts w:ascii="Calibri" w:hAnsi="Calibri" w:cs="Calibri"/>
        </w:rPr>
        <w:lastRenderedPageBreak/>
        <w:t>PAYMENT</w:t>
      </w:r>
      <w:bookmarkEnd w:id="29"/>
    </w:p>
    <w:p w14:paraId="2B875791" w14:textId="02372554" w:rsidR="00F775B6" w:rsidRPr="00F775B6" w:rsidRDefault="00EE19AB" w:rsidP="00F775B6">
      <w:pPr>
        <w:pStyle w:val="ListParagraph"/>
        <w:numPr>
          <w:ilvl w:val="1"/>
          <w:numId w:val="4"/>
        </w:numPr>
        <w:ind w:left="709" w:hanging="709"/>
        <w:contextualSpacing w:val="0"/>
        <w:jc w:val="both"/>
        <w:rPr>
          <w:rFonts w:cs="Calibri"/>
        </w:rPr>
      </w:pPr>
      <w:r w:rsidRPr="00F775B6">
        <w:rPr>
          <w:rFonts w:cs="Calibri"/>
        </w:rPr>
        <w:t xml:space="preserve">Fixed </w:t>
      </w:r>
      <w:r w:rsidR="00097DF0" w:rsidRPr="00F775B6">
        <w:rPr>
          <w:rFonts w:cs="Calibri"/>
        </w:rPr>
        <w:t>(FIRM)</w:t>
      </w:r>
      <w:r w:rsidR="002E5661" w:rsidRPr="00F775B6">
        <w:rPr>
          <w:rFonts w:cs="Calibri"/>
        </w:rPr>
        <w:t xml:space="preserve"> </w:t>
      </w:r>
      <w:r w:rsidRPr="00F775B6">
        <w:rPr>
          <w:rFonts w:cs="Calibri"/>
        </w:rPr>
        <w:t xml:space="preserve">Price. </w:t>
      </w:r>
      <w:r w:rsidR="00E43DC7" w:rsidRPr="00F775B6">
        <w:rPr>
          <w:rFonts w:cs="Calibri"/>
        </w:rPr>
        <w:t>The Supplier will issue invoices monthly in arrears in accordance with</w:t>
      </w:r>
      <w:r w:rsidR="00181AC0" w:rsidRPr="00F775B6">
        <w:rPr>
          <w:rFonts w:cs="Calibri"/>
        </w:rPr>
        <w:t xml:space="preserve"> </w:t>
      </w:r>
      <w:r w:rsidR="00CD1011" w:rsidRPr="00F775B6">
        <w:rPr>
          <w:rFonts w:cs="Calibri"/>
        </w:rPr>
        <w:t xml:space="preserve">SC2 Schedule 2 Annex D – Pricing Schedule </w:t>
      </w:r>
      <w:r w:rsidR="00CD1011" w:rsidRPr="00F775B6">
        <w:rPr>
          <w:rFonts w:cs="Calibri"/>
          <w:color w:val="FF0000"/>
        </w:rPr>
        <w:t>(to be inserted at Contract Award).</w:t>
      </w:r>
      <w:r w:rsidR="00F775B6" w:rsidRPr="00F775B6">
        <w:rPr>
          <w:rFonts w:cs="Calibri"/>
        </w:rPr>
        <w:t xml:space="preserve"> </w:t>
      </w:r>
    </w:p>
    <w:p w14:paraId="50B26DCD" w14:textId="79A78ADE" w:rsidR="007C2487" w:rsidRPr="00F775B6" w:rsidRDefault="00F775B6" w:rsidP="00F775B6">
      <w:pPr>
        <w:pStyle w:val="ListParagraph"/>
        <w:numPr>
          <w:ilvl w:val="1"/>
          <w:numId w:val="4"/>
        </w:numPr>
        <w:ind w:left="709" w:hanging="709"/>
        <w:contextualSpacing w:val="0"/>
        <w:jc w:val="both"/>
        <w:rPr>
          <w:rFonts w:cs="Calibri"/>
        </w:rPr>
      </w:pPr>
      <w:r w:rsidRPr="00F775B6">
        <w:rPr>
          <w:rFonts w:cs="Calibri"/>
        </w:rPr>
        <w:t>All invoices are to be addressed to the Authority Project Manager whose contact details will be given following any subsequent contract award.</w:t>
      </w:r>
    </w:p>
    <w:p w14:paraId="6905301C" w14:textId="5F963A89" w:rsidR="007C2487" w:rsidRDefault="002E0C76" w:rsidP="00F775B6">
      <w:pPr>
        <w:ind w:left="709" w:hanging="709"/>
        <w:jc w:val="both"/>
        <w:rPr>
          <w:rFonts w:cs="Calibri"/>
        </w:rPr>
      </w:pPr>
      <w:r>
        <w:rPr>
          <w:rFonts w:cs="Calibri"/>
        </w:rPr>
        <w:t>9.</w:t>
      </w:r>
      <w:r w:rsidR="00776ABE">
        <w:rPr>
          <w:rFonts w:cs="Calibri"/>
        </w:rPr>
        <w:t>2</w:t>
      </w:r>
      <w:r>
        <w:tab/>
      </w:r>
      <w:r>
        <w:rPr>
          <w:rFonts w:cs="Calibri"/>
        </w:rPr>
        <w:t>The payment method for this Call-Off Contract is through Contracting, Purchasing &amp; Finance (</w:t>
      </w:r>
      <w:bookmarkStart w:id="30" w:name="_Int_5gCWbeYU"/>
      <w:r>
        <w:rPr>
          <w:rFonts w:cs="Calibri"/>
        </w:rPr>
        <w:t>CP&amp;F</w:t>
      </w:r>
      <w:bookmarkEnd w:id="30"/>
      <w:r>
        <w:rPr>
          <w:rFonts w:cs="Calibri"/>
        </w:rPr>
        <w:t>) (Exostar).</w:t>
      </w:r>
    </w:p>
    <w:p w14:paraId="4771DC4F" w14:textId="3B0EE72D" w:rsidR="007C2487" w:rsidRDefault="00E24BF6" w:rsidP="00826690">
      <w:pPr>
        <w:pStyle w:val="Heading1"/>
        <w:numPr>
          <w:ilvl w:val="0"/>
          <w:numId w:val="4"/>
        </w:numPr>
        <w:tabs>
          <w:tab w:val="left" w:pos="709"/>
        </w:tabs>
        <w:spacing w:after="160"/>
        <w:ind w:left="709" w:hanging="709"/>
        <w:rPr>
          <w:rFonts w:ascii="Calibri" w:hAnsi="Calibri" w:cs="Calibri"/>
        </w:rPr>
      </w:pPr>
      <w:bookmarkStart w:id="31" w:name="_Toc112330486"/>
      <w:r w:rsidRPr="00E24BF6">
        <w:rPr>
          <w:rFonts w:ascii="Calibri" w:hAnsi="Calibri" w:cs="Calibri"/>
        </w:rPr>
        <w:t>ACCEPTANCE CRITERIA AND CONTRACT MANAGEMENT ARRANGEMENTS</w:t>
      </w:r>
      <w:bookmarkEnd w:id="31"/>
    </w:p>
    <w:p w14:paraId="761D94D1" w14:textId="77777777" w:rsidR="007C2487" w:rsidRPr="00124719" w:rsidRDefault="002E0C76" w:rsidP="00826690">
      <w:pPr>
        <w:pStyle w:val="ListParagraph"/>
        <w:numPr>
          <w:ilvl w:val="1"/>
          <w:numId w:val="4"/>
        </w:numPr>
        <w:ind w:left="709" w:hanging="709"/>
        <w:contextualSpacing w:val="0"/>
        <w:jc w:val="both"/>
        <w:rPr>
          <w:rFonts w:asciiTheme="minorHAnsi" w:hAnsiTheme="minorHAnsi" w:cstheme="minorHAnsi"/>
        </w:rPr>
      </w:pPr>
      <w:r>
        <w:t xml:space="preserve">The Suppler is required to capture and provide metrics on progress against agreed outputs and deliverables within the contract. The contractor will report to SO2 </w:t>
      </w:r>
      <w:proofErr w:type="spellStart"/>
      <w:r>
        <w:t>Trg</w:t>
      </w:r>
      <w:proofErr w:type="spellEnd"/>
      <w:r>
        <w:t xml:space="preserve"> Cap Simulation on a routine basis to confirm task priorities, stakeholder engagement and progress against </w:t>
      </w:r>
      <w:r w:rsidRPr="00124719">
        <w:rPr>
          <w:rFonts w:asciiTheme="minorHAnsi" w:hAnsiTheme="minorHAnsi" w:cstheme="minorHAnsi"/>
        </w:rPr>
        <w:t xml:space="preserve">contract deliverables: </w:t>
      </w:r>
    </w:p>
    <w:p w14:paraId="67E31920" w14:textId="75AEE493" w:rsidR="007C2487" w:rsidRPr="00124719" w:rsidRDefault="002E0C76" w:rsidP="562347B8">
      <w:pPr>
        <w:pStyle w:val="ListParagraph"/>
        <w:numPr>
          <w:ilvl w:val="2"/>
          <w:numId w:val="4"/>
        </w:numPr>
        <w:ind w:left="1701" w:hanging="981"/>
        <w:jc w:val="both"/>
        <w:rPr>
          <w:rFonts w:asciiTheme="minorHAnsi" w:hAnsiTheme="minorHAnsi" w:cstheme="minorBidi"/>
        </w:rPr>
      </w:pPr>
      <w:r w:rsidRPr="562347B8">
        <w:rPr>
          <w:rFonts w:asciiTheme="minorHAnsi" w:hAnsiTheme="minorHAnsi" w:cstheme="minorBidi"/>
        </w:rPr>
        <w:t xml:space="preserve">Commercial </w:t>
      </w:r>
      <w:r w:rsidR="49881CCD" w:rsidRPr="562347B8">
        <w:rPr>
          <w:rFonts w:asciiTheme="minorHAnsi" w:hAnsiTheme="minorHAnsi" w:cstheme="minorBidi"/>
        </w:rPr>
        <w:t xml:space="preserve">Performance </w:t>
      </w:r>
      <w:r w:rsidRPr="562347B8">
        <w:rPr>
          <w:rFonts w:asciiTheme="minorHAnsi" w:hAnsiTheme="minorHAnsi" w:cstheme="minorBidi"/>
        </w:rPr>
        <w:t xml:space="preserve">review meetings (quarterly) including contract start </w:t>
      </w:r>
      <w:proofErr w:type="gramStart"/>
      <w:r w:rsidRPr="562347B8">
        <w:rPr>
          <w:rFonts w:asciiTheme="minorHAnsi" w:hAnsiTheme="minorHAnsi" w:cstheme="minorBidi"/>
        </w:rPr>
        <w:t>meeting;</w:t>
      </w:r>
      <w:proofErr w:type="gramEnd"/>
    </w:p>
    <w:p w14:paraId="0E47BC91" w14:textId="77777777" w:rsidR="007C2487" w:rsidRPr="00124719" w:rsidRDefault="002E0C76" w:rsidP="00826690">
      <w:pPr>
        <w:pStyle w:val="ListParagraph"/>
        <w:numPr>
          <w:ilvl w:val="2"/>
          <w:numId w:val="4"/>
        </w:numPr>
        <w:ind w:left="1701" w:hanging="981"/>
        <w:contextualSpacing w:val="0"/>
        <w:jc w:val="both"/>
        <w:rPr>
          <w:rFonts w:asciiTheme="minorHAnsi" w:hAnsiTheme="minorHAnsi" w:cstheme="minorHAnsi"/>
        </w:rPr>
      </w:pPr>
      <w:r w:rsidRPr="00124719">
        <w:rPr>
          <w:rFonts w:asciiTheme="minorHAnsi" w:hAnsiTheme="minorHAnsi" w:cstheme="minorHAnsi"/>
        </w:rPr>
        <w:t>Monthly stakeholder review meeting (Land Training Technical Governance Committee</w:t>
      </w:r>
      <w:proofErr w:type="gramStart"/>
      <w:r w:rsidRPr="00124719">
        <w:rPr>
          <w:rFonts w:asciiTheme="minorHAnsi" w:hAnsiTheme="minorHAnsi" w:cstheme="minorHAnsi"/>
        </w:rPr>
        <w:t>);</w:t>
      </w:r>
      <w:proofErr w:type="gramEnd"/>
    </w:p>
    <w:p w14:paraId="7119B547" w14:textId="46C54A1D" w:rsidR="007C2487" w:rsidRPr="00124719" w:rsidRDefault="002E0C76" w:rsidP="00826690">
      <w:pPr>
        <w:pStyle w:val="ListParagraph"/>
        <w:numPr>
          <w:ilvl w:val="2"/>
          <w:numId w:val="4"/>
        </w:numPr>
        <w:ind w:left="1701" w:hanging="981"/>
        <w:contextualSpacing w:val="0"/>
        <w:jc w:val="both"/>
        <w:rPr>
          <w:rFonts w:asciiTheme="minorHAnsi" w:hAnsiTheme="minorHAnsi" w:cstheme="minorHAnsi"/>
          <w:color w:val="000000" w:themeColor="text1"/>
        </w:rPr>
      </w:pPr>
      <w:r w:rsidRPr="00124719">
        <w:rPr>
          <w:rFonts w:asciiTheme="minorHAnsi" w:hAnsiTheme="minorHAnsi" w:cstheme="minorHAnsi"/>
          <w:color w:val="000000" w:themeColor="text1"/>
        </w:rPr>
        <w:t>Weekly project meeting.</w:t>
      </w:r>
    </w:p>
    <w:p w14:paraId="57A1614B" w14:textId="0897CFC6" w:rsidR="00E24BF6" w:rsidRPr="00124719" w:rsidRDefault="00E24BF6" w:rsidP="00E24BF6">
      <w:pPr>
        <w:pStyle w:val="Heading1"/>
        <w:numPr>
          <w:ilvl w:val="0"/>
          <w:numId w:val="4"/>
        </w:numPr>
        <w:spacing w:after="160"/>
        <w:ind w:left="709" w:hanging="709"/>
        <w:rPr>
          <w:rFonts w:asciiTheme="minorHAnsi" w:hAnsiTheme="minorHAnsi" w:cstheme="minorHAnsi"/>
        </w:rPr>
      </w:pPr>
      <w:bookmarkStart w:id="32" w:name="_Toc112330487"/>
      <w:r>
        <w:rPr>
          <w:rFonts w:asciiTheme="minorHAnsi" w:hAnsiTheme="minorHAnsi" w:cstheme="minorHAnsi"/>
        </w:rPr>
        <w:t>Performance Monitoring</w:t>
      </w:r>
      <w:bookmarkEnd w:id="32"/>
    </w:p>
    <w:p w14:paraId="16A4579F" w14:textId="3B0D4468" w:rsidR="00E24BF6" w:rsidRDefault="00E24BF6" w:rsidP="00E24BF6">
      <w:pPr>
        <w:ind w:left="709" w:hanging="709"/>
        <w:jc w:val="both"/>
        <w:rPr>
          <w:rFonts w:asciiTheme="minorHAnsi" w:hAnsiTheme="minorHAnsi" w:cstheme="minorHAnsi"/>
        </w:rPr>
      </w:pPr>
      <w:r w:rsidRPr="00826690">
        <w:rPr>
          <w:rFonts w:asciiTheme="minorHAnsi" w:hAnsiTheme="minorHAnsi" w:cstheme="minorHAnsi"/>
          <w:lang w:eastAsia="zh-CN"/>
        </w:rPr>
        <w:t>11.1</w:t>
      </w:r>
      <w:r w:rsidRPr="00826690">
        <w:rPr>
          <w:rFonts w:asciiTheme="minorHAnsi" w:hAnsiTheme="minorHAnsi" w:cstheme="minorHAnsi"/>
          <w:lang w:eastAsia="zh-CN"/>
        </w:rPr>
        <w:tab/>
      </w:r>
      <w:r>
        <w:rPr>
          <w:rFonts w:asciiTheme="minorHAnsi" w:hAnsiTheme="minorHAnsi" w:cstheme="minorHAnsi"/>
          <w:lang w:eastAsia="zh-CN"/>
        </w:rPr>
        <w:t>P</w:t>
      </w:r>
      <w:r w:rsidRPr="00E24BF6">
        <w:rPr>
          <w:rFonts w:asciiTheme="minorHAnsi" w:hAnsiTheme="minorHAnsi" w:cstheme="minorHAnsi"/>
        </w:rPr>
        <w:t xml:space="preserve">erformance monitoring will be carried out by the Authority. The contract will contain performance management/monitoring clauses and KPIs. Serials within this SOR will correspond directly to a KPI/PI, this is referenced within </w:t>
      </w:r>
      <w:r w:rsidRPr="00ED2C5D">
        <w:rPr>
          <w:rFonts w:asciiTheme="minorHAnsi" w:hAnsiTheme="minorHAnsi" w:cstheme="minorHAnsi"/>
        </w:rPr>
        <w:t xml:space="preserve">Annex </w:t>
      </w:r>
      <w:r>
        <w:rPr>
          <w:rFonts w:asciiTheme="minorHAnsi" w:hAnsiTheme="minorHAnsi" w:cstheme="minorHAnsi"/>
        </w:rPr>
        <w:t>C</w:t>
      </w:r>
      <w:r w:rsidRPr="00ED2C5D">
        <w:rPr>
          <w:rFonts w:asciiTheme="minorHAnsi" w:hAnsiTheme="minorHAnsi" w:cstheme="minorHAnsi"/>
        </w:rPr>
        <w:t xml:space="preserve"> to</w:t>
      </w:r>
      <w:r>
        <w:rPr>
          <w:rFonts w:asciiTheme="minorHAnsi" w:hAnsiTheme="minorHAnsi" w:cstheme="minorHAnsi"/>
        </w:rPr>
        <w:t xml:space="preserve"> </w:t>
      </w:r>
      <w:r w:rsidRPr="00ED2C5D">
        <w:rPr>
          <w:rFonts w:asciiTheme="minorHAnsi" w:hAnsiTheme="minorHAnsi" w:cstheme="minorHAnsi"/>
        </w:rPr>
        <w:t>SC2 Schedule 2</w:t>
      </w:r>
      <w:r>
        <w:rPr>
          <w:rFonts w:asciiTheme="minorHAnsi" w:hAnsiTheme="minorHAnsi" w:cstheme="minorHAnsi"/>
        </w:rPr>
        <w:t xml:space="preserve"> (Performance Monitoring)</w:t>
      </w:r>
      <w:r w:rsidRPr="00E24BF6">
        <w:rPr>
          <w:rFonts w:asciiTheme="minorHAnsi" w:hAnsiTheme="minorHAnsi" w:cstheme="minorHAnsi"/>
        </w:rPr>
        <w:t>.</w:t>
      </w:r>
    </w:p>
    <w:p w14:paraId="07060E0B" w14:textId="30A48767" w:rsidR="00E24BF6" w:rsidRPr="00E24BF6" w:rsidRDefault="00E24BF6" w:rsidP="00E24BF6">
      <w:pPr>
        <w:pStyle w:val="ListParagraph"/>
        <w:numPr>
          <w:ilvl w:val="1"/>
          <w:numId w:val="4"/>
        </w:numPr>
        <w:ind w:left="709" w:hanging="709"/>
        <w:rPr>
          <w:rFonts w:asciiTheme="minorHAnsi" w:hAnsiTheme="minorHAnsi" w:cstheme="minorHAnsi"/>
          <w:color w:val="000000" w:themeColor="text1"/>
          <w:lang w:eastAsia="zh-CN"/>
        </w:rPr>
      </w:pPr>
      <w:r w:rsidRPr="00E24BF6">
        <w:rPr>
          <w:rFonts w:asciiTheme="minorHAnsi" w:hAnsiTheme="minorHAnsi" w:cstheme="minorHAnsi"/>
          <w:color w:val="000000" w:themeColor="text1"/>
          <w:lang w:eastAsia="zh-CN"/>
        </w:rPr>
        <w:t>Performance Indicators (PIs) and Key Performance Indicators (KPIs)</w:t>
      </w:r>
      <w:r>
        <w:rPr>
          <w:rFonts w:asciiTheme="minorHAnsi" w:hAnsiTheme="minorHAnsi" w:cstheme="minorHAnsi"/>
          <w:color w:val="000000" w:themeColor="text1"/>
          <w:lang w:eastAsia="zh-CN"/>
        </w:rPr>
        <w:t xml:space="preserve"> r</w:t>
      </w:r>
      <w:r w:rsidRPr="00E24BF6">
        <w:rPr>
          <w:rFonts w:asciiTheme="minorHAnsi" w:hAnsiTheme="minorHAnsi" w:cstheme="minorHAnsi"/>
          <w:color w:val="000000" w:themeColor="text1"/>
          <w:lang w:eastAsia="zh-CN"/>
        </w:rPr>
        <w:t xml:space="preserve">eporting </w:t>
      </w:r>
      <w:r>
        <w:rPr>
          <w:rFonts w:asciiTheme="minorHAnsi" w:hAnsiTheme="minorHAnsi" w:cstheme="minorHAnsi"/>
          <w:color w:val="000000" w:themeColor="text1"/>
          <w:lang w:eastAsia="zh-CN"/>
        </w:rPr>
        <w:t xml:space="preserve">is to be completed </w:t>
      </w:r>
      <w:r w:rsidRPr="00E24BF6">
        <w:rPr>
          <w:rFonts w:asciiTheme="minorHAnsi" w:hAnsiTheme="minorHAnsi" w:cstheme="minorHAnsi"/>
          <w:color w:val="000000" w:themeColor="text1"/>
          <w:lang w:eastAsia="zh-CN"/>
        </w:rPr>
        <w:t>in accordance with Annex C to SC2 Schedule 2 (Performance Monitoring).</w:t>
      </w:r>
    </w:p>
    <w:p w14:paraId="10E3D90F" w14:textId="77777777" w:rsidR="007C2487" w:rsidRPr="00826690" w:rsidRDefault="002E0C76" w:rsidP="00826690">
      <w:pPr>
        <w:pStyle w:val="Heading1"/>
        <w:numPr>
          <w:ilvl w:val="0"/>
          <w:numId w:val="4"/>
        </w:numPr>
        <w:spacing w:after="160"/>
        <w:ind w:left="709" w:hanging="709"/>
        <w:rPr>
          <w:rFonts w:asciiTheme="minorHAnsi" w:hAnsiTheme="minorHAnsi" w:cstheme="minorHAnsi"/>
        </w:rPr>
      </w:pPr>
      <w:bookmarkStart w:id="33" w:name="_Toc112330488"/>
      <w:r w:rsidRPr="00826690">
        <w:rPr>
          <w:rFonts w:asciiTheme="minorHAnsi" w:hAnsiTheme="minorHAnsi" w:cstheme="minorHAnsi"/>
        </w:rPr>
        <w:t>SECURITY REQUIREMENTS</w:t>
      </w:r>
      <w:bookmarkEnd w:id="33"/>
    </w:p>
    <w:p w14:paraId="100ACB73" w14:textId="26F21C35" w:rsidR="007C2487" w:rsidRPr="00826690" w:rsidRDefault="002E0C76" w:rsidP="2C1E5963">
      <w:pPr>
        <w:pStyle w:val="ListParagraph"/>
        <w:numPr>
          <w:ilvl w:val="1"/>
          <w:numId w:val="4"/>
        </w:numPr>
        <w:ind w:left="709" w:hanging="709"/>
        <w:contextualSpacing w:val="0"/>
        <w:jc w:val="both"/>
        <w:rPr>
          <w:rFonts w:asciiTheme="minorHAnsi" w:hAnsiTheme="minorHAnsi" w:cstheme="minorBidi"/>
        </w:rPr>
      </w:pPr>
      <w:r w:rsidRPr="00826690">
        <w:rPr>
          <w:rFonts w:asciiTheme="minorHAnsi" w:eastAsia="STZhongsong" w:hAnsiTheme="minorHAnsi" w:cstheme="minorBidi"/>
          <w:lang w:eastAsia="zh-CN"/>
        </w:rPr>
        <w:t xml:space="preserve">The LTT&amp;RC will operate up to </w:t>
      </w:r>
      <w:bookmarkStart w:id="34" w:name="_Int_KXAjiGLX"/>
      <w:r w:rsidRPr="00826690">
        <w:rPr>
          <w:rFonts w:asciiTheme="minorHAnsi" w:eastAsia="STZhongsong" w:hAnsiTheme="minorHAnsi" w:cstheme="minorBidi"/>
          <w:lang w:eastAsia="zh-CN"/>
        </w:rPr>
        <w:t>SC</w:t>
      </w:r>
      <w:bookmarkEnd w:id="34"/>
      <w:r w:rsidRPr="00826690">
        <w:rPr>
          <w:rFonts w:asciiTheme="minorHAnsi" w:eastAsia="STZhongsong" w:hAnsiTheme="minorHAnsi" w:cstheme="minorBidi"/>
          <w:lang w:eastAsia="zh-CN"/>
        </w:rPr>
        <w:t xml:space="preserve"> with routine access and handling of 3rd party industry, Allies and Partner information.</w:t>
      </w:r>
    </w:p>
    <w:p w14:paraId="092BBAB2" w14:textId="7F1F57D9" w:rsidR="007C2487" w:rsidRPr="00FF3149" w:rsidRDefault="002E0C76" w:rsidP="00826690">
      <w:pPr>
        <w:pStyle w:val="ListParagraph"/>
        <w:numPr>
          <w:ilvl w:val="1"/>
          <w:numId w:val="4"/>
        </w:numPr>
        <w:ind w:left="709" w:hanging="709"/>
        <w:contextualSpacing w:val="0"/>
        <w:jc w:val="both"/>
        <w:rPr>
          <w:rFonts w:asciiTheme="minorHAnsi" w:hAnsiTheme="minorHAnsi" w:cstheme="minorHAnsi"/>
        </w:rPr>
      </w:pPr>
      <w:r w:rsidRPr="00826690">
        <w:rPr>
          <w:rFonts w:asciiTheme="minorHAnsi" w:eastAsia="STZhongsong" w:hAnsiTheme="minorHAnsi" w:cstheme="minorHAnsi"/>
          <w:bCs/>
          <w:lang w:eastAsia="zh-CN"/>
        </w:rPr>
        <w:t>BPSS clearance may be acceptable on a case-by-case basis if a resource is waiting for SC.  This must be agreed with the Authority in advance.</w:t>
      </w:r>
    </w:p>
    <w:p w14:paraId="5A2A63D0" w14:textId="4CFD4E66" w:rsidR="00FF3149" w:rsidRPr="00826690" w:rsidRDefault="00FF3149" w:rsidP="00826690">
      <w:pPr>
        <w:pStyle w:val="ListParagraph"/>
        <w:numPr>
          <w:ilvl w:val="1"/>
          <w:numId w:val="4"/>
        </w:numPr>
        <w:ind w:left="709" w:hanging="709"/>
        <w:contextualSpacing w:val="0"/>
        <w:jc w:val="both"/>
        <w:rPr>
          <w:rFonts w:asciiTheme="minorHAnsi" w:hAnsiTheme="minorHAnsi" w:cstheme="minorHAnsi"/>
        </w:rPr>
      </w:pPr>
      <w:r>
        <w:rPr>
          <w:rFonts w:asciiTheme="minorHAnsi" w:eastAsia="STZhongsong" w:hAnsiTheme="minorHAnsi" w:cstheme="minorHAnsi"/>
          <w:bCs/>
          <w:lang w:eastAsia="zh-CN"/>
        </w:rPr>
        <w:t xml:space="preserve">The Supplier is to </w:t>
      </w:r>
      <w:r w:rsidRPr="00FF3149">
        <w:rPr>
          <w:rFonts w:asciiTheme="minorHAnsi" w:eastAsia="STZhongsong" w:hAnsiTheme="minorHAnsi" w:cstheme="minorHAnsi"/>
          <w:bCs/>
          <w:lang w:eastAsia="zh-CN"/>
        </w:rPr>
        <w:t xml:space="preserve">ensure all information </w:t>
      </w:r>
      <w:r>
        <w:rPr>
          <w:rFonts w:asciiTheme="minorHAnsi" w:eastAsia="STZhongsong" w:hAnsiTheme="minorHAnsi" w:cstheme="minorHAnsi"/>
          <w:bCs/>
          <w:lang w:eastAsia="zh-CN"/>
        </w:rPr>
        <w:t xml:space="preserve">is </w:t>
      </w:r>
      <w:r w:rsidRPr="00FF3149">
        <w:rPr>
          <w:rFonts w:asciiTheme="minorHAnsi" w:eastAsia="STZhongsong" w:hAnsiTheme="minorHAnsi" w:cstheme="minorHAnsi"/>
          <w:bCs/>
          <w:lang w:eastAsia="zh-CN"/>
        </w:rPr>
        <w:t xml:space="preserve">created, read, shared, </w:t>
      </w:r>
      <w:proofErr w:type="gramStart"/>
      <w:r w:rsidRPr="00FF3149">
        <w:rPr>
          <w:rFonts w:asciiTheme="minorHAnsi" w:eastAsia="STZhongsong" w:hAnsiTheme="minorHAnsi" w:cstheme="minorHAnsi"/>
          <w:bCs/>
          <w:lang w:eastAsia="zh-CN"/>
        </w:rPr>
        <w:t>stored</w:t>
      </w:r>
      <w:proofErr w:type="gramEnd"/>
      <w:r w:rsidRPr="00FF3149">
        <w:rPr>
          <w:rFonts w:asciiTheme="minorHAnsi" w:eastAsia="STZhongsong" w:hAnsiTheme="minorHAnsi" w:cstheme="minorHAnsi"/>
          <w:bCs/>
          <w:lang w:eastAsia="zh-CN"/>
        </w:rPr>
        <w:t xml:space="preserve"> and destroyed in a manner that is compliant with JSP 441 and Local Standing Orders or Instructions.</w:t>
      </w:r>
    </w:p>
    <w:p w14:paraId="73396C9A" w14:textId="77777777" w:rsidR="007C2487" w:rsidRPr="00826690" w:rsidRDefault="002E0C76" w:rsidP="00826690">
      <w:pPr>
        <w:pStyle w:val="Heading1"/>
        <w:numPr>
          <w:ilvl w:val="0"/>
          <w:numId w:val="4"/>
        </w:numPr>
        <w:spacing w:after="160"/>
        <w:ind w:left="709" w:hanging="709"/>
        <w:rPr>
          <w:rFonts w:asciiTheme="minorHAnsi" w:hAnsiTheme="minorHAnsi" w:cstheme="minorHAnsi"/>
        </w:rPr>
      </w:pPr>
      <w:bookmarkStart w:id="35" w:name="_Toc104459991"/>
      <w:bookmarkStart w:id="36" w:name="_Toc112330489"/>
      <w:r w:rsidRPr="00826690">
        <w:rPr>
          <w:rFonts w:asciiTheme="minorHAnsi" w:hAnsiTheme="minorHAnsi" w:cstheme="minorHAnsi"/>
        </w:rPr>
        <w:t>GOVERNMENT FURNISHED SUPPLIES</w:t>
      </w:r>
      <w:bookmarkEnd w:id="35"/>
      <w:bookmarkEnd w:id="36"/>
    </w:p>
    <w:p w14:paraId="7D083FE3" w14:textId="77777777" w:rsidR="007C2487" w:rsidRPr="00826690" w:rsidRDefault="002E0C76" w:rsidP="00826690">
      <w:pPr>
        <w:numPr>
          <w:ilvl w:val="1"/>
          <w:numId w:val="4"/>
        </w:numPr>
        <w:ind w:left="709" w:hanging="709"/>
        <w:jc w:val="both"/>
        <w:rPr>
          <w:rFonts w:asciiTheme="minorHAnsi" w:eastAsia="STZhongsong" w:hAnsiTheme="minorHAnsi" w:cstheme="minorHAnsi"/>
          <w:lang w:eastAsia="zh-CN"/>
        </w:rPr>
      </w:pPr>
      <w:r w:rsidRPr="00826690">
        <w:rPr>
          <w:rFonts w:asciiTheme="minorHAnsi" w:eastAsia="STZhongsong" w:hAnsiTheme="minorHAnsi" w:cstheme="minorHAnsi"/>
          <w:lang w:eastAsia="zh-CN"/>
        </w:rPr>
        <w:t>To enable the delivery of the capability the following will be provided by the MoD:</w:t>
      </w:r>
    </w:p>
    <w:p w14:paraId="4087CFB1" w14:textId="77777777" w:rsidR="007C2487" w:rsidRPr="00826690" w:rsidRDefault="002E0C76" w:rsidP="00826690">
      <w:pPr>
        <w:numPr>
          <w:ilvl w:val="2"/>
          <w:numId w:val="4"/>
        </w:numPr>
        <w:ind w:left="1701" w:hanging="992"/>
        <w:jc w:val="both"/>
        <w:rPr>
          <w:rFonts w:asciiTheme="minorHAnsi" w:eastAsia="STZhongsong" w:hAnsiTheme="minorHAnsi" w:cstheme="minorHAnsi"/>
          <w:lang w:eastAsia="zh-CN"/>
        </w:rPr>
      </w:pPr>
      <w:r w:rsidRPr="00826690">
        <w:rPr>
          <w:rFonts w:asciiTheme="minorHAnsi" w:eastAsia="STZhongsong" w:hAnsiTheme="minorHAnsi" w:cstheme="minorHAnsi"/>
          <w:lang w:eastAsia="zh-CN"/>
        </w:rPr>
        <w:t>Access to Military Sites,</w:t>
      </w:r>
    </w:p>
    <w:p w14:paraId="35378641" w14:textId="5ECB7028" w:rsidR="007C2487" w:rsidRPr="00ED2C5D" w:rsidRDefault="002E0C76" w:rsidP="00826690">
      <w:pPr>
        <w:numPr>
          <w:ilvl w:val="2"/>
          <w:numId w:val="4"/>
        </w:numPr>
        <w:ind w:left="1701" w:hanging="992"/>
        <w:jc w:val="both"/>
        <w:rPr>
          <w:rFonts w:asciiTheme="minorHAnsi" w:hAnsiTheme="minorHAnsi" w:cstheme="minorHAnsi"/>
        </w:rPr>
      </w:pPr>
      <w:r w:rsidRPr="00826690">
        <w:rPr>
          <w:rFonts w:asciiTheme="minorHAnsi" w:eastAsia="STZhongsong" w:hAnsiTheme="minorHAnsi" w:cstheme="minorHAnsi"/>
          <w:lang w:eastAsia="zh-CN"/>
        </w:rPr>
        <w:t>Access to</w:t>
      </w:r>
      <w:r w:rsidR="0058745F" w:rsidRPr="00826690">
        <w:rPr>
          <w:rFonts w:asciiTheme="minorHAnsi" w:eastAsia="STZhongsong" w:hAnsiTheme="minorHAnsi" w:cstheme="minorHAnsi"/>
          <w:lang w:eastAsia="zh-CN"/>
        </w:rPr>
        <w:t xml:space="preserve"> MOD Laptops and</w:t>
      </w:r>
      <w:r w:rsidRPr="00826690">
        <w:rPr>
          <w:rFonts w:asciiTheme="minorHAnsi" w:eastAsia="STZhongsong" w:hAnsiTheme="minorHAnsi" w:cstheme="minorHAnsi"/>
          <w:lang w:eastAsia="zh-CN"/>
        </w:rPr>
        <w:t xml:space="preserve"> </w:t>
      </w:r>
      <w:proofErr w:type="spellStart"/>
      <w:r w:rsidRPr="00826690">
        <w:rPr>
          <w:rFonts w:asciiTheme="minorHAnsi" w:eastAsia="STZhongsong" w:hAnsiTheme="minorHAnsi" w:cstheme="minorHAnsi"/>
          <w:lang w:eastAsia="zh-CN"/>
        </w:rPr>
        <w:t>MODnet</w:t>
      </w:r>
      <w:proofErr w:type="spellEnd"/>
      <w:r w:rsidRPr="00826690">
        <w:rPr>
          <w:rFonts w:asciiTheme="minorHAnsi" w:eastAsia="STZhongsong" w:hAnsiTheme="minorHAnsi" w:cstheme="minorHAnsi"/>
          <w:lang w:eastAsia="zh-CN"/>
        </w:rPr>
        <w:t>.</w:t>
      </w:r>
    </w:p>
    <w:p w14:paraId="3D9AA3F2" w14:textId="6939E385" w:rsidR="00ED2C5D" w:rsidRPr="00ED2C5D" w:rsidRDefault="00ED2C5D" w:rsidP="00ED2C5D">
      <w:pPr>
        <w:numPr>
          <w:ilvl w:val="1"/>
          <w:numId w:val="4"/>
        </w:numPr>
        <w:ind w:left="709" w:hanging="709"/>
        <w:jc w:val="both"/>
        <w:rPr>
          <w:rFonts w:asciiTheme="minorHAnsi" w:hAnsiTheme="minorHAnsi" w:cstheme="minorHAnsi"/>
        </w:rPr>
      </w:pPr>
      <w:r w:rsidRPr="00ED2C5D">
        <w:rPr>
          <w:rFonts w:asciiTheme="minorHAnsi" w:hAnsiTheme="minorHAnsi" w:cstheme="minorHAnsi"/>
        </w:rPr>
        <w:t>The</w:t>
      </w:r>
      <w:r>
        <w:rPr>
          <w:rFonts w:asciiTheme="minorHAnsi" w:hAnsiTheme="minorHAnsi" w:cstheme="minorHAnsi"/>
        </w:rPr>
        <w:t xml:space="preserve"> Supplier</w:t>
      </w:r>
      <w:r w:rsidRPr="00ED2C5D">
        <w:rPr>
          <w:rFonts w:asciiTheme="minorHAnsi" w:hAnsiTheme="minorHAnsi" w:cstheme="minorHAnsi"/>
        </w:rPr>
        <w:t xml:space="preserve"> shall be responsible and accountable for all GFE/X that is issued to them</w:t>
      </w:r>
      <w:r>
        <w:rPr>
          <w:rFonts w:asciiTheme="minorHAnsi" w:hAnsiTheme="minorHAnsi" w:cstheme="minorHAnsi"/>
        </w:rPr>
        <w:t xml:space="preserve"> as per </w:t>
      </w:r>
      <w:r w:rsidRPr="00ED2C5D">
        <w:rPr>
          <w:rFonts w:asciiTheme="minorHAnsi" w:hAnsiTheme="minorHAnsi" w:cstheme="minorHAnsi"/>
        </w:rPr>
        <w:t>Annex B to</w:t>
      </w:r>
      <w:r>
        <w:rPr>
          <w:rFonts w:asciiTheme="minorHAnsi" w:hAnsiTheme="minorHAnsi" w:cstheme="minorHAnsi"/>
        </w:rPr>
        <w:t xml:space="preserve"> </w:t>
      </w:r>
      <w:r w:rsidRPr="00ED2C5D">
        <w:rPr>
          <w:rFonts w:asciiTheme="minorHAnsi" w:hAnsiTheme="minorHAnsi" w:cstheme="minorHAnsi"/>
        </w:rPr>
        <w:t>SC2 Schedule 2</w:t>
      </w:r>
      <w:r>
        <w:rPr>
          <w:rFonts w:asciiTheme="minorHAnsi" w:hAnsiTheme="minorHAnsi" w:cstheme="minorHAnsi"/>
        </w:rPr>
        <w:t xml:space="preserve"> (</w:t>
      </w:r>
      <w:r w:rsidRPr="00ED2C5D">
        <w:rPr>
          <w:rFonts w:asciiTheme="minorHAnsi" w:hAnsiTheme="minorHAnsi" w:cstheme="minorHAnsi"/>
        </w:rPr>
        <w:t>Authority Dependencies</w:t>
      </w:r>
      <w:r>
        <w:rPr>
          <w:rFonts w:asciiTheme="minorHAnsi" w:hAnsiTheme="minorHAnsi" w:cstheme="minorHAnsi"/>
        </w:rPr>
        <w:t>)</w:t>
      </w:r>
      <w:r w:rsidRPr="00ED2C5D">
        <w:rPr>
          <w:rFonts w:asciiTheme="minorHAnsi" w:hAnsiTheme="minorHAnsi" w:cstheme="minorHAnsi"/>
        </w:rPr>
        <w:t>.</w:t>
      </w:r>
    </w:p>
    <w:p w14:paraId="2E2633FF" w14:textId="77777777" w:rsidR="007C2487" w:rsidRPr="00826690" w:rsidRDefault="002E0C76" w:rsidP="00826690">
      <w:pPr>
        <w:pStyle w:val="Heading1"/>
        <w:numPr>
          <w:ilvl w:val="0"/>
          <w:numId w:val="4"/>
        </w:numPr>
        <w:spacing w:after="160"/>
        <w:ind w:left="709" w:hanging="709"/>
        <w:rPr>
          <w:rFonts w:asciiTheme="minorHAnsi" w:hAnsiTheme="minorHAnsi" w:cstheme="minorHAnsi"/>
        </w:rPr>
      </w:pPr>
      <w:bookmarkStart w:id="37" w:name="_Toc112330490"/>
      <w:r w:rsidRPr="00826690">
        <w:rPr>
          <w:rFonts w:asciiTheme="minorHAnsi" w:hAnsiTheme="minorHAnsi" w:cstheme="minorHAnsi"/>
        </w:rPr>
        <w:lastRenderedPageBreak/>
        <w:t>IR35</w:t>
      </w:r>
      <w:bookmarkEnd w:id="37"/>
    </w:p>
    <w:p w14:paraId="0AA582F3" w14:textId="07CAADB9" w:rsidR="007C2487" w:rsidRPr="00826690" w:rsidRDefault="002E0C76" w:rsidP="00826690">
      <w:pPr>
        <w:ind w:left="709" w:hanging="709"/>
        <w:jc w:val="both"/>
        <w:rPr>
          <w:rFonts w:asciiTheme="minorHAnsi" w:hAnsiTheme="minorHAnsi" w:cstheme="minorHAnsi"/>
          <w:lang w:eastAsia="zh-CN"/>
        </w:rPr>
      </w:pPr>
      <w:r w:rsidRPr="00826690">
        <w:rPr>
          <w:rFonts w:asciiTheme="minorHAnsi" w:hAnsiTheme="minorHAnsi" w:cstheme="minorHAnsi"/>
          <w:lang w:eastAsia="zh-CN"/>
        </w:rPr>
        <w:t>1</w:t>
      </w:r>
      <w:r w:rsidR="00826690" w:rsidRPr="00826690">
        <w:rPr>
          <w:rFonts w:asciiTheme="minorHAnsi" w:hAnsiTheme="minorHAnsi" w:cstheme="minorHAnsi"/>
          <w:lang w:eastAsia="zh-CN"/>
        </w:rPr>
        <w:t>5</w:t>
      </w:r>
      <w:r w:rsidRPr="00826690">
        <w:rPr>
          <w:rFonts w:asciiTheme="minorHAnsi" w:hAnsiTheme="minorHAnsi" w:cstheme="minorHAnsi"/>
          <w:lang w:eastAsia="zh-CN"/>
        </w:rPr>
        <w:t xml:space="preserve">.1 </w:t>
      </w:r>
      <w:r w:rsidRPr="00826690">
        <w:rPr>
          <w:rFonts w:asciiTheme="minorHAnsi" w:hAnsiTheme="minorHAnsi" w:cstheme="minorHAnsi"/>
          <w:lang w:eastAsia="zh-CN"/>
        </w:rPr>
        <w:tab/>
        <w:t>The MOD is required to inform the Supplier whether the off-payroll rules apply or not, and in so doing is also required to provide the reasons for reaching the outcome.  </w:t>
      </w:r>
    </w:p>
    <w:p w14:paraId="0A9D586E" w14:textId="01F6180B" w:rsidR="007C2487" w:rsidRPr="00826690" w:rsidRDefault="002E0C76" w:rsidP="00826690">
      <w:pPr>
        <w:ind w:left="709" w:hanging="709"/>
        <w:jc w:val="both"/>
        <w:rPr>
          <w:rFonts w:asciiTheme="minorHAnsi" w:hAnsiTheme="minorHAnsi" w:cstheme="minorHAnsi"/>
          <w:lang w:eastAsia="zh-CN"/>
        </w:rPr>
      </w:pPr>
      <w:r w:rsidRPr="00826690">
        <w:rPr>
          <w:rFonts w:asciiTheme="minorHAnsi" w:hAnsiTheme="minorHAnsi" w:cstheme="minorHAnsi"/>
          <w:lang w:eastAsia="zh-CN"/>
        </w:rPr>
        <w:t>1</w:t>
      </w:r>
      <w:r w:rsidR="00826690" w:rsidRPr="00826690">
        <w:rPr>
          <w:rFonts w:asciiTheme="minorHAnsi" w:hAnsiTheme="minorHAnsi" w:cstheme="minorHAnsi"/>
          <w:lang w:eastAsia="zh-CN"/>
        </w:rPr>
        <w:t>5</w:t>
      </w:r>
      <w:r w:rsidRPr="00826690">
        <w:rPr>
          <w:rFonts w:asciiTheme="minorHAnsi" w:hAnsiTheme="minorHAnsi" w:cstheme="minorHAnsi"/>
          <w:lang w:eastAsia="zh-CN"/>
        </w:rPr>
        <w:t>.2</w:t>
      </w:r>
      <w:r w:rsidRPr="00826690">
        <w:rPr>
          <w:rFonts w:asciiTheme="minorHAnsi" w:hAnsiTheme="minorHAnsi" w:cstheme="minorHAnsi"/>
          <w:lang w:eastAsia="zh-CN"/>
        </w:rPr>
        <w:tab/>
        <w:t>We have assessed that under the Intermediaries legislation, the </w:t>
      </w:r>
      <w:proofErr w:type="gramStart"/>
      <w:r w:rsidRPr="00826690">
        <w:rPr>
          <w:rFonts w:asciiTheme="minorHAnsi" w:hAnsiTheme="minorHAnsi" w:cstheme="minorHAnsi"/>
          <w:lang w:eastAsia="zh-CN"/>
        </w:rPr>
        <w:t>off-payroll</w:t>
      </w:r>
      <w:proofErr w:type="gramEnd"/>
      <w:r w:rsidRPr="00826690">
        <w:rPr>
          <w:rFonts w:asciiTheme="minorHAnsi" w:hAnsiTheme="minorHAnsi" w:cstheme="minorHAnsi"/>
          <w:lang w:eastAsia="zh-CN"/>
        </w:rPr>
        <w:t> working rules do not apply to this engagement.  </w:t>
      </w:r>
    </w:p>
    <w:p w14:paraId="46803B0A" w14:textId="45C77733" w:rsidR="004D29B3" w:rsidRDefault="002E0C76" w:rsidP="00E24BF6">
      <w:pPr>
        <w:ind w:left="709" w:hanging="709"/>
        <w:jc w:val="both"/>
        <w:rPr>
          <w:lang w:eastAsia="zh-CN"/>
        </w:rPr>
      </w:pPr>
      <w:r w:rsidRPr="00826690">
        <w:rPr>
          <w:rFonts w:asciiTheme="minorHAnsi" w:hAnsiTheme="minorHAnsi" w:cstheme="minorHAnsi"/>
          <w:lang w:eastAsia="zh-CN"/>
        </w:rPr>
        <w:t>1</w:t>
      </w:r>
      <w:r w:rsidR="00826690" w:rsidRPr="00826690">
        <w:rPr>
          <w:rFonts w:asciiTheme="minorHAnsi" w:hAnsiTheme="minorHAnsi" w:cstheme="minorHAnsi"/>
          <w:lang w:eastAsia="zh-CN"/>
        </w:rPr>
        <w:t>5</w:t>
      </w:r>
      <w:r w:rsidRPr="00826690">
        <w:rPr>
          <w:rFonts w:asciiTheme="minorHAnsi" w:hAnsiTheme="minorHAnsi" w:cstheme="minorHAnsi"/>
          <w:lang w:eastAsia="zh-CN"/>
        </w:rPr>
        <w:t>.3</w:t>
      </w:r>
      <w:r w:rsidRPr="00826690">
        <w:rPr>
          <w:rFonts w:asciiTheme="minorHAnsi" w:hAnsiTheme="minorHAnsi" w:cstheme="minorHAnsi"/>
          <w:lang w:eastAsia="zh-CN"/>
        </w:rPr>
        <w:tab/>
        <w:t>This decision has been derived</w:t>
      </w:r>
      <w:r>
        <w:rPr>
          <w:lang w:eastAsia="zh-CN"/>
        </w:rPr>
        <w:t xml:space="preserve"> by assessing the requirement in full utilising the following criteria</w:t>
      </w:r>
      <w:r w:rsidR="00124719">
        <w:rPr>
          <w:lang w:eastAsia="zh-CN"/>
        </w:rPr>
        <w:t xml:space="preserve"> at table </w:t>
      </w:r>
      <w:r w:rsidR="004D29B3">
        <w:rPr>
          <w:lang w:eastAsia="zh-CN"/>
        </w:rPr>
        <w:t>3</w:t>
      </w:r>
      <w:r>
        <w:rPr>
          <w:lang w:eastAsia="zh-CN"/>
        </w:rPr>
        <w:t>:  </w:t>
      </w:r>
    </w:p>
    <w:tbl>
      <w:tblPr>
        <w:tblW w:w="8355" w:type="dxa"/>
        <w:tblInd w:w="690" w:type="dxa"/>
        <w:tblCellMar>
          <w:left w:w="10" w:type="dxa"/>
          <w:right w:w="10" w:type="dxa"/>
        </w:tblCellMar>
        <w:tblLook w:val="04A0" w:firstRow="1" w:lastRow="0" w:firstColumn="1" w:lastColumn="0" w:noHBand="0" w:noVBand="1"/>
      </w:tblPr>
      <w:tblGrid>
        <w:gridCol w:w="452"/>
        <w:gridCol w:w="3157"/>
        <w:gridCol w:w="4746"/>
      </w:tblGrid>
      <w:tr w:rsidR="007C2487" w14:paraId="455F2CA9" w14:textId="77777777">
        <w:trPr>
          <w:trHeight w:val="424"/>
        </w:trPr>
        <w:tc>
          <w:tcPr>
            <w:tcW w:w="3609" w:type="dxa"/>
            <w:gridSpan w:val="2"/>
            <w:tcBorders>
              <w:top w:val="single" w:sz="6" w:space="0" w:color="000000"/>
              <w:left w:val="single" w:sz="6" w:space="0" w:color="000000"/>
              <w:bottom w:val="single" w:sz="6" w:space="0" w:color="000000"/>
              <w:right w:val="single" w:sz="6" w:space="0" w:color="000000"/>
            </w:tcBorders>
            <w:shd w:val="clear" w:color="auto" w:fill="BDD6EE"/>
            <w:tcMar>
              <w:top w:w="0" w:type="dxa"/>
              <w:left w:w="0" w:type="dxa"/>
              <w:bottom w:w="0" w:type="dxa"/>
              <w:right w:w="0" w:type="dxa"/>
            </w:tcMar>
            <w:vAlign w:val="center"/>
          </w:tcPr>
          <w:p w14:paraId="73A0A96C" w14:textId="77777777" w:rsidR="007C2487" w:rsidRDefault="002E0C76">
            <w:pPr>
              <w:spacing w:before="40" w:after="40"/>
              <w:jc w:val="center"/>
              <w:textAlignment w:val="baseline"/>
            </w:pPr>
            <w:r>
              <w:rPr>
                <w:rFonts w:eastAsia="Times New Roman" w:cs="Calibri"/>
                <w:b/>
                <w:bCs/>
                <w:color w:val="000000"/>
                <w:lang w:eastAsia="en-GB"/>
              </w:rPr>
              <w:t>Consideration</w:t>
            </w:r>
            <w:r>
              <w:rPr>
                <w:rFonts w:eastAsia="Times New Roman" w:cs="Calibri"/>
                <w:color w:val="000000"/>
                <w:lang w:eastAsia="en-GB"/>
              </w:rPr>
              <w:t> </w:t>
            </w:r>
          </w:p>
        </w:tc>
        <w:tc>
          <w:tcPr>
            <w:tcW w:w="4746" w:type="dxa"/>
            <w:tcBorders>
              <w:top w:val="single" w:sz="6" w:space="0" w:color="000000"/>
              <w:left w:val="single" w:sz="6" w:space="0" w:color="000000"/>
              <w:bottom w:val="single" w:sz="6" w:space="0" w:color="000000"/>
              <w:right w:val="single" w:sz="6" w:space="0" w:color="000000"/>
            </w:tcBorders>
            <w:shd w:val="clear" w:color="auto" w:fill="BDD6EE"/>
            <w:tcMar>
              <w:top w:w="0" w:type="dxa"/>
              <w:left w:w="0" w:type="dxa"/>
              <w:bottom w:w="0" w:type="dxa"/>
              <w:right w:w="0" w:type="dxa"/>
            </w:tcMar>
            <w:vAlign w:val="center"/>
          </w:tcPr>
          <w:p w14:paraId="75908C31" w14:textId="77777777" w:rsidR="007C2487" w:rsidRDefault="002E0C76">
            <w:pPr>
              <w:spacing w:before="40" w:after="40"/>
              <w:jc w:val="center"/>
              <w:textAlignment w:val="baseline"/>
            </w:pPr>
            <w:r>
              <w:rPr>
                <w:rFonts w:eastAsia="Times New Roman" w:cs="Calibri"/>
                <w:b/>
                <w:bCs/>
                <w:color w:val="000000"/>
                <w:lang w:eastAsia="en-GB"/>
              </w:rPr>
              <w:t>Indicators of a supply of a managed service</w:t>
            </w:r>
            <w:r>
              <w:rPr>
                <w:rFonts w:eastAsia="Times New Roman" w:cs="Calibri"/>
                <w:color w:val="000000"/>
                <w:lang w:eastAsia="en-GB"/>
              </w:rPr>
              <w:t> </w:t>
            </w:r>
          </w:p>
        </w:tc>
      </w:tr>
      <w:tr w:rsidR="007C2487" w14:paraId="2354088F" w14:textId="77777777">
        <w:tc>
          <w:tcPr>
            <w:tcW w:w="45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F4128C8" w14:textId="77777777" w:rsidR="007C2487" w:rsidRDefault="002E0C76">
            <w:pPr>
              <w:spacing w:before="40" w:after="40"/>
              <w:ind w:left="135" w:right="165"/>
              <w:textAlignment w:val="baseline"/>
            </w:pPr>
            <w:r>
              <w:rPr>
                <w:rFonts w:eastAsia="Times New Roman" w:cs="Calibri"/>
                <w:color w:val="000000"/>
                <w:lang w:eastAsia="en-GB"/>
              </w:rPr>
              <w:t>1</w:t>
            </w:r>
          </w:p>
        </w:tc>
        <w:tc>
          <w:tcPr>
            <w:tcW w:w="315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1C6753F" w14:textId="77777777" w:rsidR="007C2487" w:rsidRDefault="002E0C76">
            <w:pPr>
              <w:spacing w:before="40" w:after="40"/>
              <w:ind w:left="91"/>
              <w:textAlignment w:val="baseline"/>
            </w:pPr>
            <w:r>
              <w:rPr>
                <w:rFonts w:eastAsia="Times New Roman" w:cs="Calibri"/>
                <w:color w:val="000000"/>
                <w:lang w:eastAsia="en-GB"/>
              </w:rPr>
              <w:t>How are the deliverables articulated?  </w:t>
            </w:r>
          </w:p>
        </w:tc>
        <w:tc>
          <w:tcPr>
            <w:tcW w:w="4746"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58CBDA4" w14:textId="77777777" w:rsidR="007C2487" w:rsidRDefault="002E0C76">
            <w:pPr>
              <w:spacing w:before="40" w:after="40"/>
              <w:ind w:left="91"/>
              <w:textAlignment w:val="baseline"/>
            </w:pPr>
            <w:r>
              <w:rPr>
                <w:rFonts w:eastAsia="Times New Roman" w:cs="Calibri"/>
                <w:color w:val="000000"/>
                <w:lang w:eastAsia="en-GB"/>
              </w:rPr>
              <w:t>Deliverables will be outcome based with the detail of the outcomes clearly specified in the contract with the Supplier.    </w:t>
            </w:r>
          </w:p>
        </w:tc>
      </w:tr>
      <w:tr w:rsidR="007C2487" w14:paraId="0DA405CB" w14:textId="77777777">
        <w:trPr>
          <w:trHeight w:val="480"/>
        </w:trPr>
        <w:tc>
          <w:tcPr>
            <w:tcW w:w="452"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9D91077" w14:textId="77777777" w:rsidR="007C2487" w:rsidRDefault="002E0C76">
            <w:pPr>
              <w:spacing w:before="40" w:after="40"/>
              <w:ind w:left="135" w:right="165"/>
              <w:textAlignment w:val="baseline"/>
            </w:pPr>
            <w:r>
              <w:rPr>
                <w:rFonts w:eastAsia="Times New Roman" w:cs="Calibri"/>
                <w:color w:val="000000"/>
                <w:lang w:eastAsia="en-GB"/>
              </w:rPr>
              <w:t>2</w:t>
            </w:r>
          </w:p>
        </w:tc>
        <w:tc>
          <w:tcPr>
            <w:tcW w:w="3157"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759A01D" w14:textId="77777777" w:rsidR="007C2487" w:rsidRDefault="002E0C76">
            <w:pPr>
              <w:spacing w:before="40" w:after="40"/>
              <w:ind w:left="91"/>
              <w:textAlignment w:val="baseline"/>
            </w:pPr>
            <w:r>
              <w:rPr>
                <w:rFonts w:eastAsia="Times New Roman" w:cs="Calibri"/>
                <w:color w:val="000000"/>
                <w:lang w:eastAsia="en-GB"/>
              </w:rPr>
              <w:t>Who do you articulate the deliverable to?  </w:t>
            </w:r>
          </w:p>
        </w:tc>
        <w:tc>
          <w:tcPr>
            <w:tcW w:w="4746"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4604E2D" w14:textId="77777777" w:rsidR="007C2487" w:rsidRDefault="002E0C76">
            <w:pPr>
              <w:spacing w:before="40" w:after="40"/>
              <w:ind w:left="91"/>
              <w:textAlignment w:val="baseline"/>
            </w:pPr>
            <w:r>
              <w:rPr>
                <w:rFonts w:eastAsia="Times New Roman" w:cs="Calibri"/>
                <w:color w:val="000000"/>
                <w:lang w:eastAsia="en-GB"/>
              </w:rPr>
              <w:t>Deliverables will be articulated to the Supplier.  The Supplier will tell the worker(s) what is required of them to deliver the contract.   </w:t>
            </w:r>
          </w:p>
        </w:tc>
      </w:tr>
      <w:tr w:rsidR="007C2487" w14:paraId="3DE8151F" w14:textId="77777777">
        <w:trPr>
          <w:trHeight w:val="300"/>
        </w:trPr>
        <w:tc>
          <w:tcPr>
            <w:tcW w:w="452"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87EF05F" w14:textId="77777777" w:rsidR="007C2487" w:rsidRDefault="002E0C76">
            <w:pPr>
              <w:spacing w:before="40" w:after="40"/>
              <w:ind w:left="135" w:right="165"/>
              <w:textAlignment w:val="baseline"/>
            </w:pPr>
            <w:r>
              <w:rPr>
                <w:rFonts w:eastAsia="Times New Roman" w:cs="Calibri"/>
                <w:color w:val="000000"/>
                <w:lang w:eastAsia="en-GB"/>
              </w:rPr>
              <w:t>3</w:t>
            </w:r>
          </w:p>
        </w:tc>
        <w:tc>
          <w:tcPr>
            <w:tcW w:w="3157"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8D84C1E" w14:textId="77777777" w:rsidR="007C2487" w:rsidRDefault="002E0C76">
            <w:pPr>
              <w:spacing w:before="40" w:after="40"/>
              <w:ind w:left="91"/>
              <w:textAlignment w:val="baseline"/>
            </w:pPr>
            <w:r>
              <w:rPr>
                <w:rFonts w:eastAsia="Times New Roman" w:cs="Calibri"/>
                <w:color w:val="000000"/>
                <w:lang w:eastAsia="en-GB"/>
              </w:rPr>
              <w:t>Is the worker under the </w:t>
            </w:r>
            <w:proofErr w:type="gramStart"/>
            <w:r>
              <w:rPr>
                <w:rFonts w:eastAsia="Times New Roman" w:cs="Calibri"/>
                <w:color w:val="000000"/>
                <w:lang w:eastAsia="en-GB"/>
              </w:rPr>
              <w:t>day to day</w:t>
            </w:r>
            <w:proofErr w:type="gramEnd"/>
            <w:r>
              <w:rPr>
                <w:rFonts w:eastAsia="Times New Roman" w:cs="Calibri"/>
                <w:color w:val="000000"/>
                <w:lang w:eastAsia="en-GB"/>
              </w:rPr>
              <w:t> direction or control of MOD or Supplier? </w:t>
            </w:r>
          </w:p>
        </w:tc>
        <w:tc>
          <w:tcPr>
            <w:tcW w:w="4746"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CED1269" w14:textId="77777777" w:rsidR="007C2487" w:rsidRDefault="002E0C76">
            <w:pPr>
              <w:spacing w:before="40" w:after="40"/>
              <w:ind w:left="91"/>
              <w:textAlignment w:val="baseline"/>
            </w:pPr>
            <w:r>
              <w:rPr>
                <w:rFonts w:eastAsia="Times New Roman" w:cs="Calibri"/>
                <w:color w:val="000000"/>
                <w:lang w:eastAsia="en-GB"/>
              </w:rPr>
              <w:t>The worker will be under the </w:t>
            </w:r>
            <w:proofErr w:type="gramStart"/>
            <w:r>
              <w:rPr>
                <w:rFonts w:eastAsia="Times New Roman" w:cs="Calibri"/>
                <w:color w:val="000000"/>
                <w:lang w:eastAsia="en-GB"/>
              </w:rPr>
              <w:t>day to day</w:t>
            </w:r>
            <w:proofErr w:type="gramEnd"/>
            <w:r>
              <w:rPr>
                <w:rFonts w:eastAsia="Times New Roman" w:cs="Calibri"/>
                <w:color w:val="000000"/>
                <w:lang w:eastAsia="en-GB"/>
              </w:rPr>
              <w:t> direction and control of the Supplier.  </w:t>
            </w:r>
          </w:p>
        </w:tc>
      </w:tr>
      <w:tr w:rsidR="007C2487" w14:paraId="6C1AD2ED" w14:textId="77777777">
        <w:trPr>
          <w:trHeight w:val="300"/>
        </w:trPr>
        <w:tc>
          <w:tcPr>
            <w:tcW w:w="452"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B7F0AF9" w14:textId="77777777" w:rsidR="007C2487" w:rsidRDefault="002E0C76">
            <w:pPr>
              <w:spacing w:before="40" w:after="40"/>
              <w:ind w:left="135" w:right="165"/>
              <w:textAlignment w:val="baseline"/>
            </w:pPr>
            <w:r>
              <w:rPr>
                <w:rFonts w:eastAsia="Times New Roman" w:cs="Calibri"/>
                <w:color w:val="000000"/>
                <w:lang w:eastAsia="en-GB"/>
              </w:rPr>
              <w:t>4</w:t>
            </w:r>
          </w:p>
        </w:tc>
        <w:tc>
          <w:tcPr>
            <w:tcW w:w="3157"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3D4BB97" w14:textId="77777777" w:rsidR="007C2487" w:rsidRDefault="002E0C76">
            <w:pPr>
              <w:spacing w:before="40" w:after="40"/>
              <w:ind w:left="91"/>
              <w:textAlignment w:val="baseline"/>
            </w:pPr>
            <w:r>
              <w:rPr>
                <w:rFonts w:eastAsia="Times New Roman" w:cs="Calibri"/>
                <w:color w:val="000000"/>
                <w:lang w:eastAsia="en-GB"/>
              </w:rPr>
              <w:t>Who does MOD go to if there is an issue with the quality of service?  </w:t>
            </w:r>
          </w:p>
        </w:tc>
        <w:tc>
          <w:tcPr>
            <w:tcW w:w="4746"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32D4E1F" w14:textId="77777777" w:rsidR="007C2487" w:rsidRDefault="002E0C76">
            <w:pPr>
              <w:spacing w:before="40" w:after="40"/>
              <w:ind w:left="91"/>
              <w:textAlignment w:val="baseline"/>
            </w:pPr>
            <w:r>
              <w:rPr>
                <w:rFonts w:eastAsia="Times New Roman" w:cs="Calibri"/>
                <w:color w:val="000000"/>
                <w:lang w:eastAsia="en-GB"/>
              </w:rPr>
              <w:t>MOD will raise quality or non-delivery issues with the Supplier not the resource.  </w:t>
            </w:r>
          </w:p>
        </w:tc>
      </w:tr>
      <w:tr w:rsidR="007C2487" w14:paraId="7C47C31C" w14:textId="77777777">
        <w:tc>
          <w:tcPr>
            <w:tcW w:w="452"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C1ABBDE" w14:textId="77777777" w:rsidR="007C2487" w:rsidRDefault="002E0C76">
            <w:pPr>
              <w:spacing w:before="40" w:after="40"/>
              <w:ind w:left="135" w:right="165"/>
              <w:textAlignment w:val="baseline"/>
            </w:pPr>
            <w:r>
              <w:rPr>
                <w:rFonts w:eastAsia="Times New Roman" w:cs="Calibri"/>
                <w:color w:val="000000"/>
                <w:lang w:eastAsia="en-GB"/>
              </w:rPr>
              <w:t>5</w:t>
            </w:r>
          </w:p>
        </w:tc>
        <w:tc>
          <w:tcPr>
            <w:tcW w:w="3157"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8A6118A" w14:textId="77777777" w:rsidR="007C2487" w:rsidRDefault="002E0C76">
            <w:pPr>
              <w:spacing w:before="40" w:after="40"/>
              <w:ind w:left="91"/>
              <w:textAlignment w:val="baseline"/>
            </w:pPr>
            <w:r>
              <w:rPr>
                <w:rFonts w:eastAsia="Times New Roman" w:cs="Calibri"/>
                <w:color w:val="000000"/>
                <w:lang w:eastAsia="en-GB"/>
              </w:rPr>
              <w:t>Where does the risk of failure sit?  </w:t>
            </w:r>
          </w:p>
        </w:tc>
        <w:tc>
          <w:tcPr>
            <w:tcW w:w="4746"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5FB7F19" w14:textId="77777777" w:rsidR="007C2487" w:rsidRDefault="002E0C76">
            <w:pPr>
              <w:spacing w:before="40" w:after="40"/>
              <w:ind w:left="91"/>
              <w:textAlignment w:val="baseline"/>
            </w:pPr>
            <w:r>
              <w:rPr>
                <w:rFonts w:eastAsia="Times New Roman" w:cs="Calibri"/>
                <w:color w:val="000000"/>
                <w:lang w:eastAsia="en-GB"/>
              </w:rPr>
              <w:t>The Supplier will be held accountable for non-delivery of the requirements specified in the contract.  </w:t>
            </w:r>
          </w:p>
        </w:tc>
      </w:tr>
      <w:tr w:rsidR="007C2487" w14:paraId="5FDE4593" w14:textId="77777777">
        <w:tc>
          <w:tcPr>
            <w:tcW w:w="452"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81511FD" w14:textId="77777777" w:rsidR="007C2487" w:rsidRDefault="002E0C76">
            <w:pPr>
              <w:spacing w:before="40" w:after="40"/>
              <w:ind w:left="135" w:right="165"/>
              <w:textAlignment w:val="baseline"/>
            </w:pPr>
            <w:r>
              <w:rPr>
                <w:rFonts w:eastAsia="Times New Roman" w:cs="Calibri"/>
                <w:color w:val="000000"/>
                <w:lang w:eastAsia="en-GB"/>
              </w:rPr>
              <w:t>6</w:t>
            </w:r>
          </w:p>
        </w:tc>
        <w:tc>
          <w:tcPr>
            <w:tcW w:w="3157"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B600AD4" w14:textId="77777777" w:rsidR="007C2487" w:rsidRDefault="002E0C76">
            <w:pPr>
              <w:spacing w:before="40" w:after="40"/>
              <w:ind w:left="91"/>
              <w:textAlignment w:val="baseline"/>
            </w:pPr>
            <w:r>
              <w:rPr>
                <w:rFonts w:eastAsia="Times New Roman" w:cs="Calibri"/>
                <w:color w:val="000000"/>
                <w:lang w:eastAsia="en-GB"/>
              </w:rPr>
              <w:t>Are you looking to hire a specific worker?  </w:t>
            </w:r>
          </w:p>
        </w:tc>
        <w:tc>
          <w:tcPr>
            <w:tcW w:w="4746"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E8C1A6A" w14:textId="77777777" w:rsidR="007C2487" w:rsidRDefault="002E0C76">
            <w:pPr>
              <w:spacing w:before="40" w:after="40"/>
              <w:ind w:left="91"/>
              <w:textAlignment w:val="baseline"/>
            </w:pPr>
            <w:r>
              <w:rPr>
                <w:rFonts w:eastAsia="Times New Roman" w:cs="Calibri"/>
                <w:color w:val="000000"/>
                <w:lang w:eastAsia="en-GB"/>
              </w:rPr>
              <w:t>MOD will not care who the Supplier sends to perform the work / deliver the service as long as the appropriate SQEP resource is provided.  </w:t>
            </w:r>
          </w:p>
        </w:tc>
      </w:tr>
    </w:tbl>
    <w:p w14:paraId="6D1FF5FC" w14:textId="548C814B" w:rsidR="007C2487" w:rsidRDefault="002E0C76">
      <w:pPr>
        <w:pStyle w:val="Caption"/>
        <w:spacing w:before="120" w:after="240"/>
        <w:ind w:left="709"/>
        <w:jc w:val="center"/>
        <w:rPr>
          <w:color w:val="000000"/>
          <w:sz w:val="22"/>
          <w:szCs w:val="22"/>
        </w:rPr>
      </w:pPr>
      <w:r>
        <w:rPr>
          <w:color w:val="000000"/>
          <w:sz w:val="22"/>
          <w:szCs w:val="22"/>
        </w:rPr>
        <w:t xml:space="preserve">Table </w:t>
      </w:r>
      <w:r w:rsidR="004D29B3">
        <w:rPr>
          <w:color w:val="000000"/>
          <w:sz w:val="22"/>
          <w:szCs w:val="22"/>
        </w:rPr>
        <w:t>3</w:t>
      </w:r>
      <w:r>
        <w:rPr>
          <w:color w:val="000000"/>
          <w:sz w:val="22"/>
          <w:szCs w:val="22"/>
        </w:rPr>
        <w:t xml:space="preserve"> – LTT&amp;RC IR35 status determining criteria</w:t>
      </w:r>
    </w:p>
    <w:p w14:paraId="7E2CBFBA" w14:textId="77777777" w:rsidR="007C2487" w:rsidRPr="00826690" w:rsidRDefault="002E0C76" w:rsidP="00826690">
      <w:pPr>
        <w:pStyle w:val="Heading1"/>
        <w:numPr>
          <w:ilvl w:val="0"/>
          <w:numId w:val="4"/>
        </w:numPr>
        <w:spacing w:after="160"/>
        <w:ind w:left="709" w:hanging="709"/>
        <w:rPr>
          <w:rFonts w:asciiTheme="minorHAnsi" w:hAnsiTheme="minorHAnsi" w:cstheme="minorHAnsi"/>
        </w:rPr>
      </w:pPr>
      <w:bookmarkStart w:id="38" w:name="_Toc112330491"/>
      <w:r w:rsidRPr="00826690">
        <w:rPr>
          <w:rFonts w:asciiTheme="minorHAnsi" w:hAnsiTheme="minorHAnsi" w:cstheme="minorHAnsi"/>
        </w:rPr>
        <w:t>END OF CONTRACT/EXIT STRATEGY</w:t>
      </w:r>
      <w:bookmarkEnd w:id="38"/>
    </w:p>
    <w:p w14:paraId="15C43417" w14:textId="4499096F" w:rsidR="007C2487" w:rsidRPr="00826690" w:rsidRDefault="002E0C76" w:rsidP="00826690">
      <w:pPr>
        <w:ind w:left="709" w:hanging="709"/>
        <w:jc w:val="both"/>
        <w:rPr>
          <w:rFonts w:asciiTheme="minorHAnsi" w:hAnsiTheme="minorHAnsi" w:cstheme="minorHAnsi"/>
          <w:lang w:eastAsia="zh-CN"/>
        </w:rPr>
      </w:pPr>
      <w:r w:rsidRPr="00826690">
        <w:rPr>
          <w:rFonts w:asciiTheme="minorHAnsi" w:hAnsiTheme="minorHAnsi" w:cstheme="minorHAnsi"/>
          <w:lang w:eastAsia="zh-CN"/>
        </w:rPr>
        <w:t>1</w:t>
      </w:r>
      <w:r w:rsidR="00826690" w:rsidRPr="00826690">
        <w:rPr>
          <w:rFonts w:asciiTheme="minorHAnsi" w:hAnsiTheme="minorHAnsi" w:cstheme="minorHAnsi"/>
          <w:lang w:eastAsia="zh-CN"/>
        </w:rPr>
        <w:t>6</w:t>
      </w:r>
      <w:r w:rsidRPr="00826690">
        <w:rPr>
          <w:rFonts w:asciiTheme="minorHAnsi" w:hAnsiTheme="minorHAnsi" w:cstheme="minorHAnsi"/>
          <w:lang w:eastAsia="zh-CN"/>
        </w:rPr>
        <w:t xml:space="preserve">.1 </w:t>
      </w:r>
      <w:r w:rsidRPr="00826690">
        <w:rPr>
          <w:rFonts w:asciiTheme="minorHAnsi" w:hAnsiTheme="minorHAnsi" w:cstheme="minorHAnsi"/>
          <w:lang w:eastAsia="zh-CN"/>
        </w:rPr>
        <w:tab/>
        <w:t xml:space="preserve">The Authority and the Supplier will agree an exit plan during the Contract period to enable the Supplier Deliverables to be transferred to the Authority ensuring that the Authority has all the documentation required to support and continuously develop the Service with Authority resource or any third party as the Authority requires.  The Supplier will update this plan whenever there are material changes to the Services. </w:t>
      </w:r>
    </w:p>
    <w:p w14:paraId="230F1107" w14:textId="77777777" w:rsidR="007C2487" w:rsidRPr="00826690" w:rsidRDefault="002E0C76" w:rsidP="00826690">
      <w:pPr>
        <w:pStyle w:val="Heading1"/>
        <w:numPr>
          <w:ilvl w:val="0"/>
          <w:numId w:val="4"/>
        </w:numPr>
        <w:spacing w:after="160"/>
        <w:ind w:left="709" w:hanging="709"/>
        <w:rPr>
          <w:rFonts w:asciiTheme="minorHAnsi" w:hAnsiTheme="minorHAnsi" w:cstheme="minorHAnsi"/>
        </w:rPr>
      </w:pPr>
      <w:bookmarkStart w:id="39" w:name="_Toc112330492"/>
      <w:r w:rsidRPr="00826690">
        <w:rPr>
          <w:rFonts w:asciiTheme="minorHAnsi" w:hAnsiTheme="minorHAnsi" w:cstheme="minorHAnsi"/>
        </w:rPr>
        <w:t>CONTINUOUS IMPROVEMENT</w:t>
      </w:r>
      <w:bookmarkEnd w:id="39"/>
    </w:p>
    <w:p w14:paraId="140CF5A3" w14:textId="14DC75BB" w:rsidR="007C2487" w:rsidRPr="00826690" w:rsidRDefault="002E0C76" w:rsidP="00826690">
      <w:pPr>
        <w:ind w:left="709" w:hanging="709"/>
        <w:jc w:val="both"/>
        <w:rPr>
          <w:rFonts w:asciiTheme="minorHAnsi" w:hAnsiTheme="minorHAnsi" w:cstheme="minorHAnsi"/>
          <w:lang w:eastAsia="zh-CN"/>
        </w:rPr>
      </w:pPr>
      <w:r w:rsidRPr="00826690">
        <w:rPr>
          <w:rFonts w:asciiTheme="minorHAnsi" w:hAnsiTheme="minorHAnsi" w:cstheme="minorHAnsi"/>
          <w:lang w:eastAsia="zh-CN"/>
        </w:rPr>
        <w:t>1</w:t>
      </w:r>
      <w:r w:rsidR="00826690">
        <w:rPr>
          <w:rFonts w:asciiTheme="minorHAnsi" w:hAnsiTheme="minorHAnsi" w:cstheme="minorHAnsi"/>
          <w:lang w:eastAsia="zh-CN"/>
        </w:rPr>
        <w:t>7</w:t>
      </w:r>
      <w:r w:rsidRPr="00826690">
        <w:rPr>
          <w:rFonts w:asciiTheme="minorHAnsi" w:hAnsiTheme="minorHAnsi" w:cstheme="minorHAnsi"/>
          <w:lang w:eastAsia="zh-CN"/>
        </w:rPr>
        <w:t>.1</w:t>
      </w:r>
      <w:r w:rsidRPr="00826690">
        <w:rPr>
          <w:rFonts w:asciiTheme="minorHAnsi" w:hAnsiTheme="minorHAnsi" w:cstheme="minorHAnsi"/>
          <w:lang w:eastAsia="zh-CN"/>
        </w:rPr>
        <w:tab/>
        <w:t xml:space="preserve"> The Supplier will be expected to continually improve the way in which the required Services are to be delivered throughout the Contract duration.</w:t>
      </w:r>
    </w:p>
    <w:p w14:paraId="1343756F" w14:textId="24B14608" w:rsidR="007C2487" w:rsidRDefault="002E0C76" w:rsidP="00B033B0">
      <w:pPr>
        <w:ind w:left="709" w:hanging="709"/>
        <w:jc w:val="both"/>
      </w:pPr>
      <w:r w:rsidRPr="00826690">
        <w:rPr>
          <w:rFonts w:asciiTheme="minorHAnsi" w:hAnsiTheme="minorHAnsi" w:cstheme="minorHAnsi"/>
          <w:lang w:eastAsia="zh-CN"/>
        </w:rPr>
        <w:t>1</w:t>
      </w:r>
      <w:r w:rsidR="00826690">
        <w:rPr>
          <w:rFonts w:asciiTheme="minorHAnsi" w:hAnsiTheme="minorHAnsi" w:cstheme="minorHAnsi"/>
          <w:lang w:eastAsia="zh-CN"/>
        </w:rPr>
        <w:t>7</w:t>
      </w:r>
      <w:r w:rsidRPr="00826690">
        <w:rPr>
          <w:rFonts w:asciiTheme="minorHAnsi" w:hAnsiTheme="minorHAnsi" w:cstheme="minorHAnsi"/>
          <w:lang w:eastAsia="zh-CN"/>
        </w:rPr>
        <w:t>.2</w:t>
      </w:r>
      <w:r w:rsidRPr="00826690">
        <w:rPr>
          <w:rFonts w:asciiTheme="minorHAnsi" w:hAnsiTheme="minorHAnsi" w:cstheme="minorHAnsi"/>
          <w:lang w:eastAsia="zh-CN"/>
        </w:rPr>
        <w:tab/>
        <w:t>Changes to the way in which the Services are to be delivered must be brought to the Authority’s attention and</w:t>
      </w:r>
      <w:r>
        <w:rPr>
          <w:lang w:eastAsia="zh-CN"/>
        </w:rPr>
        <w:t xml:space="preserve"> agreed prior to any changes being implemented</w:t>
      </w:r>
      <w:r w:rsidR="00B033B0">
        <w:rPr>
          <w:lang w:eastAsia="zh-CN"/>
        </w:rPr>
        <w:t>.</w:t>
      </w:r>
    </w:p>
    <w:sectPr w:rsidR="007C2487" w:rsidSect="002C157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276" w:left="1440" w:header="624"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E2D4D" w14:textId="77777777" w:rsidR="002E07F1" w:rsidRDefault="002E07F1">
      <w:pPr>
        <w:spacing w:after="0"/>
      </w:pPr>
      <w:r>
        <w:separator/>
      </w:r>
    </w:p>
  </w:endnote>
  <w:endnote w:type="continuationSeparator" w:id="0">
    <w:p w14:paraId="05F08B91" w14:textId="77777777" w:rsidR="002E07F1" w:rsidRDefault="002E07F1">
      <w:pPr>
        <w:spacing w:after="0"/>
      </w:pPr>
      <w:r>
        <w:continuationSeparator/>
      </w:r>
    </w:p>
  </w:endnote>
  <w:endnote w:type="continuationNotice" w:id="1">
    <w:p w14:paraId="07F1C804" w14:textId="77777777" w:rsidR="002E07F1" w:rsidRDefault="002E07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4242" w14:textId="4328EA2E" w:rsidR="00B17ED4" w:rsidRDefault="00B17ED4">
    <w:pPr>
      <w:pStyle w:val="Footer"/>
    </w:pPr>
    <w:r>
      <w:rPr>
        <w:noProof/>
      </w:rPr>
      <mc:AlternateContent>
        <mc:Choice Requires="wps">
          <w:drawing>
            <wp:anchor distT="0" distB="0" distL="0" distR="0" simplePos="0" relativeHeight="251659776" behindDoc="0" locked="0" layoutInCell="1" allowOverlap="1" wp14:anchorId="13ACC7E5" wp14:editId="7FCDAEBA">
              <wp:simplePos x="635" y="635"/>
              <wp:positionH relativeFrom="column">
                <wp:align>center</wp:align>
              </wp:positionH>
              <wp:positionV relativeFrom="paragraph">
                <wp:posOffset>635</wp:posOffset>
              </wp:positionV>
              <wp:extent cx="443865" cy="443865"/>
              <wp:effectExtent l="0" t="0" r="1270" b="8890"/>
              <wp:wrapSquare wrapText="bothSides"/>
              <wp:docPr id="20" name="Text Box 2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68DA3A" w14:textId="4B88AF1F" w:rsidR="00B17ED4" w:rsidRPr="00B17ED4" w:rsidRDefault="00B17ED4">
                          <w:pPr>
                            <w:rPr>
                              <w:rFonts w:ascii="Arial" w:eastAsia="Arial" w:hAnsi="Arial" w:cs="Arial"/>
                              <w:color w:val="000000"/>
                              <w:sz w:val="24"/>
                              <w:szCs w:val="24"/>
                            </w:rPr>
                          </w:pPr>
                          <w:r w:rsidRPr="00B17ED4">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ACC7E5" id="_x0000_t202" coordsize="21600,21600" o:spt="202" path="m,l,21600r21600,l21600,xe">
              <v:stroke joinstyle="miter"/>
              <v:path gradientshapeok="t" o:connecttype="rect"/>
            </v:shapetype>
            <v:shape id="Text Box 20" o:spid="_x0000_s1028" type="#_x0000_t202" alt="OFFICIAL-SENSITIVE COMMERCIAL" style="position:absolute;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IVCdo44AgAAZAQAAA4AAAAAAAAAAAAAAAAALgIA&#10;AGRycy9lMm9Eb2MueG1sUEsBAi0AFAAGAAgAAAAhAISw0yjWAAAAAwEAAA8AAAAAAAAAAAAAAAAA&#10;kgQAAGRycy9kb3ducmV2LnhtbFBLBQYAAAAABAAEAPMAAACVBQAAAAA=&#10;" filled="f" stroked="f">
              <v:textbox style="mso-fit-shape-to-text:t" inset="0,0,0,0">
                <w:txbxContent>
                  <w:p w14:paraId="4268DA3A" w14:textId="4B88AF1F" w:rsidR="00B17ED4" w:rsidRPr="00B17ED4" w:rsidRDefault="00B17ED4">
                    <w:pPr>
                      <w:rPr>
                        <w:rFonts w:ascii="Arial" w:eastAsia="Arial" w:hAnsi="Arial" w:cs="Arial"/>
                        <w:color w:val="000000"/>
                        <w:sz w:val="24"/>
                        <w:szCs w:val="24"/>
                      </w:rPr>
                    </w:pPr>
                    <w:r w:rsidRPr="00B17ED4">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3E68" w14:textId="27C12BE2" w:rsidR="00DD2D23" w:rsidRDefault="002E0C76">
    <w:pPr>
      <w:tabs>
        <w:tab w:val="center" w:pos="4513"/>
        <w:tab w:val="right" w:pos="9026"/>
      </w:tabs>
      <w:suppressAutoHyphens w:val="0"/>
      <w:spacing w:after="0"/>
      <w:jc w:val="center"/>
    </w:pPr>
    <w:r>
      <w:rPr>
        <w:rFonts w:ascii="Arial" w:hAnsi="Arial"/>
        <w:color w:val="000000"/>
        <w:sz w:val="20"/>
        <w:szCs w:val="20"/>
      </w:rPr>
      <w:t>Page</w:t>
    </w:r>
    <w:r>
      <w:rPr>
        <w:rFonts w:ascii="Arial" w:hAnsi="Arial"/>
        <w:b/>
        <w:color w:val="000000"/>
        <w:sz w:val="20"/>
        <w:szCs w:val="20"/>
      </w:rPr>
      <w:t xml:space="preserve"> </w:t>
    </w:r>
    <w:r>
      <w:rPr>
        <w:rFonts w:ascii="Arial" w:hAnsi="Arial"/>
        <w:b/>
        <w:bCs/>
        <w:color w:val="000000"/>
        <w:sz w:val="20"/>
        <w:szCs w:val="20"/>
      </w:rPr>
      <w:fldChar w:fldCharType="begin"/>
    </w:r>
    <w:r>
      <w:rPr>
        <w:rFonts w:ascii="Arial" w:hAnsi="Arial"/>
        <w:b/>
        <w:bCs/>
        <w:color w:val="000000"/>
        <w:sz w:val="20"/>
        <w:szCs w:val="20"/>
      </w:rPr>
      <w:instrText xml:space="preserve"> PAGE \* ARABIC </w:instrText>
    </w:r>
    <w:r>
      <w:rPr>
        <w:rFonts w:ascii="Arial" w:hAnsi="Arial"/>
        <w:b/>
        <w:bCs/>
        <w:color w:val="000000"/>
        <w:sz w:val="20"/>
        <w:szCs w:val="20"/>
      </w:rPr>
      <w:fldChar w:fldCharType="separate"/>
    </w:r>
    <w:r>
      <w:rPr>
        <w:rFonts w:ascii="Arial" w:hAnsi="Arial"/>
        <w:b/>
        <w:bCs/>
        <w:color w:val="000000"/>
        <w:sz w:val="20"/>
        <w:szCs w:val="20"/>
      </w:rPr>
      <w:t>1</w:t>
    </w:r>
    <w:r>
      <w:rPr>
        <w:rFonts w:ascii="Arial" w:hAnsi="Arial"/>
        <w:b/>
        <w:bCs/>
        <w:color w:val="000000"/>
        <w:sz w:val="20"/>
        <w:szCs w:val="20"/>
      </w:rPr>
      <w:fldChar w:fldCharType="end"/>
    </w:r>
    <w:r>
      <w:rPr>
        <w:rFonts w:ascii="Arial" w:hAnsi="Arial"/>
        <w:b/>
        <w:color w:val="000000"/>
        <w:sz w:val="20"/>
        <w:szCs w:val="20"/>
      </w:rPr>
      <w:t xml:space="preserve"> </w:t>
    </w:r>
    <w:r>
      <w:rPr>
        <w:rFonts w:ascii="Arial" w:hAnsi="Arial"/>
        <w:color w:val="000000"/>
        <w:sz w:val="20"/>
        <w:szCs w:val="20"/>
      </w:rPr>
      <w:t>of</w:t>
    </w:r>
    <w:r>
      <w:rPr>
        <w:rFonts w:ascii="Arial" w:hAnsi="Arial"/>
        <w:b/>
        <w:color w:val="000000"/>
        <w:sz w:val="20"/>
        <w:szCs w:val="20"/>
      </w:rPr>
      <w:t xml:space="preserve"> </w:t>
    </w:r>
    <w:r>
      <w:rPr>
        <w:rFonts w:ascii="Arial" w:hAnsi="Arial"/>
        <w:b/>
        <w:bCs/>
        <w:color w:val="000000"/>
        <w:sz w:val="20"/>
        <w:szCs w:val="20"/>
      </w:rPr>
      <w:fldChar w:fldCharType="begin"/>
    </w:r>
    <w:r>
      <w:rPr>
        <w:rFonts w:ascii="Arial" w:hAnsi="Arial"/>
        <w:b/>
        <w:bCs/>
        <w:color w:val="000000"/>
        <w:sz w:val="20"/>
        <w:szCs w:val="20"/>
      </w:rPr>
      <w:instrText xml:space="preserve"> NUMPAGES \* ARABIC </w:instrText>
    </w:r>
    <w:r>
      <w:rPr>
        <w:rFonts w:ascii="Arial" w:hAnsi="Arial"/>
        <w:b/>
        <w:bCs/>
        <w:color w:val="000000"/>
        <w:sz w:val="20"/>
        <w:szCs w:val="20"/>
      </w:rPr>
      <w:fldChar w:fldCharType="separate"/>
    </w:r>
    <w:r>
      <w:rPr>
        <w:rFonts w:ascii="Arial" w:hAnsi="Arial"/>
        <w:b/>
        <w:bCs/>
        <w:color w:val="000000"/>
        <w:sz w:val="20"/>
        <w:szCs w:val="20"/>
      </w:rPr>
      <w:t>2</w:t>
    </w:r>
    <w:r>
      <w:rPr>
        <w:rFonts w:ascii="Arial" w:hAnsi="Arial"/>
        <w:b/>
        <w:bCs/>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04FC" w14:textId="5ED5E648" w:rsidR="00B17ED4" w:rsidRDefault="00B17ED4">
    <w:pPr>
      <w:pStyle w:val="Footer"/>
    </w:pPr>
    <w:r>
      <w:rPr>
        <w:noProof/>
      </w:rPr>
      <mc:AlternateContent>
        <mc:Choice Requires="wps">
          <w:drawing>
            <wp:anchor distT="0" distB="0" distL="0" distR="0" simplePos="0" relativeHeight="251662848" behindDoc="0" locked="0" layoutInCell="1" allowOverlap="1" wp14:anchorId="4EF03478" wp14:editId="7C8F9F64">
              <wp:simplePos x="635" y="635"/>
              <wp:positionH relativeFrom="column">
                <wp:align>center</wp:align>
              </wp:positionH>
              <wp:positionV relativeFrom="paragraph">
                <wp:posOffset>635</wp:posOffset>
              </wp:positionV>
              <wp:extent cx="443865" cy="443865"/>
              <wp:effectExtent l="0" t="0" r="1270" b="8890"/>
              <wp:wrapSquare wrapText="bothSides"/>
              <wp:docPr id="19" name="Text Box 1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61C0C7" w14:textId="2D2D8A2E" w:rsidR="00B17ED4" w:rsidRPr="00B17ED4" w:rsidRDefault="00B17ED4">
                          <w:pPr>
                            <w:rPr>
                              <w:rFonts w:ascii="Arial" w:eastAsia="Arial" w:hAnsi="Arial" w:cs="Arial"/>
                              <w:color w:val="000000"/>
                              <w:sz w:val="24"/>
                              <w:szCs w:val="24"/>
                            </w:rPr>
                          </w:pPr>
                          <w:r w:rsidRPr="00B17ED4">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F03478" id="_x0000_t202" coordsize="21600,21600" o:spt="202" path="m,l,21600r21600,l21600,xe">
              <v:stroke joinstyle="miter"/>
              <v:path gradientshapeok="t" o:connecttype="rect"/>
            </v:shapetype>
            <v:shape id="Text Box 19" o:spid="_x0000_s1030" type="#_x0000_t202" alt="OFFICIAL-SENSITIVE COMMERCIAL" style="position:absolute;margin-left:0;margin-top:.05pt;width:34.95pt;height:34.95pt;z-index:2516628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TQW9lOQIAAGQEAAAOAAAAAAAAAAAAAAAAAC4C&#10;AABkcnMvZTJvRG9jLnhtbFBLAQItABQABgAIAAAAIQCEsNMo1gAAAAMBAAAPAAAAAAAAAAAAAAAA&#10;AJMEAABkcnMvZG93bnJldi54bWxQSwUGAAAAAAQABADzAAAAlgUAAAAA&#10;" filled="f" stroked="f">
              <v:textbox style="mso-fit-shape-to-text:t" inset="0,0,0,0">
                <w:txbxContent>
                  <w:p w14:paraId="5C61C0C7" w14:textId="2D2D8A2E" w:rsidR="00B17ED4" w:rsidRPr="00B17ED4" w:rsidRDefault="00B17ED4">
                    <w:pPr>
                      <w:rPr>
                        <w:rFonts w:ascii="Arial" w:eastAsia="Arial" w:hAnsi="Arial" w:cs="Arial"/>
                        <w:color w:val="000000"/>
                        <w:sz w:val="24"/>
                        <w:szCs w:val="24"/>
                      </w:rPr>
                    </w:pPr>
                    <w:r w:rsidRPr="00B17ED4">
                      <w:rPr>
                        <w:rFonts w:ascii="Arial" w:eastAsia="Arial" w:hAnsi="Arial" w:cs="Arial"/>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642D" w14:textId="14D11834" w:rsidR="00B17ED4" w:rsidRDefault="00B17ED4">
    <w:pPr>
      <w:pStyle w:val="Footer"/>
    </w:pPr>
    <w:r>
      <w:rPr>
        <w:noProof/>
      </w:rPr>
      <mc:AlternateContent>
        <mc:Choice Requires="wps">
          <w:drawing>
            <wp:anchor distT="0" distB="0" distL="0" distR="0" simplePos="0" relativeHeight="251655680" behindDoc="0" locked="0" layoutInCell="1" allowOverlap="1" wp14:anchorId="349A2FC6" wp14:editId="0854E5A7">
              <wp:simplePos x="635" y="635"/>
              <wp:positionH relativeFrom="column">
                <wp:align>center</wp:align>
              </wp:positionH>
              <wp:positionV relativeFrom="paragraph">
                <wp:posOffset>635</wp:posOffset>
              </wp:positionV>
              <wp:extent cx="443865" cy="443865"/>
              <wp:effectExtent l="0" t="0" r="1270" b="8890"/>
              <wp:wrapSquare wrapText="bothSides"/>
              <wp:docPr id="29" name="Text Box 2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E82997" w14:textId="21907AF8" w:rsidR="00B17ED4" w:rsidRPr="00B17ED4" w:rsidRDefault="00B17ED4">
                          <w:pPr>
                            <w:rPr>
                              <w:rFonts w:ascii="Arial" w:eastAsia="Arial" w:hAnsi="Arial" w:cs="Arial"/>
                              <w:color w:val="000000"/>
                              <w:sz w:val="24"/>
                              <w:szCs w:val="24"/>
                            </w:rPr>
                          </w:pPr>
                          <w:r w:rsidRPr="00B17ED4">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49A2FC6" id="_x0000_t202" coordsize="21600,21600" o:spt="202" path="m,l,21600r21600,l21600,xe">
              <v:stroke joinstyle="miter"/>
              <v:path gradientshapeok="t" o:connecttype="rect"/>
            </v:shapetype>
            <v:shape id="Text Box 29" o:spid="_x0000_s1033" type="#_x0000_t202" alt="OFFICIAL-SENSITIVE COMMERCIAL" style="position:absolute;margin-left:0;margin-top:.05pt;width:34.95pt;height:34.95pt;z-index:2516556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x6cSNDoCAABkBAAADgAAAAAAAAAAAAAAAAAu&#10;AgAAZHJzL2Uyb0RvYy54bWxQSwECLQAUAAYACAAAACEAhLDTKNYAAAADAQAADwAAAAAAAAAAAAAA&#10;AACUBAAAZHJzL2Rvd25yZXYueG1sUEsFBgAAAAAEAAQA8wAAAJcFAAAAAA==&#10;" filled="f" stroked="f">
              <v:textbox style="mso-fit-shape-to-text:t" inset="0,0,0,0">
                <w:txbxContent>
                  <w:p w14:paraId="6CE82997" w14:textId="21907AF8" w:rsidR="00B17ED4" w:rsidRPr="00B17ED4" w:rsidRDefault="00B17ED4">
                    <w:pPr>
                      <w:rPr>
                        <w:rFonts w:ascii="Arial" w:eastAsia="Arial" w:hAnsi="Arial" w:cs="Arial"/>
                        <w:color w:val="000000"/>
                        <w:sz w:val="24"/>
                        <w:szCs w:val="24"/>
                      </w:rPr>
                    </w:pPr>
                    <w:r w:rsidRPr="00B17ED4">
                      <w:rPr>
                        <w:rFonts w:ascii="Arial" w:eastAsia="Arial" w:hAnsi="Arial" w:cs="Arial"/>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2F218" w14:textId="77777777" w:rsidR="00DD2D23" w:rsidRDefault="002E0C76">
    <w:pPr>
      <w:tabs>
        <w:tab w:val="center" w:pos="4513"/>
        <w:tab w:val="right" w:pos="9026"/>
      </w:tabs>
      <w:suppressAutoHyphens w:val="0"/>
      <w:spacing w:after="0"/>
      <w:jc w:val="center"/>
    </w:pPr>
    <w:r>
      <w:rPr>
        <w:rFonts w:ascii="Arial" w:hAnsi="Arial"/>
        <w:color w:val="000000"/>
        <w:sz w:val="20"/>
        <w:szCs w:val="20"/>
      </w:rPr>
      <w:t>Page</w:t>
    </w:r>
    <w:r>
      <w:rPr>
        <w:rFonts w:ascii="Arial" w:hAnsi="Arial"/>
        <w:b/>
        <w:color w:val="000000"/>
        <w:sz w:val="20"/>
        <w:szCs w:val="20"/>
      </w:rPr>
      <w:t xml:space="preserve"> </w:t>
    </w:r>
    <w:r>
      <w:rPr>
        <w:rFonts w:ascii="Arial" w:hAnsi="Arial"/>
        <w:b/>
        <w:bCs/>
        <w:color w:val="000000"/>
        <w:sz w:val="20"/>
        <w:szCs w:val="20"/>
      </w:rPr>
      <w:fldChar w:fldCharType="begin"/>
    </w:r>
    <w:r>
      <w:rPr>
        <w:rFonts w:ascii="Arial" w:hAnsi="Arial"/>
        <w:b/>
        <w:bCs/>
        <w:color w:val="000000"/>
        <w:sz w:val="20"/>
        <w:szCs w:val="20"/>
      </w:rPr>
      <w:instrText xml:space="preserve"> PAGE \* ARABIC </w:instrText>
    </w:r>
    <w:r>
      <w:rPr>
        <w:rFonts w:ascii="Arial" w:hAnsi="Arial"/>
        <w:b/>
        <w:bCs/>
        <w:color w:val="000000"/>
        <w:sz w:val="20"/>
        <w:szCs w:val="20"/>
      </w:rPr>
      <w:fldChar w:fldCharType="separate"/>
    </w:r>
    <w:r>
      <w:rPr>
        <w:rFonts w:ascii="Arial" w:hAnsi="Arial"/>
        <w:b/>
        <w:bCs/>
        <w:color w:val="000000"/>
        <w:sz w:val="20"/>
        <w:szCs w:val="20"/>
      </w:rPr>
      <w:t>1</w:t>
    </w:r>
    <w:r>
      <w:rPr>
        <w:rFonts w:ascii="Arial" w:hAnsi="Arial"/>
        <w:b/>
        <w:bCs/>
        <w:color w:val="000000"/>
        <w:sz w:val="20"/>
        <w:szCs w:val="20"/>
      </w:rPr>
      <w:fldChar w:fldCharType="end"/>
    </w:r>
    <w:r>
      <w:rPr>
        <w:rFonts w:ascii="Arial" w:hAnsi="Arial"/>
        <w:b/>
        <w:color w:val="000000"/>
        <w:sz w:val="20"/>
        <w:szCs w:val="20"/>
      </w:rPr>
      <w:t xml:space="preserve"> </w:t>
    </w:r>
    <w:r>
      <w:rPr>
        <w:rFonts w:ascii="Arial" w:hAnsi="Arial"/>
        <w:color w:val="000000"/>
        <w:sz w:val="20"/>
        <w:szCs w:val="20"/>
      </w:rPr>
      <w:t>of</w:t>
    </w:r>
    <w:r>
      <w:rPr>
        <w:rFonts w:ascii="Arial" w:hAnsi="Arial"/>
        <w:b/>
        <w:color w:val="000000"/>
        <w:sz w:val="20"/>
        <w:szCs w:val="20"/>
      </w:rPr>
      <w:t xml:space="preserve"> </w:t>
    </w:r>
    <w:r>
      <w:rPr>
        <w:rFonts w:ascii="Arial" w:hAnsi="Arial"/>
        <w:b/>
        <w:bCs/>
        <w:color w:val="000000"/>
        <w:sz w:val="20"/>
        <w:szCs w:val="20"/>
      </w:rPr>
      <w:fldChar w:fldCharType="begin"/>
    </w:r>
    <w:r>
      <w:rPr>
        <w:rFonts w:ascii="Arial" w:hAnsi="Arial"/>
        <w:b/>
        <w:bCs/>
        <w:color w:val="000000"/>
        <w:sz w:val="20"/>
        <w:szCs w:val="20"/>
      </w:rPr>
      <w:instrText xml:space="preserve"> NUMPAGES \* ARABIC </w:instrText>
    </w:r>
    <w:r>
      <w:rPr>
        <w:rFonts w:ascii="Arial" w:hAnsi="Arial"/>
        <w:b/>
        <w:bCs/>
        <w:color w:val="000000"/>
        <w:sz w:val="20"/>
        <w:szCs w:val="20"/>
      </w:rPr>
      <w:fldChar w:fldCharType="separate"/>
    </w:r>
    <w:r>
      <w:rPr>
        <w:rFonts w:ascii="Arial" w:hAnsi="Arial"/>
        <w:b/>
        <w:bCs/>
        <w:color w:val="000000"/>
        <w:sz w:val="20"/>
        <w:szCs w:val="20"/>
      </w:rPr>
      <w:t>2</w:t>
    </w:r>
    <w:r>
      <w:rPr>
        <w:rFonts w:ascii="Arial" w:hAnsi="Arial"/>
        <w:b/>
        <w:bCs/>
        <w:color w:val="000000"/>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E9E6" w14:textId="1503AD69" w:rsidR="00B17ED4" w:rsidRDefault="00B17ED4">
    <w:pPr>
      <w:pStyle w:val="Footer"/>
    </w:pPr>
    <w:r>
      <w:rPr>
        <w:noProof/>
      </w:rPr>
      <mc:AlternateContent>
        <mc:Choice Requires="wps">
          <w:drawing>
            <wp:anchor distT="0" distB="0" distL="0" distR="0" simplePos="0" relativeHeight="251654656" behindDoc="0" locked="0" layoutInCell="1" allowOverlap="1" wp14:anchorId="49206026" wp14:editId="158943CC">
              <wp:simplePos x="635" y="635"/>
              <wp:positionH relativeFrom="column">
                <wp:align>center</wp:align>
              </wp:positionH>
              <wp:positionV relativeFrom="paragraph">
                <wp:posOffset>635</wp:posOffset>
              </wp:positionV>
              <wp:extent cx="443865" cy="443865"/>
              <wp:effectExtent l="0" t="0" r="1270" b="8890"/>
              <wp:wrapSquare wrapText="bothSides"/>
              <wp:docPr id="28" name="Text Box 2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323E73" w14:textId="3D929B3E" w:rsidR="00B17ED4" w:rsidRPr="00B17ED4" w:rsidRDefault="00B17ED4">
                          <w:pPr>
                            <w:rPr>
                              <w:rFonts w:ascii="Arial" w:eastAsia="Arial" w:hAnsi="Arial" w:cs="Arial"/>
                              <w:color w:val="000000"/>
                              <w:sz w:val="24"/>
                              <w:szCs w:val="24"/>
                            </w:rPr>
                          </w:pPr>
                          <w:r w:rsidRPr="00B17ED4">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206026" id="_x0000_t202" coordsize="21600,21600" o:spt="202" path="m,l,21600r21600,l21600,xe">
              <v:stroke joinstyle="miter"/>
              <v:path gradientshapeok="t" o:connecttype="rect"/>
            </v:shapetype>
            <v:shape id="Text Box 28" o:spid="_x0000_s1035" type="#_x0000_t202" alt="OFFICIAL-SENSITIVE COMMERCIAL" style="position:absolute;margin-left:0;margin-top:.05pt;width:34.95pt;height:34.95pt;z-index:2516546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WVcb2OQIAAGUEAAAOAAAAAAAAAAAAAAAAAC4C&#10;AABkcnMvZTJvRG9jLnhtbFBLAQItABQABgAIAAAAIQCEsNMo1gAAAAMBAAAPAAAAAAAAAAAAAAAA&#10;AJMEAABkcnMvZG93bnJldi54bWxQSwUGAAAAAAQABADzAAAAlgUAAAAA&#10;" filled="f" stroked="f">
              <v:textbox style="mso-fit-shape-to-text:t" inset="0,0,0,0">
                <w:txbxContent>
                  <w:p w14:paraId="57323E73" w14:textId="3D929B3E" w:rsidR="00B17ED4" w:rsidRPr="00B17ED4" w:rsidRDefault="00B17ED4">
                    <w:pPr>
                      <w:rPr>
                        <w:rFonts w:ascii="Arial" w:eastAsia="Arial" w:hAnsi="Arial" w:cs="Arial"/>
                        <w:color w:val="000000"/>
                        <w:sz w:val="24"/>
                        <w:szCs w:val="24"/>
                      </w:rPr>
                    </w:pPr>
                    <w:r w:rsidRPr="00B17ED4">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0F24A" w14:textId="77777777" w:rsidR="002E07F1" w:rsidRDefault="002E07F1">
      <w:pPr>
        <w:spacing w:after="0"/>
      </w:pPr>
      <w:r>
        <w:rPr>
          <w:color w:val="000000"/>
        </w:rPr>
        <w:separator/>
      </w:r>
    </w:p>
  </w:footnote>
  <w:footnote w:type="continuationSeparator" w:id="0">
    <w:p w14:paraId="1934EA76" w14:textId="77777777" w:rsidR="002E07F1" w:rsidRDefault="002E07F1">
      <w:pPr>
        <w:spacing w:after="0"/>
      </w:pPr>
      <w:r>
        <w:continuationSeparator/>
      </w:r>
    </w:p>
  </w:footnote>
  <w:footnote w:type="continuationNotice" w:id="1">
    <w:p w14:paraId="6A8A03CB" w14:textId="77777777" w:rsidR="002E07F1" w:rsidRDefault="002E07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6B196" w14:textId="6F6E33D7" w:rsidR="00B17ED4" w:rsidRDefault="00B17ED4">
    <w:pPr>
      <w:pStyle w:val="Header"/>
    </w:pPr>
    <w:r>
      <w:rPr>
        <w:noProof/>
      </w:rPr>
      <mc:AlternateContent>
        <mc:Choice Requires="wps">
          <w:drawing>
            <wp:anchor distT="0" distB="0" distL="0" distR="0" simplePos="0" relativeHeight="251657728" behindDoc="0" locked="0" layoutInCell="1" allowOverlap="1" wp14:anchorId="71C7C0BB" wp14:editId="7AF7B90C">
              <wp:simplePos x="635" y="635"/>
              <wp:positionH relativeFrom="column">
                <wp:align>center</wp:align>
              </wp:positionH>
              <wp:positionV relativeFrom="paragraph">
                <wp:posOffset>635</wp:posOffset>
              </wp:positionV>
              <wp:extent cx="443865" cy="443865"/>
              <wp:effectExtent l="0" t="0" r="1270" b="889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E057A6" w14:textId="4E8F4D80" w:rsidR="00B17ED4" w:rsidRPr="00B17ED4" w:rsidRDefault="00B17ED4">
                          <w:pPr>
                            <w:rPr>
                              <w:rFonts w:ascii="Arial" w:eastAsia="Arial" w:hAnsi="Arial" w:cs="Arial"/>
                              <w:color w:val="000000"/>
                              <w:sz w:val="24"/>
                              <w:szCs w:val="24"/>
                            </w:rPr>
                          </w:pPr>
                          <w:r w:rsidRPr="00B17ED4">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C7C0BB" id="_x0000_t202" coordsize="21600,21600" o:spt="202" path="m,l,21600r21600,l21600,xe">
              <v:stroke joinstyle="miter"/>
              <v:path gradientshapeok="t" o:connecttype="rect"/>
            </v:shapetype>
            <v:shape id="Text Box 5" o:spid="_x0000_s1026" type="#_x0000_t202" alt="OFFICIAL-SENSITIVE COMMERCIAL" style="position:absolute;margin-left:0;margin-top:.05pt;width:34.95pt;height:34.95pt;z-index:251657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APZbgU1AgAAWwQAAA4AAAAAAAAAAAAAAAAALgIAAGRy&#10;cy9lMm9Eb2MueG1sUEsBAi0AFAAGAAgAAAAhAISw0yjWAAAAAwEAAA8AAAAAAAAAAAAAAAAAjwQA&#10;AGRycy9kb3ducmV2LnhtbFBLBQYAAAAABAAEAPMAAACSBQAAAAA=&#10;" filled="f" stroked="f">
              <v:textbox style="mso-fit-shape-to-text:t" inset="0,0,0,0">
                <w:txbxContent>
                  <w:p w14:paraId="19E057A6" w14:textId="4E8F4D80" w:rsidR="00B17ED4" w:rsidRPr="00B17ED4" w:rsidRDefault="00B17ED4">
                    <w:pPr>
                      <w:rPr>
                        <w:rFonts w:ascii="Arial" w:eastAsia="Arial" w:hAnsi="Arial" w:cs="Arial"/>
                        <w:color w:val="000000"/>
                        <w:sz w:val="24"/>
                        <w:szCs w:val="24"/>
                      </w:rPr>
                    </w:pPr>
                    <w:r w:rsidRPr="00B17ED4">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72127" w14:textId="1DF9ABA8" w:rsidR="004D29B3" w:rsidRPr="004D29B3" w:rsidRDefault="00B17ED4" w:rsidP="004D29B3">
    <w:pPr>
      <w:pStyle w:val="Header"/>
      <w:jc w:val="right"/>
      <w:rPr>
        <w:b/>
        <w:bCs/>
      </w:rPr>
    </w:pPr>
    <w:r w:rsidRPr="004D29B3">
      <w:rPr>
        <w:b/>
        <w:bCs/>
        <w:noProof/>
      </w:rPr>
      <mc:AlternateContent>
        <mc:Choice Requires="wps">
          <w:drawing>
            <wp:anchor distT="0" distB="0" distL="0" distR="0" simplePos="0" relativeHeight="251650559" behindDoc="1" locked="0" layoutInCell="1" allowOverlap="1" wp14:anchorId="26598ED3" wp14:editId="0A686C66">
              <wp:simplePos x="0" y="0"/>
              <wp:positionH relativeFrom="margin">
                <wp:align>center</wp:align>
              </wp:positionH>
              <wp:positionV relativeFrom="paragraph">
                <wp:posOffset>9525</wp:posOffset>
              </wp:positionV>
              <wp:extent cx="2219325" cy="209550"/>
              <wp:effectExtent l="0" t="0" r="9525" b="0"/>
              <wp:wrapNone/>
              <wp:docPr id="6" name="Text Box 6" descr="OFFICIAL-SENSITIVE COMMERCIAL"/>
              <wp:cNvGraphicFramePr/>
              <a:graphic xmlns:a="http://schemas.openxmlformats.org/drawingml/2006/main">
                <a:graphicData uri="http://schemas.microsoft.com/office/word/2010/wordprocessingShape">
                  <wps:wsp>
                    <wps:cNvSpPr txBox="1"/>
                    <wps:spPr>
                      <a:xfrm>
                        <a:off x="0" y="0"/>
                        <a:ext cx="2219325" cy="209550"/>
                      </a:xfrm>
                      <a:prstGeom prst="rect">
                        <a:avLst/>
                      </a:prstGeom>
                      <a:noFill/>
                      <a:ln>
                        <a:noFill/>
                      </a:ln>
                    </wps:spPr>
                    <wps:txbx>
                      <w:txbxContent>
                        <w:p w14:paraId="5CEEF633" w14:textId="5667DBB1" w:rsidR="00B17ED4" w:rsidRPr="004D29B3" w:rsidRDefault="00B17ED4" w:rsidP="00A03A1F">
                          <w:pPr>
                            <w:spacing w:after="0"/>
                            <w:rPr>
                              <w:rFonts w:asciiTheme="minorHAnsi" w:eastAsia="Arial" w:hAnsiTheme="minorHAnsi" w:cstheme="minorHAnsi"/>
                              <w:color w:val="000000"/>
                              <w:sz w:val="24"/>
                              <w:szCs w:val="24"/>
                            </w:rPr>
                          </w:pPr>
                          <w:r w:rsidRPr="004D29B3">
                            <w:rPr>
                              <w:rFonts w:asciiTheme="minorHAnsi" w:eastAsia="Arial" w:hAnsiTheme="minorHAnsi" w:cstheme="minorHAnsi"/>
                              <w:color w:val="000000"/>
                              <w:sz w:val="24"/>
                              <w:szCs w:val="24"/>
                            </w:rPr>
                            <w:t>OFFICIAL-SENSITIVE COMMERCIAL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598ED3" id="_x0000_t202" coordsize="21600,21600" o:spt="202" path="m,l,21600r21600,l21600,xe">
              <v:stroke joinstyle="miter"/>
              <v:path gradientshapeok="t" o:connecttype="rect"/>
            </v:shapetype>
            <v:shape id="Text Box 6" o:spid="_x0000_s1027" type="#_x0000_t202" alt="OFFICIAL-SENSITIVE COMMERCIAL" style="position:absolute;left:0;text-align:left;margin-left:0;margin-top:.75pt;width:174.75pt;height:16.5pt;z-index:-251665921;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" filled="f" stroked="f">
              <v:textbox inset="0,0,0,0">
                <w:txbxContent>
                  <w:p w14:paraId="5CEEF633" w14:textId="5667DBB1" w:rsidR="00B17ED4" w:rsidRPr="004D29B3" w:rsidRDefault="00B17ED4" w:rsidP="00A03A1F">
                    <w:pPr>
                      <w:spacing w:after="0"/>
                      <w:rPr>
                        <w:rFonts w:asciiTheme="minorHAnsi" w:eastAsia="Arial" w:hAnsiTheme="minorHAnsi" w:cstheme="minorHAnsi"/>
                        <w:color w:val="000000"/>
                        <w:sz w:val="24"/>
                        <w:szCs w:val="24"/>
                      </w:rPr>
                    </w:pPr>
                    <w:r w:rsidRPr="004D29B3">
                      <w:rPr>
                        <w:rFonts w:asciiTheme="minorHAnsi" w:eastAsia="Arial" w:hAnsiTheme="minorHAnsi" w:cstheme="minorHAnsi"/>
                        <w:color w:val="000000"/>
                        <w:sz w:val="24"/>
                        <w:szCs w:val="24"/>
                      </w:rPr>
                      <w:t>OFFICIAL-SENSITIVE COMMERCIAL</w:t>
                    </w:r>
                  </w:p>
                </w:txbxContent>
              </v:textbox>
              <w10:wrap anchorx="margin"/>
            </v:shape>
          </w:pict>
        </mc:Fallback>
      </mc:AlternateContent>
    </w:r>
    <w:r w:rsidR="004D29B3" w:rsidRPr="004D29B3">
      <w:rPr>
        <w:b/>
        <w:bCs/>
      </w:rPr>
      <w:t>Annex A to</w:t>
    </w:r>
  </w:p>
  <w:p w14:paraId="442FA963" w14:textId="77777777" w:rsidR="004D29B3" w:rsidRPr="004D29B3" w:rsidRDefault="004D29B3" w:rsidP="004D29B3">
    <w:pPr>
      <w:pStyle w:val="Header"/>
      <w:jc w:val="right"/>
      <w:rPr>
        <w:b/>
        <w:bCs/>
      </w:rPr>
    </w:pPr>
    <w:r w:rsidRPr="004D29B3">
      <w:rPr>
        <w:b/>
        <w:bCs/>
      </w:rPr>
      <w:t>SC2 Schedule 2</w:t>
    </w:r>
  </w:p>
  <w:p w14:paraId="418FDA47" w14:textId="73821B18" w:rsidR="004D29B3" w:rsidRPr="004D29B3" w:rsidRDefault="004D29B3" w:rsidP="004D29B3">
    <w:pPr>
      <w:pStyle w:val="Header"/>
      <w:jc w:val="right"/>
      <w:rPr>
        <w:b/>
        <w:bCs/>
      </w:rPr>
    </w:pPr>
    <w:r w:rsidRPr="004D29B3">
      <w:rPr>
        <w:b/>
        <w:bCs/>
      </w:rPr>
      <w:t>703708451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A761" w14:textId="449ED671" w:rsidR="00B17ED4" w:rsidRDefault="00B17ED4">
    <w:pPr>
      <w:pStyle w:val="Header"/>
    </w:pPr>
    <w:r>
      <w:rPr>
        <w:noProof/>
      </w:rPr>
      <mc:AlternateContent>
        <mc:Choice Requires="wps">
          <w:drawing>
            <wp:anchor distT="0" distB="0" distL="0" distR="0" simplePos="0" relativeHeight="251661824" behindDoc="0" locked="0" layoutInCell="1" allowOverlap="1" wp14:anchorId="1C957BA7" wp14:editId="204BE36F">
              <wp:simplePos x="635" y="635"/>
              <wp:positionH relativeFrom="column">
                <wp:align>center</wp:align>
              </wp:positionH>
              <wp:positionV relativeFrom="paragraph">
                <wp:posOffset>635</wp:posOffset>
              </wp:positionV>
              <wp:extent cx="443865" cy="443865"/>
              <wp:effectExtent l="0" t="0" r="1270" b="889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AFFFA4" w14:textId="6BEEF97D" w:rsidR="00B17ED4" w:rsidRPr="00B17ED4" w:rsidRDefault="00B17ED4">
                          <w:pPr>
                            <w:rPr>
                              <w:rFonts w:ascii="Arial" w:eastAsia="Arial" w:hAnsi="Arial" w:cs="Arial"/>
                              <w:color w:val="000000"/>
                              <w:sz w:val="24"/>
                              <w:szCs w:val="24"/>
                            </w:rPr>
                          </w:pPr>
                          <w:r w:rsidRPr="00B17ED4">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957BA7" id="_x0000_t202" coordsize="21600,21600" o:spt="202" path="m,l,21600r21600,l21600,xe">
              <v:stroke joinstyle="miter"/>
              <v:path gradientshapeok="t" o:connecttype="rect"/>
            </v:shapetype>
            <v:shape id="Text Box 4" o:spid="_x0000_s1029" type="#_x0000_t202" alt="OFFICIAL-SENSITIVE COMMERCIAL" style="position:absolute;margin-left:0;margin-top:.05pt;width:34.95pt;height:34.95pt;z-index:2516618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m/6ws4AgAAYgQAAA4AAAAAAAAAAAAAAAAALgIA&#10;AGRycy9lMm9Eb2MueG1sUEsBAi0AFAAGAAgAAAAhAISw0yjWAAAAAwEAAA8AAAAAAAAAAAAAAAAA&#10;kgQAAGRycy9kb3ducmV2LnhtbFBLBQYAAAAABAAEAPMAAACVBQAAAAA=&#10;" filled="f" stroked="f">
              <v:textbox style="mso-fit-shape-to-text:t" inset="0,0,0,0">
                <w:txbxContent>
                  <w:p w14:paraId="25AFFFA4" w14:textId="6BEEF97D" w:rsidR="00B17ED4" w:rsidRPr="00B17ED4" w:rsidRDefault="00B17ED4">
                    <w:pPr>
                      <w:rPr>
                        <w:rFonts w:ascii="Arial" w:eastAsia="Arial" w:hAnsi="Arial" w:cs="Arial"/>
                        <w:color w:val="000000"/>
                        <w:sz w:val="24"/>
                        <w:szCs w:val="24"/>
                      </w:rPr>
                    </w:pPr>
                    <w:r w:rsidRPr="00B17ED4">
                      <w:rPr>
                        <w:rFonts w:ascii="Arial" w:eastAsia="Arial" w:hAnsi="Arial" w:cs="Arial"/>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A313" w14:textId="16F83340" w:rsidR="00B17ED4" w:rsidRDefault="00B17ED4">
    <w:pPr>
      <w:pStyle w:val="Header"/>
    </w:pPr>
    <w:r>
      <w:rPr>
        <w:noProof/>
      </w:rPr>
      <mc:AlternateContent>
        <mc:Choice Requires="wps">
          <w:drawing>
            <wp:anchor distT="0" distB="0" distL="0" distR="0" simplePos="0" relativeHeight="251652608" behindDoc="0" locked="0" layoutInCell="1" allowOverlap="1" wp14:anchorId="4AD2CDC1" wp14:editId="4E1B6D7C">
              <wp:simplePos x="635" y="635"/>
              <wp:positionH relativeFrom="column">
                <wp:align>center</wp:align>
              </wp:positionH>
              <wp:positionV relativeFrom="paragraph">
                <wp:posOffset>635</wp:posOffset>
              </wp:positionV>
              <wp:extent cx="443865" cy="443865"/>
              <wp:effectExtent l="0" t="0" r="1270" b="8890"/>
              <wp:wrapSquare wrapText="bothSides"/>
              <wp:docPr id="14" name="Text Box 1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A6097C" w14:textId="2DC6C6FF" w:rsidR="00B17ED4" w:rsidRPr="00B17ED4" w:rsidRDefault="00B17ED4">
                          <w:pPr>
                            <w:rPr>
                              <w:rFonts w:ascii="Arial" w:eastAsia="Arial" w:hAnsi="Arial" w:cs="Arial"/>
                              <w:color w:val="000000"/>
                              <w:sz w:val="24"/>
                              <w:szCs w:val="24"/>
                            </w:rPr>
                          </w:pPr>
                          <w:r w:rsidRPr="00B17ED4">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D2CDC1" id="_x0000_t202" coordsize="21600,21600" o:spt="202" path="m,l,21600r21600,l21600,xe">
              <v:stroke joinstyle="miter"/>
              <v:path gradientshapeok="t" o:connecttype="rect"/>
            </v:shapetype>
            <v:shape id="Text Box 14" o:spid="_x0000_s1031" type="#_x0000_t202" alt="OFFICIAL-SENSITIVE COMMERCIAL" style="position:absolute;margin-left:0;margin-top:.05pt;width:34.95pt;height:34.95pt;z-index:2516526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dSyOE4AgAAZAQAAA4AAAAAAAAAAAAAAAAALgIA&#10;AGRycy9lMm9Eb2MueG1sUEsBAi0AFAAGAAgAAAAhAISw0yjWAAAAAwEAAA8AAAAAAAAAAAAAAAAA&#10;kgQAAGRycy9kb3ducmV2LnhtbFBLBQYAAAAABAAEAPMAAACVBQAAAAA=&#10;" filled="f" stroked="f">
              <v:textbox style="mso-fit-shape-to-text:t" inset="0,0,0,0">
                <w:txbxContent>
                  <w:p w14:paraId="65A6097C" w14:textId="2DC6C6FF" w:rsidR="00B17ED4" w:rsidRPr="00B17ED4" w:rsidRDefault="00B17ED4">
                    <w:pPr>
                      <w:rPr>
                        <w:rFonts w:ascii="Arial" w:eastAsia="Arial" w:hAnsi="Arial" w:cs="Arial"/>
                        <w:color w:val="000000"/>
                        <w:sz w:val="24"/>
                        <w:szCs w:val="24"/>
                      </w:rPr>
                    </w:pPr>
                    <w:r w:rsidRPr="00B17ED4">
                      <w:rPr>
                        <w:rFonts w:ascii="Arial" w:eastAsia="Arial" w:hAnsi="Arial" w:cs="Arial"/>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AB75" w14:textId="77777777" w:rsidR="002C1577" w:rsidRPr="004D29B3" w:rsidRDefault="002C1577" w:rsidP="002C1577">
    <w:pPr>
      <w:pStyle w:val="Header"/>
      <w:jc w:val="right"/>
      <w:rPr>
        <w:b/>
        <w:bCs/>
      </w:rPr>
    </w:pPr>
    <w:r w:rsidRPr="004D29B3">
      <w:rPr>
        <w:b/>
        <w:bCs/>
        <w:noProof/>
      </w:rPr>
      <mc:AlternateContent>
        <mc:Choice Requires="wps">
          <w:drawing>
            <wp:anchor distT="0" distB="0" distL="0" distR="0" simplePos="0" relativeHeight="251664896" behindDoc="1" locked="0" layoutInCell="1" allowOverlap="1" wp14:anchorId="7ADC09C3" wp14:editId="666F6B88">
              <wp:simplePos x="0" y="0"/>
              <wp:positionH relativeFrom="margin">
                <wp:align>center</wp:align>
              </wp:positionH>
              <wp:positionV relativeFrom="paragraph">
                <wp:posOffset>9525</wp:posOffset>
              </wp:positionV>
              <wp:extent cx="2219325" cy="209550"/>
              <wp:effectExtent l="0" t="0" r="9525" b="0"/>
              <wp:wrapNone/>
              <wp:docPr id="2" name="Text Box 2" descr="OFFICIAL-SENSITIVE COMMERCIAL"/>
              <wp:cNvGraphicFramePr/>
              <a:graphic xmlns:a="http://schemas.openxmlformats.org/drawingml/2006/main">
                <a:graphicData uri="http://schemas.microsoft.com/office/word/2010/wordprocessingShape">
                  <wps:wsp>
                    <wps:cNvSpPr txBox="1"/>
                    <wps:spPr>
                      <a:xfrm>
                        <a:off x="0" y="0"/>
                        <a:ext cx="2219325" cy="209550"/>
                      </a:xfrm>
                      <a:prstGeom prst="rect">
                        <a:avLst/>
                      </a:prstGeom>
                      <a:noFill/>
                      <a:ln>
                        <a:noFill/>
                      </a:ln>
                    </wps:spPr>
                    <wps:txbx>
                      <w:txbxContent>
                        <w:p w14:paraId="7AEAE68D" w14:textId="77777777" w:rsidR="002C1577" w:rsidRPr="004D29B3" w:rsidRDefault="002C1577" w:rsidP="002C1577">
                          <w:pPr>
                            <w:spacing w:after="0"/>
                            <w:rPr>
                              <w:rFonts w:asciiTheme="minorHAnsi" w:eastAsia="Arial" w:hAnsiTheme="minorHAnsi" w:cstheme="minorHAnsi"/>
                              <w:color w:val="000000"/>
                              <w:sz w:val="24"/>
                              <w:szCs w:val="24"/>
                            </w:rPr>
                          </w:pPr>
                          <w:r w:rsidRPr="004D29B3">
                            <w:rPr>
                              <w:rFonts w:asciiTheme="minorHAnsi" w:eastAsia="Arial" w:hAnsiTheme="minorHAnsi" w:cstheme="minorHAnsi"/>
                              <w:color w:val="000000"/>
                              <w:sz w:val="24"/>
                              <w:szCs w:val="24"/>
                            </w:rPr>
                            <w:t>OFFICIAL-SENSITIVE COMMERCIAL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C09C3" id="_x0000_t202" coordsize="21600,21600" o:spt="202" path="m,l,21600r21600,l21600,xe">
              <v:stroke joinstyle="miter"/>
              <v:path gradientshapeok="t" o:connecttype="rect"/>
            </v:shapetype>
            <v:shape id="Text Box 2" o:spid="_x0000_s1032" type="#_x0000_t202" alt="OFFICIAL-SENSITIVE COMMERCIAL" style="position:absolute;left:0;text-align:left;margin-left:0;margin-top:.75pt;width:174.75pt;height:16.5pt;z-index:-25165158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" filled="f" stroked="f">
              <v:textbox inset="0,0,0,0">
                <w:txbxContent>
                  <w:p w14:paraId="7AEAE68D" w14:textId="77777777" w:rsidR="002C1577" w:rsidRPr="004D29B3" w:rsidRDefault="002C1577" w:rsidP="002C1577">
                    <w:pPr>
                      <w:spacing w:after="0"/>
                      <w:rPr>
                        <w:rFonts w:asciiTheme="minorHAnsi" w:eastAsia="Arial" w:hAnsiTheme="minorHAnsi" w:cstheme="minorHAnsi"/>
                        <w:color w:val="000000"/>
                        <w:sz w:val="24"/>
                        <w:szCs w:val="24"/>
                      </w:rPr>
                    </w:pPr>
                    <w:r w:rsidRPr="004D29B3">
                      <w:rPr>
                        <w:rFonts w:asciiTheme="minorHAnsi" w:eastAsia="Arial" w:hAnsiTheme="minorHAnsi" w:cstheme="minorHAnsi"/>
                        <w:color w:val="000000"/>
                        <w:sz w:val="24"/>
                        <w:szCs w:val="24"/>
                      </w:rPr>
                      <w:t>OFFICIAL-SENSITIVE COMMERCIAL</w:t>
                    </w:r>
                  </w:p>
                </w:txbxContent>
              </v:textbox>
              <w10:wrap anchorx="margin"/>
            </v:shape>
          </w:pict>
        </mc:Fallback>
      </mc:AlternateContent>
    </w:r>
    <w:r w:rsidRPr="004D29B3">
      <w:rPr>
        <w:b/>
        <w:bCs/>
      </w:rPr>
      <w:t>Annex A to</w:t>
    </w:r>
  </w:p>
  <w:p w14:paraId="0F0D6147" w14:textId="77777777" w:rsidR="002C1577" w:rsidRPr="004D29B3" w:rsidRDefault="002C1577" w:rsidP="002C1577">
    <w:pPr>
      <w:pStyle w:val="Header"/>
      <w:jc w:val="right"/>
      <w:rPr>
        <w:b/>
        <w:bCs/>
      </w:rPr>
    </w:pPr>
    <w:r w:rsidRPr="004D29B3">
      <w:rPr>
        <w:b/>
        <w:bCs/>
      </w:rPr>
      <w:t>SC2 Schedule 2</w:t>
    </w:r>
  </w:p>
  <w:p w14:paraId="0F5995FF" w14:textId="77777777" w:rsidR="002C1577" w:rsidRPr="004D29B3" w:rsidRDefault="002C1577" w:rsidP="002C1577">
    <w:pPr>
      <w:pStyle w:val="Header"/>
      <w:jc w:val="right"/>
      <w:rPr>
        <w:b/>
        <w:bCs/>
      </w:rPr>
    </w:pPr>
    <w:r w:rsidRPr="004D29B3">
      <w:rPr>
        <w:b/>
        <w:bCs/>
      </w:rPr>
      <w:t>703708451</w:t>
    </w:r>
  </w:p>
  <w:p w14:paraId="0C8338A5" w14:textId="77777777" w:rsidR="00DD2D23" w:rsidRDefault="00DD2D23">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A162" w14:textId="3E235008" w:rsidR="00B17ED4" w:rsidRDefault="00B17ED4">
    <w:pPr>
      <w:pStyle w:val="Header"/>
    </w:pPr>
    <w:r>
      <w:rPr>
        <w:noProof/>
      </w:rPr>
      <mc:AlternateContent>
        <mc:Choice Requires="wps">
          <w:drawing>
            <wp:anchor distT="0" distB="0" distL="0" distR="0" simplePos="0" relativeHeight="251651584" behindDoc="0" locked="0" layoutInCell="1" allowOverlap="1" wp14:anchorId="6BC225CF" wp14:editId="0DE0A9EC">
              <wp:simplePos x="635" y="635"/>
              <wp:positionH relativeFrom="column">
                <wp:align>center</wp:align>
              </wp:positionH>
              <wp:positionV relativeFrom="paragraph">
                <wp:posOffset>635</wp:posOffset>
              </wp:positionV>
              <wp:extent cx="443865" cy="443865"/>
              <wp:effectExtent l="0" t="0" r="1270" b="8890"/>
              <wp:wrapSquare wrapText="bothSides"/>
              <wp:docPr id="13" name="Text Box 1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EECBBC" w14:textId="230AD52C" w:rsidR="00B17ED4" w:rsidRPr="00B17ED4" w:rsidRDefault="00B17ED4">
                          <w:pPr>
                            <w:rPr>
                              <w:rFonts w:ascii="Arial" w:eastAsia="Arial" w:hAnsi="Arial" w:cs="Arial"/>
                              <w:color w:val="000000"/>
                              <w:sz w:val="24"/>
                              <w:szCs w:val="24"/>
                            </w:rPr>
                          </w:pPr>
                          <w:r w:rsidRPr="00B17ED4">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C225CF" id="_x0000_t202" coordsize="21600,21600" o:spt="202" path="m,l,21600r21600,l21600,xe">
              <v:stroke joinstyle="miter"/>
              <v:path gradientshapeok="t" o:connecttype="rect"/>
            </v:shapetype>
            <v:shape id="Text Box 13" o:spid="_x0000_s1034" type="#_x0000_t202" alt="OFFICIAL-SENSITIVE COMMERCIAL" style="position:absolute;margin-left:0;margin-top:.05pt;width:34.95pt;height:34.95pt;z-index:2516515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GmzGJOQIAAGQEAAAOAAAAAAAAAAAAAAAAAC4C&#10;AABkcnMvZTJvRG9jLnhtbFBLAQItABQABgAIAAAAIQCEsNMo1gAAAAMBAAAPAAAAAAAAAAAAAAAA&#10;AJMEAABkcnMvZG93bnJldi54bWxQSwUGAAAAAAQABADzAAAAlgUAAAAA&#10;" filled="f" stroked="f">
              <v:textbox style="mso-fit-shape-to-text:t" inset="0,0,0,0">
                <w:txbxContent>
                  <w:p w14:paraId="4BEECBBC" w14:textId="230AD52C" w:rsidR="00B17ED4" w:rsidRPr="00B17ED4" w:rsidRDefault="00B17ED4">
                    <w:pPr>
                      <w:rPr>
                        <w:rFonts w:ascii="Arial" w:eastAsia="Arial" w:hAnsi="Arial" w:cs="Arial"/>
                        <w:color w:val="000000"/>
                        <w:sz w:val="24"/>
                        <w:szCs w:val="24"/>
                      </w:rPr>
                    </w:pPr>
                    <w:r w:rsidRPr="00B17ED4">
                      <w:rPr>
                        <w:rFonts w:ascii="Arial" w:eastAsia="Arial" w:hAnsi="Arial" w:cs="Arial"/>
                        <w:color w:val="000000"/>
                        <w:sz w:val="24"/>
                        <w:szCs w:val="24"/>
                      </w:rPr>
                      <w:t>OFFICIAL-SENSITIVE COMMERCIAL</w:t>
                    </w:r>
                  </w:p>
                </w:txbxContent>
              </v:textbox>
              <w10:wrap type="squar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qaZILf2I" int2:invalidationBookmarkName="" int2:hashCode="keGorWDJIUoKzl" int2:id="1sVDVgzV"/>
    <int2:bookmark int2:bookmarkName="_Int_DDRJ45S3" int2:invalidationBookmarkName="" int2:hashCode="CxH2ORltsyBLUK" int2:id="52ygy6xR"/>
    <int2:bookmark int2:bookmarkName="_Int_S9E0MKyR" int2:invalidationBookmarkName="" int2:hashCode="vngBzAFyogoxIV" int2:id="8sBNDorv"/>
    <int2:bookmark int2:bookmarkName="_Int_5gCWbeYU" int2:invalidationBookmarkName="" int2:hashCode="t/IjcmW/HBc/BH" int2:id="9GmXylJn">
      <int2:state int2:value="Rejected" int2:type="AugLoop_Acronyms_AcronymsCritique"/>
    </int2:bookmark>
    <int2:bookmark int2:bookmarkName="_Int_cGJQXdDP" int2:invalidationBookmarkName="" int2:hashCode="Bvf4PT4Arr21FB" int2:id="CUGw0JR3"/>
    <int2:bookmark int2:bookmarkName="_Int_3zk0TM3w" int2:invalidationBookmarkName="" int2:hashCode="8R8EGsePmOHQ6O" int2:id="CgiMNGuV"/>
    <int2:bookmark int2:bookmarkName="_Int_OieG2Gu1" int2:invalidationBookmarkName="" int2:hashCode="piTI93gKeYmF4N" int2:id="D3O8zJbC"/>
    <int2:bookmark int2:bookmarkName="_Int_0QP9LWQ2" int2:invalidationBookmarkName="" int2:hashCode="e380MZDI06WNSs" int2:id="IRtkk7vY"/>
    <int2:bookmark int2:bookmarkName="_Int_8kLyChVy" int2:invalidationBookmarkName="" int2:hashCode="ZOqxF7P5Rqrzxo" int2:id="QmUCLtfe"/>
    <int2:bookmark int2:bookmarkName="_Int_kpFAkYn8" int2:invalidationBookmarkName="" int2:hashCode="qLDa/MlB6g+5Bo" int2:id="U0gx310O"/>
    <int2:bookmark int2:bookmarkName="_Int_KXAjiGLX" int2:invalidationBookmarkName="" int2:hashCode="WaqWL3JpoQxDle" int2:id="ZDjF6AcN">
      <int2:state int2:value="Rejected" int2:type="AugLoop_Acronyms_AcronymsCritique"/>
    </int2:bookmark>
    <int2:bookmark int2:bookmarkName="_Int_Jyb3QGda" int2:invalidationBookmarkName="" int2:hashCode="CRxc8Uv0uRWUlk" int2:id="eM5bjwxC"/>
    <int2:bookmark int2:bookmarkName="_Int_IOxVC153" int2:invalidationBookmarkName="" int2:hashCode="RtmY/wXwtp3tuf" int2:id="ezNVyyOp"/>
    <int2:bookmark int2:bookmarkName="_Int_wzJ0LkUa" int2:invalidationBookmarkName="" int2:hashCode="/flD3YU/YOjwZr" int2:id="lzwWH5nW"/>
    <int2:bookmark int2:bookmarkName="_Int_LNtBkMoz" int2:invalidationBookmarkName="" int2:hashCode="GuDsOW80UgEePP" int2:id="vGi74IKt"/>
    <int2:bookmark int2:bookmarkName="_Int_zNKJYPTz" int2:invalidationBookmarkName="" int2:hashCode="keADyru8UlRHlf" int2:id="vLjP6IH4"/>
    <int2:bookmark int2:bookmarkName="_Int_X7yimMsw" int2:invalidationBookmarkName="" int2:hashCode="qjCTVURy/RExNb" int2:id="yjS6I6IE"/>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55A8"/>
    <w:multiLevelType w:val="multilevel"/>
    <w:tmpl w:val="D1C6309E"/>
    <w:lvl w:ilvl="0">
      <w:start w:val="13"/>
      <w:numFmt w:val="decimal"/>
      <w:lvlText w:val="%1."/>
      <w:lvlJc w:val="left"/>
      <w:pPr>
        <w:ind w:left="375" w:hanging="375"/>
      </w:pPr>
      <w:rPr>
        <w:rFonts w:ascii="Calibri" w:hAnsi="Calibri" w:cs="Times New Roman"/>
        <w:b/>
        <w:bCs/>
      </w:rPr>
    </w:lvl>
    <w:lvl w:ilvl="1">
      <w:start w:val="1"/>
      <w:numFmt w:val="decimal"/>
      <w:lvlText w:val="%1.%2"/>
      <w:lvlJc w:val="left"/>
      <w:pPr>
        <w:ind w:left="375" w:hanging="375"/>
      </w:pPr>
      <w:rPr>
        <w:rFonts w:ascii="Calibri" w:hAnsi="Calibri" w:cs="Times New Roman"/>
        <w:b w:val="0"/>
      </w:rPr>
    </w:lvl>
    <w:lvl w:ilvl="2">
      <w:start w:val="1"/>
      <w:numFmt w:val="decimal"/>
      <w:lvlText w:val="%1.%2.%3"/>
      <w:lvlJc w:val="left"/>
      <w:pPr>
        <w:ind w:left="720" w:hanging="720"/>
      </w:pPr>
      <w:rPr>
        <w:rFonts w:ascii="Calibri" w:hAnsi="Calibri" w:cs="Times New Roman"/>
        <w:b w:val="0"/>
      </w:rPr>
    </w:lvl>
    <w:lvl w:ilvl="3">
      <w:start w:val="1"/>
      <w:numFmt w:val="decimal"/>
      <w:lvlText w:val="%1.%2.%3.%4"/>
      <w:lvlJc w:val="left"/>
      <w:pPr>
        <w:ind w:left="720" w:hanging="720"/>
      </w:pPr>
      <w:rPr>
        <w:rFonts w:ascii="Calibri" w:hAnsi="Calibri" w:cs="Times New Roman"/>
        <w:b w:val="0"/>
      </w:rPr>
    </w:lvl>
    <w:lvl w:ilvl="4">
      <w:start w:val="1"/>
      <w:numFmt w:val="decimal"/>
      <w:lvlText w:val="%1.%2.%3.%4.%5"/>
      <w:lvlJc w:val="left"/>
      <w:pPr>
        <w:ind w:left="1080" w:hanging="1080"/>
      </w:pPr>
      <w:rPr>
        <w:rFonts w:ascii="Calibri" w:hAnsi="Calibri" w:cs="Times New Roman"/>
        <w:b w:val="0"/>
      </w:rPr>
    </w:lvl>
    <w:lvl w:ilvl="5">
      <w:start w:val="1"/>
      <w:numFmt w:val="decimal"/>
      <w:lvlText w:val="%1.%2.%3.%4.%5.%6"/>
      <w:lvlJc w:val="left"/>
      <w:pPr>
        <w:ind w:left="1080" w:hanging="1080"/>
      </w:pPr>
      <w:rPr>
        <w:rFonts w:ascii="Calibri" w:hAnsi="Calibri" w:cs="Times New Roman"/>
        <w:b w:val="0"/>
      </w:rPr>
    </w:lvl>
    <w:lvl w:ilvl="6">
      <w:start w:val="1"/>
      <w:numFmt w:val="decimal"/>
      <w:lvlText w:val="%1.%2.%3.%4.%5.%6.%7"/>
      <w:lvlJc w:val="left"/>
      <w:pPr>
        <w:ind w:left="1440" w:hanging="1440"/>
      </w:pPr>
      <w:rPr>
        <w:rFonts w:ascii="Calibri" w:hAnsi="Calibri" w:cs="Times New Roman"/>
        <w:b w:val="0"/>
      </w:rPr>
    </w:lvl>
    <w:lvl w:ilvl="7">
      <w:start w:val="1"/>
      <w:numFmt w:val="decimal"/>
      <w:lvlText w:val="%1.%2.%3.%4.%5.%6.%7.%8"/>
      <w:lvlJc w:val="left"/>
      <w:pPr>
        <w:ind w:left="1440" w:hanging="1440"/>
      </w:pPr>
      <w:rPr>
        <w:rFonts w:ascii="Calibri" w:hAnsi="Calibri" w:cs="Times New Roman"/>
        <w:b w:val="0"/>
      </w:rPr>
    </w:lvl>
    <w:lvl w:ilvl="8">
      <w:start w:val="1"/>
      <w:numFmt w:val="decimal"/>
      <w:lvlText w:val="%1.%2.%3.%4.%5.%6.%7.%8.%9"/>
      <w:lvlJc w:val="left"/>
      <w:pPr>
        <w:ind w:left="1800" w:hanging="1800"/>
      </w:pPr>
      <w:rPr>
        <w:rFonts w:ascii="Calibri" w:hAnsi="Calibri" w:cs="Times New Roman"/>
        <w:b w:val="0"/>
      </w:rPr>
    </w:lvl>
  </w:abstractNum>
  <w:abstractNum w:abstractNumId="1" w15:restartNumberingAfterBreak="0">
    <w:nsid w:val="0A8C4E62"/>
    <w:multiLevelType w:val="multilevel"/>
    <w:tmpl w:val="A94A1B48"/>
    <w:lvl w:ilvl="0">
      <w:start w:val="1"/>
      <w:numFmt w:val="decimal"/>
      <w:lvlText w:val="%1."/>
      <w:lvlJc w:val="left"/>
      <w:pPr>
        <w:ind w:left="360" w:hanging="360"/>
      </w:pPr>
      <w:rPr>
        <w:rFonts w:ascii="Calibri" w:hAnsi="Calibri" w:cs="Calibri"/>
      </w:rPr>
    </w:lvl>
    <w:lvl w:ilvl="1">
      <w:start w:val="1"/>
      <w:numFmt w:val="decimal"/>
      <w:lvlText w:val="%1.%2."/>
      <w:lvlJc w:val="left"/>
      <w:pPr>
        <w:ind w:left="792" w:hanging="432"/>
      </w:pPr>
      <w:rPr>
        <w:rFonts w:ascii="Calibri" w:hAnsi="Calibri" w:cs="Calibri"/>
        <w:b w:val="0"/>
        <w:bCs w:val="0"/>
        <w:color w:val="000000"/>
        <w:sz w:val="22"/>
        <w:szCs w:val="22"/>
      </w:rPr>
    </w:lvl>
    <w:lvl w:ilvl="2">
      <w:start w:val="1"/>
      <w:numFmt w:val="decimal"/>
      <w:lvlText w:val="%1.%2.%3."/>
      <w:lvlJc w:val="left"/>
      <w:pPr>
        <w:ind w:left="1224" w:hanging="504"/>
      </w:pPr>
      <w:rPr>
        <w:b w:val="0"/>
        <w:bCs/>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CB1DE3"/>
    <w:multiLevelType w:val="multilevel"/>
    <w:tmpl w:val="75944CCE"/>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B747C0"/>
    <w:multiLevelType w:val="multilevel"/>
    <w:tmpl w:val="B12EBBE2"/>
    <w:styleLink w:val="LFO15"/>
    <w:lvl w:ilvl="0">
      <w:start w:val="1"/>
      <w:numFmt w:val="decimal"/>
      <w:pStyle w:val="Level6"/>
      <w:lvlText w:val="%1"/>
      <w:lvlJc w:val="left"/>
      <w:pPr>
        <w:ind w:left="720" w:hanging="720"/>
      </w:pPr>
      <w:rPr>
        <w:b w:val="0"/>
        <w:caps w:val="0"/>
        <w:strike w:val="0"/>
        <w:dstrike w:val="0"/>
        <w:vanish w:val="0"/>
        <w:color w:val="auto"/>
        <w:position w:val="0"/>
        <w:u w:val="none"/>
        <w:vertAlign w:val="baseline"/>
      </w:rPr>
    </w:lvl>
    <w:lvl w:ilvl="1">
      <w:start w:val="1"/>
      <w:numFmt w:val="decimal"/>
      <w:lvlText w:val="%1.%2"/>
      <w:lvlJc w:val="left"/>
      <w:pPr>
        <w:ind w:left="720" w:hanging="720"/>
      </w:pPr>
      <w:rPr>
        <w:b w:val="0"/>
        <w:i w:val="0"/>
        <w:caps w:val="0"/>
        <w:strike w:val="0"/>
        <w:dstrike w:val="0"/>
        <w:vanish w:val="0"/>
        <w:color w:val="auto"/>
        <w:position w:val="0"/>
        <w:u w:val="none"/>
        <w:vertAlign w:val="baseline"/>
      </w:rPr>
    </w:lvl>
    <w:lvl w:ilvl="2">
      <w:start w:val="1"/>
      <w:numFmt w:val="lowerLetter"/>
      <w:lvlText w:val="(%3)"/>
      <w:lvlJc w:val="left"/>
      <w:pPr>
        <w:ind w:left="1440" w:hanging="720"/>
      </w:pPr>
      <w:rPr>
        <w:b w:val="0"/>
        <w:i w:val="0"/>
        <w:caps w:val="0"/>
        <w:smallCaps w:val="0"/>
        <w:strike w:val="0"/>
        <w:dstrike w:val="0"/>
        <w:vanish w:val="0"/>
        <w:color w:val="000000"/>
        <w:position w:val="0"/>
        <w:u w:val="none"/>
        <w:vertAlign w:val="baseline"/>
      </w:rPr>
    </w:lvl>
    <w:lvl w:ilvl="3">
      <w:start w:val="1"/>
      <w:numFmt w:val="lowerRoman"/>
      <w:lvlText w:val="(%4)"/>
      <w:lvlJc w:val="left"/>
      <w:pPr>
        <w:ind w:left="2160" w:hanging="720"/>
      </w:pPr>
      <w:rPr>
        <w:b w:val="0"/>
        <w:i w:val="0"/>
        <w:caps w:val="0"/>
        <w:smallCaps w:val="0"/>
        <w:strike w:val="0"/>
        <w:dstrike w:val="0"/>
        <w:vanish w:val="0"/>
        <w:color w:val="000000"/>
        <w:position w:val="0"/>
        <w:u w:val="none"/>
        <w:vertAlign w:val="baseline"/>
      </w:rPr>
    </w:lvl>
    <w:lvl w:ilvl="4">
      <w:start w:val="1"/>
      <w:numFmt w:val="upperLetter"/>
      <w:lvlText w:val="(%5)"/>
      <w:lvlJc w:val="left"/>
      <w:pPr>
        <w:ind w:left="2880" w:hanging="720"/>
      </w:pPr>
      <w:rPr>
        <w:b w:val="0"/>
        <w:i w:val="0"/>
        <w:caps w:val="0"/>
        <w:smallCaps w:val="0"/>
        <w:strike w:val="0"/>
        <w:dstrike w:val="0"/>
        <w:vanish w:val="0"/>
        <w:color w:val="000000"/>
        <w:position w:val="0"/>
        <w:u w:val="none"/>
        <w:vertAlign w:val="baseline"/>
      </w:rPr>
    </w:lvl>
    <w:lvl w:ilvl="5">
      <w:start w:val="1"/>
      <w:numFmt w:val="decimal"/>
      <w:lvlText w:val="%6)"/>
      <w:lvlJc w:val="left"/>
      <w:pPr>
        <w:ind w:left="3600" w:hanging="720"/>
      </w:pPr>
      <w:rPr>
        <w:b w:val="0"/>
        <w:i w:val="0"/>
        <w:caps w:val="0"/>
        <w:smallCaps w:val="0"/>
        <w:strike w:val="0"/>
        <w:dstrike w:val="0"/>
        <w:vanish w:val="0"/>
        <w:color w:val="000000"/>
        <w:position w:val="0"/>
        <w:u w:val="none"/>
        <w:vertAlign w:val="baseline"/>
      </w:rPr>
    </w:lvl>
    <w:lvl w:ilvl="6">
      <w:start w:val="1"/>
      <w:numFmt w:val="none"/>
      <w:suff w:val="nothing"/>
      <w:lvlText w:val="Not Defined%7"/>
      <w:lvlJc w:val="left"/>
      <w:rPr>
        <w:b w:val="0"/>
        <w:i w:val="0"/>
        <w:caps w:val="0"/>
        <w:smallCaps w:val="0"/>
        <w:strike w:val="0"/>
        <w:dstrike w:val="0"/>
        <w:vanish w:val="0"/>
        <w:color w:val="000000"/>
        <w:position w:val="0"/>
        <w:u w:val="none"/>
        <w:vertAlign w:val="baseline"/>
      </w:rPr>
    </w:lvl>
    <w:lvl w:ilvl="7">
      <w:start w:val="1"/>
      <w:numFmt w:val="none"/>
      <w:suff w:val="nothing"/>
      <w:lvlText w:val="Not Defined%8"/>
      <w:lvlJc w:val="left"/>
      <w:rPr>
        <w:b w:val="0"/>
        <w:i w:val="0"/>
        <w:caps w:val="0"/>
        <w:smallCaps w:val="0"/>
        <w:strike w:val="0"/>
        <w:dstrike w:val="0"/>
        <w:vanish w:val="0"/>
        <w:color w:val="000000"/>
        <w:position w:val="0"/>
        <w:u w:val="none"/>
        <w:vertAlign w:val="baseline"/>
      </w:rPr>
    </w:lvl>
    <w:lvl w:ilvl="8">
      <w:start w:val="1"/>
      <w:numFmt w:val="none"/>
      <w:suff w:val="nothing"/>
      <w:lvlText w:val="Not Defined%9"/>
      <w:lvlJc w:val="left"/>
      <w:rPr>
        <w:b w:val="0"/>
        <w:i w:val="0"/>
        <w:caps w:val="0"/>
        <w:smallCaps w:val="0"/>
        <w:strike w:val="0"/>
        <w:dstrike w:val="0"/>
        <w:vanish w:val="0"/>
        <w:color w:val="000000"/>
        <w:position w:val="0"/>
        <w:u w:val="none"/>
        <w:vertAlign w:val="baseline"/>
      </w:rPr>
    </w:lvl>
  </w:abstractNum>
  <w:abstractNum w:abstractNumId="4" w15:restartNumberingAfterBreak="0">
    <w:nsid w:val="1E70646C"/>
    <w:multiLevelType w:val="multilevel"/>
    <w:tmpl w:val="75944CCE"/>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AB0D4C"/>
    <w:multiLevelType w:val="multilevel"/>
    <w:tmpl w:val="AA8C4A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C890FBF"/>
    <w:multiLevelType w:val="multilevel"/>
    <w:tmpl w:val="660413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7A2F77"/>
    <w:multiLevelType w:val="multilevel"/>
    <w:tmpl w:val="567AED6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63C9528F"/>
    <w:multiLevelType w:val="multilevel"/>
    <w:tmpl w:val="206E70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8415572"/>
    <w:multiLevelType w:val="multilevel"/>
    <w:tmpl w:val="75944CCE"/>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188468A"/>
    <w:multiLevelType w:val="multilevel"/>
    <w:tmpl w:val="C53E863C"/>
    <w:lvl w:ilvl="0">
      <w:start w:val="3"/>
      <w:numFmt w:val="decimal"/>
      <w:lvlText w:val="%1"/>
      <w:lvlJc w:val="left"/>
      <w:pPr>
        <w:ind w:left="360" w:hanging="360"/>
      </w:pPr>
      <w:rPr>
        <w:rFonts w:ascii="Calibri" w:eastAsia="Calibri" w:hAnsi="Calibri" w:cs="Times New Roman"/>
      </w:rPr>
    </w:lvl>
    <w:lvl w:ilvl="1">
      <w:start w:val="1"/>
      <w:numFmt w:val="decimal"/>
      <w:lvlText w:val="%1.%2"/>
      <w:lvlJc w:val="left"/>
      <w:pPr>
        <w:ind w:left="360" w:hanging="360"/>
      </w:pPr>
      <w:rPr>
        <w:rFonts w:ascii="Calibri" w:eastAsia="Calibri" w:hAnsi="Calibri" w:cs="Times New Roman"/>
      </w:rPr>
    </w:lvl>
    <w:lvl w:ilvl="2">
      <w:start w:val="1"/>
      <w:numFmt w:val="decimal"/>
      <w:lvlText w:val="%1.%2.%3"/>
      <w:lvlJc w:val="left"/>
      <w:pPr>
        <w:ind w:left="720" w:hanging="720"/>
      </w:pPr>
      <w:rPr>
        <w:rFonts w:ascii="Calibri" w:eastAsia="Calibri" w:hAnsi="Calibri" w:cs="Times New Roman"/>
      </w:rPr>
    </w:lvl>
    <w:lvl w:ilvl="3">
      <w:start w:val="1"/>
      <w:numFmt w:val="decimal"/>
      <w:lvlText w:val="%1.%2.%3.%4"/>
      <w:lvlJc w:val="left"/>
      <w:pPr>
        <w:ind w:left="720" w:hanging="720"/>
      </w:pPr>
      <w:rPr>
        <w:rFonts w:ascii="Calibri" w:eastAsia="Calibri" w:hAnsi="Calibri" w:cs="Times New Roman"/>
      </w:rPr>
    </w:lvl>
    <w:lvl w:ilvl="4">
      <w:start w:val="1"/>
      <w:numFmt w:val="decimal"/>
      <w:lvlText w:val="%1.%2.%3.%4.%5"/>
      <w:lvlJc w:val="left"/>
      <w:pPr>
        <w:ind w:left="1080" w:hanging="1080"/>
      </w:pPr>
      <w:rPr>
        <w:rFonts w:ascii="Calibri" w:eastAsia="Calibri" w:hAnsi="Calibri" w:cs="Times New Roman"/>
      </w:rPr>
    </w:lvl>
    <w:lvl w:ilvl="5">
      <w:start w:val="1"/>
      <w:numFmt w:val="decimal"/>
      <w:lvlText w:val="%1.%2.%3.%4.%5.%6"/>
      <w:lvlJc w:val="left"/>
      <w:pPr>
        <w:ind w:left="1080" w:hanging="1080"/>
      </w:pPr>
      <w:rPr>
        <w:rFonts w:ascii="Calibri" w:eastAsia="Calibri" w:hAnsi="Calibri" w:cs="Times New Roman"/>
      </w:rPr>
    </w:lvl>
    <w:lvl w:ilvl="6">
      <w:start w:val="1"/>
      <w:numFmt w:val="decimal"/>
      <w:lvlText w:val="%1.%2.%3.%4.%5.%6.%7"/>
      <w:lvlJc w:val="left"/>
      <w:pPr>
        <w:ind w:left="1440" w:hanging="1440"/>
      </w:pPr>
      <w:rPr>
        <w:rFonts w:ascii="Calibri" w:eastAsia="Calibri" w:hAnsi="Calibri" w:cs="Times New Roman"/>
      </w:rPr>
    </w:lvl>
    <w:lvl w:ilvl="7">
      <w:start w:val="1"/>
      <w:numFmt w:val="decimal"/>
      <w:lvlText w:val="%1.%2.%3.%4.%5.%6.%7.%8"/>
      <w:lvlJc w:val="left"/>
      <w:pPr>
        <w:ind w:left="1440" w:hanging="1440"/>
      </w:pPr>
      <w:rPr>
        <w:rFonts w:ascii="Calibri" w:eastAsia="Calibri" w:hAnsi="Calibri" w:cs="Times New Roman"/>
      </w:rPr>
    </w:lvl>
    <w:lvl w:ilvl="8">
      <w:start w:val="1"/>
      <w:numFmt w:val="decimal"/>
      <w:lvlText w:val="%1.%2.%3.%4.%5.%6.%7.%8.%9"/>
      <w:lvlJc w:val="left"/>
      <w:pPr>
        <w:ind w:left="1440" w:hanging="1440"/>
      </w:pPr>
      <w:rPr>
        <w:rFonts w:ascii="Calibri" w:eastAsia="Calibri" w:hAnsi="Calibri" w:cs="Times New Roman"/>
      </w:rPr>
    </w:lvl>
  </w:abstractNum>
  <w:abstractNum w:abstractNumId="11" w15:restartNumberingAfterBreak="0">
    <w:nsid w:val="71A80A3B"/>
    <w:multiLevelType w:val="multilevel"/>
    <w:tmpl w:val="37CACD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4EF5250"/>
    <w:multiLevelType w:val="multilevel"/>
    <w:tmpl w:val="0FAECA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6"/>
  </w:num>
  <w:num w:numId="4">
    <w:abstractNumId w:val="9"/>
  </w:num>
  <w:num w:numId="5">
    <w:abstractNumId w:val="10"/>
  </w:num>
  <w:num w:numId="6">
    <w:abstractNumId w:val="7"/>
  </w:num>
  <w:num w:numId="7">
    <w:abstractNumId w:val="11"/>
  </w:num>
  <w:num w:numId="8">
    <w:abstractNumId w:val="5"/>
  </w:num>
  <w:num w:numId="9">
    <w:abstractNumId w:val="0"/>
  </w:num>
  <w:num w:numId="10">
    <w:abstractNumId w:val="12"/>
  </w:num>
  <w:num w:numId="11">
    <w:abstractNumId w:val="8"/>
  </w:num>
  <w:num w:numId="12">
    <w:abstractNumId w:val="8"/>
    <w:lvlOverride w:ilvl="0">
      <w:startOverride w:val="1"/>
    </w:lvlOverride>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7"/>
    <w:rsid w:val="00005896"/>
    <w:rsid w:val="00016536"/>
    <w:rsid w:val="00033A61"/>
    <w:rsid w:val="00043116"/>
    <w:rsid w:val="00047966"/>
    <w:rsid w:val="000867C5"/>
    <w:rsid w:val="00097DF0"/>
    <w:rsid w:val="000A125E"/>
    <w:rsid w:val="000B0602"/>
    <w:rsid w:val="000B640E"/>
    <w:rsid w:val="000D2C54"/>
    <w:rsid w:val="000D6B62"/>
    <w:rsid w:val="000E0319"/>
    <w:rsid w:val="0011700A"/>
    <w:rsid w:val="0012134B"/>
    <w:rsid w:val="00124719"/>
    <w:rsid w:val="001248F8"/>
    <w:rsid w:val="00136DCB"/>
    <w:rsid w:val="00164FE2"/>
    <w:rsid w:val="00176459"/>
    <w:rsid w:val="00181AC0"/>
    <w:rsid w:val="00191909"/>
    <w:rsid w:val="00197B81"/>
    <w:rsid w:val="001A4235"/>
    <w:rsid w:val="001B17F2"/>
    <w:rsid w:val="00204F4A"/>
    <w:rsid w:val="00207ED0"/>
    <w:rsid w:val="00213663"/>
    <w:rsid w:val="002236AA"/>
    <w:rsid w:val="00253677"/>
    <w:rsid w:val="00254BC5"/>
    <w:rsid w:val="00254EE8"/>
    <w:rsid w:val="0026529C"/>
    <w:rsid w:val="002727B4"/>
    <w:rsid w:val="002871F2"/>
    <w:rsid w:val="00291F6C"/>
    <w:rsid w:val="002A1CFF"/>
    <w:rsid w:val="002A4DB0"/>
    <w:rsid w:val="002B2C8F"/>
    <w:rsid w:val="002B7C2F"/>
    <w:rsid w:val="002C1577"/>
    <w:rsid w:val="002C2494"/>
    <w:rsid w:val="002D0A79"/>
    <w:rsid w:val="002D1793"/>
    <w:rsid w:val="002D5A38"/>
    <w:rsid w:val="002E07F1"/>
    <w:rsid w:val="002E0C76"/>
    <w:rsid w:val="002E20C9"/>
    <w:rsid w:val="002E5661"/>
    <w:rsid w:val="002F25B0"/>
    <w:rsid w:val="0030129B"/>
    <w:rsid w:val="00327D54"/>
    <w:rsid w:val="00336291"/>
    <w:rsid w:val="0034187C"/>
    <w:rsid w:val="00343754"/>
    <w:rsid w:val="00353EFF"/>
    <w:rsid w:val="0036257F"/>
    <w:rsid w:val="00363D8B"/>
    <w:rsid w:val="003816C2"/>
    <w:rsid w:val="00383B1B"/>
    <w:rsid w:val="003A100F"/>
    <w:rsid w:val="003A41B1"/>
    <w:rsid w:val="003B6252"/>
    <w:rsid w:val="003C2D1D"/>
    <w:rsid w:val="003C5BA8"/>
    <w:rsid w:val="003E2B31"/>
    <w:rsid w:val="003F0CF8"/>
    <w:rsid w:val="00400D62"/>
    <w:rsid w:val="00400EA0"/>
    <w:rsid w:val="00403D9A"/>
    <w:rsid w:val="00404EF5"/>
    <w:rsid w:val="00407E94"/>
    <w:rsid w:val="0041464F"/>
    <w:rsid w:val="004146D5"/>
    <w:rsid w:val="00414E39"/>
    <w:rsid w:val="00425187"/>
    <w:rsid w:val="00430564"/>
    <w:rsid w:val="00441E2B"/>
    <w:rsid w:val="004459D1"/>
    <w:rsid w:val="0045698F"/>
    <w:rsid w:val="00474EB0"/>
    <w:rsid w:val="00491C34"/>
    <w:rsid w:val="004A3364"/>
    <w:rsid w:val="004A33C7"/>
    <w:rsid w:val="004C3D2D"/>
    <w:rsid w:val="004C4035"/>
    <w:rsid w:val="004D29B3"/>
    <w:rsid w:val="004E616B"/>
    <w:rsid w:val="004F03DB"/>
    <w:rsid w:val="004F0E81"/>
    <w:rsid w:val="004F23A0"/>
    <w:rsid w:val="00512E0B"/>
    <w:rsid w:val="00516941"/>
    <w:rsid w:val="005504E8"/>
    <w:rsid w:val="005577C7"/>
    <w:rsid w:val="00560C61"/>
    <w:rsid w:val="00573A70"/>
    <w:rsid w:val="0058745F"/>
    <w:rsid w:val="005B17DF"/>
    <w:rsid w:val="005C14B2"/>
    <w:rsid w:val="005C2E3F"/>
    <w:rsid w:val="005E76B2"/>
    <w:rsid w:val="005F32EF"/>
    <w:rsid w:val="00607420"/>
    <w:rsid w:val="0062367D"/>
    <w:rsid w:val="00637FF5"/>
    <w:rsid w:val="00642F50"/>
    <w:rsid w:val="00662165"/>
    <w:rsid w:val="00662A5C"/>
    <w:rsid w:val="0066355C"/>
    <w:rsid w:val="00665285"/>
    <w:rsid w:val="00673C41"/>
    <w:rsid w:val="006950DF"/>
    <w:rsid w:val="006957A2"/>
    <w:rsid w:val="0069744F"/>
    <w:rsid w:val="006A0DE3"/>
    <w:rsid w:val="006B321A"/>
    <w:rsid w:val="006C088E"/>
    <w:rsid w:val="006C10AF"/>
    <w:rsid w:val="006F748B"/>
    <w:rsid w:val="007204B8"/>
    <w:rsid w:val="007302DF"/>
    <w:rsid w:val="00742870"/>
    <w:rsid w:val="00743587"/>
    <w:rsid w:val="00761399"/>
    <w:rsid w:val="00774953"/>
    <w:rsid w:val="00776ABE"/>
    <w:rsid w:val="00777280"/>
    <w:rsid w:val="007A0B12"/>
    <w:rsid w:val="007A41A8"/>
    <w:rsid w:val="007A66BF"/>
    <w:rsid w:val="007C2487"/>
    <w:rsid w:val="007C3786"/>
    <w:rsid w:val="007D3777"/>
    <w:rsid w:val="007E0237"/>
    <w:rsid w:val="007E3439"/>
    <w:rsid w:val="007F37BD"/>
    <w:rsid w:val="007F68E4"/>
    <w:rsid w:val="007F6C26"/>
    <w:rsid w:val="00806F03"/>
    <w:rsid w:val="008156D7"/>
    <w:rsid w:val="00820700"/>
    <w:rsid w:val="00825AB1"/>
    <w:rsid w:val="00826690"/>
    <w:rsid w:val="00840196"/>
    <w:rsid w:val="00843524"/>
    <w:rsid w:val="00847ACD"/>
    <w:rsid w:val="00865B7E"/>
    <w:rsid w:val="008734D2"/>
    <w:rsid w:val="00875860"/>
    <w:rsid w:val="00882F13"/>
    <w:rsid w:val="00885096"/>
    <w:rsid w:val="00886E93"/>
    <w:rsid w:val="0089124D"/>
    <w:rsid w:val="008A1F03"/>
    <w:rsid w:val="008A7705"/>
    <w:rsid w:val="008D270C"/>
    <w:rsid w:val="008F2731"/>
    <w:rsid w:val="00901F66"/>
    <w:rsid w:val="00917D76"/>
    <w:rsid w:val="00920A8A"/>
    <w:rsid w:val="00945F79"/>
    <w:rsid w:val="00955746"/>
    <w:rsid w:val="009721A0"/>
    <w:rsid w:val="0097390B"/>
    <w:rsid w:val="0098577D"/>
    <w:rsid w:val="009946C8"/>
    <w:rsid w:val="00995FA4"/>
    <w:rsid w:val="00997EE3"/>
    <w:rsid w:val="009A00DC"/>
    <w:rsid w:val="009B723D"/>
    <w:rsid w:val="009C1975"/>
    <w:rsid w:val="009C5077"/>
    <w:rsid w:val="009E0ED0"/>
    <w:rsid w:val="009E2E02"/>
    <w:rsid w:val="009E6708"/>
    <w:rsid w:val="009F684F"/>
    <w:rsid w:val="00A03A1F"/>
    <w:rsid w:val="00A07469"/>
    <w:rsid w:val="00A22F67"/>
    <w:rsid w:val="00A24645"/>
    <w:rsid w:val="00A267ED"/>
    <w:rsid w:val="00A26BAF"/>
    <w:rsid w:val="00A417E8"/>
    <w:rsid w:val="00A45713"/>
    <w:rsid w:val="00A54FE1"/>
    <w:rsid w:val="00A5687D"/>
    <w:rsid w:val="00A708B1"/>
    <w:rsid w:val="00A727B9"/>
    <w:rsid w:val="00A74F5C"/>
    <w:rsid w:val="00A77CA2"/>
    <w:rsid w:val="00A84873"/>
    <w:rsid w:val="00AB2688"/>
    <w:rsid w:val="00AB5687"/>
    <w:rsid w:val="00AC5B8E"/>
    <w:rsid w:val="00AD46FA"/>
    <w:rsid w:val="00AD6019"/>
    <w:rsid w:val="00AF0762"/>
    <w:rsid w:val="00AF1C39"/>
    <w:rsid w:val="00B00147"/>
    <w:rsid w:val="00B033B0"/>
    <w:rsid w:val="00B0599D"/>
    <w:rsid w:val="00B153E0"/>
    <w:rsid w:val="00B16FBC"/>
    <w:rsid w:val="00B17ED4"/>
    <w:rsid w:val="00B202ED"/>
    <w:rsid w:val="00B20B90"/>
    <w:rsid w:val="00B27B24"/>
    <w:rsid w:val="00B35C44"/>
    <w:rsid w:val="00B47B77"/>
    <w:rsid w:val="00B53D1C"/>
    <w:rsid w:val="00B618A2"/>
    <w:rsid w:val="00B65771"/>
    <w:rsid w:val="00B8182A"/>
    <w:rsid w:val="00B82FF8"/>
    <w:rsid w:val="00B8749E"/>
    <w:rsid w:val="00B931FF"/>
    <w:rsid w:val="00B97A03"/>
    <w:rsid w:val="00BA6A9B"/>
    <w:rsid w:val="00BA7C8F"/>
    <w:rsid w:val="00BB58A0"/>
    <w:rsid w:val="00BC4936"/>
    <w:rsid w:val="00BD12DD"/>
    <w:rsid w:val="00BD7D4B"/>
    <w:rsid w:val="00BE19CB"/>
    <w:rsid w:val="00BF31E1"/>
    <w:rsid w:val="00C0628B"/>
    <w:rsid w:val="00C21422"/>
    <w:rsid w:val="00C22EB6"/>
    <w:rsid w:val="00C24FF3"/>
    <w:rsid w:val="00C26197"/>
    <w:rsid w:val="00C32E19"/>
    <w:rsid w:val="00C65A3C"/>
    <w:rsid w:val="00C72F14"/>
    <w:rsid w:val="00C736F9"/>
    <w:rsid w:val="00C978FB"/>
    <w:rsid w:val="00CD1011"/>
    <w:rsid w:val="00CD2B2F"/>
    <w:rsid w:val="00CD6183"/>
    <w:rsid w:val="00CE778E"/>
    <w:rsid w:val="00D0174B"/>
    <w:rsid w:val="00D03881"/>
    <w:rsid w:val="00D11B42"/>
    <w:rsid w:val="00D27118"/>
    <w:rsid w:val="00D3644E"/>
    <w:rsid w:val="00D42484"/>
    <w:rsid w:val="00D4339F"/>
    <w:rsid w:val="00D440C0"/>
    <w:rsid w:val="00D47EBE"/>
    <w:rsid w:val="00D52397"/>
    <w:rsid w:val="00D81AB0"/>
    <w:rsid w:val="00D856FF"/>
    <w:rsid w:val="00D86283"/>
    <w:rsid w:val="00DA0A83"/>
    <w:rsid w:val="00DA4B21"/>
    <w:rsid w:val="00DB7E44"/>
    <w:rsid w:val="00DC0FD4"/>
    <w:rsid w:val="00DC61FA"/>
    <w:rsid w:val="00DD2D23"/>
    <w:rsid w:val="00DD32DB"/>
    <w:rsid w:val="00DD7B14"/>
    <w:rsid w:val="00DE23EE"/>
    <w:rsid w:val="00DE277A"/>
    <w:rsid w:val="00DF2B2C"/>
    <w:rsid w:val="00DF63C3"/>
    <w:rsid w:val="00DF64C5"/>
    <w:rsid w:val="00E14BEC"/>
    <w:rsid w:val="00E24BF6"/>
    <w:rsid w:val="00E2625E"/>
    <w:rsid w:val="00E30C3D"/>
    <w:rsid w:val="00E37DDC"/>
    <w:rsid w:val="00E43DC7"/>
    <w:rsid w:val="00E56378"/>
    <w:rsid w:val="00E75C82"/>
    <w:rsid w:val="00E85C8B"/>
    <w:rsid w:val="00E92F06"/>
    <w:rsid w:val="00ED2C5D"/>
    <w:rsid w:val="00EE19AB"/>
    <w:rsid w:val="00F25FC8"/>
    <w:rsid w:val="00F33073"/>
    <w:rsid w:val="00F40838"/>
    <w:rsid w:val="00F47ECF"/>
    <w:rsid w:val="00F52055"/>
    <w:rsid w:val="00F54D0F"/>
    <w:rsid w:val="00F57C21"/>
    <w:rsid w:val="00F737E6"/>
    <w:rsid w:val="00F775B6"/>
    <w:rsid w:val="00F943C6"/>
    <w:rsid w:val="00FB6AF0"/>
    <w:rsid w:val="00FE57D7"/>
    <w:rsid w:val="00FF039C"/>
    <w:rsid w:val="00FF3149"/>
    <w:rsid w:val="01DCC6ED"/>
    <w:rsid w:val="03EB88D9"/>
    <w:rsid w:val="058F085C"/>
    <w:rsid w:val="059074B5"/>
    <w:rsid w:val="079C0E78"/>
    <w:rsid w:val="08AF8492"/>
    <w:rsid w:val="095AF697"/>
    <w:rsid w:val="0A5E60CA"/>
    <w:rsid w:val="0A8E20D3"/>
    <w:rsid w:val="0BA196ED"/>
    <w:rsid w:val="0BA98473"/>
    <w:rsid w:val="0C31A056"/>
    <w:rsid w:val="0CB9C2F5"/>
    <w:rsid w:val="0EF8872A"/>
    <w:rsid w:val="0F5A0A12"/>
    <w:rsid w:val="1028893D"/>
    <w:rsid w:val="11BBFCD9"/>
    <w:rsid w:val="12026021"/>
    <w:rsid w:val="121F51BC"/>
    <w:rsid w:val="12ADD226"/>
    <w:rsid w:val="12BF670C"/>
    <w:rsid w:val="12C10636"/>
    <w:rsid w:val="12F29644"/>
    <w:rsid w:val="1367800D"/>
    <w:rsid w:val="13F2FACD"/>
    <w:rsid w:val="150C9EBA"/>
    <w:rsid w:val="15F7DCAF"/>
    <w:rsid w:val="16C6C17C"/>
    <w:rsid w:val="17BEB254"/>
    <w:rsid w:val="19C586BA"/>
    <w:rsid w:val="1AC3F8BF"/>
    <w:rsid w:val="1B3BD5EA"/>
    <w:rsid w:val="1B3D7514"/>
    <w:rsid w:val="1C55B08B"/>
    <w:rsid w:val="1D490ED7"/>
    <w:rsid w:val="1DA5CC62"/>
    <w:rsid w:val="1DCE0487"/>
    <w:rsid w:val="1E2CC4E8"/>
    <w:rsid w:val="1E2F876F"/>
    <w:rsid w:val="1E8C77CB"/>
    <w:rsid w:val="1EB9427C"/>
    <w:rsid w:val="1FAC6DF7"/>
    <w:rsid w:val="21518CA4"/>
    <w:rsid w:val="23186249"/>
    <w:rsid w:val="232D338D"/>
    <w:rsid w:val="23852BBB"/>
    <w:rsid w:val="26324727"/>
    <w:rsid w:val="2667322F"/>
    <w:rsid w:val="2739318E"/>
    <w:rsid w:val="27513338"/>
    <w:rsid w:val="28290FA6"/>
    <w:rsid w:val="28E48D92"/>
    <w:rsid w:val="292781AB"/>
    <w:rsid w:val="29FFF132"/>
    <w:rsid w:val="2B165CA4"/>
    <w:rsid w:val="2C019A99"/>
    <w:rsid w:val="2C1E5963"/>
    <w:rsid w:val="2C2E981B"/>
    <w:rsid w:val="2CED0B5F"/>
    <w:rsid w:val="2F6D5C1A"/>
    <w:rsid w:val="2FA24722"/>
    <w:rsid w:val="3060BA66"/>
    <w:rsid w:val="3088BFBA"/>
    <w:rsid w:val="30A2892C"/>
    <w:rsid w:val="30D24935"/>
    <w:rsid w:val="321F6FB4"/>
    <w:rsid w:val="343ACE58"/>
    <w:rsid w:val="34C7C5C3"/>
    <w:rsid w:val="36422A61"/>
    <w:rsid w:val="3801F736"/>
    <w:rsid w:val="3A7F5299"/>
    <w:rsid w:val="3B10C85B"/>
    <w:rsid w:val="3B6D85E6"/>
    <w:rsid w:val="3CB73D36"/>
    <w:rsid w:val="3CE5A711"/>
    <w:rsid w:val="3D1271C2"/>
    <w:rsid w:val="3D899132"/>
    <w:rsid w:val="3E1B06F4"/>
    <w:rsid w:val="3E8DEBF1"/>
    <w:rsid w:val="3ECEDB88"/>
    <w:rsid w:val="3FACBEC0"/>
    <w:rsid w:val="40C82260"/>
    <w:rsid w:val="41DCEEA8"/>
    <w:rsid w:val="42101DE0"/>
    <w:rsid w:val="438D3739"/>
    <w:rsid w:val="43CD35FA"/>
    <w:rsid w:val="43E9F4C4"/>
    <w:rsid w:val="457C1232"/>
    <w:rsid w:val="461D93DB"/>
    <w:rsid w:val="466A7850"/>
    <w:rsid w:val="467F4994"/>
    <w:rsid w:val="46C735DB"/>
    <w:rsid w:val="4795B506"/>
    <w:rsid w:val="47F76ABF"/>
    <w:rsid w:val="48243570"/>
    <w:rsid w:val="48861DFA"/>
    <w:rsid w:val="49845D2E"/>
    <w:rsid w:val="49881CCD"/>
    <w:rsid w:val="4AADCF98"/>
    <w:rsid w:val="4B17D0CA"/>
    <w:rsid w:val="4C9393F5"/>
    <w:rsid w:val="4E403A86"/>
    <w:rsid w:val="4E6872AB"/>
    <w:rsid w:val="4F1F2B3A"/>
    <w:rsid w:val="4F5875FD"/>
    <w:rsid w:val="524DB081"/>
    <w:rsid w:val="527EDBE8"/>
    <w:rsid w:val="5304363F"/>
    <w:rsid w:val="531C2FAC"/>
    <w:rsid w:val="5527C96F"/>
    <w:rsid w:val="562347B8"/>
    <w:rsid w:val="56A4E2C8"/>
    <w:rsid w:val="57A84CFB"/>
    <w:rsid w:val="5893BDC1"/>
    <w:rsid w:val="58C08872"/>
    <w:rsid w:val="59F3B2AE"/>
    <w:rsid w:val="5A7EF6BA"/>
    <w:rsid w:val="5B9DC989"/>
    <w:rsid w:val="5BCD8992"/>
    <w:rsid w:val="5C74363A"/>
    <w:rsid w:val="5D15C8F6"/>
    <w:rsid w:val="5E2DF35A"/>
    <w:rsid w:val="609972D1"/>
    <w:rsid w:val="610CBD70"/>
    <w:rsid w:val="613CF750"/>
    <w:rsid w:val="616D1CFB"/>
    <w:rsid w:val="622B903F"/>
    <w:rsid w:val="623B6955"/>
    <w:rsid w:val="623CF254"/>
    <w:rsid w:val="62FB6598"/>
    <w:rsid w:val="6356CCF5"/>
    <w:rsid w:val="63DEC141"/>
    <w:rsid w:val="641A3867"/>
    <w:rsid w:val="655D6E8A"/>
    <w:rsid w:val="660BD5E7"/>
    <w:rsid w:val="6737456E"/>
    <w:rsid w:val="68DF8A4E"/>
    <w:rsid w:val="6A015275"/>
    <w:rsid w:val="6AA306EF"/>
    <w:rsid w:val="6AE7CB0D"/>
    <w:rsid w:val="6B7B43A5"/>
    <w:rsid w:val="6BD30902"/>
    <w:rsid w:val="6D0B5E3D"/>
    <w:rsid w:val="6EE20CF8"/>
    <w:rsid w:val="6F7F2EE6"/>
    <w:rsid w:val="71A25C74"/>
    <w:rsid w:val="724DCE79"/>
    <w:rsid w:val="727DF424"/>
    <w:rsid w:val="72D2C429"/>
    <w:rsid w:val="737C3358"/>
    <w:rsid w:val="7454A2DF"/>
    <w:rsid w:val="747DE419"/>
    <w:rsid w:val="76564C46"/>
    <w:rsid w:val="7746B53A"/>
    <w:rsid w:val="7749AA92"/>
    <w:rsid w:val="77F0573A"/>
    <w:rsid w:val="7A53B65A"/>
    <w:rsid w:val="7A583CE0"/>
    <w:rsid w:val="7ADD7167"/>
    <w:rsid w:val="7B3A61C3"/>
    <w:rsid w:val="7B6BF1D1"/>
    <w:rsid w:val="7C1593D1"/>
    <w:rsid w:val="7D410358"/>
    <w:rsid w:val="7D906AE7"/>
    <w:rsid w:val="7DEC755D"/>
    <w:rsid w:val="7EEFDF90"/>
    <w:rsid w:val="7FDB1D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45F1D2"/>
  <w15:docId w15:val="{4AC85E8F-B072-4B00-95A2-FA891F42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uiPriority w:val="9"/>
    <w:qFormat/>
    <w:pPr>
      <w:keepNext/>
      <w:suppressAutoHyphens w:val="0"/>
      <w:spacing w:after="240"/>
      <w:jc w:val="both"/>
      <w:outlineLvl w:val="0"/>
    </w:pPr>
    <w:rPr>
      <w:rFonts w:ascii="Arial" w:eastAsia="STZhongsong" w:hAnsi="Arial"/>
      <w:b/>
      <w:caps/>
      <w:szCs w:val="20"/>
      <w:lang w:eastAsia="zh-CN"/>
    </w:rPr>
  </w:style>
  <w:style w:type="paragraph" w:styleId="Heading8">
    <w:name w:val="heading 8"/>
    <w:basedOn w:val="Normal"/>
    <w:next w:val="Normal"/>
    <w:pPr>
      <w:keepNext/>
      <w:keepLines/>
      <w:spacing w:before="40" w:after="0"/>
      <w:outlineLvl w:val="7"/>
    </w:pPr>
    <w:rPr>
      <w:rFonts w:ascii="Calibri Light" w:eastAsia="Times New Roman" w:hAnsi="Calibri Light"/>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pPr>
      <w:spacing w:before="100" w:after="100"/>
    </w:pPr>
    <w:rPr>
      <w:rFonts w:ascii="Times New Roman" w:eastAsia="Times New Roman" w:hAnsi="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styleId="ListParagraph">
    <w:name w:val="List Paragraph"/>
    <w:basedOn w:val="Normal"/>
    <w:pPr>
      <w:ind w:left="720"/>
      <w:contextualSpacing/>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Caption">
    <w:name w:val="caption"/>
    <w:basedOn w:val="Normal"/>
    <w:next w:val="Normal"/>
    <w:pPr>
      <w:spacing w:after="200"/>
    </w:pPr>
    <w:rPr>
      <w:i/>
      <w:iCs/>
      <w:color w:val="44546A"/>
      <w:sz w:val="18"/>
      <w:szCs w:val="18"/>
    </w:rPr>
  </w:style>
  <w:style w:type="character" w:customStyle="1" w:styleId="Heading1Char">
    <w:name w:val="Heading 1 Char"/>
    <w:basedOn w:val="DefaultParagraphFont"/>
    <w:rPr>
      <w:rFonts w:ascii="Arial" w:eastAsia="STZhongsong" w:hAnsi="Arial"/>
      <w:b/>
      <w:caps/>
      <w:szCs w:val="20"/>
      <w:lang w:eastAsia="zh-CN"/>
    </w:rPr>
  </w:style>
  <w:style w:type="character" w:customStyle="1" w:styleId="Heading8Char">
    <w:name w:val="Heading 8 Char"/>
    <w:basedOn w:val="DefaultParagraphFont"/>
    <w:rPr>
      <w:rFonts w:ascii="Calibri Light" w:eastAsia="Times New Roman" w:hAnsi="Calibri Light" w:cs="Times New Roman"/>
      <w:color w:val="272727"/>
      <w:sz w:val="21"/>
      <w:szCs w:val="21"/>
    </w:rPr>
  </w:style>
  <w:style w:type="paragraph" w:customStyle="1" w:styleId="bodystrongcentred">
    <w:name w:val="body strong centred"/>
    <w:basedOn w:val="Normal"/>
    <w:pPr>
      <w:suppressAutoHyphens w:val="0"/>
      <w:spacing w:after="0"/>
      <w:jc w:val="center"/>
    </w:pPr>
    <w:rPr>
      <w:rFonts w:ascii="Arial" w:eastAsia="SimSun" w:hAnsi="Arial"/>
      <w:b/>
      <w:lang w:eastAsia="en-GB"/>
    </w:rPr>
  </w:style>
  <w:style w:type="paragraph" w:styleId="NoSpacing">
    <w:name w:val="No Spacing"/>
    <w:pPr>
      <w:suppressAutoHyphens/>
      <w:spacing w:after="0"/>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TOCHeading">
    <w:name w:val="TOC Heading"/>
    <w:basedOn w:val="Heading1"/>
    <w:next w:val="Normal"/>
    <w:pPr>
      <w:keepLines/>
      <w:spacing w:before="240" w:after="0" w:line="256" w:lineRule="auto"/>
      <w:jc w:val="left"/>
    </w:pPr>
    <w:rPr>
      <w:rFonts w:ascii="Calibri Light" w:eastAsia="Times New Roman" w:hAnsi="Calibri Light"/>
      <w:b w:val="0"/>
      <w:caps w:val="0"/>
      <w:color w:val="2F5496"/>
      <w:sz w:val="32"/>
      <w:szCs w:val="32"/>
      <w:lang w:val="en-US" w:eastAsia="en-US"/>
    </w:rPr>
  </w:style>
  <w:style w:type="paragraph" w:styleId="TOC1">
    <w:name w:val="toc 1"/>
    <w:basedOn w:val="Normal"/>
    <w:next w:val="Normal"/>
    <w:autoRedefine/>
    <w:uiPriority w:val="39"/>
    <w:rsid w:val="00E24BF6"/>
    <w:pPr>
      <w:tabs>
        <w:tab w:val="left" w:pos="709"/>
        <w:tab w:val="right" w:leader="dot" w:pos="9746"/>
      </w:tabs>
      <w:spacing w:after="100"/>
      <w:ind w:left="709" w:hanging="709"/>
    </w:pPr>
  </w:style>
  <w:style w:type="character" w:styleId="Hyperlink">
    <w:name w:val="Hyperlink"/>
    <w:basedOn w:val="DefaultParagraphFont"/>
    <w:uiPriority w:val="99"/>
    <w:rPr>
      <w:color w:val="0563C1"/>
      <w:u w:val="single"/>
    </w:rPr>
  </w:style>
  <w:style w:type="paragraph" w:customStyle="1" w:styleId="Level1">
    <w:name w:val="Level 1"/>
    <w:basedOn w:val="Normal"/>
    <w:pPr>
      <w:suppressAutoHyphens w:val="0"/>
      <w:spacing w:after="200" w:line="360" w:lineRule="auto"/>
      <w:jc w:val="both"/>
    </w:pPr>
    <w:rPr>
      <w:rFonts w:ascii="Arial" w:hAnsi="Arial" w:cs="Arial"/>
      <w:sz w:val="20"/>
      <w:szCs w:val="20"/>
      <w:lang w:eastAsia="en-GB"/>
    </w:rPr>
  </w:style>
  <w:style w:type="paragraph" w:customStyle="1" w:styleId="Level2">
    <w:name w:val="Level 2"/>
    <w:basedOn w:val="Normal"/>
    <w:pPr>
      <w:suppressAutoHyphens w:val="0"/>
      <w:spacing w:after="200" w:line="360" w:lineRule="auto"/>
      <w:jc w:val="both"/>
    </w:pPr>
    <w:rPr>
      <w:rFonts w:ascii="Arial" w:hAnsi="Arial" w:cs="Arial"/>
      <w:sz w:val="20"/>
      <w:szCs w:val="20"/>
      <w:lang w:eastAsia="en-GB"/>
    </w:rPr>
  </w:style>
  <w:style w:type="paragraph" w:customStyle="1" w:styleId="Level3">
    <w:name w:val="Level 3"/>
    <w:basedOn w:val="Normal"/>
    <w:pPr>
      <w:suppressAutoHyphens w:val="0"/>
      <w:spacing w:after="200" w:line="360" w:lineRule="auto"/>
      <w:jc w:val="both"/>
    </w:pPr>
    <w:rPr>
      <w:rFonts w:ascii="Arial" w:hAnsi="Arial" w:cs="Arial"/>
      <w:sz w:val="20"/>
      <w:szCs w:val="20"/>
      <w:lang w:eastAsia="en-GB"/>
    </w:rPr>
  </w:style>
  <w:style w:type="paragraph" w:customStyle="1" w:styleId="Level4">
    <w:name w:val="Level 4"/>
    <w:basedOn w:val="Normal"/>
    <w:pPr>
      <w:suppressAutoHyphens w:val="0"/>
      <w:spacing w:after="200" w:line="360" w:lineRule="auto"/>
      <w:jc w:val="both"/>
    </w:pPr>
    <w:rPr>
      <w:rFonts w:ascii="Arial" w:hAnsi="Arial" w:cs="Arial"/>
      <w:sz w:val="20"/>
      <w:szCs w:val="20"/>
      <w:lang w:eastAsia="en-GB"/>
    </w:rPr>
  </w:style>
  <w:style w:type="paragraph" w:customStyle="1" w:styleId="Level5">
    <w:name w:val="Level 5"/>
    <w:basedOn w:val="Normal"/>
    <w:pPr>
      <w:suppressAutoHyphens w:val="0"/>
      <w:spacing w:after="200" w:line="360" w:lineRule="auto"/>
      <w:jc w:val="both"/>
    </w:pPr>
    <w:rPr>
      <w:rFonts w:ascii="Arial" w:hAnsi="Arial" w:cs="Arial"/>
      <w:sz w:val="20"/>
      <w:szCs w:val="20"/>
      <w:lang w:eastAsia="en-GB"/>
    </w:rPr>
  </w:style>
  <w:style w:type="paragraph" w:customStyle="1" w:styleId="Level6">
    <w:name w:val="Level 6"/>
    <w:basedOn w:val="Normal"/>
    <w:pPr>
      <w:numPr>
        <w:numId w:val="1"/>
      </w:numPr>
      <w:suppressAutoHyphens w:val="0"/>
      <w:spacing w:after="200" w:line="360" w:lineRule="auto"/>
      <w:jc w:val="both"/>
    </w:pPr>
    <w:rPr>
      <w:rFonts w:ascii="Arial" w:hAnsi="Arial" w:cs="Arial"/>
      <w:sz w:val="20"/>
      <w:szCs w:val="20"/>
      <w:lang w:eastAsia="en-GB"/>
    </w:rPr>
  </w:style>
  <w:style w:type="numbering" w:customStyle="1" w:styleId="LFO15">
    <w:name w:val="LFO15"/>
    <w:basedOn w:val="NoList"/>
    <w:pPr>
      <w:numPr>
        <w:numId w:val="1"/>
      </w:numPr>
    </w:pPr>
  </w:style>
  <w:style w:type="character" w:styleId="UnresolvedMention">
    <w:name w:val="Unresolved Mention"/>
    <w:basedOn w:val="DefaultParagraphFont"/>
    <w:uiPriority w:val="99"/>
    <w:unhideWhenUsed/>
    <w:rsid w:val="00CD2B2F"/>
    <w:rPr>
      <w:color w:val="605E5C"/>
      <w:shd w:val="clear" w:color="auto" w:fill="E1DFDD"/>
    </w:rPr>
  </w:style>
  <w:style w:type="character" w:styleId="Mention">
    <w:name w:val="Mention"/>
    <w:basedOn w:val="DefaultParagraphFont"/>
    <w:uiPriority w:val="99"/>
    <w:unhideWhenUsed/>
    <w:rsid w:val="00CD2B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AF0AD0551AEC4BBAEF4FED9F020C59" ma:contentTypeVersion="" ma:contentTypeDescription="Create a new document." ma:contentTypeScope="" ma:versionID="42fe8fccd7e7d4c8d2271d1e22a5b26e">
  <xsd:schema xmlns:xsd="http://www.w3.org/2001/XMLSchema" xmlns:xs="http://www.w3.org/2001/XMLSchema" xmlns:p="http://schemas.microsoft.com/office/2006/metadata/properties" xmlns:ns2="c1736052-3abe-4d08-8c2f-53ffd049c1e2" targetNamespace="http://schemas.microsoft.com/office/2006/metadata/properties" ma:root="true" ma:fieldsID="06b02f037c881dedeeec43ad8579e932" ns2:_="">
    <xsd:import namespace="c1736052-3abe-4d08-8c2f-53ffd049c1e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36052-3abe-4d08-8c2f-53ffd049c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B4C281-C15F-4D1E-BD7E-35411CC732F3}">
  <ds:schemaRefs>
    <ds:schemaRef ds:uri="http://schemas.microsoft.com/sharepoint/v3/contenttype/forms"/>
  </ds:schemaRefs>
</ds:datastoreItem>
</file>

<file path=customXml/itemProps2.xml><?xml version="1.0" encoding="utf-8"?>
<ds:datastoreItem xmlns:ds="http://schemas.openxmlformats.org/officeDocument/2006/customXml" ds:itemID="{B1FB6EE2-D2A9-47A2-9164-AB240878E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36052-3abe-4d08-8c2f-53ffd049c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1213EA-7580-4BA0-AB93-2981C3364141}">
  <ds:schemaRefs>
    <ds:schemaRef ds:uri="http://schemas.openxmlformats.org/officeDocument/2006/bibliography"/>
  </ds:schemaRefs>
</ds:datastoreItem>
</file>

<file path=customXml/itemProps4.xml><?xml version="1.0" encoding="utf-8"?>
<ds:datastoreItem xmlns:ds="http://schemas.openxmlformats.org/officeDocument/2006/customXml" ds:itemID="{82150BB2-AE9E-4AED-B5EC-E17F28F11561}">
  <ds:schemaRefs>
    <ds:schemaRef ds:uri="http://purl.org/dc/elements/1.1/"/>
    <ds:schemaRef ds:uri="http://schemas.microsoft.com/office/2006/metadata/properties"/>
    <ds:schemaRef ds:uri="http://purl.org/dc/terms/"/>
    <ds:schemaRef ds:uri="http://schemas.microsoft.com/office/2006/documentManagement/types"/>
    <ds:schemaRef ds:uri="c1736052-3abe-4d08-8c2f-53ffd049c1e2"/>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2967</Words>
  <Characters>16915</Characters>
  <Application>Microsoft Office Word</Application>
  <DocSecurity>0</DocSecurity>
  <Lines>140</Lines>
  <Paragraphs>39</Paragraphs>
  <ScaleCrop>false</ScaleCrop>
  <Company/>
  <LinksUpToDate>false</LinksUpToDate>
  <CharactersWithSpaces>19843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Aldridge, Lydia D (Army Progs-CTTP-CapDel-PjSp1-SO3)</dc:creator>
  <cp:keywords/>
  <dc:description/>
  <cp:lastModifiedBy>Davis, Sophie C2 (Army StratCen-Comrcl-Proj-2)</cp:lastModifiedBy>
  <cp:revision>158</cp:revision>
  <cp:lastPrinted>2022-05-19T23:14:00Z</cp:lastPrinted>
  <dcterms:created xsi:type="dcterms:W3CDTF">2022-07-14T19:13:00Z</dcterms:created>
  <dcterms:modified xsi:type="dcterms:W3CDTF">2022-09-20T19:49:00Z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1,2,3,4,5,6,7,8,9,a,b,c,d,e,f</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10,11,12,13,14,15,16,17,18,19,1a,1b,1c,1d,1e</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2022-07-14T11:43:23Z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8d07db28-ea99-4ca7-b56f-bf11428b20fe</vt:lpwstr>
  </property>
  <property fmtid="{D5CDD505-2E9C-101B-9397-08002B2CF9AE}" pid="14" name="MSIP_Label_5e992740-1f89-4ed6-b51b-95a6d0136ac8_ContentBits">
    <vt:lpwstr>3</vt:lpwstr>
  </property>
  <property fmtid="{D5CDD505-2E9C-101B-9397-08002B2CF9AE}" pid="15" name="ContentTypeId">
    <vt:lpwstr>0x0101009AAF0AD0551AEC4BBAEF4FED9F020C59</vt:lpwstr>
  </property>
</Properties>
</file>