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49669B85" w:rsidR="003A05B7" w:rsidRPr="007D76BE" w:rsidRDefault="003A05B7" w:rsidP="00CD0D43">
      <w:pPr>
        <w:pStyle w:val="Heading1"/>
      </w:pPr>
      <w:r w:rsidRPr="007D76BE">
        <w:t xml:space="preserve">Specification for </w:t>
      </w:r>
      <w:r w:rsidR="006C39E8">
        <w:t>“U</w:t>
      </w:r>
      <w:r w:rsidR="007D76BE" w:rsidRPr="007D76BE">
        <w:t xml:space="preserve">nderstanding the </w:t>
      </w:r>
      <w:r w:rsidR="001C03F8">
        <w:t>requirements and barriers for modal shift, away from cars to alternative modes of transport, in the UK</w:t>
      </w:r>
      <w:r w:rsidR="006C39E8">
        <w:t>”</w:t>
      </w:r>
    </w:p>
    <w:p w14:paraId="621E9AD3" w14:textId="77777777" w:rsidR="003A05B7" w:rsidRPr="003A05B7" w:rsidRDefault="003A05B7" w:rsidP="00157906">
      <w:pPr>
        <w:pStyle w:val="Norma"/>
      </w:pPr>
    </w:p>
    <w:p w14:paraId="4B2676A1" w14:textId="77777777" w:rsidR="003A05B7" w:rsidRPr="003A05B7" w:rsidRDefault="003A05B7" w:rsidP="00157906">
      <w:pPr>
        <w:pStyle w:val="Norma"/>
      </w:pPr>
    </w:p>
    <w:p w14:paraId="1DA1E07F" w14:textId="77777777" w:rsidR="003A05B7" w:rsidRPr="003A05B7" w:rsidRDefault="003A05B7" w:rsidP="00157906">
      <w:pPr>
        <w:pStyle w:val="Norma"/>
      </w:pPr>
    </w:p>
    <w:p w14:paraId="662E3217" w14:textId="560DE65E" w:rsidR="003A05B7" w:rsidRPr="003A05B7" w:rsidRDefault="003A05B7" w:rsidP="00157906">
      <w:pPr>
        <w:pStyle w:val="Norma"/>
        <w:rPr>
          <w:color w:val="FF0000"/>
        </w:rPr>
      </w:pPr>
      <w:r w:rsidRPr="003A05B7">
        <w:t xml:space="preserve">Tender Reference Number: </w:t>
      </w:r>
      <w:r w:rsidR="00403A0E">
        <w:rPr>
          <w:color w:val="FF0000"/>
        </w:rPr>
        <w:t>JJ-1122</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CD0D43">
      <w:pPr>
        <w:pStyle w:val="Heading1"/>
      </w:pPr>
      <w:r w:rsidRPr="003A05B7">
        <w:t>Specification of Requirements</w:t>
      </w:r>
    </w:p>
    <w:p w14:paraId="18CC1ED6" w14:textId="77777777" w:rsidR="003A05B7" w:rsidRPr="003A05B7" w:rsidRDefault="003A05B7" w:rsidP="00157906">
      <w:pPr>
        <w:pStyle w:val="Norma"/>
      </w:pPr>
    </w:p>
    <w:p w14:paraId="65C01DAE" w14:textId="70230DFC" w:rsidR="007D76BE" w:rsidRDefault="003A05B7" w:rsidP="00157906">
      <w:pPr>
        <w:pStyle w:val="Norma"/>
      </w:pPr>
      <w:r w:rsidRPr="003A05B7">
        <w:t xml:space="preserve">Invitation to Tender </w:t>
      </w:r>
      <w:r w:rsidRPr="007D76BE">
        <w:t xml:space="preserve">for </w:t>
      </w:r>
      <w:r w:rsidR="003A391E">
        <w:t>“</w:t>
      </w:r>
      <w:r w:rsidR="001C03F8">
        <w:t>U</w:t>
      </w:r>
      <w:r w:rsidR="001C03F8" w:rsidRPr="007D76BE">
        <w:t xml:space="preserve">nderstanding the </w:t>
      </w:r>
      <w:r w:rsidR="001C03F8">
        <w:t>requirements and barriers for modal shift, away from cars to alternative modes of transport, in the UK.</w:t>
      </w:r>
      <w:r w:rsidR="003A391E">
        <w:t>”</w:t>
      </w:r>
    </w:p>
    <w:p w14:paraId="587F8ACE" w14:textId="77777777" w:rsidR="00CD0D43" w:rsidRDefault="00CD0D43" w:rsidP="00157906">
      <w:pPr>
        <w:pStyle w:val="Norma"/>
        <w:rPr>
          <w:color w:val="FF0000"/>
        </w:rPr>
      </w:pPr>
    </w:p>
    <w:p w14:paraId="2BF4D589" w14:textId="037F32C9" w:rsidR="003A05B7" w:rsidRPr="003A05B7" w:rsidRDefault="003A05B7" w:rsidP="00157906">
      <w:pPr>
        <w:pStyle w:val="Norma"/>
      </w:pPr>
      <w:r w:rsidRPr="003A05B7">
        <w:t xml:space="preserve">Tender Reference Number: </w:t>
      </w:r>
      <w:r w:rsidR="00403A0E">
        <w:rPr>
          <w:color w:val="FF0000"/>
        </w:rPr>
        <w:t>JJ-1122</w:t>
      </w:r>
    </w:p>
    <w:p w14:paraId="6AB0AC47" w14:textId="162C18C8" w:rsidR="003A05B7" w:rsidRPr="003A05B7" w:rsidRDefault="003A05B7" w:rsidP="00157906">
      <w:pPr>
        <w:pStyle w:val="Norma"/>
      </w:pPr>
      <w:r w:rsidRPr="003A05B7">
        <w:t>Deadline for Tender Responses:</w:t>
      </w:r>
      <w:r w:rsidR="00554E79">
        <w:t xml:space="preserve"> </w:t>
      </w:r>
      <w:r w:rsidR="00BE6C90">
        <w:t>3</w:t>
      </w:r>
      <w:r w:rsidR="00BE6C90" w:rsidRPr="00BE6C90">
        <w:rPr>
          <w:vertAlign w:val="superscript"/>
        </w:rPr>
        <w:t>rd</w:t>
      </w:r>
      <w:r w:rsidR="00BE6C90">
        <w:t xml:space="preserve"> January 2023</w:t>
      </w:r>
    </w:p>
    <w:p w14:paraId="16CE12E3" w14:textId="77777777" w:rsidR="003A05B7" w:rsidRDefault="003A05B7" w:rsidP="003A05B7">
      <w:pPr>
        <w:pStyle w:val="BodyText"/>
        <w:jc w:val="both"/>
      </w:pPr>
    </w:p>
    <w:p w14:paraId="63698C39" w14:textId="77777777" w:rsidR="003A05B7" w:rsidRDefault="003A05B7" w:rsidP="004E6806">
      <w:pPr>
        <w:pStyle w:val="BodyText"/>
      </w:pPr>
    </w:p>
    <w:p w14:paraId="6335403F" w14:textId="77777777" w:rsidR="003A05B7" w:rsidRPr="003A05B7" w:rsidRDefault="003A05B7" w:rsidP="00CD0D43">
      <w:pPr>
        <w:pStyle w:val="Heading1"/>
      </w:pPr>
      <w:r w:rsidRPr="003A05B7">
        <w:t>Contents</w:t>
      </w:r>
    </w:p>
    <w:sdt>
      <w:sdtPr>
        <w:rPr>
          <w:rFonts w:asciiTheme="majorHAnsi" w:hAnsiTheme="majorHAnsi"/>
          <w:color w:val="auto"/>
          <w:sz w:val="22"/>
          <w:szCs w:val="20"/>
        </w:rPr>
        <w:id w:val="1434937102"/>
        <w:docPartObj>
          <w:docPartGallery w:val="Table of Contents"/>
          <w:docPartUnique/>
        </w:docPartObj>
      </w:sdtPr>
      <w:sdtEndPr>
        <w:rPr>
          <w:b/>
          <w:bCs/>
          <w:noProof/>
        </w:rPr>
      </w:sdtEndPr>
      <w:sdtContent>
        <w:p w14:paraId="0A67786A" w14:textId="1369764F" w:rsidR="007D76BE" w:rsidRPr="00CD0D43" w:rsidRDefault="007D76BE" w:rsidP="00CD0D43">
          <w:pPr>
            <w:pStyle w:val="BodyText"/>
            <w:rPr>
              <w:rFonts w:asciiTheme="majorHAnsi" w:hAnsiTheme="majorHAnsi"/>
              <w:szCs w:val="20"/>
            </w:rPr>
          </w:pPr>
        </w:p>
        <w:p w14:paraId="5A0C5887" w14:textId="200A3D6D" w:rsidR="007D76BE" w:rsidRPr="00CD0D43" w:rsidRDefault="007D76BE" w:rsidP="00CD0D43">
          <w:pPr>
            <w:pStyle w:val="TOC1"/>
            <w:rPr>
              <w:rFonts w:asciiTheme="majorHAnsi" w:eastAsiaTheme="minorEastAsia" w:hAnsiTheme="majorHAnsi" w:cstheme="minorBidi"/>
              <w:noProof/>
              <w:sz w:val="20"/>
              <w:szCs w:val="20"/>
              <w:lang w:eastAsia="en-GB"/>
            </w:rPr>
          </w:pPr>
          <w:r w:rsidRPr="00CD0D43">
            <w:rPr>
              <w:rFonts w:asciiTheme="majorHAnsi" w:hAnsiTheme="majorHAnsi"/>
              <w:sz w:val="20"/>
              <w:szCs w:val="20"/>
            </w:rPr>
            <w:fldChar w:fldCharType="begin"/>
          </w:r>
          <w:r w:rsidRPr="00CD0D43">
            <w:rPr>
              <w:rFonts w:asciiTheme="majorHAnsi" w:hAnsiTheme="majorHAnsi"/>
              <w:sz w:val="20"/>
              <w:szCs w:val="20"/>
            </w:rPr>
            <w:instrText xml:space="preserve"> TOC \o "1-3" \h \z \u </w:instrText>
          </w:r>
          <w:r w:rsidRPr="00CD0D43">
            <w:rPr>
              <w:rFonts w:asciiTheme="majorHAnsi" w:hAnsiTheme="majorHAnsi"/>
              <w:sz w:val="20"/>
              <w:szCs w:val="20"/>
            </w:rPr>
            <w:fldChar w:fldCharType="separate"/>
          </w:r>
          <w:hyperlink w:anchor="_Toc83376638" w:history="1">
            <w:r w:rsidRPr="00CD0D43">
              <w:rPr>
                <w:rStyle w:val="Hyperlink"/>
                <w:rFonts w:asciiTheme="majorHAnsi" w:hAnsiTheme="majorHAnsi" w:cs="Arial"/>
                <w:noProof/>
                <w:sz w:val="20"/>
                <w:szCs w:val="20"/>
              </w:rPr>
              <w:t>1</w:t>
            </w:r>
            <w:r w:rsidRPr="00CD0D43">
              <w:rPr>
                <w:rFonts w:asciiTheme="majorHAnsi" w:eastAsiaTheme="minorEastAsia" w:hAnsiTheme="majorHAnsi" w:cstheme="minorBidi"/>
                <w:noProof/>
                <w:sz w:val="20"/>
                <w:szCs w:val="20"/>
                <w:lang w:eastAsia="en-GB"/>
              </w:rPr>
              <w:tab/>
            </w:r>
            <w:r w:rsidRPr="00CD0D43">
              <w:rPr>
                <w:rStyle w:val="Hyperlink"/>
                <w:rFonts w:asciiTheme="majorHAnsi" w:hAnsiTheme="majorHAnsi" w:cs="Arial"/>
                <w:noProof/>
                <w:sz w:val="20"/>
                <w:szCs w:val="20"/>
              </w:rPr>
              <w:t>Preamble</w:t>
            </w:r>
            <w:r w:rsidRPr="00CD0D43">
              <w:rPr>
                <w:rFonts w:asciiTheme="majorHAnsi" w:hAnsiTheme="majorHAnsi"/>
                <w:noProof/>
                <w:webHidden/>
                <w:sz w:val="20"/>
                <w:szCs w:val="20"/>
              </w:rPr>
              <w:tab/>
            </w:r>
            <w:r w:rsidRPr="00CD0D43">
              <w:rPr>
                <w:rFonts w:asciiTheme="majorHAnsi" w:hAnsiTheme="majorHAnsi"/>
                <w:noProof/>
                <w:webHidden/>
                <w:sz w:val="20"/>
                <w:szCs w:val="20"/>
              </w:rPr>
              <w:fldChar w:fldCharType="begin"/>
            </w:r>
            <w:r w:rsidRPr="00CD0D43">
              <w:rPr>
                <w:rFonts w:asciiTheme="majorHAnsi" w:hAnsiTheme="majorHAnsi"/>
                <w:noProof/>
                <w:webHidden/>
                <w:sz w:val="20"/>
                <w:szCs w:val="20"/>
              </w:rPr>
              <w:instrText xml:space="preserve"> PAGEREF _Toc83376638 \h </w:instrText>
            </w:r>
            <w:r w:rsidRPr="00CD0D43">
              <w:rPr>
                <w:rFonts w:asciiTheme="majorHAnsi" w:hAnsiTheme="majorHAnsi"/>
                <w:noProof/>
                <w:webHidden/>
                <w:sz w:val="20"/>
                <w:szCs w:val="20"/>
              </w:rPr>
            </w:r>
            <w:r w:rsidRPr="00CD0D43">
              <w:rPr>
                <w:rFonts w:asciiTheme="majorHAnsi" w:hAnsiTheme="majorHAnsi"/>
                <w:noProof/>
                <w:webHidden/>
                <w:sz w:val="20"/>
                <w:szCs w:val="20"/>
              </w:rPr>
              <w:fldChar w:fldCharType="separate"/>
            </w:r>
            <w:r w:rsidR="00554E79">
              <w:rPr>
                <w:rFonts w:asciiTheme="majorHAnsi" w:hAnsiTheme="majorHAnsi"/>
                <w:noProof/>
                <w:webHidden/>
                <w:sz w:val="20"/>
                <w:szCs w:val="20"/>
              </w:rPr>
              <w:t>3</w:t>
            </w:r>
            <w:r w:rsidRPr="00CD0D43">
              <w:rPr>
                <w:rFonts w:asciiTheme="majorHAnsi" w:hAnsiTheme="majorHAnsi"/>
                <w:noProof/>
                <w:webHidden/>
                <w:sz w:val="20"/>
                <w:szCs w:val="20"/>
              </w:rPr>
              <w:fldChar w:fldCharType="end"/>
            </w:r>
          </w:hyperlink>
        </w:p>
        <w:p w14:paraId="26AD0A09" w14:textId="01604DE9" w:rsidR="007D76BE" w:rsidRPr="00CD0D43" w:rsidRDefault="0070645F" w:rsidP="00CD0D43">
          <w:pPr>
            <w:pStyle w:val="TOC1"/>
            <w:rPr>
              <w:rFonts w:asciiTheme="majorHAnsi" w:eastAsiaTheme="minorEastAsia" w:hAnsiTheme="majorHAnsi" w:cstheme="minorBidi"/>
              <w:noProof/>
              <w:sz w:val="20"/>
              <w:szCs w:val="20"/>
              <w:lang w:eastAsia="en-GB"/>
            </w:rPr>
          </w:pPr>
          <w:hyperlink w:anchor="_Toc83376639" w:history="1">
            <w:r w:rsidR="007D76BE" w:rsidRPr="00CD0D43">
              <w:rPr>
                <w:rStyle w:val="Hyperlink"/>
                <w:rFonts w:asciiTheme="majorHAnsi" w:hAnsiTheme="majorHAnsi" w:cs="Arial"/>
                <w:noProof/>
                <w:sz w:val="20"/>
                <w:szCs w:val="20"/>
              </w:rPr>
              <w:t>2</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Background</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_Toc83376639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554E79">
              <w:rPr>
                <w:rFonts w:asciiTheme="majorHAnsi" w:hAnsiTheme="majorHAnsi"/>
                <w:noProof/>
                <w:webHidden/>
                <w:sz w:val="20"/>
                <w:szCs w:val="20"/>
              </w:rPr>
              <w:t>3</w:t>
            </w:r>
            <w:r w:rsidR="007D76BE" w:rsidRPr="00CD0D43">
              <w:rPr>
                <w:rFonts w:asciiTheme="majorHAnsi" w:hAnsiTheme="majorHAnsi"/>
                <w:noProof/>
                <w:webHidden/>
                <w:sz w:val="20"/>
                <w:szCs w:val="20"/>
              </w:rPr>
              <w:fldChar w:fldCharType="end"/>
            </w:r>
          </w:hyperlink>
        </w:p>
        <w:p w14:paraId="5766D0B0" w14:textId="2C86BA9A" w:rsidR="007D76BE" w:rsidRPr="00CD0D43" w:rsidRDefault="0070645F" w:rsidP="00CD0D43">
          <w:pPr>
            <w:pStyle w:val="TOC1"/>
            <w:rPr>
              <w:rFonts w:asciiTheme="majorHAnsi" w:eastAsiaTheme="minorEastAsia" w:hAnsiTheme="majorHAnsi" w:cstheme="minorBidi"/>
              <w:noProof/>
              <w:sz w:val="20"/>
              <w:szCs w:val="20"/>
              <w:lang w:eastAsia="en-GB"/>
            </w:rPr>
          </w:pPr>
          <w:hyperlink w:anchor="_Toc83376640" w:history="1">
            <w:r w:rsidR="007D76BE" w:rsidRPr="00CD0D43">
              <w:rPr>
                <w:rStyle w:val="Hyperlink"/>
                <w:rFonts w:asciiTheme="majorHAnsi" w:hAnsiTheme="majorHAnsi" w:cs="Arial"/>
                <w:noProof/>
                <w:sz w:val="20"/>
                <w:szCs w:val="20"/>
              </w:rPr>
              <w:t>3</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Aims and Objectives</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_Toc83376640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554E79">
              <w:rPr>
                <w:rFonts w:asciiTheme="majorHAnsi" w:hAnsiTheme="majorHAnsi"/>
                <w:noProof/>
                <w:webHidden/>
                <w:sz w:val="20"/>
                <w:szCs w:val="20"/>
              </w:rPr>
              <w:t>6</w:t>
            </w:r>
            <w:r w:rsidR="007D76BE" w:rsidRPr="00CD0D43">
              <w:rPr>
                <w:rFonts w:asciiTheme="majorHAnsi" w:hAnsiTheme="majorHAnsi"/>
                <w:noProof/>
                <w:webHidden/>
                <w:sz w:val="20"/>
                <w:szCs w:val="20"/>
              </w:rPr>
              <w:fldChar w:fldCharType="end"/>
            </w:r>
          </w:hyperlink>
        </w:p>
        <w:p w14:paraId="1E60CC7A" w14:textId="7C8935D4" w:rsidR="007D76BE" w:rsidRPr="00CD0D43" w:rsidRDefault="0070645F" w:rsidP="00CD0D43">
          <w:pPr>
            <w:pStyle w:val="TOC1"/>
            <w:rPr>
              <w:rFonts w:asciiTheme="majorHAnsi" w:eastAsiaTheme="minorEastAsia" w:hAnsiTheme="majorHAnsi" w:cstheme="minorBidi"/>
              <w:noProof/>
              <w:sz w:val="20"/>
              <w:szCs w:val="20"/>
              <w:lang w:eastAsia="en-GB"/>
            </w:rPr>
          </w:pPr>
          <w:hyperlink w:anchor="_Toc83376641" w:history="1">
            <w:r w:rsidR="007D76BE" w:rsidRPr="00CD0D43">
              <w:rPr>
                <w:rStyle w:val="Hyperlink"/>
                <w:rFonts w:asciiTheme="majorHAnsi" w:hAnsiTheme="majorHAnsi"/>
                <w:noProof/>
                <w:sz w:val="20"/>
                <w:szCs w:val="20"/>
              </w:rPr>
              <w:t>4</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Methodology</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_Toc83376641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554E79">
              <w:rPr>
                <w:rFonts w:asciiTheme="majorHAnsi" w:hAnsiTheme="majorHAnsi"/>
                <w:noProof/>
                <w:webHidden/>
                <w:sz w:val="20"/>
                <w:szCs w:val="20"/>
              </w:rPr>
              <w:t>9</w:t>
            </w:r>
            <w:r w:rsidR="007D76BE" w:rsidRPr="00CD0D43">
              <w:rPr>
                <w:rFonts w:asciiTheme="majorHAnsi" w:hAnsiTheme="majorHAnsi"/>
                <w:noProof/>
                <w:webHidden/>
                <w:sz w:val="20"/>
                <w:szCs w:val="20"/>
              </w:rPr>
              <w:fldChar w:fldCharType="end"/>
            </w:r>
          </w:hyperlink>
        </w:p>
        <w:p w14:paraId="02912450" w14:textId="40720D12" w:rsidR="007D76BE" w:rsidRPr="00CD0D43" w:rsidRDefault="0070645F" w:rsidP="00CD0D43">
          <w:pPr>
            <w:pStyle w:val="TOC1"/>
            <w:rPr>
              <w:rFonts w:asciiTheme="majorHAnsi" w:eastAsiaTheme="minorEastAsia" w:hAnsiTheme="majorHAnsi" w:cstheme="minorBidi"/>
              <w:noProof/>
              <w:sz w:val="20"/>
              <w:szCs w:val="20"/>
              <w:lang w:eastAsia="en-GB"/>
            </w:rPr>
          </w:pPr>
          <w:hyperlink w:anchor="_Toc83376642" w:history="1">
            <w:r w:rsidR="007D76BE" w:rsidRPr="00CD0D43">
              <w:rPr>
                <w:rStyle w:val="Hyperlink"/>
                <w:rFonts w:asciiTheme="majorHAnsi" w:hAnsiTheme="majorHAnsi"/>
                <w:noProof/>
                <w:sz w:val="20"/>
                <w:szCs w:val="20"/>
              </w:rPr>
              <w:t>5</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Outputs Required</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_Toc83376642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554E79">
              <w:rPr>
                <w:rFonts w:asciiTheme="majorHAnsi" w:hAnsiTheme="majorHAnsi"/>
                <w:noProof/>
                <w:webHidden/>
                <w:sz w:val="20"/>
                <w:szCs w:val="20"/>
              </w:rPr>
              <w:t>10</w:t>
            </w:r>
            <w:r w:rsidR="007D76BE" w:rsidRPr="00CD0D43">
              <w:rPr>
                <w:rFonts w:asciiTheme="majorHAnsi" w:hAnsiTheme="majorHAnsi"/>
                <w:noProof/>
                <w:webHidden/>
                <w:sz w:val="20"/>
                <w:szCs w:val="20"/>
              </w:rPr>
              <w:fldChar w:fldCharType="end"/>
            </w:r>
          </w:hyperlink>
        </w:p>
        <w:p w14:paraId="152AC930" w14:textId="3EF648AD" w:rsidR="007D76BE" w:rsidRPr="00CD0D43" w:rsidRDefault="0070645F" w:rsidP="00CD0D43">
          <w:pPr>
            <w:pStyle w:val="TOC1"/>
            <w:rPr>
              <w:rFonts w:asciiTheme="majorHAnsi" w:eastAsiaTheme="minorEastAsia" w:hAnsiTheme="majorHAnsi" w:cstheme="minorBidi"/>
              <w:noProof/>
              <w:sz w:val="20"/>
              <w:szCs w:val="20"/>
              <w:lang w:eastAsia="en-GB"/>
            </w:rPr>
          </w:pPr>
          <w:hyperlink w:anchor="_Toc83376643" w:history="1">
            <w:r w:rsidR="007D76BE" w:rsidRPr="00CD0D43">
              <w:rPr>
                <w:rStyle w:val="Hyperlink"/>
                <w:rFonts w:asciiTheme="majorHAnsi" w:hAnsiTheme="majorHAnsi"/>
                <w:noProof/>
                <w:sz w:val="20"/>
                <w:szCs w:val="20"/>
              </w:rPr>
              <w:t>6</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Ownership and Publication</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_Toc83376643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554E79">
              <w:rPr>
                <w:rFonts w:asciiTheme="majorHAnsi" w:hAnsiTheme="majorHAnsi"/>
                <w:noProof/>
                <w:webHidden/>
                <w:sz w:val="20"/>
                <w:szCs w:val="20"/>
              </w:rPr>
              <w:t>10</w:t>
            </w:r>
            <w:r w:rsidR="007D76BE" w:rsidRPr="00CD0D43">
              <w:rPr>
                <w:rFonts w:asciiTheme="majorHAnsi" w:hAnsiTheme="majorHAnsi"/>
                <w:noProof/>
                <w:webHidden/>
                <w:sz w:val="20"/>
                <w:szCs w:val="20"/>
              </w:rPr>
              <w:fldChar w:fldCharType="end"/>
            </w:r>
          </w:hyperlink>
        </w:p>
        <w:p w14:paraId="2574EBCA" w14:textId="35E8136F" w:rsidR="007D76BE" w:rsidRPr="00CD0D43" w:rsidRDefault="0070645F" w:rsidP="00CD0D43">
          <w:pPr>
            <w:pStyle w:val="TOC1"/>
            <w:rPr>
              <w:rFonts w:asciiTheme="majorHAnsi" w:eastAsiaTheme="minorEastAsia" w:hAnsiTheme="majorHAnsi" w:cstheme="minorBidi"/>
              <w:noProof/>
              <w:sz w:val="20"/>
              <w:szCs w:val="20"/>
              <w:lang w:eastAsia="en-GB"/>
            </w:rPr>
          </w:pPr>
          <w:hyperlink w:anchor="_Toc83376644" w:history="1">
            <w:r w:rsidR="007D76BE" w:rsidRPr="00CD0D43">
              <w:rPr>
                <w:rStyle w:val="Hyperlink"/>
                <w:rFonts w:asciiTheme="majorHAnsi" w:hAnsiTheme="majorHAnsi"/>
                <w:noProof/>
                <w:sz w:val="20"/>
                <w:szCs w:val="20"/>
              </w:rPr>
              <w:t>7</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Quality Assurance</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_Toc83376644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554E79">
              <w:rPr>
                <w:rFonts w:asciiTheme="majorHAnsi" w:hAnsiTheme="majorHAnsi"/>
                <w:noProof/>
                <w:webHidden/>
                <w:sz w:val="20"/>
                <w:szCs w:val="20"/>
              </w:rPr>
              <w:t>10</w:t>
            </w:r>
            <w:r w:rsidR="007D76BE" w:rsidRPr="00CD0D43">
              <w:rPr>
                <w:rFonts w:asciiTheme="majorHAnsi" w:hAnsiTheme="majorHAnsi"/>
                <w:noProof/>
                <w:webHidden/>
                <w:sz w:val="20"/>
                <w:szCs w:val="20"/>
              </w:rPr>
              <w:fldChar w:fldCharType="end"/>
            </w:r>
          </w:hyperlink>
        </w:p>
        <w:p w14:paraId="11867B74" w14:textId="2CC244AC" w:rsidR="007D76BE" w:rsidRPr="00CD0D43" w:rsidRDefault="0070645F" w:rsidP="00CD0D43">
          <w:pPr>
            <w:pStyle w:val="TOC1"/>
            <w:rPr>
              <w:rFonts w:asciiTheme="majorHAnsi" w:eastAsiaTheme="minorEastAsia" w:hAnsiTheme="majorHAnsi" w:cstheme="minorBidi"/>
              <w:noProof/>
              <w:sz w:val="20"/>
              <w:szCs w:val="20"/>
              <w:lang w:eastAsia="en-GB"/>
            </w:rPr>
          </w:pPr>
          <w:hyperlink w:anchor="_Toc83376645" w:history="1">
            <w:r w:rsidR="007D76BE" w:rsidRPr="00CD0D43">
              <w:rPr>
                <w:rStyle w:val="Hyperlink"/>
                <w:rFonts w:asciiTheme="majorHAnsi" w:hAnsiTheme="majorHAnsi"/>
                <w:noProof/>
                <w:sz w:val="20"/>
                <w:szCs w:val="20"/>
              </w:rPr>
              <w:t>8</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Timetable</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_Toc83376645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554E79">
              <w:rPr>
                <w:rFonts w:asciiTheme="majorHAnsi" w:hAnsiTheme="majorHAnsi"/>
                <w:noProof/>
                <w:webHidden/>
                <w:sz w:val="20"/>
                <w:szCs w:val="20"/>
              </w:rPr>
              <w:t>11</w:t>
            </w:r>
            <w:r w:rsidR="007D76BE" w:rsidRPr="00CD0D43">
              <w:rPr>
                <w:rFonts w:asciiTheme="majorHAnsi" w:hAnsiTheme="majorHAnsi"/>
                <w:noProof/>
                <w:webHidden/>
                <w:sz w:val="20"/>
                <w:szCs w:val="20"/>
              </w:rPr>
              <w:fldChar w:fldCharType="end"/>
            </w:r>
          </w:hyperlink>
        </w:p>
        <w:p w14:paraId="6F3AC729" w14:textId="7CA8F358" w:rsidR="007D76BE" w:rsidRPr="00CD0D43" w:rsidRDefault="0070645F" w:rsidP="00CD0D43">
          <w:pPr>
            <w:pStyle w:val="TOC1"/>
            <w:rPr>
              <w:rFonts w:asciiTheme="majorHAnsi" w:eastAsiaTheme="minorEastAsia" w:hAnsiTheme="majorHAnsi" w:cstheme="minorBidi"/>
              <w:noProof/>
              <w:sz w:val="20"/>
              <w:szCs w:val="20"/>
              <w:lang w:eastAsia="en-GB"/>
            </w:rPr>
          </w:pPr>
          <w:hyperlink w:anchor="_Toc83376646" w:history="1">
            <w:r w:rsidR="007D76BE" w:rsidRPr="00CD0D43">
              <w:rPr>
                <w:rStyle w:val="Hyperlink"/>
                <w:rFonts w:asciiTheme="majorHAnsi" w:hAnsiTheme="majorHAnsi"/>
                <w:noProof/>
                <w:sz w:val="20"/>
                <w:szCs w:val="20"/>
              </w:rPr>
              <w:t>9</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Challenges</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_Toc83376646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554E79">
              <w:rPr>
                <w:rFonts w:asciiTheme="majorHAnsi" w:hAnsiTheme="majorHAnsi"/>
                <w:noProof/>
                <w:webHidden/>
                <w:sz w:val="20"/>
                <w:szCs w:val="20"/>
              </w:rPr>
              <w:t>11</w:t>
            </w:r>
            <w:r w:rsidR="007D76BE" w:rsidRPr="00CD0D43">
              <w:rPr>
                <w:rFonts w:asciiTheme="majorHAnsi" w:hAnsiTheme="majorHAnsi"/>
                <w:noProof/>
                <w:webHidden/>
                <w:sz w:val="20"/>
                <w:szCs w:val="20"/>
              </w:rPr>
              <w:fldChar w:fldCharType="end"/>
            </w:r>
          </w:hyperlink>
        </w:p>
        <w:p w14:paraId="7B5DA335" w14:textId="3E9F71EC" w:rsidR="007D76BE" w:rsidRPr="00CD0D43" w:rsidRDefault="0070645F" w:rsidP="00CD0D43">
          <w:pPr>
            <w:pStyle w:val="TOC1"/>
            <w:rPr>
              <w:rFonts w:asciiTheme="majorHAnsi" w:eastAsiaTheme="minorEastAsia" w:hAnsiTheme="majorHAnsi" w:cstheme="minorBidi"/>
              <w:noProof/>
              <w:sz w:val="20"/>
              <w:szCs w:val="20"/>
              <w:lang w:eastAsia="en-GB"/>
            </w:rPr>
          </w:pPr>
          <w:hyperlink w:anchor="_Toc83376648" w:history="1">
            <w:r w:rsidR="007D76BE" w:rsidRPr="00CD0D43">
              <w:rPr>
                <w:rStyle w:val="Hyperlink"/>
                <w:rFonts w:asciiTheme="majorHAnsi" w:hAnsiTheme="majorHAnsi" w:cs="Arial"/>
                <w:noProof/>
                <w:sz w:val="20"/>
                <w:szCs w:val="20"/>
              </w:rPr>
              <w:t>1</w:t>
            </w:r>
            <w:r w:rsidR="00385FE3">
              <w:rPr>
                <w:rStyle w:val="Hyperlink"/>
                <w:rFonts w:asciiTheme="majorHAnsi" w:hAnsiTheme="majorHAnsi" w:cs="Arial"/>
                <w:noProof/>
                <w:sz w:val="20"/>
                <w:szCs w:val="20"/>
              </w:rPr>
              <w:t>0</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Working Arrangements</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_Toc83376648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554E79">
              <w:rPr>
                <w:rFonts w:asciiTheme="majorHAnsi" w:hAnsiTheme="majorHAnsi"/>
                <w:noProof/>
                <w:webHidden/>
                <w:sz w:val="20"/>
                <w:szCs w:val="20"/>
              </w:rPr>
              <w:t>11</w:t>
            </w:r>
            <w:r w:rsidR="007D76BE" w:rsidRPr="00CD0D43">
              <w:rPr>
                <w:rFonts w:asciiTheme="majorHAnsi" w:hAnsiTheme="majorHAnsi"/>
                <w:noProof/>
                <w:webHidden/>
                <w:sz w:val="20"/>
                <w:szCs w:val="20"/>
              </w:rPr>
              <w:fldChar w:fldCharType="end"/>
            </w:r>
          </w:hyperlink>
        </w:p>
        <w:p w14:paraId="524B2994" w14:textId="552B448A" w:rsidR="007D76BE" w:rsidRPr="00CD0D43" w:rsidRDefault="0070645F" w:rsidP="00CD0D43">
          <w:pPr>
            <w:pStyle w:val="TOC1"/>
            <w:rPr>
              <w:rFonts w:asciiTheme="majorHAnsi" w:eastAsiaTheme="minorEastAsia" w:hAnsiTheme="majorHAnsi" w:cstheme="minorBidi"/>
              <w:noProof/>
              <w:sz w:val="20"/>
              <w:szCs w:val="20"/>
              <w:lang w:eastAsia="en-GB"/>
            </w:rPr>
          </w:pPr>
          <w:hyperlink w:anchor="_Toc83376649" w:history="1">
            <w:r w:rsidR="007D76BE" w:rsidRPr="00CD0D43">
              <w:rPr>
                <w:rStyle w:val="Hyperlink"/>
                <w:rFonts w:asciiTheme="majorHAnsi" w:hAnsiTheme="majorHAnsi" w:cs="Arial"/>
                <w:noProof/>
                <w:sz w:val="20"/>
                <w:szCs w:val="20"/>
              </w:rPr>
              <w:t>1</w:t>
            </w:r>
            <w:r w:rsidR="00385FE3">
              <w:rPr>
                <w:rStyle w:val="Hyperlink"/>
                <w:rFonts w:asciiTheme="majorHAnsi" w:hAnsiTheme="majorHAnsi" w:cs="Arial"/>
                <w:noProof/>
                <w:sz w:val="20"/>
                <w:szCs w:val="20"/>
              </w:rPr>
              <w:t>1</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 xml:space="preserve">Skills and </w:t>
            </w:r>
            <w:r w:rsidR="00040453">
              <w:rPr>
                <w:rStyle w:val="Hyperlink"/>
                <w:rFonts w:asciiTheme="majorHAnsi" w:hAnsiTheme="majorHAnsi" w:cs="Arial"/>
                <w:noProof/>
                <w:sz w:val="20"/>
                <w:szCs w:val="20"/>
              </w:rPr>
              <w:t>E</w:t>
            </w:r>
            <w:r w:rsidR="007D76BE" w:rsidRPr="00CD0D43">
              <w:rPr>
                <w:rStyle w:val="Hyperlink"/>
                <w:rFonts w:asciiTheme="majorHAnsi" w:hAnsiTheme="majorHAnsi" w:cs="Arial"/>
                <w:noProof/>
                <w:sz w:val="20"/>
                <w:szCs w:val="20"/>
              </w:rPr>
              <w:t>xperience</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_Toc83376649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554E79">
              <w:rPr>
                <w:rFonts w:asciiTheme="majorHAnsi" w:hAnsiTheme="majorHAnsi"/>
                <w:noProof/>
                <w:webHidden/>
                <w:sz w:val="20"/>
                <w:szCs w:val="20"/>
              </w:rPr>
              <w:t>11</w:t>
            </w:r>
            <w:r w:rsidR="007D76BE" w:rsidRPr="00CD0D43">
              <w:rPr>
                <w:rFonts w:asciiTheme="majorHAnsi" w:hAnsiTheme="majorHAnsi"/>
                <w:noProof/>
                <w:webHidden/>
                <w:sz w:val="20"/>
                <w:szCs w:val="20"/>
              </w:rPr>
              <w:fldChar w:fldCharType="end"/>
            </w:r>
          </w:hyperlink>
        </w:p>
        <w:p w14:paraId="28870063" w14:textId="7C0117DA" w:rsidR="007D76BE" w:rsidRPr="00CD0D43" w:rsidRDefault="0070645F" w:rsidP="00CD0D43">
          <w:pPr>
            <w:pStyle w:val="TOC1"/>
            <w:rPr>
              <w:rFonts w:asciiTheme="majorHAnsi" w:eastAsiaTheme="minorEastAsia" w:hAnsiTheme="majorHAnsi" w:cstheme="minorBidi"/>
              <w:noProof/>
              <w:sz w:val="20"/>
              <w:szCs w:val="20"/>
              <w:lang w:eastAsia="en-GB"/>
            </w:rPr>
          </w:pPr>
          <w:hyperlink w:anchor="_Toc83376650" w:history="1">
            <w:r w:rsidR="007D76BE" w:rsidRPr="00CD0D43">
              <w:rPr>
                <w:rStyle w:val="Hyperlink"/>
                <w:rFonts w:asciiTheme="majorHAnsi" w:hAnsiTheme="majorHAnsi" w:cs="Arial"/>
                <w:noProof/>
                <w:sz w:val="20"/>
                <w:szCs w:val="20"/>
              </w:rPr>
              <w:t>1</w:t>
            </w:r>
            <w:r w:rsidR="00385FE3">
              <w:rPr>
                <w:rStyle w:val="Hyperlink"/>
                <w:rFonts w:asciiTheme="majorHAnsi" w:hAnsiTheme="majorHAnsi" w:cs="Arial"/>
                <w:noProof/>
                <w:sz w:val="20"/>
                <w:szCs w:val="20"/>
              </w:rPr>
              <w:t>2</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Consortium Bids</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_Toc83376650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554E79">
              <w:rPr>
                <w:rFonts w:asciiTheme="majorHAnsi" w:hAnsiTheme="majorHAnsi"/>
                <w:noProof/>
                <w:webHidden/>
                <w:sz w:val="20"/>
                <w:szCs w:val="20"/>
              </w:rPr>
              <w:t>11</w:t>
            </w:r>
            <w:r w:rsidR="007D76BE" w:rsidRPr="00CD0D43">
              <w:rPr>
                <w:rFonts w:asciiTheme="majorHAnsi" w:hAnsiTheme="majorHAnsi"/>
                <w:noProof/>
                <w:webHidden/>
                <w:sz w:val="20"/>
                <w:szCs w:val="20"/>
              </w:rPr>
              <w:fldChar w:fldCharType="end"/>
            </w:r>
          </w:hyperlink>
        </w:p>
        <w:p w14:paraId="5E26A5D6" w14:textId="137E64BD" w:rsidR="007D76BE" w:rsidRPr="00CD0D43" w:rsidRDefault="0070645F" w:rsidP="00CD0D43">
          <w:pPr>
            <w:pStyle w:val="TOC1"/>
            <w:rPr>
              <w:rFonts w:asciiTheme="majorHAnsi" w:eastAsiaTheme="minorEastAsia" w:hAnsiTheme="majorHAnsi" w:cstheme="minorBidi"/>
              <w:noProof/>
              <w:sz w:val="20"/>
              <w:szCs w:val="20"/>
              <w:lang w:eastAsia="en-GB"/>
            </w:rPr>
          </w:pPr>
          <w:hyperlink w:anchor="_Toc83376651" w:history="1">
            <w:r w:rsidR="007D76BE" w:rsidRPr="00CD0D43">
              <w:rPr>
                <w:rStyle w:val="Hyperlink"/>
                <w:rFonts w:asciiTheme="majorHAnsi" w:hAnsiTheme="majorHAnsi" w:cs="Arial"/>
                <w:noProof/>
                <w:sz w:val="20"/>
                <w:szCs w:val="20"/>
              </w:rPr>
              <w:t>1</w:t>
            </w:r>
            <w:r w:rsidR="00385FE3">
              <w:rPr>
                <w:rStyle w:val="Hyperlink"/>
                <w:rFonts w:asciiTheme="majorHAnsi" w:hAnsiTheme="majorHAnsi" w:cs="Arial"/>
                <w:noProof/>
                <w:sz w:val="20"/>
                <w:szCs w:val="20"/>
              </w:rPr>
              <w:t>3</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Budget</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_Toc83376651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554E79">
              <w:rPr>
                <w:rFonts w:asciiTheme="majorHAnsi" w:hAnsiTheme="majorHAnsi"/>
                <w:noProof/>
                <w:webHidden/>
                <w:sz w:val="20"/>
                <w:szCs w:val="20"/>
              </w:rPr>
              <w:t>12</w:t>
            </w:r>
            <w:r w:rsidR="007D76BE" w:rsidRPr="00CD0D43">
              <w:rPr>
                <w:rFonts w:asciiTheme="majorHAnsi" w:hAnsiTheme="majorHAnsi"/>
                <w:noProof/>
                <w:webHidden/>
                <w:sz w:val="20"/>
                <w:szCs w:val="20"/>
              </w:rPr>
              <w:fldChar w:fldCharType="end"/>
            </w:r>
          </w:hyperlink>
        </w:p>
        <w:p w14:paraId="0BB4F4B6" w14:textId="4C12C9AF" w:rsidR="007D76BE" w:rsidRPr="00CD0D43" w:rsidRDefault="0070645F" w:rsidP="00CD0D43">
          <w:pPr>
            <w:pStyle w:val="TOC1"/>
            <w:rPr>
              <w:rFonts w:asciiTheme="majorHAnsi" w:eastAsiaTheme="minorEastAsia" w:hAnsiTheme="majorHAnsi" w:cstheme="minorBidi"/>
              <w:noProof/>
              <w:sz w:val="20"/>
              <w:szCs w:val="20"/>
              <w:lang w:eastAsia="en-GB"/>
            </w:rPr>
          </w:pPr>
          <w:hyperlink w:anchor="_Toc83376652" w:history="1">
            <w:r w:rsidR="007D76BE" w:rsidRPr="00CD0D43">
              <w:rPr>
                <w:rStyle w:val="Hyperlink"/>
                <w:rFonts w:asciiTheme="majorHAnsi" w:hAnsiTheme="majorHAnsi" w:cs="Arial"/>
                <w:noProof/>
                <w:sz w:val="20"/>
                <w:szCs w:val="20"/>
              </w:rPr>
              <w:t>1</w:t>
            </w:r>
            <w:r w:rsidR="00385FE3">
              <w:rPr>
                <w:rStyle w:val="Hyperlink"/>
                <w:rFonts w:asciiTheme="majorHAnsi" w:hAnsiTheme="majorHAnsi" w:cs="Arial"/>
                <w:noProof/>
                <w:sz w:val="20"/>
                <w:szCs w:val="20"/>
              </w:rPr>
              <w:t>4</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Evaluation of Tenders</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_Toc83376652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554E79">
              <w:rPr>
                <w:rFonts w:asciiTheme="majorHAnsi" w:hAnsiTheme="majorHAnsi"/>
                <w:noProof/>
                <w:webHidden/>
                <w:sz w:val="20"/>
                <w:szCs w:val="20"/>
              </w:rPr>
              <w:t>12</w:t>
            </w:r>
            <w:r w:rsidR="007D76BE" w:rsidRPr="00CD0D43">
              <w:rPr>
                <w:rFonts w:asciiTheme="majorHAnsi" w:hAnsiTheme="majorHAnsi"/>
                <w:noProof/>
                <w:webHidden/>
                <w:sz w:val="20"/>
                <w:szCs w:val="20"/>
              </w:rPr>
              <w:fldChar w:fldCharType="end"/>
            </w:r>
          </w:hyperlink>
        </w:p>
        <w:p w14:paraId="5137A7E3" w14:textId="381CA829" w:rsidR="003A05B7" w:rsidRPr="007D76BE" w:rsidRDefault="007D76BE" w:rsidP="00CD0D43">
          <w:r w:rsidRPr="00CD0D43">
            <w:rPr>
              <w:rFonts w:asciiTheme="majorHAnsi" w:hAnsiTheme="majorHAnsi"/>
              <w:b/>
              <w:bCs/>
              <w:noProof/>
              <w:sz w:val="20"/>
              <w:szCs w:val="20"/>
            </w:rPr>
            <w:fldChar w:fldCharType="end"/>
          </w:r>
        </w:p>
      </w:sdtContent>
    </w:sdt>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157906">
      <w:pPr>
        <w:pStyle w:val="BodyText"/>
        <w:ind w:left="720"/>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77777777" w:rsidR="003A05B7" w:rsidRDefault="003A05B7"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22C9591D" w14:textId="6D79E4E8" w:rsidR="003A05B7" w:rsidRPr="00157906" w:rsidRDefault="003A05B7" w:rsidP="00385FE3">
      <w:pPr>
        <w:pStyle w:val="Heading1"/>
        <w:numPr>
          <w:ilvl w:val="0"/>
          <w:numId w:val="2"/>
        </w:numPr>
      </w:pPr>
      <w:bookmarkStart w:id="0" w:name="_Toc83376638"/>
      <w:r w:rsidRPr="00157906">
        <w:lastRenderedPageBreak/>
        <w:t>Preamble</w:t>
      </w:r>
      <w:bookmarkEnd w:id="0"/>
    </w:p>
    <w:p w14:paraId="56C11707" w14:textId="734E9543" w:rsidR="003A05B7" w:rsidRPr="00157906" w:rsidRDefault="00157906" w:rsidP="00157906">
      <w:pPr>
        <w:pStyle w:val="Norma"/>
      </w:pPr>
      <w:r w:rsidRPr="00157906">
        <w:t>The Climate Change Committee (CCC) is an independent, statutory body established under the Climate Change Act 2008. Our purpose is to advise the UK and devolved governments on emissions targets and to report to Parliament on progress made in reducing greenhouse gas emissions and preparing for and adapting to the impacts of climate change.</w:t>
      </w:r>
    </w:p>
    <w:p w14:paraId="489D4427" w14:textId="5EFBE370" w:rsidR="003A05B7" w:rsidRPr="00157906" w:rsidRDefault="003A05B7" w:rsidP="00385FE3">
      <w:pPr>
        <w:pStyle w:val="Heading1"/>
        <w:numPr>
          <w:ilvl w:val="0"/>
          <w:numId w:val="2"/>
        </w:numPr>
      </w:pPr>
      <w:bookmarkStart w:id="1" w:name="_Ref357535668"/>
      <w:bookmarkStart w:id="2" w:name="_Toc381969507"/>
      <w:bookmarkStart w:id="3" w:name="_Toc405888456"/>
      <w:bookmarkStart w:id="4" w:name="_Toc83376639"/>
      <w:r w:rsidRPr="00157906">
        <w:t>Background</w:t>
      </w:r>
      <w:bookmarkEnd w:id="1"/>
      <w:bookmarkEnd w:id="2"/>
      <w:bookmarkEnd w:id="3"/>
      <w:bookmarkEnd w:id="4"/>
    </w:p>
    <w:p w14:paraId="350D7149" w14:textId="4B4FCC64" w:rsidR="00157906" w:rsidRPr="00157906" w:rsidRDefault="00F16F60" w:rsidP="00157906">
      <w:pPr>
        <w:pStyle w:val="Heading4"/>
      </w:pPr>
      <w:r>
        <w:t>Demand reduction and modal shift</w:t>
      </w:r>
    </w:p>
    <w:p w14:paraId="3190B04F" w14:textId="6C1F2452" w:rsidR="007A6F04" w:rsidRDefault="00157906" w:rsidP="00157906">
      <w:pPr>
        <w:pStyle w:val="Norma"/>
      </w:pPr>
      <w:r>
        <w:t>The Government has recently</w:t>
      </w:r>
      <w:r w:rsidR="007A6F04">
        <w:t xml:space="preserve"> recognised the need to reduce traffic growth in their Transport Decarbonisation Plan and Net Zero Strategy. The Transport Decarbonisation Plan also set out a goal for half of all journeys in towns and cities to be walked or cycled by 2030 and a separate target to double cycling (relative to 2013 levels) and increase levels of walking per person by 2025. Our Sixth Carbon Budget advice identified four factors that could contribute to a reduction in private car travel: societal and technological changes, increase in car occupancy, modal shift to active travel and modal shift to public transport. This research focuses primarily on the latter </w:t>
      </w:r>
      <w:r w:rsidR="00DF72BB">
        <w:t xml:space="preserve">two </w:t>
      </w:r>
      <w:r w:rsidR="00F16F60">
        <w:t>modal shift elements.</w:t>
      </w:r>
    </w:p>
    <w:p w14:paraId="371BEE09" w14:textId="4587A211" w:rsidR="00F16F60" w:rsidRDefault="00F16F60" w:rsidP="00157906">
      <w:pPr>
        <w:pStyle w:val="Norma"/>
      </w:pPr>
    </w:p>
    <w:p w14:paraId="4AB40FDA" w14:textId="0CA54FFF" w:rsidR="007A6F04" w:rsidRDefault="00F16F60" w:rsidP="00F16F60">
      <w:pPr>
        <w:pStyle w:val="Norma"/>
      </w:pPr>
      <w:r>
        <w:t xml:space="preserve">Under the CCC’s Balanced Net Zero Pathway scenario for the Sixth Carbon Budget we assume that 5-7% of car journeys could be shifted to walking and cycling (including e-bikes) by 2030, rising to 9-14% by 2050. We also assume that between </w:t>
      </w:r>
      <w:r w:rsidR="00DF72BB">
        <w:t>9-12</w:t>
      </w:r>
      <w:r>
        <w:t>% of car</w:t>
      </w:r>
      <w:r w:rsidR="00DF72BB">
        <w:t xml:space="preserve"> trips</w:t>
      </w:r>
      <w:r>
        <w:t xml:space="preserve"> can be switched to public transport by 2030, increasing to </w:t>
      </w:r>
      <w:r w:rsidR="00DF72BB">
        <w:t>17-24</w:t>
      </w:r>
      <w:r>
        <w:t xml:space="preserve">% by 2050. </w:t>
      </w:r>
      <w:r w:rsidR="00DF72BB">
        <w:t>These assumptions translate to lower percentages of distance, given that the shortest trips are most likely to switch.</w:t>
      </w:r>
    </w:p>
    <w:p w14:paraId="6C546E4D" w14:textId="07C75D6C" w:rsidR="00157906" w:rsidRDefault="00197DBD" w:rsidP="00157906">
      <w:pPr>
        <w:pStyle w:val="Heading4"/>
      </w:pPr>
      <w:r>
        <w:t>Current progress</w:t>
      </w:r>
    </w:p>
    <w:p w14:paraId="7195C163" w14:textId="046155F4" w:rsidR="00A0716F" w:rsidRDefault="00A0716F" w:rsidP="00157906">
      <w:pPr>
        <w:pStyle w:val="Norma"/>
      </w:pPr>
      <w:r>
        <w:t>Road transport demand rose markedly, up to 2019. The falling real cost of driving and a large increase in van travel (due in part to growth in online shopping) are key contributors. RAC Foundation data</w:t>
      </w:r>
      <w:r w:rsidR="00A119A2">
        <w:rPr>
          <w:rStyle w:val="FootnoteReference"/>
        </w:rPr>
        <w:footnoteReference w:id="2"/>
      </w:r>
      <w:r>
        <w:t xml:space="preserve"> shows that over the past decade, the average cost of driving has risen by less than average wages and the cost of living, whereas rail and bus fares have increased more steeply. A study by </w:t>
      </w:r>
      <w:bookmarkStart w:id="5" w:name="_Hlk119585507"/>
      <w:proofErr w:type="spellStart"/>
      <w:r w:rsidRPr="00A119A2">
        <w:t>Begg</w:t>
      </w:r>
      <w:proofErr w:type="spellEnd"/>
      <w:r w:rsidRPr="00A119A2">
        <w:t xml:space="preserve"> and Haigh (2018)</w:t>
      </w:r>
      <w:bookmarkEnd w:id="5"/>
      <w:r w:rsidR="00A119A2" w:rsidRPr="00A119A2">
        <w:rPr>
          <w:rStyle w:val="FootnoteReference"/>
          <w:color w:val="000000" w:themeColor="hyperlink"/>
        </w:rPr>
        <w:footnoteReference w:id="3"/>
      </w:r>
      <w:r>
        <w:t xml:space="preserve"> linked the freeze in fuel duty since 2011 to a 4% increase in traffic levels, 60 million fewer rail journeys, 200 million fewer bus journeys and 4.5 MtCO2 of emissions in 2017.</w:t>
      </w:r>
    </w:p>
    <w:p w14:paraId="73D365F4" w14:textId="0FFB3269" w:rsidR="00A0716F" w:rsidRDefault="00A0716F" w:rsidP="00157906">
      <w:pPr>
        <w:pStyle w:val="Norma"/>
      </w:pPr>
    </w:p>
    <w:p w14:paraId="32C9A7DC" w14:textId="0CF505EB" w:rsidR="00A0716F" w:rsidRDefault="06B30C63" w:rsidP="00157906">
      <w:pPr>
        <w:pStyle w:val="Norma"/>
      </w:pPr>
      <w:r>
        <w:t>Reductions in travel demand were seen in 2020 but were due to the impacts of the COVID-19 pandemic and travel restrictions imposed, and not reflective of the underlying trends observed over recent years.</w:t>
      </w:r>
      <w:r w:rsidR="3060F1E9">
        <w:t xml:space="preserve"> Following the lifting of lockdown restrictions, car travel rebounded much more quickly and completely than public transport did. Therefore, action is needed to embed a reduction in the need to travel or grow the availability</w:t>
      </w:r>
      <w:r w:rsidR="09598571">
        <w:t xml:space="preserve">, </w:t>
      </w:r>
      <w:r w:rsidR="3060F1E9">
        <w:t>affordability</w:t>
      </w:r>
      <w:r w:rsidR="09598571">
        <w:t>, and attractiveness</w:t>
      </w:r>
      <w:r w:rsidR="3060F1E9">
        <w:t xml:space="preserve"> of alternative lower-carbon modes to maintain the reductions seen during the pandemic. It is important to identify what the barriers and solutions to modal shift are, what public attitudes to </w:t>
      </w:r>
      <w:r w:rsidR="09598571">
        <w:t xml:space="preserve">potential </w:t>
      </w:r>
      <w:r w:rsidR="3060F1E9">
        <w:t>solutions are and what intervention</w:t>
      </w:r>
      <w:r w:rsidR="66057EFB">
        <w:t xml:space="preserve"> packages</w:t>
      </w:r>
      <w:r w:rsidR="3060F1E9">
        <w:t xml:space="preserve"> would be effective in</w:t>
      </w:r>
      <w:r w:rsidR="72E3D2E0">
        <w:t xml:space="preserve"> </w:t>
      </w:r>
      <w:r w:rsidR="772FA9FD">
        <w:t>prompting real-world behaviour change to</w:t>
      </w:r>
      <w:r w:rsidR="000C56E8">
        <w:t xml:space="preserve"> </w:t>
      </w:r>
      <w:r w:rsidR="3060F1E9">
        <w:t>reduc</w:t>
      </w:r>
      <w:r w:rsidR="24AA642D">
        <w:t>e</w:t>
      </w:r>
      <w:r w:rsidR="3060F1E9">
        <w:t xml:space="preserve"> traffic</w:t>
      </w:r>
      <w:r w:rsidR="77E994CF">
        <w:t>, that is beneficial to wider society</w:t>
      </w:r>
      <w:r w:rsidR="3060F1E9">
        <w:t xml:space="preserve">. </w:t>
      </w:r>
    </w:p>
    <w:p w14:paraId="1E4CC894" w14:textId="153EB203" w:rsidR="22A25F38" w:rsidRDefault="22A25F38" w:rsidP="22A25F38">
      <w:pPr>
        <w:pStyle w:val="Norma"/>
      </w:pPr>
    </w:p>
    <w:p w14:paraId="4B11E9AC" w14:textId="77777777" w:rsidR="00A0716F" w:rsidRDefault="00A0716F" w:rsidP="00157906">
      <w:pPr>
        <w:pStyle w:val="Norma"/>
      </w:pPr>
    </w:p>
    <w:p w14:paraId="5A9FD1C5" w14:textId="43508C37" w:rsidR="00157906" w:rsidRDefault="00157906" w:rsidP="00157906">
      <w:pPr>
        <w:pStyle w:val="Heading4"/>
      </w:pPr>
      <w:r>
        <w:lastRenderedPageBreak/>
        <w:t xml:space="preserve">Previous analysis of </w:t>
      </w:r>
      <w:r w:rsidR="000576CE">
        <w:t xml:space="preserve">demand reduction and modal shift </w:t>
      </w:r>
      <w:r>
        <w:t>requirements</w:t>
      </w:r>
    </w:p>
    <w:p w14:paraId="50B35D65" w14:textId="0B3DD3C6" w:rsidR="00040453" w:rsidRDefault="00040453" w:rsidP="00040453">
      <w:pPr>
        <w:pStyle w:val="Heading5a"/>
      </w:pPr>
      <w:r>
        <w:t>Previous CCC analysis</w:t>
      </w:r>
    </w:p>
    <w:p w14:paraId="298855A0" w14:textId="25EAF2C4" w:rsidR="00850A77" w:rsidRDefault="00850A77" w:rsidP="00157906">
      <w:pPr>
        <w:pStyle w:val="Norma"/>
      </w:pPr>
      <w:r>
        <w:t xml:space="preserve">In the CCC’s Sixth Carbon Budget report demand scenarios were based on modelling done by the UK Centre for Research into Energy Demand Solutions (CREDS), along with other literature and evidence across UK cities and in other countries. Compared to baseline growth, it was assumed </w:t>
      </w:r>
      <w:r w:rsidR="00691B7B">
        <w:t xml:space="preserve">in our central scenario </w:t>
      </w:r>
      <w:r>
        <w:t>that approximately 9% of car miles can be reduced (</w:t>
      </w:r>
      <w:proofErr w:type="gramStart"/>
      <w:r>
        <w:t>e.g.</w:t>
      </w:r>
      <w:proofErr w:type="gramEnd"/>
      <w:r>
        <w:t xml:space="preserve"> through increased home-working) or shifted to lower-carbon modes (such as walking, cycling and public transport) by 2035, increasing to 17% by 2050.</w:t>
      </w:r>
      <w:r w:rsidR="00DF72BB">
        <w:t xml:space="preserve"> Our exploratory scenario</w:t>
      </w:r>
      <w:r w:rsidR="00691B7B">
        <w:t>s also assessed pathways involving smaller and larger contributions from such demand shifts.</w:t>
      </w:r>
      <w:r>
        <w:t xml:space="preserve"> The opportunities presented to lock-in positive behaviours seen during the COVID-19 pandemic and societal and technological changes to reduce demand (</w:t>
      </w:r>
      <w:proofErr w:type="gramStart"/>
      <w:r>
        <w:t>e.g.</w:t>
      </w:r>
      <w:proofErr w:type="gramEnd"/>
      <w:r>
        <w:t xml:space="preserve"> shared mobility and focus on broadband rather than road-building) are key enablers</w:t>
      </w:r>
      <w:r w:rsidR="00691B7B">
        <w:t xml:space="preserve"> for achieving this</w:t>
      </w:r>
      <w:r>
        <w:t>.</w:t>
      </w:r>
    </w:p>
    <w:p w14:paraId="3FD8A2C6" w14:textId="74E961CA" w:rsidR="00850A77" w:rsidRDefault="00850A77" w:rsidP="00157906">
      <w:pPr>
        <w:pStyle w:val="Norma"/>
      </w:pPr>
    </w:p>
    <w:p w14:paraId="385976BF" w14:textId="2642F9D0" w:rsidR="00850A77" w:rsidRDefault="03446802" w:rsidP="00FA43A2">
      <w:pPr>
        <w:pStyle w:val="Norma"/>
      </w:pPr>
      <w:r>
        <w:t>However, since the pandemic we have seen private transport rebound much more quickly and completely than public transport</w:t>
      </w:r>
      <w:r w:rsidR="00CCE3CA">
        <w:t>,</w:t>
      </w:r>
      <w:r>
        <w:t xml:space="preserve"> and with ever-changing public </w:t>
      </w:r>
      <w:r w:rsidR="3F597D7A">
        <w:t>preferences</w:t>
      </w:r>
      <w:r w:rsidR="00CCE3CA">
        <w:t>, concerns, and priorities</w:t>
      </w:r>
      <w:r>
        <w:t xml:space="preserve"> it is important to identify what the barriers and solutions to modal shift are and what interventions would be effective in reducing traffic. </w:t>
      </w:r>
      <w:r w:rsidR="3F597D7A">
        <w:t xml:space="preserve">How these attitudes translate into actual </w:t>
      </w:r>
      <w:r w:rsidR="6AAAFAF4">
        <w:t xml:space="preserve">decision-making and behaviour </w:t>
      </w:r>
      <w:r w:rsidR="3F597D7A">
        <w:t>is a crucial consideration.</w:t>
      </w:r>
      <w:r w:rsidR="532F1900">
        <w:t xml:space="preserve"> Is there evidence which identifies the extent to which preference for public transport use has changed, in the UK and globally?</w:t>
      </w:r>
    </w:p>
    <w:p w14:paraId="17CB54B6" w14:textId="6E7D9711" w:rsidR="00B20CAB" w:rsidRDefault="00B20CAB" w:rsidP="00FA43A2">
      <w:pPr>
        <w:pStyle w:val="Norma"/>
      </w:pPr>
    </w:p>
    <w:p w14:paraId="631955EB" w14:textId="09A7464A" w:rsidR="00B20CAB" w:rsidRDefault="6AAAFAF4" w:rsidP="00FA43A2">
      <w:pPr>
        <w:pStyle w:val="Norma"/>
      </w:pPr>
      <w:r>
        <w:t xml:space="preserve">Our </w:t>
      </w:r>
      <w:r w:rsidR="79E5DF9A">
        <w:t xml:space="preserve">demand scenarios addressed the approximate percentage of car miles that could be reduced due to modal shift but did not </w:t>
      </w:r>
      <w:r>
        <w:t xml:space="preserve">explicitly </w:t>
      </w:r>
      <w:r w:rsidR="79E5DF9A">
        <w:t xml:space="preserve">consider </w:t>
      </w:r>
      <w:r w:rsidR="5A6937EA">
        <w:t xml:space="preserve">the differences in levels of uptake in alterative transport modes, that were shifted from the car. The scenarios also didn’t consider the impact of price on modal shift, and cross-elasticities between the different modes. </w:t>
      </w:r>
    </w:p>
    <w:p w14:paraId="3D3AEC21" w14:textId="77777777" w:rsidR="00157906" w:rsidRDefault="00157906" w:rsidP="001B5DAD">
      <w:pPr>
        <w:pStyle w:val="Norma"/>
        <w:ind w:left="0"/>
      </w:pPr>
    </w:p>
    <w:p w14:paraId="18818D13" w14:textId="51963F39" w:rsidR="00157906" w:rsidRDefault="00800864" w:rsidP="00157906">
      <w:pPr>
        <w:pStyle w:val="Norma"/>
      </w:pPr>
      <w:r>
        <w:t>While we regularly assess Government progress in designing policies to reduce car dependency, our research to date has not directly considered what types of</w:t>
      </w:r>
      <w:r w:rsidR="001B5DAD">
        <w:t xml:space="preserve"> interventions are most successful in delivering traffic reductions, and whether these would vary depending on the city or region.</w:t>
      </w:r>
      <w:r w:rsidR="00157906">
        <w:t xml:space="preserve"> </w:t>
      </w:r>
      <w:r w:rsidR="00F27ABA">
        <w:t>The Local Government Association</w:t>
      </w:r>
      <w:r w:rsidR="00F27ABA">
        <w:rPr>
          <w:rStyle w:val="FootnoteReference"/>
        </w:rPr>
        <w:footnoteReference w:id="4"/>
      </w:r>
      <w:r w:rsidR="00F27ABA">
        <w:t xml:space="preserve"> have started thinking about this on a local level and the DfT Toolkit</w:t>
      </w:r>
      <w:r w:rsidR="00F27ABA">
        <w:rPr>
          <w:rStyle w:val="FootnoteReference"/>
        </w:rPr>
        <w:footnoteReference w:id="5"/>
      </w:r>
      <w:r w:rsidR="00F27ABA">
        <w:t xml:space="preserve"> provides guidance for how local authorities can increase active travel. </w:t>
      </w:r>
      <w:r w:rsidR="00157906">
        <w:t>Furthermore, behaviours and preferences could vary significantly between different groups (</w:t>
      </w:r>
      <w:proofErr w:type="gramStart"/>
      <w:r w:rsidR="00157906">
        <w:t>e.g.</w:t>
      </w:r>
      <w:proofErr w:type="gramEnd"/>
      <w:r w:rsidR="00157906">
        <w:t xml:space="preserve"> </w:t>
      </w:r>
      <w:r w:rsidR="001B5DAD">
        <w:t>those with young children</w:t>
      </w:r>
      <w:r w:rsidR="00157906">
        <w:t xml:space="preserve">, or those in densely populated urban areas), and there is a risk that </w:t>
      </w:r>
      <w:r w:rsidR="001B5DAD">
        <w:t xml:space="preserve">interventions </w:t>
      </w:r>
      <w:r w:rsidR="00157906">
        <w:t>that work for some could have detrimental impacts on others.</w:t>
      </w:r>
      <w:r w:rsidR="00F27ABA">
        <w:t xml:space="preserve"> </w:t>
      </w:r>
    </w:p>
    <w:p w14:paraId="4D6C70EF" w14:textId="77777777" w:rsidR="00157906" w:rsidRDefault="00157906" w:rsidP="001B5DAD">
      <w:pPr>
        <w:pStyle w:val="Norma"/>
        <w:ind w:left="0"/>
      </w:pPr>
    </w:p>
    <w:p w14:paraId="14DD8AC7" w14:textId="77B224C4" w:rsidR="003A05B7" w:rsidRDefault="00157906" w:rsidP="00157906">
      <w:pPr>
        <w:pStyle w:val="Norma"/>
      </w:pPr>
      <w:r>
        <w:t xml:space="preserve">This project seeks to address these issues by seeking to better understand </w:t>
      </w:r>
      <w:r w:rsidR="001B5DAD">
        <w:t xml:space="preserve">what types of intervention </w:t>
      </w:r>
      <w:r w:rsidR="006F4AB3">
        <w:t xml:space="preserve">have been effective at reducing traffic in the past and what principles are there to learn to inform effective future action. </w:t>
      </w:r>
    </w:p>
    <w:p w14:paraId="28909998" w14:textId="187071F7" w:rsidR="00040453" w:rsidRDefault="00040453" w:rsidP="00040453">
      <w:pPr>
        <w:pStyle w:val="Heading5a"/>
      </w:pPr>
      <w:r>
        <w:t>Other recent work</w:t>
      </w:r>
    </w:p>
    <w:p w14:paraId="7DD6D783" w14:textId="7D6A6F85" w:rsidR="00EE37F0" w:rsidRDefault="00040453" w:rsidP="00040453">
      <w:pPr>
        <w:pStyle w:val="Norma"/>
      </w:pPr>
      <w:r>
        <w:t>Various publications have</w:t>
      </w:r>
      <w:r w:rsidR="00A91470">
        <w:t xml:space="preserve"> looked at the</w:t>
      </w:r>
      <w:r w:rsidR="00C132D4">
        <w:t xml:space="preserve"> opportunities for and</w:t>
      </w:r>
      <w:r w:rsidR="00A91470">
        <w:t xml:space="preserve"> barriers to modal shift</w:t>
      </w:r>
      <w:r w:rsidR="00C132D4">
        <w:t xml:space="preserve"> and shared mobility</w:t>
      </w:r>
      <w:r w:rsidR="00EE37F0">
        <w:t xml:space="preserve"> as well as the potential to and benefits of switching to alternative modes of transport. These include studies by </w:t>
      </w:r>
      <w:r w:rsidR="00EE37F0">
        <w:lastRenderedPageBreak/>
        <w:t>CREDS</w:t>
      </w:r>
      <w:r w:rsidR="007245A9" w:rsidRPr="00800864">
        <w:rPr>
          <w:rStyle w:val="FootnoteReference"/>
        </w:rPr>
        <w:footnoteReference w:id="6"/>
      </w:r>
      <w:r w:rsidR="00EE37F0" w:rsidRPr="00A119A2">
        <w:rPr>
          <w:vertAlign w:val="superscript"/>
        </w:rPr>
        <w:t>,</w:t>
      </w:r>
      <w:r w:rsidR="007245A9" w:rsidRPr="00800864">
        <w:rPr>
          <w:rStyle w:val="FootnoteReference"/>
        </w:rPr>
        <w:footnoteReference w:id="7"/>
      </w:r>
      <w:r w:rsidR="00241E30" w:rsidRPr="00A119A2">
        <w:rPr>
          <w:vertAlign w:val="superscript"/>
        </w:rPr>
        <w:t>,</w:t>
      </w:r>
      <w:r w:rsidR="00241E30" w:rsidRPr="00800864">
        <w:rPr>
          <w:rStyle w:val="FootnoteReference"/>
        </w:rPr>
        <w:footnoteReference w:id="8"/>
      </w:r>
      <w:r w:rsidR="00241E30">
        <w:t>, ARUP</w:t>
      </w:r>
      <w:r w:rsidR="00241E30">
        <w:rPr>
          <w:rStyle w:val="FootnoteReference"/>
        </w:rPr>
        <w:footnoteReference w:id="9"/>
      </w:r>
      <w:r w:rsidR="00561803">
        <w:t xml:space="preserve">, </w:t>
      </w:r>
      <w:proofErr w:type="spellStart"/>
      <w:r w:rsidR="00561803">
        <w:t>CoMoUK</w:t>
      </w:r>
      <w:proofErr w:type="spellEnd"/>
      <w:r w:rsidR="00561803">
        <w:rPr>
          <w:rStyle w:val="FootnoteReference"/>
        </w:rPr>
        <w:footnoteReference w:id="10"/>
      </w:r>
      <w:r w:rsidR="00113FF8">
        <w:t>.</w:t>
      </w:r>
      <w:r w:rsidR="007245A9">
        <w:t xml:space="preserve"> </w:t>
      </w:r>
      <w:r w:rsidR="00EE37F0">
        <w:t>These studies typically consider</w:t>
      </w:r>
      <w:r w:rsidR="00C132D4">
        <w:t xml:space="preserve"> ways to reduce car mileage and emissions, </w:t>
      </w:r>
      <w:r w:rsidR="00241E30">
        <w:t>and the uptake potential of different modes of transport and shared mobility.</w:t>
      </w:r>
    </w:p>
    <w:p w14:paraId="1E13EF00" w14:textId="7DC492D6" w:rsidR="00EE37F0" w:rsidRDefault="00EE37F0" w:rsidP="00040453">
      <w:pPr>
        <w:pStyle w:val="Norma"/>
      </w:pPr>
    </w:p>
    <w:p w14:paraId="1BD07A35" w14:textId="221FB89B" w:rsidR="00EE37F0" w:rsidRDefault="0041237F" w:rsidP="00EE37F0">
      <w:pPr>
        <w:pStyle w:val="Norma"/>
      </w:pPr>
      <w:r>
        <w:t>In the early-2000s, o</w:t>
      </w:r>
      <w:r w:rsidR="00EE37F0">
        <w:t>ne well known study</w:t>
      </w:r>
      <w:r w:rsidR="00631929">
        <w:rPr>
          <w:rStyle w:val="FootnoteReference"/>
        </w:rPr>
        <w:footnoteReference w:id="11"/>
      </w:r>
      <w:r w:rsidR="00EE37F0">
        <w:t xml:space="preserve"> </w:t>
      </w:r>
      <w:r>
        <w:t>investigated</w:t>
      </w:r>
      <w:r w:rsidR="00EE37F0">
        <w:t xml:space="preserve"> areas where traffic has disappeared and why. This </w:t>
      </w:r>
      <w:r>
        <w:t xml:space="preserve">‘disappearing traffic’ </w:t>
      </w:r>
      <w:r w:rsidR="00EE37F0">
        <w:t>study focused on</w:t>
      </w:r>
      <w:r w:rsidR="0010797E">
        <w:t xml:space="preserve"> over 70 case studies from eleven countries </w:t>
      </w:r>
      <w:r w:rsidR="00C94399">
        <w:t xml:space="preserve">and found that </w:t>
      </w:r>
      <w:r w:rsidR="00A55235">
        <w:t xml:space="preserve">behavioural responses people make following a change in road conditions are much more complex than has been previously assumed. Road space reallocations schemes can reduce traffic levels by significant amounts and that however different schemes required are largely dependent upon area context. </w:t>
      </w:r>
      <w:r>
        <w:t>A recent meta-analysis</w:t>
      </w:r>
      <w:r>
        <w:rPr>
          <w:rStyle w:val="FootnoteReference"/>
        </w:rPr>
        <w:footnoteReference w:id="12"/>
      </w:r>
      <w:r>
        <w:t xml:space="preserve"> of the effectiveness of a range of schemes that aimed to reduce car usage across Europe builds on these conclusions, finding that the most effective interventions coupled pushes to restrict car use and pulls to encourage alternatives.</w:t>
      </w:r>
    </w:p>
    <w:p w14:paraId="61F9279A" w14:textId="77777777" w:rsidR="000A0490" w:rsidRDefault="000A0490" w:rsidP="00631929">
      <w:pPr>
        <w:pStyle w:val="Norma"/>
        <w:ind w:left="0"/>
      </w:pPr>
    </w:p>
    <w:p w14:paraId="5C4F3A3E" w14:textId="72CA60C1" w:rsidR="000A0490" w:rsidRDefault="000A0490" w:rsidP="000A0490">
      <w:pPr>
        <w:pStyle w:val="Norma"/>
      </w:pPr>
      <w:r>
        <w:t>The aim of this research project is to extend the state of this area of research, to understand more about</w:t>
      </w:r>
      <w:r w:rsidR="00A91470">
        <w:t xml:space="preserve"> what can be done to reach the levels of traffic reduction required.</w:t>
      </w:r>
      <w:r>
        <w:t xml:space="preserve"> </w:t>
      </w:r>
    </w:p>
    <w:p w14:paraId="42C186C3" w14:textId="155BAD33" w:rsidR="00C67C4A" w:rsidRDefault="00C67C4A" w:rsidP="000A0490">
      <w:pPr>
        <w:pStyle w:val="Norma"/>
      </w:pPr>
    </w:p>
    <w:p w14:paraId="1221AA05" w14:textId="5C8318FF" w:rsidR="003A05B7" w:rsidRPr="00157906" w:rsidRDefault="003A05B7" w:rsidP="00385FE3">
      <w:pPr>
        <w:pStyle w:val="Heading1"/>
        <w:numPr>
          <w:ilvl w:val="0"/>
          <w:numId w:val="2"/>
        </w:numPr>
      </w:pPr>
      <w:bookmarkStart w:id="6" w:name="_Ref357535689"/>
      <w:bookmarkStart w:id="7" w:name="_Toc381969508"/>
      <w:bookmarkStart w:id="8" w:name="_Toc405888457"/>
      <w:bookmarkStart w:id="9" w:name="_Toc83376640"/>
      <w:r w:rsidRPr="00157906">
        <w:t>Aims and Objectives</w:t>
      </w:r>
      <w:bookmarkEnd w:id="6"/>
      <w:bookmarkEnd w:id="7"/>
      <w:bookmarkEnd w:id="8"/>
      <w:bookmarkEnd w:id="9"/>
    </w:p>
    <w:p w14:paraId="2241A59F" w14:textId="772226B0" w:rsidR="00157906" w:rsidRDefault="00157906" w:rsidP="00157906">
      <w:pPr>
        <w:pStyle w:val="Norma"/>
      </w:pPr>
      <w:r>
        <w:t xml:space="preserve">There are </w:t>
      </w:r>
      <w:r w:rsidR="00340375">
        <w:t xml:space="preserve">three </w:t>
      </w:r>
      <w:r>
        <w:t>key questions that this research should aim to answer:</w:t>
      </w:r>
    </w:p>
    <w:p w14:paraId="19A4C7C7" w14:textId="63C464A8" w:rsidR="003E64FA" w:rsidRPr="003E64FA" w:rsidRDefault="6A3256A5" w:rsidP="000C56E8">
      <w:pPr>
        <w:pStyle w:val="Bullet"/>
        <w:numPr>
          <w:ilvl w:val="0"/>
          <w:numId w:val="1"/>
        </w:numPr>
      </w:pPr>
      <w:r>
        <w:t>What types of intervention</w:t>
      </w:r>
      <w:r w:rsidR="2C2C74B3">
        <w:t xml:space="preserve"> (or packages of interventions)</w:t>
      </w:r>
      <w:r>
        <w:t xml:space="preserve"> have been effective at reducing traffic in the past, </w:t>
      </w:r>
      <w:r w:rsidR="685856AB">
        <w:t xml:space="preserve">in the UK and globally, </w:t>
      </w:r>
      <w:r>
        <w:t>and what principles can we learn from these to inform effective future action?</w:t>
      </w:r>
      <w:r w:rsidR="003E64FA">
        <w:tab/>
      </w:r>
    </w:p>
    <w:p w14:paraId="6190E2F9" w14:textId="13132A67" w:rsidR="003E64FA" w:rsidRDefault="7AAB6413" w:rsidP="00340375">
      <w:pPr>
        <w:pStyle w:val="BulletLevel3"/>
      </w:pPr>
      <w:r>
        <w:t xml:space="preserve">This should aim to understand what sorts of </w:t>
      </w:r>
      <w:r w:rsidR="6A3256A5">
        <w:t>interventions could be put in place to build on these principles and effectively reduce traffic/car travel</w:t>
      </w:r>
      <w:r>
        <w:t>.</w:t>
      </w:r>
    </w:p>
    <w:p w14:paraId="73C47825" w14:textId="43D5CCB5" w:rsidR="2A81D4AF" w:rsidRDefault="2A81D4AF" w:rsidP="000C56E8">
      <w:pPr>
        <w:pStyle w:val="BulletLevel3"/>
        <w:numPr>
          <w:ilvl w:val="1"/>
          <w:numId w:val="10"/>
        </w:numPr>
      </w:pPr>
      <w:r>
        <w:t>For example</w:t>
      </w:r>
      <w:r w:rsidR="000C56E8">
        <w:t>,</w:t>
      </w:r>
      <w:r>
        <w:t xml:space="preserve"> </w:t>
      </w:r>
      <w:r w:rsidR="000C56E8">
        <w:t>i</w:t>
      </w:r>
      <w:r>
        <w:t>s there evidence that free or heavily subsidised public transport effects a large mode shift?</w:t>
      </w:r>
    </w:p>
    <w:p w14:paraId="54C2EEFD" w14:textId="03242ECF" w:rsidR="2A81D4AF" w:rsidRDefault="2A81D4AF" w:rsidP="22A25F38">
      <w:pPr>
        <w:pStyle w:val="BulletLevel3"/>
        <w:numPr>
          <w:ilvl w:val="1"/>
          <w:numId w:val="10"/>
        </w:numPr>
      </w:pPr>
      <w:r>
        <w:t>How extensive do cycle networks need to be to achieve significant bike mode share?</w:t>
      </w:r>
    </w:p>
    <w:p w14:paraId="08BD6B27" w14:textId="189A36D5" w:rsidR="2A81D4AF" w:rsidRDefault="2A81D4AF" w:rsidP="22A25F38">
      <w:pPr>
        <w:pStyle w:val="BulletLevel3"/>
        <w:numPr>
          <w:ilvl w:val="1"/>
          <w:numId w:val="10"/>
        </w:numPr>
      </w:pPr>
      <w:r>
        <w:t>How different is the performance of public transport in places with more expensive car-based mobility (</w:t>
      </w:r>
      <w:proofErr w:type="gramStart"/>
      <w:r>
        <w:t>e.g.</w:t>
      </w:r>
      <w:proofErr w:type="gramEnd"/>
      <w:r>
        <w:t xml:space="preserve"> </w:t>
      </w:r>
      <w:r>
        <w:lastRenderedPageBreak/>
        <w:t>workplace parking levy, road pricing or other restrictive measures)?</w:t>
      </w:r>
    </w:p>
    <w:p w14:paraId="614E6CFC" w14:textId="79C1B8F6" w:rsidR="00B14AD2" w:rsidRPr="003E64FA" w:rsidRDefault="2FAFD3E8" w:rsidP="00340375">
      <w:pPr>
        <w:pStyle w:val="BulletLevel3"/>
      </w:pPr>
      <w:r>
        <w:t xml:space="preserve">What opportunities are there opening up from emerging technologies </w:t>
      </w:r>
      <w:proofErr w:type="gramStart"/>
      <w:r>
        <w:t>e.g.</w:t>
      </w:r>
      <w:proofErr w:type="gramEnd"/>
      <w:r>
        <w:t xml:space="preserve"> e-scooters and ride-sharing apps</w:t>
      </w:r>
      <w:r w:rsidR="51D987DD">
        <w:t xml:space="preserve"> and what initiatives might enable greater sharing of cars</w:t>
      </w:r>
      <w:r>
        <w:t>?</w:t>
      </w:r>
    </w:p>
    <w:p w14:paraId="0E6067D1" w14:textId="65A816E3" w:rsidR="003E64FA" w:rsidRPr="003E64FA" w:rsidRDefault="6A3256A5" w:rsidP="000C56E8">
      <w:pPr>
        <w:pStyle w:val="Bullet"/>
        <w:numPr>
          <w:ilvl w:val="0"/>
          <w:numId w:val="1"/>
        </w:numPr>
      </w:pPr>
      <w:r>
        <w:t xml:space="preserve">What are the barriers to these interventions being </w:t>
      </w:r>
      <w:r w:rsidR="177EB767">
        <w:t xml:space="preserve">implemented or being </w:t>
      </w:r>
      <w:r>
        <w:t>successful in reducing car dependency, and what solutions could overcome these?</w:t>
      </w:r>
    </w:p>
    <w:p w14:paraId="237B6BFC" w14:textId="7041038F" w:rsidR="003E64FA" w:rsidRPr="003E64FA" w:rsidRDefault="6A3256A5" w:rsidP="00340375">
      <w:pPr>
        <w:pStyle w:val="BulletLevel3"/>
      </w:pPr>
      <w:r>
        <w:t>This should include consideration of public preferences between alternative approaches</w:t>
      </w:r>
      <w:r w:rsidR="4FE67B0F">
        <w:t xml:space="preserve">, including </w:t>
      </w:r>
      <w:r w:rsidR="3D3BCE98">
        <w:t>for example</w:t>
      </w:r>
      <w:r w:rsidR="4FE67B0F">
        <w:t xml:space="preserve"> a review of what citizen’s assembly say should be done to tackle the climate challenge</w:t>
      </w:r>
      <w:r>
        <w:t>.</w:t>
      </w:r>
    </w:p>
    <w:p w14:paraId="50EA58B8" w14:textId="347C090E" w:rsidR="003E64FA" w:rsidRPr="003E64FA" w:rsidRDefault="003E64FA">
      <w:pPr>
        <w:pStyle w:val="BulletLevel3"/>
      </w:pPr>
      <w:r>
        <w:t>E.g., how could changes in the cost of each mode, or the availability, service quality, timeliness etc., be expected to address perceived barriers to use of alternative modes?</w:t>
      </w:r>
    </w:p>
    <w:p w14:paraId="495A7132" w14:textId="7F551253" w:rsidR="003E64FA" w:rsidRPr="003E64FA" w:rsidRDefault="6A3256A5" w:rsidP="000C56E8">
      <w:pPr>
        <w:pStyle w:val="Bullet"/>
        <w:numPr>
          <w:ilvl w:val="0"/>
          <w:numId w:val="1"/>
        </w:numPr>
      </w:pPr>
      <w:r>
        <w:t>Who is responsible for delivering the solutions required and what actions will they need to take to ensure modal shift occurs at the required rate?</w:t>
      </w:r>
    </w:p>
    <w:p w14:paraId="7F5FE5BC" w14:textId="77777777" w:rsidR="00157906" w:rsidRDefault="00157906" w:rsidP="00157906">
      <w:pPr>
        <w:pStyle w:val="Norma"/>
      </w:pPr>
    </w:p>
    <w:p w14:paraId="4009DD09" w14:textId="580DF13F" w:rsidR="00157906" w:rsidRDefault="00157906" w:rsidP="00157906">
      <w:pPr>
        <w:pStyle w:val="Norma"/>
      </w:pPr>
      <w:r>
        <w:t>We now discuss the key research questions in turn</w:t>
      </w:r>
      <w:r w:rsidR="003A7720">
        <w:t xml:space="preserve">, setting out the topics that the research should cover along with some illustrative questions that might be useful to guide the approach. </w:t>
      </w:r>
    </w:p>
    <w:p w14:paraId="557181BA" w14:textId="72E5D72A" w:rsidR="00157906" w:rsidRDefault="006F4AB3" w:rsidP="00157906">
      <w:pPr>
        <w:pStyle w:val="Heading4"/>
      </w:pPr>
      <w:r>
        <w:t>Effective past interventions at reducing traffic and principles to be learned</w:t>
      </w:r>
    </w:p>
    <w:p w14:paraId="1CDD9D85" w14:textId="77777777" w:rsidR="00771171" w:rsidRDefault="00771171" w:rsidP="00157906">
      <w:pPr>
        <w:pStyle w:val="Norma"/>
      </w:pPr>
      <w:r>
        <w:t>Interventions that have been successful in reducing traffic will be different depending on the area. This research should aim to understand why certain things worked in certain areas and draw out key principles to be abided by for future interventions aimed at reducing traffic.</w:t>
      </w:r>
    </w:p>
    <w:p w14:paraId="3B083A90" w14:textId="77777777" w:rsidR="00771171" w:rsidRDefault="00771171" w:rsidP="00157906">
      <w:pPr>
        <w:pStyle w:val="Norma"/>
      </w:pPr>
    </w:p>
    <w:p w14:paraId="2D88FE3C" w14:textId="766D2C79" w:rsidR="00157906" w:rsidRDefault="00157906" w:rsidP="00157906">
      <w:pPr>
        <w:pStyle w:val="Norma"/>
      </w:pPr>
      <w:r>
        <w:t xml:space="preserve">This research should describe the different </w:t>
      </w:r>
      <w:r w:rsidR="00771171">
        <w:t>interventions</w:t>
      </w:r>
      <w:r>
        <w:t xml:space="preserve"> that could deliver the </w:t>
      </w:r>
      <w:r w:rsidR="00771171">
        <w:t>required reduction in traffic throughout the</w:t>
      </w:r>
      <w:r>
        <w:t xml:space="preserve"> 2030s</w:t>
      </w:r>
      <w:r w:rsidR="00771171">
        <w:t xml:space="preserve"> and onwards</w:t>
      </w:r>
      <w:r>
        <w:t xml:space="preserve">. This might include consideration of some or </w:t>
      </w:r>
      <w:proofErr w:type="gramStart"/>
      <w:r>
        <w:t>all of</w:t>
      </w:r>
      <w:proofErr w:type="gramEnd"/>
      <w:r>
        <w:t xml:space="preserve"> the following issues:</w:t>
      </w:r>
    </w:p>
    <w:p w14:paraId="7B8E04E8" w14:textId="4F3840DB" w:rsidR="00157906" w:rsidRPr="00157906" w:rsidRDefault="00157906" w:rsidP="00340375">
      <w:pPr>
        <w:pStyle w:val="Bullet"/>
      </w:pPr>
      <w:r w:rsidRPr="00157906">
        <w:t xml:space="preserve">What </w:t>
      </w:r>
      <w:r w:rsidR="006F4AB3">
        <w:t>interventions would discourage people from driving?</w:t>
      </w:r>
    </w:p>
    <w:p w14:paraId="125F3291" w14:textId="6FFE1824" w:rsidR="00157906" w:rsidRPr="00157906" w:rsidRDefault="006F4AB3" w:rsidP="00340375">
      <w:pPr>
        <w:pStyle w:val="Bullet"/>
      </w:pPr>
      <w:r>
        <w:t xml:space="preserve">Does the effectiveness of interventions vary significantly between different groups? </w:t>
      </w:r>
    </w:p>
    <w:p w14:paraId="6923A8EF" w14:textId="5D516504" w:rsidR="00157906" w:rsidRDefault="00771171" w:rsidP="00340375">
      <w:pPr>
        <w:pStyle w:val="Bullet"/>
      </w:pPr>
      <w:r>
        <w:t>Are there general principles that can be learnt from case studies?</w:t>
      </w:r>
    </w:p>
    <w:p w14:paraId="169D4351" w14:textId="583CC3C7" w:rsidR="002B4064" w:rsidRPr="00157906" w:rsidRDefault="002B4064" w:rsidP="00340375">
      <w:pPr>
        <w:pStyle w:val="Bullet"/>
      </w:pPr>
      <w:r>
        <w:t>What combination of interventions will be required to deliver the amount of traffic reduction needed?</w:t>
      </w:r>
    </w:p>
    <w:p w14:paraId="6FD17600" w14:textId="317CF4AB" w:rsidR="00157906" w:rsidRDefault="00157906">
      <w:pPr>
        <w:pStyle w:val="Bullet"/>
        <w:numPr>
          <w:ilvl w:val="0"/>
          <w:numId w:val="0"/>
        </w:numPr>
        <w:ind w:left="714"/>
      </w:pPr>
    </w:p>
    <w:p w14:paraId="51A8D9C8" w14:textId="004DBDE7" w:rsidR="00157906" w:rsidRDefault="00771171" w:rsidP="00157906">
      <w:pPr>
        <w:pStyle w:val="Heading4"/>
      </w:pPr>
      <w:r>
        <w:t>Perceived barriers to interventions being successful and solutions to overcome these</w:t>
      </w:r>
    </w:p>
    <w:p w14:paraId="3240418E" w14:textId="7C82FCE5" w:rsidR="00771171" w:rsidRDefault="4D5E343C" w:rsidP="23A3110F">
      <w:pPr>
        <w:ind w:left="720"/>
        <w:rPr>
          <w:rFonts w:eastAsia="Times New Roman" w:cs="Times New Roman"/>
          <w:sz w:val="20"/>
          <w:szCs w:val="20"/>
        </w:rPr>
      </w:pPr>
      <w:r w:rsidRPr="22A25F38">
        <w:rPr>
          <w:rFonts w:eastAsia="Times New Roman" w:cs="Times New Roman"/>
          <w:sz w:val="20"/>
          <w:szCs w:val="20"/>
        </w:rPr>
        <w:t xml:space="preserve">Interventions aimed at reducing traffic are likely to receive public and political opposition, as many struggle with the </w:t>
      </w:r>
      <w:r w:rsidR="263797FC" w:rsidRPr="22A25F38">
        <w:rPr>
          <w:rFonts w:eastAsia="Times New Roman" w:cs="Times New Roman"/>
          <w:sz w:val="20"/>
          <w:szCs w:val="20"/>
        </w:rPr>
        <w:t xml:space="preserve">perception that this may lead to </w:t>
      </w:r>
      <w:r w:rsidR="3A1885C6" w:rsidRPr="22A25F38">
        <w:rPr>
          <w:rFonts w:eastAsia="Times New Roman" w:cs="Times New Roman"/>
          <w:sz w:val="20"/>
          <w:szCs w:val="20"/>
        </w:rPr>
        <w:t xml:space="preserve">restrictions on their mobility, including </w:t>
      </w:r>
      <w:r w:rsidR="263797FC" w:rsidRPr="22A25F38">
        <w:rPr>
          <w:rFonts w:eastAsia="Times New Roman" w:cs="Times New Roman"/>
          <w:sz w:val="20"/>
          <w:szCs w:val="20"/>
        </w:rPr>
        <w:t>a need to give</w:t>
      </w:r>
      <w:r w:rsidRPr="22A25F38">
        <w:rPr>
          <w:rFonts w:eastAsia="Times New Roman" w:cs="Times New Roman"/>
          <w:sz w:val="20"/>
          <w:szCs w:val="20"/>
        </w:rPr>
        <w:t xml:space="preserve"> up their car or shar</w:t>
      </w:r>
      <w:r w:rsidR="263797FC" w:rsidRPr="22A25F38">
        <w:rPr>
          <w:rFonts w:eastAsia="Times New Roman" w:cs="Times New Roman"/>
          <w:sz w:val="20"/>
          <w:szCs w:val="20"/>
        </w:rPr>
        <w:t>e</w:t>
      </w:r>
      <w:r w:rsidRPr="22A25F38">
        <w:rPr>
          <w:rFonts w:eastAsia="Times New Roman" w:cs="Times New Roman"/>
          <w:sz w:val="20"/>
          <w:szCs w:val="20"/>
        </w:rPr>
        <w:t xml:space="preserve"> vehicles</w:t>
      </w:r>
      <w:r w:rsidR="263797FC" w:rsidRPr="22A25F38">
        <w:rPr>
          <w:rFonts w:eastAsia="Times New Roman" w:cs="Times New Roman"/>
          <w:sz w:val="20"/>
          <w:szCs w:val="20"/>
        </w:rPr>
        <w:t xml:space="preserve"> (even where this is not the case)</w:t>
      </w:r>
      <w:r w:rsidRPr="22A25F38">
        <w:rPr>
          <w:rFonts w:eastAsia="Times New Roman" w:cs="Times New Roman"/>
          <w:sz w:val="20"/>
          <w:szCs w:val="20"/>
        </w:rPr>
        <w:t xml:space="preserve">. This research should aim to understand how such interventions </w:t>
      </w:r>
      <w:r w:rsidR="263797FC" w:rsidRPr="22A25F38">
        <w:rPr>
          <w:rFonts w:eastAsia="Times New Roman" w:cs="Times New Roman"/>
          <w:sz w:val="20"/>
          <w:szCs w:val="20"/>
        </w:rPr>
        <w:t xml:space="preserve">can be </w:t>
      </w:r>
      <w:r w:rsidRPr="22A25F38">
        <w:rPr>
          <w:rFonts w:eastAsia="Times New Roman" w:cs="Times New Roman"/>
          <w:sz w:val="20"/>
          <w:szCs w:val="20"/>
        </w:rPr>
        <w:t>made publicly and politically acceptable and what mix of action is preferred to reach the required levels of traffic reduction</w:t>
      </w:r>
      <w:r w:rsidR="0FA8E696" w:rsidRPr="22A25F38">
        <w:rPr>
          <w:rFonts w:eastAsia="Times New Roman" w:cs="Times New Roman"/>
          <w:sz w:val="20"/>
          <w:szCs w:val="20"/>
        </w:rPr>
        <w:t>, through collecting primary data looking at what is currently hindering use of more sustainable modes and how effectively the different interventions considered can overcome these</w:t>
      </w:r>
      <w:r w:rsidRPr="22A25F38">
        <w:rPr>
          <w:rFonts w:eastAsia="Times New Roman" w:cs="Times New Roman"/>
          <w:sz w:val="20"/>
          <w:szCs w:val="20"/>
        </w:rPr>
        <w:t xml:space="preserve">. </w:t>
      </w:r>
    </w:p>
    <w:p w14:paraId="4BC8C48A" w14:textId="24BD6964" w:rsidR="00AB5C65" w:rsidRDefault="00AB5C65" w:rsidP="23A3110F">
      <w:pPr>
        <w:ind w:left="720"/>
        <w:rPr>
          <w:rFonts w:eastAsia="Times New Roman" w:cs="Times New Roman"/>
          <w:sz w:val="20"/>
          <w:szCs w:val="20"/>
        </w:rPr>
      </w:pPr>
    </w:p>
    <w:p w14:paraId="2100223B" w14:textId="5EA33750" w:rsidR="00AB5C65" w:rsidRDefault="00AB5C65" w:rsidP="23A3110F">
      <w:pPr>
        <w:ind w:left="720"/>
        <w:rPr>
          <w:rFonts w:eastAsia="Times New Roman" w:cs="Times New Roman"/>
          <w:sz w:val="20"/>
          <w:szCs w:val="20"/>
        </w:rPr>
      </w:pPr>
      <w:r w:rsidRPr="23A3110F">
        <w:rPr>
          <w:rFonts w:eastAsia="Times New Roman" w:cs="Times New Roman"/>
          <w:sz w:val="20"/>
          <w:szCs w:val="20"/>
        </w:rPr>
        <w:t xml:space="preserve">This is the core focus area of this piece of research – aiming to understand what barriers exist and how these can be overcome </w:t>
      </w:r>
      <w:proofErr w:type="gramStart"/>
      <w:r w:rsidRPr="23A3110F">
        <w:rPr>
          <w:rFonts w:eastAsia="Times New Roman" w:cs="Times New Roman"/>
          <w:sz w:val="20"/>
          <w:szCs w:val="20"/>
        </w:rPr>
        <w:t xml:space="preserve">in order </w:t>
      </w:r>
      <w:r w:rsidRPr="23A3110F">
        <w:rPr>
          <w:rFonts w:eastAsia="Times New Roman" w:cs="Times New Roman"/>
          <w:sz w:val="20"/>
          <w:szCs w:val="20"/>
        </w:rPr>
        <w:lastRenderedPageBreak/>
        <w:t>to</w:t>
      </w:r>
      <w:proofErr w:type="gramEnd"/>
      <w:r w:rsidRPr="23A3110F">
        <w:rPr>
          <w:rFonts w:eastAsia="Times New Roman" w:cs="Times New Roman"/>
          <w:sz w:val="20"/>
          <w:szCs w:val="20"/>
        </w:rPr>
        <w:t xml:space="preserve"> translate potentially effective intervention packages into the real-world behaviour change </w:t>
      </w:r>
      <w:r w:rsidR="00CD4EEF" w:rsidRPr="23A3110F">
        <w:rPr>
          <w:rFonts w:eastAsia="Times New Roman" w:cs="Times New Roman"/>
          <w:sz w:val="20"/>
          <w:szCs w:val="20"/>
        </w:rPr>
        <w:t>that is beneficial to individuals and society at large</w:t>
      </w:r>
      <w:r w:rsidRPr="23A3110F">
        <w:rPr>
          <w:rFonts w:eastAsia="Times New Roman" w:cs="Times New Roman"/>
          <w:sz w:val="20"/>
          <w:szCs w:val="20"/>
        </w:rPr>
        <w:t>.</w:t>
      </w:r>
    </w:p>
    <w:p w14:paraId="6621FE9B" w14:textId="77777777" w:rsidR="002B4064" w:rsidRPr="00771171" w:rsidRDefault="002B4064" w:rsidP="002B4064">
      <w:pPr>
        <w:ind w:left="720"/>
      </w:pPr>
    </w:p>
    <w:p w14:paraId="73804D01" w14:textId="77777777" w:rsidR="00157906" w:rsidRDefault="00157906" w:rsidP="00157906">
      <w:pPr>
        <w:pStyle w:val="Heading4"/>
      </w:pPr>
      <w:r>
        <w:t>Responsibilities and delivery</w:t>
      </w:r>
    </w:p>
    <w:p w14:paraId="3B1AB257" w14:textId="5A155A79" w:rsidR="00157906" w:rsidRDefault="00157906" w:rsidP="00157906">
      <w:pPr>
        <w:pStyle w:val="Norma"/>
      </w:pPr>
      <w:r>
        <w:t xml:space="preserve">This part of the research aims to understand </w:t>
      </w:r>
      <w:r w:rsidR="00A0077C">
        <w:t xml:space="preserve">which actors or mix of actors would be best placed to deliver the interventions required to deliver traffic reduction. </w:t>
      </w:r>
    </w:p>
    <w:p w14:paraId="0A38941E" w14:textId="77777777" w:rsidR="00157906" w:rsidRDefault="00157906" w:rsidP="00157906">
      <w:pPr>
        <w:pStyle w:val="Norma"/>
      </w:pPr>
    </w:p>
    <w:p w14:paraId="3796F494" w14:textId="0516BACD" w:rsidR="00157906" w:rsidRDefault="00157906" w:rsidP="00157906">
      <w:pPr>
        <w:pStyle w:val="Norma"/>
      </w:pPr>
      <w:r>
        <w:t xml:space="preserve">This should begin by considering </w:t>
      </w:r>
      <w:r w:rsidR="00A0077C">
        <w:t>each of the interventions in turn</w:t>
      </w:r>
      <w:r>
        <w:t xml:space="preserve">, </w:t>
      </w:r>
      <w:r w:rsidR="00A0077C">
        <w:t>and wider impacts outlined above</w:t>
      </w:r>
      <w:r>
        <w:t xml:space="preserve">, </w:t>
      </w:r>
      <w:r w:rsidR="00A0077C">
        <w:t>to decide how these would</w:t>
      </w:r>
      <w:r>
        <w:t xml:space="preserve"> be best delivered in practice. This could include a range of considerations, including:</w:t>
      </w:r>
    </w:p>
    <w:p w14:paraId="353195A7" w14:textId="3344F40F" w:rsidR="00157906" w:rsidRPr="00157906" w:rsidRDefault="00157906" w:rsidP="00340375">
      <w:pPr>
        <w:pStyle w:val="Bullet"/>
      </w:pPr>
      <w:r w:rsidRPr="00157906">
        <w:t xml:space="preserve">Which actors would need to contribute to delivering </w:t>
      </w:r>
      <w:r w:rsidR="00A0077C">
        <w:t>traffic reduction interventions?</w:t>
      </w:r>
      <w:r w:rsidRPr="00157906">
        <w:t xml:space="preserve"> Are there preconditions (</w:t>
      </w:r>
      <w:r w:rsidR="00A0077C">
        <w:t>improvements to public transport and cycling infrastructure</w:t>
      </w:r>
      <w:r w:rsidRPr="00157906">
        <w:t xml:space="preserve">) that would be needed before </w:t>
      </w:r>
      <w:r w:rsidR="00A0077C">
        <w:t>interventions could be put in place</w:t>
      </w:r>
      <w:r w:rsidRPr="00157906">
        <w:t>?</w:t>
      </w:r>
    </w:p>
    <w:p w14:paraId="4A46F0DF" w14:textId="24CE9A29" w:rsidR="00157906" w:rsidRPr="00157906" w:rsidRDefault="00157906" w:rsidP="00340375">
      <w:pPr>
        <w:pStyle w:val="Bullet"/>
      </w:pPr>
      <w:r w:rsidRPr="00157906">
        <w:t xml:space="preserve">To what extent would </w:t>
      </w:r>
      <w:r w:rsidR="00A0077C">
        <w:t>such interventions</w:t>
      </w:r>
      <w:r w:rsidRPr="00157906">
        <w:t xml:space="preserve"> require public support?</w:t>
      </w:r>
    </w:p>
    <w:p w14:paraId="1C9FE238" w14:textId="77777777" w:rsidR="00157906" w:rsidRDefault="00157906" w:rsidP="00157906">
      <w:pPr>
        <w:pStyle w:val="Norma"/>
      </w:pPr>
    </w:p>
    <w:p w14:paraId="3CB64620" w14:textId="2E96EB57" w:rsidR="00157906" w:rsidRDefault="1E2E7856" w:rsidP="00157906">
      <w:pPr>
        <w:pStyle w:val="Norma"/>
      </w:pPr>
      <w:r>
        <w:t xml:space="preserve">Based on the results of the research and their own expert judgement, the project team should produce a series of conclusions which set out the actions that UK Government, local authorities and industry </w:t>
      </w:r>
      <w:r w:rsidR="2B6CAC56">
        <w:t>could</w:t>
      </w:r>
      <w:r>
        <w:t xml:space="preserve"> take </w:t>
      </w:r>
      <w:proofErr w:type="gramStart"/>
      <w:r>
        <w:t>in order to</w:t>
      </w:r>
      <w:proofErr w:type="gramEnd"/>
      <w:r>
        <w:t xml:space="preserve"> provide </w:t>
      </w:r>
      <w:r w:rsidR="68EA23BA">
        <w:t>traffic reduction and modal shift, away from cars to alternative modes of transport,</w:t>
      </w:r>
      <w:r>
        <w:t xml:space="preserve"> over the next decade </w:t>
      </w:r>
      <w:r w:rsidR="68EA23BA">
        <w:t>and beyond</w:t>
      </w:r>
      <w:r>
        <w:t>. These should cover:</w:t>
      </w:r>
    </w:p>
    <w:p w14:paraId="37AD13EA" w14:textId="0D029B33" w:rsidR="00157906" w:rsidRDefault="00157906" w:rsidP="00340375">
      <w:pPr>
        <w:pStyle w:val="Bullet"/>
      </w:pPr>
      <w:r>
        <w:t xml:space="preserve">A review of </w:t>
      </w:r>
      <w:r w:rsidR="00A0077C">
        <w:t>interventions</w:t>
      </w:r>
      <w:r>
        <w:t>, including:</w:t>
      </w:r>
    </w:p>
    <w:p w14:paraId="05E1CD21" w14:textId="7299BF7F" w:rsidR="00157906" w:rsidRPr="00157906" w:rsidRDefault="00157906" w:rsidP="00340375">
      <w:pPr>
        <w:pStyle w:val="BulletLevel3"/>
      </w:pPr>
      <w:r w:rsidRPr="00157906">
        <w:t xml:space="preserve">The extent to which </w:t>
      </w:r>
      <w:r w:rsidR="00A0077C">
        <w:t>they</w:t>
      </w:r>
      <w:r w:rsidRPr="00157906">
        <w:t xml:space="preserve"> </w:t>
      </w:r>
      <w:r w:rsidR="00A0077C">
        <w:t>are</w:t>
      </w:r>
      <w:r w:rsidRPr="00157906">
        <w:t xml:space="preserve"> working to </w:t>
      </w:r>
      <w:r w:rsidR="00A0077C">
        <w:t>reduce traffic</w:t>
      </w:r>
      <w:r w:rsidRPr="00157906">
        <w:t>.</w:t>
      </w:r>
    </w:p>
    <w:p w14:paraId="56A27624" w14:textId="5E54A461" w:rsidR="00157906" w:rsidRPr="00157906" w:rsidRDefault="00157906" w:rsidP="00340375">
      <w:pPr>
        <w:pStyle w:val="BulletLevel3"/>
      </w:pPr>
      <w:r w:rsidRPr="00157906">
        <w:t>Any barriers to</w:t>
      </w:r>
      <w:r w:rsidR="00A0077C">
        <w:t xml:space="preserve"> modal shift, away from cars to alternative modes of transport,</w:t>
      </w:r>
      <w:r w:rsidRPr="00157906">
        <w:t xml:space="preserve"> that have been discovered during the research. </w:t>
      </w:r>
    </w:p>
    <w:p w14:paraId="319B2011" w14:textId="7CB04842" w:rsidR="00157906" w:rsidRDefault="00157906" w:rsidP="00340375">
      <w:pPr>
        <w:pStyle w:val="Bullet"/>
      </w:pPr>
      <w:r>
        <w:t xml:space="preserve">An assessment of how industry and other partners can be supported to deliver effective </w:t>
      </w:r>
      <w:r w:rsidR="00A0077C">
        <w:t xml:space="preserve">interventions, </w:t>
      </w:r>
      <w:r>
        <w:t>including:</w:t>
      </w:r>
    </w:p>
    <w:p w14:paraId="2729EF9D" w14:textId="15DAE531" w:rsidR="00157906" w:rsidRPr="00CF03A0" w:rsidRDefault="00157906" w:rsidP="00340375">
      <w:pPr>
        <w:pStyle w:val="BulletLevel3"/>
      </w:pPr>
      <w:r>
        <w:t>Consideration of who should be responsible for</w:t>
      </w:r>
      <w:r w:rsidR="00A0077C">
        <w:t xml:space="preserve"> putting in place and</w:t>
      </w:r>
      <w:r>
        <w:t xml:space="preserve"> </w:t>
      </w:r>
      <w:r w:rsidR="00A0077C">
        <w:t>overseeing such interventions</w:t>
      </w:r>
      <w:r>
        <w:t>.</w:t>
      </w:r>
    </w:p>
    <w:p w14:paraId="0EDA1FCC" w14:textId="15C0D7FF" w:rsidR="00157906" w:rsidRDefault="00157906" w:rsidP="00340375">
      <w:pPr>
        <w:pStyle w:val="BulletLevel3"/>
      </w:pPr>
      <w:r>
        <w:t xml:space="preserve">Consideration of the policies that could help secure private investment in </w:t>
      </w:r>
      <w:r w:rsidR="00A0077C">
        <w:t>improving alternative transport modes</w:t>
      </w:r>
      <w:r>
        <w:t>.</w:t>
      </w:r>
    </w:p>
    <w:p w14:paraId="5C592045" w14:textId="5E53ED95" w:rsidR="003A05B7" w:rsidRPr="00157906" w:rsidRDefault="00157906" w:rsidP="00340375">
      <w:pPr>
        <w:pStyle w:val="BulletLevel3"/>
      </w:pPr>
      <w:r>
        <w:t>Any wider issues that are important in ensuring success</w:t>
      </w:r>
      <w:r w:rsidR="00A0077C">
        <w:t xml:space="preserve"> in reducing traffic and the shift away from cars</w:t>
      </w:r>
      <w:r>
        <w:t>.</w:t>
      </w:r>
    </w:p>
    <w:p w14:paraId="6237D087" w14:textId="72B091A2" w:rsidR="003A05B7" w:rsidRPr="00157906" w:rsidRDefault="003A05B7" w:rsidP="00157906">
      <w:pPr>
        <w:pStyle w:val="Heading1"/>
        <w:numPr>
          <w:ilvl w:val="0"/>
          <w:numId w:val="2"/>
        </w:numPr>
      </w:pPr>
      <w:bookmarkStart w:id="10" w:name="_Toc381969509"/>
      <w:bookmarkStart w:id="11" w:name="_Toc405888458"/>
      <w:bookmarkStart w:id="12" w:name="_Toc83376641"/>
      <w:r w:rsidRPr="00157906">
        <w:t>Methodology</w:t>
      </w:r>
      <w:bookmarkEnd w:id="10"/>
      <w:bookmarkEnd w:id="11"/>
      <w:bookmarkEnd w:id="12"/>
    </w:p>
    <w:p w14:paraId="7352B9CB" w14:textId="1EF8AF50" w:rsidR="00157906" w:rsidRDefault="1E2E7856" w:rsidP="00157906">
      <w:pPr>
        <w:pStyle w:val="Norma"/>
      </w:pPr>
      <w:r>
        <w:t>This research should be conducted through a combination of reviewing existing literature and research as well as</w:t>
      </w:r>
      <w:r w:rsidR="62B5C1C9">
        <w:t xml:space="preserve"> a survey or focus group, </w:t>
      </w:r>
      <w:r w:rsidR="5B0C28FF">
        <w:t>as bidders</w:t>
      </w:r>
      <w:r w:rsidR="62B5C1C9">
        <w:t xml:space="preserve"> deem most appropriate,</w:t>
      </w:r>
      <w:r>
        <w:t xml:space="preserve"> sourcing and analysing </w:t>
      </w:r>
      <w:r w:rsidR="48CAB85B">
        <w:t xml:space="preserve">information </w:t>
      </w:r>
      <w:r>
        <w:t>relevant to addressing the questions outlined in the previous section.</w:t>
      </w:r>
    </w:p>
    <w:p w14:paraId="47AE969C" w14:textId="77777777" w:rsidR="00157906" w:rsidRDefault="00157906" w:rsidP="00157906">
      <w:pPr>
        <w:pStyle w:val="Norma"/>
      </w:pPr>
    </w:p>
    <w:p w14:paraId="0CD50487" w14:textId="63F732D1" w:rsidR="00157906" w:rsidRDefault="1EBE56F9" w:rsidP="382BC88E">
      <w:pPr>
        <w:pStyle w:val="Norma"/>
      </w:pPr>
      <w:r>
        <w:t>The starting point of the research will be to consider case-studies of areas that have reduced traffic and how the interventions that were used succeeded. These principles should be used to d</w:t>
      </w:r>
      <w:r w:rsidR="1857C095" w:rsidRPr="382BC88E">
        <w:t>evelop an understanding of potentially effective packages of interventions that could remove barriers to modal shift and thereby drive meaningful reductions in car use, to inform development of insightful survey or focus group questions.</w:t>
      </w:r>
    </w:p>
    <w:p w14:paraId="1948067D" w14:textId="64A0CB82" w:rsidR="00157906" w:rsidRDefault="00157906" w:rsidP="382BC88E">
      <w:pPr>
        <w:pStyle w:val="Norma"/>
      </w:pPr>
    </w:p>
    <w:p w14:paraId="5DC06641" w14:textId="13940BFC" w:rsidR="00157906" w:rsidRDefault="1857C095" w:rsidP="382BC88E">
      <w:pPr>
        <w:pStyle w:val="Norma"/>
      </w:pPr>
      <w:r w:rsidRPr="382BC88E">
        <w:t xml:space="preserve">A survey or focus group, depending on what is deemed most appropriate, to understand public perceptions of the barriers to effective modal shift and how effective the types of intervention, identified in the </w:t>
      </w:r>
      <w:r w:rsidRPr="382BC88E">
        <w:lastRenderedPageBreak/>
        <w:t>literature review, are likely to be. This should aim to understand the issues that prevent individuals from considering alternative modes at present and the extent to which different alternative intervention approaches that could surmount these and enable them to reduce their car usage.</w:t>
      </w:r>
    </w:p>
    <w:p w14:paraId="319C8935" w14:textId="5D4874BE" w:rsidR="00974DA2" w:rsidRDefault="00974DA2" w:rsidP="382BC88E">
      <w:pPr>
        <w:pStyle w:val="Norma"/>
      </w:pPr>
    </w:p>
    <w:p w14:paraId="3FB38998" w14:textId="179E11A0" w:rsidR="00974DA2" w:rsidRDefault="00974DA2" w:rsidP="382BC88E">
      <w:pPr>
        <w:pStyle w:val="Norma"/>
      </w:pPr>
      <w:r w:rsidRPr="00974DA2">
        <w:t>Experts in the field advise that questions should try to be direct rather than hypothetical – testing individuals’ relative preferences between different means of realising a required level of car use reduction</w:t>
      </w:r>
      <w:r>
        <w:t xml:space="preserve">. </w:t>
      </w:r>
      <w:r w:rsidRPr="00974DA2">
        <w:t>This can then be used to get into questions on what barriers prevent them from adopting these alternatives at present, and how packages of interventions could overcome these barriers to make each alternative more appealing. </w:t>
      </w:r>
    </w:p>
    <w:p w14:paraId="391FB171" w14:textId="77777777" w:rsidR="00157906" w:rsidRDefault="00157906" w:rsidP="00157906">
      <w:pPr>
        <w:pStyle w:val="Norma"/>
      </w:pPr>
    </w:p>
    <w:p w14:paraId="669AC993" w14:textId="02D364BA" w:rsidR="003A05B7" w:rsidRPr="00157906" w:rsidRDefault="5D633C2A" w:rsidP="00157906">
      <w:pPr>
        <w:pStyle w:val="Norma"/>
      </w:pPr>
      <w:r>
        <w:t>C</w:t>
      </w:r>
      <w:r w:rsidR="00157906">
        <w:t xml:space="preserve">onclusions and recommendations should be drawn based on the findings of the research. The potential topics listed are examples of the types of questions that the CCC would find valuable to answer, but there may be others that appear of relevance </w:t>
      </w:r>
      <w:proofErr w:type="gramStart"/>
      <w:r w:rsidR="00157906">
        <w:t>during the course of</w:t>
      </w:r>
      <w:proofErr w:type="gramEnd"/>
      <w:r w:rsidR="00157906">
        <w:t xml:space="preserve"> the research. These conclusions and recommendations should be determined using the project team’s expert judgement based on the findings of the research. Hypothetical and uncertain recommendations for possible approaches that could deliver success would be helpful, even if their efficacy cannot </w:t>
      </w:r>
      <w:proofErr w:type="gramStart"/>
      <w:r w:rsidR="00157906">
        <w:t>as yet</w:t>
      </w:r>
      <w:proofErr w:type="gramEnd"/>
      <w:r w:rsidR="00157906">
        <w:t xml:space="preserve"> be well evidenced.</w:t>
      </w:r>
    </w:p>
    <w:p w14:paraId="5B33FF1E" w14:textId="0563291B" w:rsidR="003A05B7" w:rsidRPr="00157906" w:rsidRDefault="003A05B7" w:rsidP="00157906">
      <w:pPr>
        <w:pStyle w:val="Heading1"/>
        <w:numPr>
          <w:ilvl w:val="0"/>
          <w:numId w:val="2"/>
        </w:numPr>
      </w:pPr>
      <w:bookmarkStart w:id="13" w:name="_Ref357541705"/>
      <w:bookmarkStart w:id="14" w:name="_Toc381969510"/>
      <w:bookmarkStart w:id="15" w:name="_Toc405888459"/>
      <w:bookmarkStart w:id="16" w:name="_Toc83376642"/>
      <w:r w:rsidRPr="00157906">
        <w:t>Outputs Required</w:t>
      </w:r>
      <w:bookmarkEnd w:id="13"/>
      <w:bookmarkEnd w:id="14"/>
      <w:bookmarkEnd w:id="15"/>
      <w:bookmarkEnd w:id="16"/>
    </w:p>
    <w:p w14:paraId="5EC8EE6E" w14:textId="77777777" w:rsidR="00157906" w:rsidRDefault="00157906" w:rsidP="00157906">
      <w:pPr>
        <w:pStyle w:val="Norma"/>
      </w:pPr>
      <w:r>
        <w:t>The outputs required from the project include:</w:t>
      </w:r>
    </w:p>
    <w:p w14:paraId="5D6FEC05" w14:textId="77777777" w:rsidR="00157906" w:rsidRPr="00157906" w:rsidRDefault="00157906" w:rsidP="00340375">
      <w:pPr>
        <w:pStyle w:val="Bullet"/>
      </w:pPr>
      <w:r w:rsidRPr="00157906">
        <w:t xml:space="preserve">Presentation of the interim and </w:t>
      </w:r>
      <w:proofErr w:type="gramStart"/>
      <w:r w:rsidRPr="00157906">
        <w:t>final results</w:t>
      </w:r>
      <w:proofErr w:type="gramEnd"/>
      <w:r w:rsidRPr="00157906">
        <w:t xml:space="preserve"> from the project to members of the CCC Secretariat and other interested parties.</w:t>
      </w:r>
    </w:p>
    <w:p w14:paraId="29BE5189" w14:textId="77777777" w:rsidR="00157906" w:rsidRPr="00157906" w:rsidRDefault="00157906" w:rsidP="00340375">
      <w:pPr>
        <w:pStyle w:val="Bullet"/>
      </w:pPr>
      <w:r w:rsidRPr="00157906">
        <w:t>Analytical outputs, including:</w:t>
      </w:r>
    </w:p>
    <w:p w14:paraId="054AC6D2" w14:textId="7ED06A4F" w:rsidR="00157906" w:rsidRDefault="00157906" w:rsidP="00191471">
      <w:pPr>
        <w:pStyle w:val="BulletLevel3"/>
      </w:pPr>
      <w:r>
        <w:t xml:space="preserve">A summary document explaining the </w:t>
      </w:r>
      <w:r w:rsidR="3358643E">
        <w:t xml:space="preserve">case studies and interventions </w:t>
      </w:r>
      <w:r>
        <w:t xml:space="preserve">that have been considered (including a range of </w:t>
      </w:r>
      <w:r w:rsidR="2CF1CDDA">
        <w:t>intervention</w:t>
      </w:r>
      <w:r>
        <w:t xml:space="preserve">s and varying </w:t>
      </w:r>
      <w:r w:rsidR="5C2189C0">
        <w:t xml:space="preserve">geographical areas </w:t>
      </w:r>
      <w:proofErr w:type="gramStart"/>
      <w:r w:rsidR="5C2189C0">
        <w:t>e.g.</w:t>
      </w:r>
      <w:proofErr w:type="gramEnd"/>
      <w:r w:rsidR="5C2189C0">
        <w:t xml:space="preserve"> urban vs rural</w:t>
      </w:r>
      <w:r>
        <w:t>).</w:t>
      </w:r>
    </w:p>
    <w:p w14:paraId="20BA15CC" w14:textId="3C1C45AA" w:rsidR="00157906" w:rsidRDefault="00157906" w:rsidP="00191471">
      <w:pPr>
        <w:pStyle w:val="BulletLevel3"/>
      </w:pPr>
      <w:r>
        <w:t>A</w:t>
      </w:r>
      <w:r w:rsidR="4B6D57C6">
        <w:t xml:space="preserve"> summary document outlining the questions </w:t>
      </w:r>
      <w:r w:rsidR="00191471">
        <w:t xml:space="preserve">that will be </w:t>
      </w:r>
      <w:r w:rsidR="4B6D57C6">
        <w:t>asked in the survey or focus group</w:t>
      </w:r>
      <w:r w:rsidR="00A119A2">
        <w:t xml:space="preserve"> (prior to running the survey or focus group)</w:t>
      </w:r>
      <w:r w:rsidR="4B6D57C6">
        <w:t xml:space="preserve"> and subsequent responses</w:t>
      </w:r>
      <w:r w:rsidR="12AAD6D7">
        <w:t>, alongside an excel document summarising the responses.</w:t>
      </w:r>
    </w:p>
    <w:p w14:paraId="25A08F90" w14:textId="77BAF101" w:rsidR="00157906" w:rsidRPr="00157906" w:rsidRDefault="00157906" w:rsidP="00191471">
      <w:pPr>
        <w:pStyle w:val="Bullet"/>
      </w:pPr>
      <w:r>
        <w:t xml:space="preserve">A technical report summarising the research methodology, the outputs and findings, and the key conclusions and recommendations for actions required to deliver effective </w:t>
      </w:r>
      <w:r w:rsidR="06A3053A">
        <w:t>interventions and solutions to overcome barrie</w:t>
      </w:r>
      <w:r w:rsidR="69B41D07">
        <w:t>r</w:t>
      </w:r>
      <w:r w:rsidR="06A3053A">
        <w:t>s to drive modal shift away from cars to alternative modes of transport</w:t>
      </w:r>
      <w:r>
        <w:t>.</w:t>
      </w:r>
    </w:p>
    <w:p w14:paraId="1E232E35" w14:textId="77777777" w:rsidR="003A05B7" w:rsidRPr="00157906" w:rsidRDefault="003A05B7" w:rsidP="00157906">
      <w:pPr>
        <w:pStyle w:val="Heading1"/>
        <w:numPr>
          <w:ilvl w:val="0"/>
          <w:numId w:val="2"/>
        </w:numPr>
      </w:pPr>
      <w:bookmarkStart w:id="17" w:name="_Toc381969511"/>
      <w:bookmarkStart w:id="18" w:name="_Toc405888460"/>
      <w:bookmarkStart w:id="19" w:name="_Toc83376643"/>
      <w:bookmarkStart w:id="20" w:name="_Ref373505205"/>
      <w:bookmarkStart w:id="21" w:name="_Ref357541720"/>
      <w:r w:rsidRPr="00157906">
        <w:t>Ownership and Publication</w:t>
      </w:r>
      <w:bookmarkEnd w:id="17"/>
      <w:bookmarkEnd w:id="18"/>
      <w:bookmarkEnd w:id="19"/>
    </w:p>
    <w:p w14:paraId="7886D33B" w14:textId="65478EEA" w:rsidR="003A05B7" w:rsidRPr="00157906" w:rsidRDefault="00157906" w:rsidP="00157906">
      <w:pPr>
        <w:pStyle w:val="Norma"/>
      </w:pPr>
      <w:r>
        <w:t xml:space="preserve">The CCC will publish the report to provide an evidenced view of the actions that Government and industry should be taking to provide </w:t>
      </w:r>
      <w:r w:rsidR="00600AD5">
        <w:t>what is required to enable modal shift away from cars to alternative modes of transport</w:t>
      </w:r>
      <w:r>
        <w:t>. The CCC intends to use these findings as the basis for monitoring progress towards delivering this transition in an effective and fair manner, including through our annual Progress Reports to Parliament.</w:t>
      </w:r>
      <w:r w:rsidR="00EA4456">
        <w:t xml:space="preserve"> </w:t>
      </w:r>
    </w:p>
    <w:p w14:paraId="676267C8" w14:textId="77777777" w:rsidR="003A05B7" w:rsidRPr="00157906" w:rsidRDefault="003A05B7" w:rsidP="00157906">
      <w:pPr>
        <w:pStyle w:val="Heading1"/>
        <w:numPr>
          <w:ilvl w:val="0"/>
          <w:numId w:val="2"/>
        </w:numPr>
      </w:pPr>
      <w:bookmarkStart w:id="22" w:name="_Toc83376644"/>
      <w:r w:rsidRPr="00157906">
        <w:t>Quality Assurance</w:t>
      </w:r>
      <w:bookmarkEnd w:id="22"/>
      <w:r w:rsidRPr="00157906">
        <w:t xml:space="preserve"> </w:t>
      </w:r>
      <w:bookmarkEnd w:id="20"/>
    </w:p>
    <w:p w14:paraId="437C44D5" w14:textId="3F3E2A6D" w:rsidR="00651C77" w:rsidRDefault="00651C77" w:rsidP="00651C77">
      <w:pPr>
        <w:pStyle w:val="Norma"/>
      </w:pPr>
      <w:r>
        <w:t xml:space="preserve">All research tasks and </w:t>
      </w:r>
      <w:r w:rsidR="00191471">
        <w:t>analysis</w:t>
      </w:r>
      <w:r>
        <w:t xml:space="preserve"> must be quality assured and documented. Contractors should:</w:t>
      </w:r>
    </w:p>
    <w:p w14:paraId="11696F55" w14:textId="6F813659" w:rsidR="00651C77" w:rsidRPr="00651C77" w:rsidRDefault="00651C77" w:rsidP="00340375">
      <w:pPr>
        <w:pStyle w:val="Bullet"/>
      </w:pPr>
      <w:r>
        <w:t xml:space="preserve">Include a quality assurance (QA) plan that they will apply to </w:t>
      </w:r>
      <w:r w:rsidR="00191471">
        <w:t>any analysis to be undertaken</w:t>
      </w:r>
      <w:r w:rsidR="00172CCD">
        <w:t>.</w:t>
      </w:r>
    </w:p>
    <w:p w14:paraId="14E0BC17" w14:textId="77777777" w:rsidR="00651C77" w:rsidRPr="00651C77" w:rsidRDefault="00651C77" w:rsidP="00340375">
      <w:pPr>
        <w:pStyle w:val="Bullet"/>
      </w:pPr>
      <w:r w:rsidRPr="00651C77">
        <w:t>Specify who will take lead responsibility for ensuring quality assurance. This responsibility should rest with an individual not directly involved in the research or analysis.</w:t>
      </w:r>
    </w:p>
    <w:p w14:paraId="0C9C7847" w14:textId="024708AF" w:rsidR="00651C77" w:rsidRPr="00651C77" w:rsidRDefault="00651C77" w:rsidP="00340375">
      <w:pPr>
        <w:pStyle w:val="Bullet"/>
      </w:pPr>
      <w:r w:rsidRPr="00651C77">
        <w:lastRenderedPageBreak/>
        <w:t>Provide a QA log to demonstrate the QA undertaken, which must identify who undertook the QA and the scope, type</w:t>
      </w:r>
      <w:r w:rsidR="00172CCD">
        <w:t>,</w:t>
      </w:r>
      <w:r w:rsidRPr="00651C77">
        <w:t xml:space="preserve"> and level of QA that has been undertaken. </w:t>
      </w:r>
    </w:p>
    <w:p w14:paraId="69BEFEED" w14:textId="77777777" w:rsidR="00651C77" w:rsidRDefault="00651C77" w:rsidP="00651C77">
      <w:pPr>
        <w:pStyle w:val="BodyText"/>
      </w:pPr>
    </w:p>
    <w:p w14:paraId="5F46C0B5" w14:textId="77777777" w:rsidR="00651C77" w:rsidRDefault="00651C77" w:rsidP="00651C77">
      <w:pPr>
        <w:pStyle w:val="Norma"/>
      </w:pPr>
      <w:r>
        <w:t xml:space="preserve">Sign-off for the quality assurance must be done by someone of sufficient seniority within the contractor organisation to be able to take responsibility for the work done. Acceptance of the work by the CCC will take this into consideration. The CCC reserves the right to refuse to sign off outputs which do not meet the required standard specified in this invitation to tender. </w:t>
      </w:r>
    </w:p>
    <w:p w14:paraId="385BCE33" w14:textId="77777777" w:rsidR="00651C77" w:rsidRDefault="00651C77" w:rsidP="00651C77">
      <w:pPr>
        <w:pStyle w:val="Norma"/>
      </w:pPr>
    </w:p>
    <w:p w14:paraId="35024A54" w14:textId="77777777" w:rsidR="00651C77" w:rsidRDefault="00651C77" w:rsidP="00651C77">
      <w:pPr>
        <w:pStyle w:val="Norma"/>
      </w:pPr>
      <w:r>
        <w:t xml:space="preserve">The successful tenderer will be responsible for any work supplied by sub-contractors and should therefore provide assurance that all work in the contact is undertaken in accordance with the quality assurance expectation agreed at the beginning of the project. </w:t>
      </w:r>
    </w:p>
    <w:p w14:paraId="33EA3D27" w14:textId="77777777" w:rsidR="00651C77" w:rsidRDefault="00651C77" w:rsidP="00651C77">
      <w:pPr>
        <w:pStyle w:val="Norma"/>
      </w:pPr>
    </w:p>
    <w:p w14:paraId="3C38C355" w14:textId="77777777" w:rsidR="00651C77" w:rsidRDefault="00651C77" w:rsidP="00651C77">
      <w:pPr>
        <w:pStyle w:val="Norma"/>
      </w:pPr>
      <w:r>
        <w:t>The CCC expects that:</w:t>
      </w:r>
    </w:p>
    <w:p w14:paraId="68AA5643" w14:textId="77777777" w:rsidR="00651C77" w:rsidRDefault="00651C77" w:rsidP="00340375">
      <w:pPr>
        <w:pStyle w:val="Bullet"/>
      </w:pPr>
      <w:r>
        <w:t xml:space="preserve">Economic analysis must be delivered in a simple, transparent Excel spreadsheet, where key assumptions (agreed with the CCC) are clearly stated. All assumptions and figures should be adequately </w:t>
      </w:r>
      <w:proofErr w:type="gramStart"/>
      <w:r>
        <w:t>referenced, and</w:t>
      </w:r>
      <w:proofErr w:type="gramEnd"/>
      <w:r>
        <w:t xml:space="preserve"> include any supporting workings. Any such spreadsheets will be the property of the CCC.</w:t>
      </w:r>
    </w:p>
    <w:p w14:paraId="0266E8F3" w14:textId="11FF8F4E" w:rsidR="003A05B7" w:rsidRPr="00651C77" w:rsidRDefault="00651C77" w:rsidP="00340375">
      <w:pPr>
        <w:pStyle w:val="Bullet"/>
      </w:pPr>
      <w:r>
        <w:t>Existing analysis and published research should be reviewed and considered in developing the scenarios and approaches to be analysed within this assignment.</w:t>
      </w:r>
    </w:p>
    <w:p w14:paraId="410352B9" w14:textId="77CC9EC8" w:rsidR="003A05B7" w:rsidRPr="00157906" w:rsidRDefault="003A05B7" w:rsidP="00157906">
      <w:pPr>
        <w:pStyle w:val="Heading1"/>
        <w:numPr>
          <w:ilvl w:val="0"/>
          <w:numId w:val="2"/>
        </w:numPr>
      </w:pPr>
      <w:bookmarkStart w:id="23" w:name="_Ref373505215"/>
      <w:bookmarkStart w:id="24" w:name="_Toc381969513"/>
      <w:bookmarkStart w:id="25" w:name="_Toc405888462"/>
      <w:bookmarkStart w:id="26" w:name="_Toc83376645"/>
      <w:r w:rsidRPr="00157906">
        <w:t>Timetable</w:t>
      </w:r>
      <w:bookmarkEnd w:id="21"/>
      <w:bookmarkEnd w:id="23"/>
      <w:bookmarkEnd w:id="24"/>
      <w:bookmarkEnd w:id="25"/>
      <w:bookmarkEnd w:id="26"/>
    </w:p>
    <w:p w14:paraId="1D766A53" w14:textId="77777777" w:rsidR="00157906" w:rsidRDefault="00157906" w:rsidP="00157906">
      <w:pPr>
        <w:pStyle w:val="Norma"/>
      </w:pPr>
      <w:r>
        <w:t>The proposed timetable for the project is set out in the following table:</w:t>
      </w:r>
    </w:p>
    <w:p w14:paraId="62D9C565" w14:textId="77777777" w:rsidR="00157906" w:rsidRDefault="00157906" w:rsidP="00157906">
      <w:pPr>
        <w:pStyle w:val="Norma"/>
      </w:pPr>
    </w:p>
    <w:tbl>
      <w:tblPr>
        <w:tblStyle w:val="CCCTable"/>
        <w:tblW w:w="7213" w:type="dxa"/>
        <w:tblInd w:w="720" w:type="dxa"/>
        <w:tblLook w:val="04A0" w:firstRow="1" w:lastRow="0" w:firstColumn="1" w:lastColumn="0" w:noHBand="0" w:noVBand="1"/>
      </w:tblPr>
      <w:tblGrid>
        <w:gridCol w:w="2110"/>
        <w:gridCol w:w="5103"/>
      </w:tblGrid>
      <w:tr w:rsidR="00157906" w14:paraId="53EB15B7" w14:textId="77777777" w:rsidTr="22A25F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5776AC53" w14:textId="77777777" w:rsidR="00157906" w:rsidRPr="00860066" w:rsidRDefault="00157906" w:rsidP="004A3015">
            <w:pPr>
              <w:pStyle w:val="BodyText"/>
              <w:rPr>
                <w:color w:val="FFFFFF" w:themeColor="background1"/>
              </w:rPr>
            </w:pPr>
            <w:r w:rsidRPr="000C56E8">
              <w:rPr>
                <w:color w:val="FFFFFF" w:themeColor="background1"/>
              </w:rPr>
              <w:t>Date</w:t>
            </w:r>
          </w:p>
        </w:tc>
        <w:tc>
          <w:tcPr>
            <w:tcW w:w="5103" w:type="dxa"/>
          </w:tcPr>
          <w:p w14:paraId="7EBDD6EC" w14:textId="77777777" w:rsidR="00157906" w:rsidRPr="00860066" w:rsidRDefault="00157906" w:rsidP="004A3015">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860066">
              <w:rPr>
                <w:b/>
                <w:color w:val="FFFFFF" w:themeColor="background1"/>
              </w:rPr>
              <w:t>Action/deliverable</w:t>
            </w:r>
          </w:p>
        </w:tc>
      </w:tr>
      <w:tr w:rsidR="00157906" w14:paraId="5CAA469B" w14:textId="77777777" w:rsidTr="22A25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7CAD0297" w14:textId="0CF04FA3" w:rsidR="00157906" w:rsidRPr="00860066" w:rsidRDefault="1E2E7856" w:rsidP="004A3015">
            <w:pPr>
              <w:pStyle w:val="BodyText"/>
              <w:rPr>
                <w:color w:val="FFFFFF" w:themeColor="background1"/>
              </w:rPr>
            </w:pPr>
            <w:r w:rsidRPr="22A25F38">
              <w:rPr>
                <w:color w:val="FFFFFF" w:themeColor="background2"/>
              </w:rPr>
              <w:t xml:space="preserve">w/c </w:t>
            </w:r>
            <w:r w:rsidR="4737EDE7" w:rsidRPr="22A25F38">
              <w:rPr>
                <w:color w:val="FFFFFF" w:themeColor="background2"/>
              </w:rPr>
              <w:t>21</w:t>
            </w:r>
            <w:r w:rsidR="4737EDE7" w:rsidRPr="22A25F38">
              <w:rPr>
                <w:color w:val="FFFFFF" w:themeColor="background2"/>
                <w:vertAlign w:val="superscript"/>
              </w:rPr>
              <w:t>st</w:t>
            </w:r>
            <w:r w:rsidR="4737EDE7" w:rsidRPr="22A25F38">
              <w:rPr>
                <w:color w:val="FFFFFF" w:themeColor="background2"/>
              </w:rPr>
              <w:t xml:space="preserve"> November</w:t>
            </w:r>
          </w:p>
        </w:tc>
        <w:tc>
          <w:tcPr>
            <w:tcW w:w="5103" w:type="dxa"/>
          </w:tcPr>
          <w:p w14:paraId="14495764" w14:textId="77777777" w:rsidR="00157906" w:rsidRPr="00157906" w:rsidRDefault="00157906" w:rsidP="004A3015">
            <w:pPr>
              <w:pStyle w:val="BodyText"/>
              <w:cnfStyle w:val="000000100000" w:firstRow="0" w:lastRow="0" w:firstColumn="0" w:lastColumn="0" w:oddVBand="0" w:evenVBand="0" w:oddHBand="1" w:evenHBand="0" w:firstRowFirstColumn="0" w:firstRowLastColumn="0" w:lastRowFirstColumn="0" w:lastRowLastColumn="0"/>
              <w:rPr>
                <w:color w:val="auto"/>
              </w:rPr>
            </w:pPr>
            <w:r w:rsidRPr="00157906">
              <w:rPr>
                <w:color w:val="auto"/>
              </w:rPr>
              <w:t>Advertise tender</w:t>
            </w:r>
          </w:p>
        </w:tc>
      </w:tr>
      <w:tr w:rsidR="00157906" w14:paraId="470A1645" w14:textId="77777777" w:rsidTr="22A25F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0B6399C1" w14:textId="4C254726" w:rsidR="00157906" w:rsidRPr="00860066" w:rsidRDefault="3AE9C44B" w:rsidP="004A3015">
            <w:pPr>
              <w:pStyle w:val="BodyText"/>
              <w:rPr>
                <w:color w:val="FFFFFF" w:themeColor="background1"/>
              </w:rPr>
            </w:pPr>
            <w:r w:rsidRPr="22A25F38">
              <w:rPr>
                <w:color w:val="FFFFFF" w:themeColor="background2"/>
              </w:rPr>
              <w:t>3</w:t>
            </w:r>
            <w:r w:rsidRPr="22A25F38">
              <w:rPr>
                <w:color w:val="FFFFFF" w:themeColor="background2"/>
                <w:vertAlign w:val="superscript"/>
              </w:rPr>
              <w:t>rd</w:t>
            </w:r>
            <w:r w:rsidRPr="22A25F38">
              <w:rPr>
                <w:color w:val="FFFFFF" w:themeColor="background2"/>
              </w:rPr>
              <w:t xml:space="preserve"> January</w:t>
            </w:r>
          </w:p>
        </w:tc>
        <w:tc>
          <w:tcPr>
            <w:tcW w:w="5103" w:type="dxa"/>
          </w:tcPr>
          <w:p w14:paraId="070E34BE" w14:textId="77777777" w:rsidR="00157906" w:rsidRPr="00157906" w:rsidRDefault="00157906" w:rsidP="004A3015">
            <w:pPr>
              <w:pStyle w:val="BodyText"/>
              <w:cnfStyle w:val="000000010000" w:firstRow="0" w:lastRow="0" w:firstColumn="0" w:lastColumn="0" w:oddVBand="0" w:evenVBand="0" w:oddHBand="0" w:evenHBand="1" w:firstRowFirstColumn="0" w:firstRowLastColumn="0" w:lastRowFirstColumn="0" w:lastRowLastColumn="0"/>
              <w:rPr>
                <w:color w:val="auto"/>
              </w:rPr>
            </w:pPr>
            <w:r w:rsidRPr="00157906">
              <w:rPr>
                <w:color w:val="auto"/>
              </w:rPr>
              <w:t>Deadline for responses to tender</w:t>
            </w:r>
          </w:p>
        </w:tc>
      </w:tr>
      <w:tr w:rsidR="00157906" w14:paraId="2DB7ADB7" w14:textId="77777777" w:rsidTr="22A25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69052636" w14:textId="7CCEBC0A" w:rsidR="00157906" w:rsidRPr="00860066" w:rsidRDefault="1E2E7856" w:rsidP="004A3015">
            <w:pPr>
              <w:pStyle w:val="BodyText"/>
              <w:rPr>
                <w:color w:val="FFFFFF" w:themeColor="background1"/>
              </w:rPr>
            </w:pPr>
            <w:r w:rsidRPr="22A25F38">
              <w:rPr>
                <w:color w:val="FFFFFF" w:themeColor="background2"/>
              </w:rPr>
              <w:t xml:space="preserve">w/c </w:t>
            </w:r>
            <w:r w:rsidR="2E59AA6B" w:rsidRPr="22A25F38">
              <w:rPr>
                <w:color w:val="FFFFFF" w:themeColor="background2"/>
              </w:rPr>
              <w:t>9</w:t>
            </w:r>
            <w:r w:rsidR="7ABD6AE3" w:rsidRPr="22A25F38">
              <w:rPr>
                <w:color w:val="FFFFFF" w:themeColor="background2"/>
                <w:vertAlign w:val="superscript"/>
              </w:rPr>
              <w:t>th</w:t>
            </w:r>
            <w:r w:rsidR="7ABD6AE3" w:rsidRPr="22A25F38">
              <w:rPr>
                <w:color w:val="FFFFFF" w:themeColor="background2"/>
              </w:rPr>
              <w:t xml:space="preserve"> January</w:t>
            </w:r>
          </w:p>
        </w:tc>
        <w:tc>
          <w:tcPr>
            <w:tcW w:w="5103" w:type="dxa"/>
          </w:tcPr>
          <w:p w14:paraId="0597DAF5" w14:textId="77777777" w:rsidR="00157906" w:rsidRPr="00157906" w:rsidRDefault="00157906" w:rsidP="004A3015">
            <w:pPr>
              <w:pStyle w:val="BodyText"/>
              <w:cnfStyle w:val="000000100000" w:firstRow="0" w:lastRow="0" w:firstColumn="0" w:lastColumn="0" w:oddVBand="0" w:evenVBand="0" w:oddHBand="1" w:evenHBand="0" w:firstRowFirstColumn="0" w:firstRowLastColumn="0" w:lastRowFirstColumn="0" w:lastRowLastColumn="0"/>
              <w:rPr>
                <w:color w:val="auto"/>
              </w:rPr>
            </w:pPr>
            <w:r w:rsidRPr="00157906">
              <w:rPr>
                <w:color w:val="auto"/>
              </w:rPr>
              <w:t>Interviews (if required)</w:t>
            </w:r>
          </w:p>
        </w:tc>
      </w:tr>
      <w:tr w:rsidR="00157906" w14:paraId="60F470B6" w14:textId="77777777" w:rsidTr="22A25F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7A900E9B" w14:textId="0D77E2CD" w:rsidR="00157906" w:rsidRPr="00860066" w:rsidRDefault="1E2E7856" w:rsidP="004A3015">
            <w:pPr>
              <w:pStyle w:val="BodyText"/>
              <w:rPr>
                <w:color w:val="FFFFFF" w:themeColor="background1"/>
              </w:rPr>
            </w:pPr>
            <w:r w:rsidRPr="22A25F38">
              <w:rPr>
                <w:color w:val="FFFFFF" w:themeColor="background2"/>
              </w:rPr>
              <w:t xml:space="preserve">w/c </w:t>
            </w:r>
            <w:r w:rsidR="60E79539" w:rsidRPr="22A25F38">
              <w:rPr>
                <w:color w:val="FFFFFF" w:themeColor="background2"/>
              </w:rPr>
              <w:t>16</w:t>
            </w:r>
            <w:r w:rsidR="4A7B1317" w:rsidRPr="22A25F38">
              <w:rPr>
                <w:color w:val="FFFFFF" w:themeColor="background2"/>
                <w:vertAlign w:val="superscript"/>
              </w:rPr>
              <w:t>th</w:t>
            </w:r>
            <w:r w:rsidR="4A7B1317" w:rsidRPr="22A25F38">
              <w:rPr>
                <w:color w:val="FFFFFF" w:themeColor="background2"/>
              </w:rPr>
              <w:t xml:space="preserve"> February</w:t>
            </w:r>
          </w:p>
        </w:tc>
        <w:tc>
          <w:tcPr>
            <w:tcW w:w="5103" w:type="dxa"/>
          </w:tcPr>
          <w:p w14:paraId="038D5B4E" w14:textId="77777777" w:rsidR="00157906" w:rsidRPr="00157906" w:rsidRDefault="00157906" w:rsidP="004A3015">
            <w:pPr>
              <w:pStyle w:val="BodyText"/>
              <w:cnfStyle w:val="000000010000" w:firstRow="0" w:lastRow="0" w:firstColumn="0" w:lastColumn="0" w:oddVBand="0" w:evenVBand="0" w:oddHBand="0" w:evenHBand="1" w:firstRowFirstColumn="0" w:firstRowLastColumn="0" w:lastRowFirstColumn="0" w:lastRowLastColumn="0"/>
              <w:rPr>
                <w:color w:val="auto"/>
              </w:rPr>
            </w:pPr>
            <w:r w:rsidRPr="00157906">
              <w:rPr>
                <w:color w:val="auto"/>
              </w:rPr>
              <w:t>Kick-off meeting</w:t>
            </w:r>
          </w:p>
        </w:tc>
      </w:tr>
      <w:tr w:rsidR="00157906" w14:paraId="39BD33FC" w14:textId="77777777" w:rsidTr="22A25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1C94EADC" w14:textId="547CCCE9" w:rsidR="00157906" w:rsidRPr="00860066" w:rsidRDefault="1E2E7856" w:rsidP="004A3015">
            <w:pPr>
              <w:pStyle w:val="BodyText"/>
              <w:rPr>
                <w:color w:val="FFFFFF" w:themeColor="background1"/>
              </w:rPr>
            </w:pPr>
            <w:r w:rsidRPr="22A25F38">
              <w:rPr>
                <w:color w:val="FFFFFF" w:themeColor="background2"/>
              </w:rPr>
              <w:t xml:space="preserve">w/c </w:t>
            </w:r>
            <w:r w:rsidR="76EBDBEF" w:rsidRPr="22A25F38">
              <w:rPr>
                <w:color w:val="FFFFFF" w:themeColor="background2"/>
              </w:rPr>
              <w:t>20</w:t>
            </w:r>
            <w:r w:rsidR="76EBDBEF" w:rsidRPr="22A25F38">
              <w:rPr>
                <w:color w:val="FFFFFF" w:themeColor="background2"/>
                <w:vertAlign w:val="superscript"/>
              </w:rPr>
              <w:t>th</w:t>
            </w:r>
            <w:r w:rsidR="76EBDBEF" w:rsidRPr="22A25F38">
              <w:rPr>
                <w:color w:val="FFFFFF" w:themeColor="background2"/>
              </w:rPr>
              <w:t xml:space="preserve"> February</w:t>
            </w:r>
          </w:p>
        </w:tc>
        <w:tc>
          <w:tcPr>
            <w:tcW w:w="5103" w:type="dxa"/>
          </w:tcPr>
          <w:p w14:paraId="1802AD40" w14:textId="77777777" w:rsidR="00157906" w:rsidRPr="00157906" w:rsidRDefault="00157906" w:rsidP="004A3015">
            <w:pPr>
              <w:pStyle w:val="BodyText"/>
              <w:cnfStyle w:val="000000100000" w:firstRow="0" w:lastRow="0" w:firstColumn="0" w:lastColumn="0" w:oddVBand="0" w:evenVBand="0" w:oddHBand="1" w:evenHBand="0" w:firstRowFirstColumn="0" w:firstRowLastColumn="0" w:lastRowFirstColumn="0" w:lastRowLastColumn="0"/>
              <w:rPr>
                <w:color w:val="auto"/>
              </w:rPr>
            </w:pPr>
            <w:r w:rsidRPr="00157906">
              <w:rPr>
                <w:color w:val="auto"/>
              </w:rPr>
              <w:t>Interim meeting</w:t>
            </w:r>
          </w:p>
        </w:tc>
      </w:tr>
      <w:tr w:rsidR="00157906" w14:paraId="30C63A3C" w14:textId="77777777" w:rsidTr="22A25F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2A802C2E" w14:textId="21D63F65" w:rsidR="00157906" w:rsidRPr="00860066" w:rsidRDefault="1E2E7856" w:rsidP="004A3015">
            <w:pPr>
              <w:pStyle w:val="BodyText"/>
              <w:rPr>
                <w:color w:val="FFFFFF" w:themeColor="background1"/>
              </w:rPr>
            </w:pPr>
            <w:r w:rsidRPr="22A25F38">
              <w:rPr>
                <w:color w:val="FFFFFF" w:themeColor="background2"/>
              </w:rPr>
              <w:t>w/c</w:t>
            </w:r>
            <w:r w:rsidR="3616D22D" w:rsidRPr="22A25F38">
              <w:rPr>
                <w:color w:val="FFFFFF" w:themeColor="background2"/>
              </w:rPr>
              <w:t xml:space="preserve"> </w:t>
            </w:r>
            <w:r w:rsidR="7DEFD4EF" w:rsidRPr="22A25F38">
              <w:rPr>
                <w:color w:val="FFFFFF" w:themeColor="background2"/>
              </w:rPr>
              <w:t>27</w:t>
            </w:r>
            <w:r w:rsidR="7DEFD4EF" w:rsidRPr="22A25F38">
              <w:rPr>
                <w:color w:val="FFFFFF" w:themeColor="background2"/>
                <w:vertAlign w:val="superscript"/>
              </w:rPr>
              <w:t>th</w:t>
            </w:r>
            <w:r w:rsidR="7DEFD4EF" w:rsidRPr="22A25F38">
              <w:rPr>
                <w:color w:val="FFFFFF" w:themeColor="background2"/>
              </w:rPr>
              <w:t xml:space="preserve"> February</w:t>
            </w:r>
          </w:p>
        </w:tc>
        <w:tc>
          <w:tcPr>
            <w:tcW w:w="5103" w:type="dxa"/>
          </w:tcPr>
          <w:p w14:paraId="122BAE31" w14:textId="77777777" w:rsidR="00157906" w:rsidRPr="00157906" w:rsidRDefault="00157906" w:rsidP="004A3015">
            <w:pPr>
              <w:pStyle w:val="BodyText"/>
              <w:cnfStyle w:val="000000010000" w:firstRow="0" w:lastRow="0" w:firstColumn="0" w:lastColumn="0" w:oddVBand="0" w:evenVBand="0" w:oddHBand="0" w:evenHBand="1" w:firstRowFirstColumn="0" w:firstRowLastColumn="0" w:lastRowFirstColumn="0" w:lastRowLastColumn="0"/>
              <w:rPr>
                <w:color w:val="auto"/>
              </w:rPr>
            </w:pPr>
            <w:r w:rsidRPr="00157906">
              <w:rPr>
                <w:color w:val="auto"/>
              </w:rPr>
              <w:t>Summary document explaining the scenarios that have been considered</w:t>
            </w:r>
          </w:p>
        </w:tc>
      </w:tr>
      <w:tr w:rsidR="00157906" w14:paraId="188B86EE" w14:textId="77777777" w:rsidTr="22A25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3FB4DE9F" w14:textId="1E688722" w:rsidR="00157906" w:rsidRPr="00860066" w:rsidRDefault="1E2E7856" w:rsidP="004A3015">
            <w:pPr>
              <w:pStyle w:val="BodyText"/>
              <w:rPr>
                <w:color w:val="FFFFFF" w:themeColor="background1"/>
              </w:rPr>
            </w:pPr>
            <w:r w:rsidRPr="22A25F38">
              <w:rPr>
                <w:color w:val="FFFFFF" w:themeColor="background2"/>
              </w:rPr>
              <w:t xml:space="preserve">w/c </w:t>
            </w:r>
            <w:r w:rsidR="5D5018E8" w:rsidRPr="22A25F38">
              <w:rPr>
                <w:color w:val="FFFFFF" w:themeColor="background2"/>
              </w:rPr>
              <w:t>27</w:t>
            </w:r>
            <w:r w:rsidR="5D5018E8" w:rsidRPr="22A25F38">
              <w:rPr>
                <w:color w:val="FFFFFF" w:themeColor="background2"/>
                <w:vertAlign w:val="superscript"/>
              </w:rPr>
              <w:t>th</w:t>
            </w:r>
            <w:r w:rsidR="5D5018E8" w:rsidRPr="22A25F38">
              <w:rPr>
                <w:color w:val="FFFFFF" w:themeColor="background2"/>
              </w:rPr>
              <w:t xml:space="preserve"> March</w:t>
            </w:r>
          </w:p>
        </w:tc>
        <w:tc>
          <w:tcPr>
            <w:tcW w:w="5103" w:type="dxa"/>
          </w:tcPr>
          <w:p w14:paraId="18CD56E6" w14:textId="77777777" w:rsidR="00157906" w:rsidRPr="00157906" w:rsidRDefault="00157906" w:rsidP="004A3015">
            <w:pPr>
              <w:pStyle w:val="BodyText"/>
              <w:cnfStyle w:val="000000100000" w:firstRow="0" w:lastRow="0" w:firstColumn="0" w:lastColumn="0" w:oddVBand="0" w:evenVBand="0" w:oddHBand="1" w:evenHBand="0" w:firstRowFirstColumn="0" w:firstRowLastColumn="0" w:lastRowFirstColumn="0" w:lastRowLastColumn="0"/>
              <w:rPr>
                <w:color w:val="auto"/>
              </w:rPr>
            </w:pPr>
            <w:r w:rsidRPr="00157906">
              <w:rPr>
                <w:color w:val="auto"/>
              </w:rPr>
              <w:t>Interim report</w:t>
            </w:r>
          </w:p>
        </w:tc>
      </w:tr>
      <w:tr w:rsidR="00157906" w14:paraId="507D89A9" w14:textId="77777777" w:rsidTr="22A25F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3BC415FA" w14:textId="1B37BDC8" w:rsidR="00157906" w:rsidRPr="00860066" w:rsidRDefault="1E2E7856" w:rsidP="004A3015">
            <w:pPr>
              <w:pStyle w:val="BodyText"/>
              <w:rPr>
                <w:color w:val="FFFFFF" w:themeColor="background1"/>
              </w:rPr>
            </w:pPr>
            <w:r w:rsidRPr="22A25F38">
              <w:rPr>
                <w:color w:val="FFFFFF" w:themeColor="background2"/>
              </w:rPr>
              <w:t xml:space="preserve">w/c </w:t>
            </w:r>
            <w:r w:rsidR="3991355D" w:rsidRPr="22A25F38">
              <w:rPr>
                <w:color w:val="FFFFFF" w:themeColor="background2"/>
              </w:rPr>
              <w:t>24</w:t>
            </w:r>
            <w:r w:rsidR="3991355D" w:rsidRPr="22A25F38">
              <w:rPr>
                <w:color w:val="FFFFFF" w:themeColor="background2"/>
                <w:vertAlign w:val="superscript"/>
              </w:rPr>
              <w:t>th</w:t>
            </w:r>
            <w:r w:rsidR="3991355D" w:rsidRPr="22A25F38">
              <w:rPr>
                <w:color w:val="FFFFFF" w:themeColor="background2"/>
              </w:rPr>
              <w:t xml:space="preserve"> April</w:t>
            </w:r>
          </w:p>
        </w:tc>
        <w:tc>
          <w:tcPr>
            <w:tcW w:w="5103" w:type="dxa"/>
          </w:tcPr>
          <w:p w14:paraId="6C8BF687" w14:textId="77777777" w:rsidR="00157906" w:rsidRPr="00157906" w:rsidRDefault="00157906" w:rsidP="004A3015">
            <w:pPr>
              <w:pStyle w:val="BodyText"/>
              <w:cnfStyle w:val="000000010000" w:firstRow="0" w:lastRow="0" w:firstColumn="0" w:lastColumn="0" w:oddVBand="0" w:evenVBand="0" w:oddHBand="0" w:evenHBand="1" w:firstRowFirstColumn="0" w:firstRowLastColumn="0" w:lastRowFirstColumn="0" w:lastRowLastColumn="0"/>
              <w:rPr>
                <w:color w:val="auto"/>
              </w:rPr>
            </w:pPr>
            <w:r w:rsidRPr="00157906">
              <w:rPr>
                <w:color w:val="auto"/>
              </w:rPr>
              <w:t>Final report agreed with CCC, ready for publication</w:t>
            </w:r>
          </w:p>
        </w:tc>
      </w:tr>
    </w:tbl>
    <w:p w14:paraId="7B16F288" w14:textId="77777777" w:rsidR="00157906" w:rsidRDefault="00157906" w:rsidP="00157906">
      <w:pPr>
        <w:pStyle w:val="Norma"/>
      </w:pPr>
    </w:p>
    <w:p w14:paraId="29C0F52F" w14:textId="05ED9C54" w:rsidR="003A05B7" w:rsidRPr="00157906" w:rsidRDefault="00157906" w:rsidP="00157906">
      <w:pPr>
        <w:pStyle w:val="Norma"/>
      </w:pPr>
      <w:r>
        <w:t>The CCC is willing to be flexible with timelines and will consider alternative timetable proposals.</w:t>
      </w:r>
    </w:p>
    <w:p w14:paraId="6A8AE529" w14:textId="3CA1D2C2" w:rsidR="003A05B7" w:rsidRPr="00157906" w:rsidRDefault="003A05B7" w:rsidP="00157906">
      <w:pPr>
        <w:pStyle w:val="Heading1"/>
        <w:numPr>
          <w:ilvl w:val="0"/>
          <w:numId w:val="2"/>
        </w:numPr>
      </w:pPr>
      <w:bookmarkStart w:id="27" w:name="_Ref357541731"/>
      <w:bookmarkStart w:id="28" w:name="_Toc381969514"/>
      <w:bookmarkStart w:id="29" w:name="_Toc405888463"/>
      <w:bookmarkStart w:id="30" w:name="_Toc83376646"/>
      <w:r w:rsidRPr="00157906">
        <w:t>Challenges</w:t>
      </w:r>
      <w:bookmarkEnd w:id="27"/>
      <w:bookmarkEnd w:id="28"/>
      <w:bookmarkEnd w:id="29"/>
      <w:bookmarkEnd w:id="30"/>
    </w:p>
    <w:p w14:paraId="5576B0B1" w14:textId="7A24D68C" w:rsidR="0038388A" w:rsidRPr="00157906" w:rsidRDefault="00651C77" w:rsidP="00651C77">
      <w:pPr>
        <w:pStyle w:val="Norma"/>
      </w:pPr>
      <w:r w:rsidRPr="00AC0FB8">
        <w:t>Tenderers should highlight any challenges or risks that they envisage in delivering all the outputs of the project, whether in terms of scope of the work, resources</w:t>
      </w:r>
      <w:r w:rsidR="00172CCD">
        <w:t>,</w:t>
      </w:r>
      <w:r w:rsidRPr="00AC0FB8">
        <w:t xml:space="preserve"> or timelines. Alternative suggestions will be considered if the risks are such that the project is unlikely to be able to be delivered in its current form.</w:t>
      </w:r>
    </w:p>
    <w:p w14:paraId="01C079ED" w14:textId="38326389" w:rsidR="0038388A" w:rsidRPr="0038388A" w:rsidRDefault="0038388A" w:rsidP="00385FE3">
      <w:pPr>
        <w:pStyle w:val="Heading1"/>
        <w:numPr>
          <w:ilvl w:val="0"/>
          <w:numId w:val="2"/>
        </w:numPr>
      </w:pPr>
      <w:bookmarkStart w:id="31" w:name="_Ref338852517"/>
      <w:bookmarkStart w:id="32" w:name="_Toc381969516"/>
      <w:bookmarkStart w:id="33" w:name="_Toc405888465"/>
      <w:bookmarkStart w:id="34" w:name="_Toc83376648"/>
      <w:r w:rsidRPr="0038388A">
        <w:t>Working Arrangements</w:t>
      </w:r>
      <w:bookmarkEnd w:id="31"/>
      <w:bookmarkEnd w:id="32"/>
      <w:bookmarkEnd w:id="33"/>
      <w:bookmarkEnd w:id="34"/>
    </w:p>
    <w:p w14:paraId="63E0399A" w14:textId="77777777" w:rsidR="0038388A" w:rsidRPr="00651C77" w:rsidRDefault="0038388A" w:rsidP="00651C77">
      <w:pPr>
        <w:pStyle w:val="Norma"/>
      </w:pPr>
      <w:r w:rsidRPr="00651C77">
        <w:t xml:space="preserve">The successful contractor will be expected to identify one named point of contract through whom all enquiries can be filtered. A CCC project manager will be assigned to the project and will be the central point of contact. </w:t>
      </w:r>
    </w:p>
    <w:p w14:paraId="4A8773AC" w14:textId="650070B1" w:rsidR="0038388A" w:rsidRPr="0038388A" w:rsidRDefault="0038388A" w:rsidP="00385FE3">
      <w:pPr>
        <w:pStyle w:val="Heading1"/>
        <w:numPr>
          <w:ilvl w:val="0"/>
          <w:numId w:val="2"/>
        </w:numPr>
      </w:pPr>
      <w:bookmarkStart w:id="35" w:name="_Toc83376649"/>
      <w:r w:rsidRPr="0038388A">
        <w:t xml:space="preserve">Skills and </w:t>
      </w:r>
      <w:r w:rsidR="00040453">
        <w:t>E</w:t>
      </w:r>
      <w:r w:rsidRPr="0038388A">
        <w:t>xperience</w:t>
      </w:r>
      <w:bookmarkEnd w:id="35"/>
    </w:p>
    <w:p w14:paraId="045E359F" w14:textId="5717837C" w:rsidR="0038388A" w:rsidRPr="0038388A" w:rsidRDefault="00172CCD" w:rsidP="00651C77">
      <w:pPr>
        <w:pStyle w:val="Norma"/>
        <w:rPr>
          <w:highlight w:val="yellow"/>
        </w:rPr>
      </w:pPr>
      <w:r>
        <w:t xml:space="preserve">The </w:t>
      </w:r>
      <w:r w:rsidR="0038388A" w:rsidRPr="0038388A">
        <w:t xml:space="preserve">CCC would like you to demonstrate that you have the experience and capabilities to undertake the project. Your tender response should </w:t>
      </w:r>
      <w:r w:rsidR="0038388A" w:rsidRPr="0038388A">
        <w:lastRenderedPageBreak/>
        <w:t>include a summary of each proposed team member</w:t>
      </w:r>
      <w:r>
        <w:t>’</w:t>
      </w:r>
      <w:r w:rsidR="0038388A" w:rsidRPr="0038388A">
        <w:t>s experience and capabilities.</w:t>
      </w:r>
      <w:r w:rsidR="0038388A" w:rsidRPr="0038388A">
        <w:rPr>
          <w:highlight w:val="yellow"/>
        </w:rPr>
        <w:t xml:space="preserve"> </w:t>
      </w:r>
    </w:p>
    <w:p w14:paraId="2D3BD37A" w14:textId="77777777" w:rsidR="0038388A" w:rsidRPr="0038388A" w:rsidRDefault="0038388A" w:rsidP="00651C77">
      <w:pPr>
        <w:pStyle w:val="Norma"/>
      </w:pPr>
    </w:p>
    <w:p w14:paraId="6B2CCA6E" w14:textId="78B90DCC" w:rsidR="0038388A" w:rsidRPr="0038388A" w:rsidRDefault="0038388A" w:rsidP="00651C77">
      <w:pPr>
        <w:pStyle w:val="Norma"/>
      </w:pPr>
      <w:r w:rsidRPr="0038388A">
        <w:t xml:space="preserve">Contractors should propose named members of the project </w:t>
      </w:r>
      <w:proofErr w:type="gramStart"/>
      <w:r w:rsidRPr="0038388A">
        <w:t>team, and</w:t>
      </w:r>
      <w:proofErr w:type="gramEnd"/>
      <w:r w:rsidRPr="0038388A">
        <w:t xml:space="preserve"> include the tasks and responsibilities of each team member. This should be clearly linked to the work programme, indicating the grade/seniority of staff and number of days allocated to specific tasks.</w:t>
      </w:r>
    </w:p>
    <w:p w14:paraId="305ED95E" w14:textId="77777777" w:rsidR="0038388A" w:rsidRPr="0038388A" w:rsidRDefault="0038388A" w:rsidP="00651C77">
      <w:pPr>
        <w:pStyle w:val="Norma"/>
      </w:pPr>
    </w:p>
    <w:p w14:paraId="5C1464B8" w14:textId="1B9CAB24" w:rsidR="0038388A" w:rsidRPr="0038388A" w:rsidRDefault="0038388A" w:rsidP="00651C77">
      <w:pPr>
        <w:pStyle w:val="Norma"/>
      </w:pPr>
      <w:r w:rsidRPr="0038388A">
        <w:t>Contractors should identify the individual(s) who will be responsible for managing the project.</w:t>
      </w:r>
      <w:bookmarkStart w:id="36" w:name="_Ref338852499"/>
    </w:p>
    <w:p w14:paraId="1568BF56" w14:textId="77777777" w:rsidR="0038388A" w:rsidRPr="0038388A" w:rsidRDefault="0038388A" w:rsidP="00385FE3">
      <w:pPr>
        <w:pStyle w:val="Heading1"/>
        <w:numPr>
          <w:ilvl w:val="0"/>
          <w:numId w:val="2"/>
        </w:numPr>
      </w:pPr>
      <w:bookmarkStart w:id="37" w:name="_Ref373505239"/>
      <w:bookmarkStart w:id="38" w:name="_Toc381969518"/>
      <w:bookmarkStart w:id="39" w:name="_Toc405888467"/>
      <w:bookmarkStart w:id="40" w:name="_Toc83376650"/>
      <w:r w:rsidRPr="0038388A">
        <w:t>Consortium Bids</w:t>
      </w:r>
      <w:bookmarkEnd w:id="37"/>
      <w:bookmarkEnd w:id="38"/>
      <w:bookmarkEnd w:id="39"/>
      <w:bookmarkEnd w:id="40"/>
    </w:p>
    <w:p w14:paraId="67F2973E" w14:textId="1057A73D" w:rsidR="0038388A" w:rsidRDefault="0038388A" w:rsidP="00651C77">
      <w:pPr>
        <w:pStyle w:val="Norma"/>
        <w:rPr>
          <w:rFonts w:cs="Arial"/>
          <w:lang w:eastAsia="en-GB"/>
        </w:rPr>
      </w:pPr>
      <w:r w:rsidRPr="0038388A">
        <w:rPr>
          <w:rFonts w:cs="Arial"/>
          <w:lang w:eastAsia="en-GB"/>
        </w:rPr>
        <w:t xml:space="preserve">In the case of a consortium tender, only one submission covering </w:t>
      </w:r>
      <w:proofErr w:type="gramStart"/>
      <w:r w:rsidRPr="0038388A">
        <w:rPr>
          <w:rFonts w:cs="Arial"/>
          <w:lang w:eastAsia="en-GB"/>
        </w:rPr>
        <w:t>all of</w:t>
      </w:r>
      <w:proofErr w:type="gramEnd"/>
      <w:r w:rsidRPr="0038388A">
        <w:rPr>
          <w:rFonts w:cs="Arial"/>
          <w:lang w:eastAsia="en-GB"/>
        </w:rPr>
        <w:t xml:space="preserve"> the partners is required</w:t>
      </w:r>
      <w:r w:rsidR="00172CCD">
        <w:rPr>
          <w:rFonts w:cs="Arial"/>
          <w:lang w:eastAsia="en-GB"/>
        </w:rPr>
        <w:t>,</w:t>
      </w:r>
      <w:r w:rsidRPr="0038388A">
        <w:rPr>
          <w:rFonts w:cs="Arial"/>
          <w:lang w:eastAsia="en-GB"/>
        </w:rPr>
        <w:t xml:space="preserve"> but consortia are advised to make clear the proposed role that each partner will play in performing the contract as per the requirements of the technical specification</w:t>
      </w:r>
      <w:r w:rsidR="007A5261">
        <w:rPr>
          <w:rFonts w:cs="Arial"/>
          <w:lang w:eastAsia="en-GB"/>
        </w:rPr>
        <w:t xml:space="preserve">. </w:t>
      </w:r>
      <w:r w:rsidRPr="0038388A">
        <w:rPr>
          <w:rFonts w:cs="Arial"/>
          <w:lang w:eastAsia="en-GB"/>
        </w:rPr>
        <w:t xml:space="preserve">We </w:t>
      </w:r>
      <w:r w:rsidRPr="0038388A">
        <w:rPr>
          <w:rFonts w:cs="Arial"/>
        </w:rPr>
        <w:t xml:space="preserve">expect the bidder to indicate who in the consortium will be the </w:t>
      </w:r>
      <w:r w:rsidRPr="0038388A">
        <w:rPr>
          <w:rFonts w:cs="Arial"/>
          <w:lang w:eastAsia="en-GB"/>
        </w:rPr>
        <w:t>lead contact for this project, and the organisation and governance associated with the consorti</w:t>
      </w:r>
      <w:r w:rsidR="00172CCD">
        <w:rPr>
          <w:rFonts w:cs="Arial"/>
          <w:lang w:eastAsia="en-GB"/>
        </w:rPr>
        <w:t>um</w:t>
      </w:r>
      <w:r w:rsidRPr="0038388A">
        <w:rPr>
          <w:rFonts w:cs="Arial"/>
          <w:lang w:eastAsia="en-GB"/>
        </w:rPr>
        <w:t>.</w:t>
      </w:r>
    </w:p>
    <w:p w14:paraId="0DB78017" w14:textId="77777777" w:rsidR="00A965F4" w:rsidRPr="0038388A" w:rsidRDefault="00A965F4" w:rsidP="00651C77">
      <w:pPr>
        <w:pStyle w:val="Norma"/>
        <w:rPr>
          <w:rFonts w:cs="Arial"/>
          <w:lang w:eastAsia="en-GB"/>
        </w:rPr>
      </w:pPr>
    </w:p>
    <w:p w14:paraId="1E73C1CD" w14:textId="77777777" w:rsidR="0038388A" w:rsidRPr="0038388A" w:rsidRDefault="0038388A" w:rsidP="00651C77">
      <w:pPr>
        <w:pStyle w:val="Norma"/>
        <w:rPr>
          <w:rFonts w:cs="Arial"/>
          <w:lang w:eastAsia="en-GB"/>
        </w:rPr>
      </w:pPr>
      <w:r w:rsidRPr="0038388A">
        <w:rPr>
          <w:rFonts w:cs="Arial"/>
          <w:lang w:eastAsia="en-GB"/>
        </w:rPr>
        <w:t>Contractors must provide details as to how they will manage any sub-contractors and what percentage of the tendered activity (in terms of monetary value) will be sub-contracted.</w:t>
      </w:r>
    </w:p>
    <w:p w14:paraId="59DE9097" w14:textId="77777777" w:rsidR="0038388A" w:rsidRPr="0038388A" w:rsidRDefault="0038388A" w:rsidP="00651C77">
      <w:pPr>
        <w:pStyle w:val="Norma"/>
        <w:rPr>
          <w:rFonts w:cs="Arial"/>
          <w:lang w:eastAsia="en-GB"/>
        </w:rPr>
      </w:pPr>
    </w:p>
    <w:p w14:paraId="4A5DD6C2" w14:textId="34586475" w:rsidR="0038388A" w:rsidRPr="0038388A" w:rsidRDefault="0038388A" w:rsidP="00651C77">
      <w:pPr>
        <w:pStyle w:val="Norma"/>
        <w:rPr>
          <w:rFonts w:cs="Arial"/>
        </w:rPr>
      </w:pPr>
      <w:r w:rsidRPr="0038388A">
        <w:rPr>
          <w:rFonts w:cs="Arial"/>
        </w:rPr>
        <w:t xml:space="preserve">If a consortium is not proposing to form a corporate entity, full details of alternative proposed arrangements should be provided. However, please note </w:t>
      </w:r>
      <w:r w:rsidR="00172CCD">
        <w:rPr>
          <w:rFonts w:cs="Arial"/>
        </w:rPr>
        <w:t xml:space="preserve">that the </w:t>
      </w:r>
      <w:r w:rsidRPr="0038388A">
        <w:rPr>
          <w:rFonts w:cs="Arial"/>
        </w:rPr>
        <w:t xml:space="preserve">CCC reserves the right to require a successful consortium to form a single legal entity in accordance with Regulation 28 of the Public Contracts Regulations 2006. </w:t>
      </w:r>
    </w:p>
    <w:p w14:paraId="0D04AB85" w14:textId="77777777" w:rsidR="0038388A" w:rsidRPr="0038388A" w:rsidRDefault="0038388A" w:rsidP="00651C77">
      <w:pPr>
        <w:pStyle w:val="Norma"/>
        <w:rPr>
          <w:rFonts w:cs="Arial"/>
        </w:rPr>
      </w:pPr>
    </w:p>
    <w:p w14:paraId="0C11B1BA" w14:textId="1D4E75E8" w:rsidR="0038388A" w:rsidRDefault="00172CCD" w:rsidP="00651C77">
      <w:pPr>
        <w:pStyle w:val="Norma"/>
        <w:rPr>
          <w:rFonts w:cs="Arial"/>
        </w:rPr>
      </w:pPr>
      <w:r>
        <w:rPr>
          <w:rFonts w:cs="Arial"/>
        </w:rPr>
        <w:t xml:space="preserve">The </w:t>
      </w:r>
      <w:r w:rsidR="0038388A" w:rsidRPr="0038388A">
        <w:rPr>
          <w:rFonts w:cs="Arial"/>
        </w:rPr>
        <w:t xml:space="preserve">CCC recognises that arrangements in relation to consortia may (within limits) be subject to future change. Potential </w:t>
      </w:r>
      <w:r w:rsidR="006C39E8">
        <w:rPr>
          <w:rFonts w:cs="Arial"/>
        </w:rPr>
        <w:t>p</w:t>
      </w:r>
      <w:r w:rsidR="0038388A" w:rsidRPr="0038388A">
        <w:rPr>
          <w:rFonts w:cs="Arial"/>
        </w:rPr>
        <w:t xml:space="preserve">roviders should therefore respond in the light of the arrangements as currently envisaged. Potential </w:t>
      </w:r>
      <w:r w:rsidR="006C39E8">
        <w:rPr>
          <w:rFonts w:cs="Arial"/>
        </w:rPr>
        <w:t>p</w:t>
      </w:r>
      <w:r w:rsidR="0038388A" w:rsidRPr="0038388A">
        <w:rPr>
          <w:rFonts w:cs="Arial"/>
        </w:rPr>
        <w:t xml:space="preserve">roviders are reminded that any future proposed change in relation to consortia must be notified to </w:t>
      </w:r>
      <w:r>
        <w:rPr>
          <w:rFonts w:cs="Arial"/>
        </w:rPr>
        <w:t xml:space="preserve">the </w:t>
      </w:r>
      <w:r w:rsidR="0038388A" w:rsidRPr="0038388A">
        <w:rPr>
          <w:rFonts w:cs="Arial"/>
        </w:rPr>
        <w:t xml:space="preserve">CCC so that it can make a further assessment by applying the selection criteria to the new information provided. </w:t>
      </w:r>
    </w:p>
    <w:p w14:paraId="660E0B56" w14:textId="25E31698" w:rsidR="00EA4456" w:rsidRDefault="00EA4456" w:rsidP="00651C77">
      <w:pPr>
        <w:pStyle w:val="Norma"/>
        <w:rPr>
          <w:rFonts w:cs="Arial"/>
        </w:rPr>
      </w:pPr>
    </w:p>
    <w:p w14:paraId="1DDBDA6E" w14:textId="77777777" w:rsidR="0038388A" w:rsidRPr="0038388A" w:rsidRDefault="0038388A" w:rsidP="00385FE3">
      <w:pPr>
        <w:pStyle w:val="Heading1"/>
        <w:numPr>
          <w:ilvl w:val="0"/>
          <w:numId w:val="2"/>
        </w:numPr>
      </w:pPr>
      <w:bookmarkStart w:id="41" w:name="_Ref357541811"/>
      <w:bookmarkStart w:id="42" w:name="_Toc381969519"/>
      <w:bookmarkStart w:id="43" w:name="_Toc405888468"/>
      <w:bookmarkStart w:id="44" w:name="_Toc83376651"/>
      <w:bookmarkStart w:id="45" w:name="_Toc246831559"/>
      <w:bookmarkStart w:id="46" w:name="_Toc271272917"/>
      <w:bookmarkStart w:id="47" w:name="_Ref338852577"/>
      <w:bookmarkEnd w:id="36"/>
      <w:r w:rsidRPr="0038388A">
        <w:t>Budget</w:t>
      </w:r>
      <w:bookmarkEnd w:id="41"/>
      <w:bookmarkEnd w:id="42"/>
      <w:bookmarkEnd w:id="43"/>
      <w:bookmarkEnd w:id="44"/>
      <w:r w:rsidRPr="0038388A">
        <w:t xml:space="preserve"> </w:t>
      </w:r>
    </w:p>
    <w:p w14:paraId="32334C7F" w14:textId="09E851FA" w:rsidR="0038388A" w:rsidRPr="00651C77" w:rsidRDefault="33099565" w:rsidP="22A25F38">
      <w:pPr>
        <w:pStyle w:val="Norma"/>
        <w:rPr>
          <w:b/>
          <w:color w:val="FF0000"/>
        </w:rPr>
      </w:pPr>
      <w:r w:rsidRPr="22A25F38">
        <w:rPr>
          <w:b/>
        </w:rPr>
        <w:t xml:space="preserve">The budget for this project is </w:t>
      </w:r>
      <w:r w:rsidRPr="000C56E8">
        <w:rPr>
          <w:b/>
        </w:rPr>
        <w:t>£</w:t>
      </w:r>
      <w:r w:rsidR="4A17F633" w:rsidRPr="000C56E8">
        <w:rPr>
          <w:b/>
        </w:rPr>
        <w:t>40,000</w:t>
      </w:r>
      <w:r w:rsidR="1AAE52A3" w:rsidRPr="22A25F38">
        <w:rPr>
          <w:b/>
        </w:rPr>
        <w:t xml:space="preserve"> </w:t>
      </w:r>
      <w:r w:rsidRPr="22A25F38">
        <w:rPr>
          <w:b/>
        </w:rPr>
        <w:t xml:space="preserve">excluding VAT. </w:t>
      </w:r>
    </w:p>
    <w:p w14:paraId="750A7CA0" w14:textId="77777777" w:rsidR="0038388A" w:rsidRPr="0038388A" w:rsidRDefault="0038388A" w:rsidP="00651C77">
      <w:pPr>
        <w:pStyle w:val="Norma"/>
        <w:rPr>
          <w:rFonts w:cs="Arial"/>
        </w:rPr>
      </w:pPr>
    </w:p>
    <w:p w14:paraId="2E5BF3D2" w14:textId="744EE71B" w:rsidR="0038388A" w:rsidRPr="0038388A" w:rsidRDefault="0038388A" w:rsidP="00651C77">
      <w:pPr>
        <w:pStyle w:val="Norma"/>
        <w:rPr>
          <w:rFonts w:cs="Arial"/>
        </w:rPr>
      </w:pPr>
      <w:r w:rsidRPr="0038388A">
        <w:rPr>
          <w:rFonts w:cs="Arial"/>
        </w:rPr>
        <w:t xml:space="preserve">Contractors should provide a full and detailed breakdown of costs (including options where appropriate). This should include staff (and day rate) allocated to specific tasks. </w:t>
      </w:r>
      <w:bookmarkEnd w:id="45"/>
      <w:bookmarkEnd w:id="46"/>
      <w:bookmarkEnd w:id="47"/>
    </w:p>
    <w:p w14:paraId="18A59622" w14:textId="77777777" w:rsidR="0038388A" w:rsidRPr="0038388A" w:rsidRDefault="0038388A" w:rsidP="00651C77">
      <w:pPr>
        <w:pStyle w:val="Norma"/>
        <w:rPr>
          <w:rFonts w:cs="Arial"/>
        </w:rPr>
      </w:pPr>
    </w:p>
    <w:p w14:paraId="237D5DD6" w14:textId="77777777" w:rsidR="0038388A" w:rsidRPr="0038388A" w:rsidRDefault="0038388A" w:rsidP="00651C77">
      <w:pPr>
        <w:pStyle w:val="Norma"/>
        <w:rPr>
          <w:rFonts w:cs="Arial"/>
          <w:b/>
          <w:color w:val="FF0000"/>
        </w:rPr>
      </w:pPr>
      <w:r w:rsidRPr="0038388A">
        <w:rPr>
          <w:rFonts w:cs="Arial"/>
        </w:rPr>
        <w:t xml:space="preserve">Cost will be a criterion against which bids which will be assessed. </w:t>
      </w:r>
    </w:p>
    <w:p w14:paraId="1B859929" w14:textId="77777777" w:rsidR="0038388A" w:rsidRPr="0038388A" w:rsidRDefault="0038388A" w:rsidP="00651C77">
      <w:pPr>
        <w:pStyle w:val="Norma"/>
        <w:rPr>
          <w:rFonts w:cs="Arial"/>
        </w:rPr>
      </w:pPr>
    </w:p>
    <w:p w14:paraId="6F517922" w14:textId="0559EE19" w:rsidR="0038388A" w:rsidRPr="0038388A" w:rsidRDefault="0038388A" w:rsidP="00651C77">
      <w:pPr>
        <w:pStyle w:val="Norma"/>
        <w:rPr>
          <w:rFonts w:cs="Arial"/>
        </w:rPr>
      </w:pPr>
      <w:r w:rsidRPr="0038388A">
        <w:rPr>
          <w:rFonts w:cs="Arial"/>
        </w:rPr>
        <w:t xml:space="preserve">Payments will be linked to delivery of key milestones. The indicative milestones and phasing of payments can be adjusted and agreed with the contractor and </w:t>
      </w:r>
      <w:r w:rsidR="006C39E8">
        <w:rPr>
          <w:rFonts w:cs="Arial"/>
        </w:rPr>
        <w:t>p</w:t>
      </w:r>
      <w:r w:rsidRPr="0038388A">
        <w:rPr>
          <w:rFonts w:cs="Arial"/>
        </w:rPr>
        <w:t xml:space="preserve">roject </w:t>
      </w:r>
      <w:r w:rsidR="006C39E8">
        <w:rPr>
          <w:rFonts w:cs="Arial"/>
        </w:rPr>
        <w:t>m</w:t>
      </w:r>
      <w:r w:rsidRPr="0038388A">
        <w:rPr>
          <w:rFonts w:cs="Arial"/>
        </w:rPr>
        <w:t>anager. Please advise in your tender response how this breakdown reflects your usual payment processes</w:t>
      </w:r>
      <w:r w:rsidR="006C39E8">
        <w:rPr>
          <w:rFonts w:cs="Arial"/>
        </w:rPr>
        <w:t>.</w:t>
      </w:r>
    </w:p>
    <w:p w14:paraId="23A0F2E2" w14:textId="77777777" w:rsidR="0038388A" w:rsidRPr="0038388A" w:rsidRDefault="0038388A" w:rsidP="00651C77">
      <w:pPr>
        <w:pStyle w:val="Norma"/>
        <w:rPr>
          <w:rFonts w:cs="Arial"/>
        </w:rPr>
      </w:pPr>
    </w:p>
    <w:p w14:paraId="7092805F" w14:textId="77777777" w:rsidR="0038388A" w:rsidRPr="0038388A" w:rsidRDefault="0038388A" w:rsidP="00651C77">
      <w:pPr>
        <w:pStyle w:val="Norma"/>
        <w:rPr>
          <w:rFonts w:eastAsia="MS Mincho"/>
        </w:rPr>
      </w:pPr>
      <w:r w:rsidRPr="0038388A">
        <w:rPr>
          <w:rFonts w:eastAsia="MS Mincho"/>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00651C77">
      <w:pPr>
        <w:pStyle w:val="Norma"/>
        <w:rPr>
          <w:rFonts w:eastAsia="MS Mincho"/>
        </w:rPr>
      </w:pPr>
    </w:p>
    <w:p w14:paraId="071A513C" w14:textId="2660BA06" w:rsidR="0038388A" w:rsidRPr="0038388A" w:rsidRDefault="0038388A" w:rsidP="00651C77">
      <w:pPr>
        <w:pStyle w:val="Norma"/>
        <w:rPr>
          <w:rFonts w:eastAsia="MS Mincho"/>
        </w:rPr>
      </w:pPr>
      <w:r w:rsidRPr="0038388A">
        <w:rPr>
          <w:rFonts w:eastAsia="MS Mincho"/>
        </w:rPr>
        <w:t xml:space="preserve">The </w:t>
      </w:r>
      <w:r w:rsidR="006C39E8">
        <w:rPr>
          <w:rFonts w:eastAsia="MS Mincho"/>
        </w:rPr>
        <w:t>CCC</w:t>
      </w:r>
      <w:r w:rsidRPr="0038388A">
        <w:rPr>
          <w:rFonts w:eastAsia="MS Mincho"/>
        </w:rPr>
        <w:t xml:space="preserve"> aims to pay all correctly submitted invoices as soon as possible</w:t>
      </w:r>
      <w:r w:rsidR="006C39E8">
        <w:rPr>
          <w:rFonts w:eastAsia="MS Mincho"/>
        </w:rPr>
        <w:t>,</w:t>
      </w:r>
      <w:r w:rsidRPr="0038388A">
        <w:rPr>
          <w:rFonts w:eastAsia="MS Mincho"/>
        </w:rPr>
        <w:t xml:space="preserve"> with a target of 10 days from the date of receipt and within 30 days at the latest in line with standard terms and conditions of contract.</w:t>
      </w:r>
    </w:p>
    <w:p w14:paraId="5A7A6770" w14:textId="77777777" w:rsidR="0038388A" w:rsidRPr="0038388A" w:rsidRDefault="0038388A" w:rsidP="00385FE3">
      <w:pPr>
        <w:pStyle w:val="Heading1"/>
        <w:numPr>
          <w:ilvl w:val="0"/>
          <w:numId w:val="2"/>
        </w:numPr>
      </w:pPr>
      <w:bookmarkStart w:id="48" w:name="_Ref357541836"/>
      <w:bookmarkStart w:id="49" w:name="_Toc381969520"/>
      <w:bookmarkStart w:id="50" w:name="_Toc405888469"/>
      <w:bookmarkStart w:id="51" w:name="_Toc83376652"/>
      <w:r w:rsidRPr="0038388A">
        <w:lastRenderedPageBreak/>
        <w:t>Evaluation of Tenders</w:t>
      </w:r>
      <w:bookmarkEnd w:id="48"/>
      <w:bookmarkEnd w:id="49"/>
      <w:bookmarkEnd w:id="50"/>
      <w:bookmarkEnd w:id="51"/>
    </w:p>
    <w:p w14:paraId="1CCEBD71" w14:textId="304265D5" w:rsidR="0038388A" w:rsidRPr="0038388A" w:rsidRDefault="0038388A" w:rsidP="00651C77">
      <w:pPr>
        <w:pStyle w:val="Norma"/>
      </w:pPr>
      <w:r w:rsidRPr="0038388A">
        <w:t xml:space="preserve">Contractors are invited to submit full tenders of no more </w:t>
      </w:r>
      <w:r w:rsidRPr="008059A3">
        <w:t>than 35 pages</w:t>
      </w:r>
      <w:r w:rsidRPr="0038388A">
        <w:t xml:space="preserve">, excluding declarations and CVs. Tenders will be evaluated by at least </w:t>
      </w:r>
      <w:r w:rsidR="006C39E8">
        <w:t>two</w:t>
      </w:r>
      <w:r w:rsidRPr="0038388A">
        <w:t xml:space="preserve"> CCC staff.</w:t>
      </w:r>
    </w:p>
    <w:p w14:paraId="42464FDF" w14:textId="77777777" w:rsidR="0038388A" w:rsidRPr="0038388A" w:rsidRDefault="0038388A" w:rsidP="00651C77">
      <w:pPr>
        <w:pStyle w:val="Norma"/>
      </w:pPr>
    </w:p>
    <w:p w14:paraId="3D758287" w14:textId="591933B0" w:rsidR="0038388A" w:rsidRPr="008059A3" w:rsidRDefault="006C39E8" w:rsidP="008059A3">
      <w:pPr>
        <w:pStyle w:val="Norma"/>
        <w:rPr>
          <w:rFonts w:cs="Arial"/>
        </w:rPr>
      </w:pPr>
      <w:r>
        <w:rPr>
          <w:rFonts w:cs="Arial"/>
        </w:rPr>
        <w:t xml:space="preserve">The </w:t>
      </w:r>
      <w:r w:rsidR="0038388A" w:rsidRPr="0038388A">
        <w:rPr>
          <w:rFonts w:cs="Arial"/>
        </w:rPr>
        <w:t>CCC will select the bidder that scores highest against the criteria and weighting listed below</w:t>
      </w:r>
      <w:r>
        <w:rPr>
          <w:rFonts w:cs="Arial"/>
        </w:rPr>
        <w:t xml:space="preserve"> –</w:t>
      </w:r>
      <w:r w:rsidR="0038388A" w:rsidRPr="0038388A">
        <w:rPr>
          <w:rFonts w:cs="Arial"/>
        </w:rPr>
        <w:t xml:space="preserve"> see the ITT for further information.</w:t>
      </w:r>
    </w:p>
    <w:p w14:paraId="60EC1450" w14:textId="406264F7" w:rsidR="0038388A" w:rsidRPr="008059A3" w:rsidRDefault="008059A3" w:rsidP="008059A3">
      <w:pPr>
        <w:pStyle w:val="Heading4"/>
      </w:pPr>
      <w:r>
        <w:t>Evaluation criteria and scoring methodology</w:t>
      </w:r>
    </w:p>
    <w:tbl>
      <w:tblPr>
        <w:tblStyle w:val="CCCTable"/>
        <w:tblW w:w="7213" w:type="dxa"/>
        <w:tblInd w:w="720" w:type="dxa"/>
        <w:tblLook w:val="04A0" w:firstRow="1" w:lastRow="0" w:firstColumn="1" w:lastColumn="0" w:noHBand="0" w:noVBand="1"/>
      </w:tblPr>
      <w:tblGrid>
        <w:gridCol w:w="1552"/>
        <w:gridCol w:w="4523"/>
        <w:gridCol w:w="1138"/>
      </w:tblGrid>
      <w:tr w:rsidR="008059A3" w14:paraId="17FE41A3" w14:textId="4EA6DC77" w:rsidTr="00172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dxa"/>
          </w:tcPr>
          <w:p w14:paraId="660BC878" w14:textId="5744AF5E" w:rsidR="008059A3" w:rsidRPr="00644C65" w:rsidRDefault="008059A3" w:rsidP="008059A3">
            <w:pPr>
              <w:pStyle w:val="BodyText"/>
              <w:rPr>
                <w:color w:val="FFFFFF" w:themeColor="background1"/>
              </w:rPr>
            </w:pPr>
            <w:r w:rsidRPr="00644C65">
              <w:rPr>
                <w:rFonts w:cs="Arial"/>
                <w:color w:val="FFFFFF" w:themeColor="background1"/>
                <w:szCs w:val="20"/>
              </w:rPr>
              <w:t>Criterion</w:t>
            </w:r>
          </w:p>
        </w:tc>
        <w:tc>
          <w:tcPr>
            <w:tcW w:w="4526" w:type="dxa"/>
          </w:tcPr>
          <w:p w14:paraId="6D169FD3" w14:textId="40116483" w:rsidR="008059A3" w:rsidRPr="008059A3" w:rsidRDefault="008059A3" w:rsidP="008059A3">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8059A3">
              <w:rPr>
                <w:rFonts w:cs="Arial"/>
                <w:b/>
                <w:color w:val="FFFFFF" w:themeColor="background1"/>
                <w:szCs w:val="20"/>
              </w:rPr>
              <w:t>Description</w:t>
            </w:r>
          </w:p>
        </w:tc>
        <w:tc>
          <w:tcPr>
            <w:tcW w:w="1134" w:type="dxa"/>
          </w:tcPr>
          <w:p w14:paraId="72649765" w14:textId="71A8CA38" w:rsidR="008059A3" w:rsidRPr="008059A3" w:rsidRDefault="008059A3" w:rsidP="008059A3">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8059A3">
              <w:rPr>
                <w:rFonts w:cs="Arial"/>
                <w:b/>
                <w:color w:val="FFFFFF" w:themeColor="background1"/>
                <w:szCs w:val="20"/>
              </w:rPr>
              <w:t>Weighting</w:t>
            </w:r>
          </w:p>
        </w:tc>
      </w:tr>
      <w:tr w:rsidR="008059A3" w14:paraId="5A30EF94" w14:textId="1810F98D" w:rsidTr="00172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dxa"/>
          </w:tcPr>
          <w:p w14:paraId="1028D7EB" w14:textId="67C1E33E" w:rsidR="008059A3" w:rsidRPr="008059A3" w:rsidRDefault="008059A3" w:rsidP="008059A3">
            <w:pPr>
              <w:pStyle w:val="BodyText"/>
              <w:rPr>
                <w:color w:val="FFFFFF" w:themeColor="background1"/>
              </w:rPr>
            </w:pPr>
            <w:r w:rsidRPr="008059A3">
              <w:rPr>
                <w:rFonts w:cs="Arial"/>
                <w:color w:val="FFFFFF" w:themeColor="background1"/>
                <w:szCs w:val="20"/>
              </w:rPr>
              <w:t>1</w:t>
            </w:r>
          </w:p>
        </w:tc>
        <w:tc>
          <w:tcPr>
            <w:tcW w:w="4526" w:type="dxa"/>
          </w:tcPr>
          <w:p w14:paraId="09F013B6" w14:textId="371BD041" w:rsidR="008059A3" w:rsidRPr="008059A3" w:rsidRDefault="008059A3" w:rsidP="008059A3">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color w:val="auto"/>
                <w:szCs w:val="20"/>
              </w:rPr>
              <w:t>RELEVANT EXPERIENCE / DEMONSTRATION OF CABABILITY</w:t>
            </w:r>
          </w:p>
        </w:tc>
        <w:tc>
          <w:tcPr>
            <w:tcW w:w="1134" w:type="dxa"/>
          </w:tcPr>
          <w:p w14:paraId="5E425370" w14:textId="411130AB" w:rsidR="008059A3" w:rsidRPr="008059A3" w:rsidRDefault="008059A3" w:rsidP="008059A3">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cs="Arial"/>
                <w:color w:val="auto"/>
                <w:szCs w:val="20"/>
              </w:rPr>
              <w:t>20%</w:t>
            </w:r>
          </w:p>
        </w:tc>
      </w:tr>
      <w:tr w:rsidR="008059A3" w14:paraId="197F0720" w14:textId="3187D8E3" w:rsidTr="00172C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dxa"/>
          </w:tcPr>
          <w:p w14:paraId="2263DF07" w14:textId="45CE0B81" w:rsidR="008059A3" w:rsidRPr="008059A3" w:rsidRDefault="008059A3" w:rsidP="008059A3">
            <w:pPr>
              <w:pStyle w:val="BodyText"/>
              <w:rPr>
                <w:color w:val="FFFFFF" w:themeColor="background1"/>
              </w:rPr>
            </w:pPr>
            <w:r w:rsidRPr="008059A3">
              <w:rPr>
                <w:rFonts w:cs="Arial"/>
                <w:color w:val="FFFFFF" w:themeColor="background1"/>
                <w:szCs w:val="20"/>
              </w:rPr>
              <w:t>2</w:t>
            </w:r>
          </w:p>
        </w:tc>
        <w:tc>
          <w:tcPr>
            <w:tcW w:w="4526" w:type="dxa"/>
          </w:tcPr>
          <w:p w14:paraId="6C6FD659" w14:textId="5DFCAAC9" w:rsidR="008059A3" w:rsidRPr="008059A3" w:rsidRDefault="008059A3" w:rsidP="008059A3">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color w:val="auto"/>
                <w:szCs w:val="20"/>
              </w:rPr>
              <w:t>MANAGING YOUR RELATIONSHIP WITH THE CCC</w:t>
            </w:r>
          </w:p>
        </w:tc>
        <w:tc>
          <w:tcPr>
            <w:tcW w:w="1134" w:type="dxa"/>
          </w:tcPr>
          <w:p w14:paraId="43985734" w14:textId="4130D0E3" w:rsidR="008059A3" w:rsidRPr="008059A3" w:rsidRDefault="008059A3" w:rsidP="008059A3">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cs="Arial"/>
                <w:color w:val="auto"/>
                <w:szCs w:val="20"/>
              </w:rPr>
              <w:t>10%</w:t>
            </w:r>
          </w:p>
        </w:tc>
      </w:tr>
      <w:tr w:rsidR="008059A3" w14:paraId="284295FC" w14:textId="46563E75" w:rsidTr="00172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dxa"/>
          </w:tcPr>
          <w:p w14:paraId="39411497" w14:textId="5A0D4B76" w:rsidR="008059A3" w:rsidRPr="008059A3" w:rsidRDefault="008059A3" w:rsidP="008059A3">
            <w:pPr>
              <w:pStyle w:val="BodyText"/>
              <w:rPr>
                <w:color w:val="FFFFFF" w:themeColor="background1"/>
              </w:rPr>
            </w:pPr>
            <w:r w:rsidRPr="008059A3">
              <w:rPr>
                <w:rFonts w:cs="Arial"/>
                <w:color w:val="FFFFFF" w:themeColor="background1"/>
                <w:szCs w:val="20"/>
              </w:rPr>
              <w:t>3</w:t>
            </w:r>
          </w:p>
        </w:tc>
        <w:tc>
          <w:tcPr>
            <w:tcW w:w="4526" w:type="dxa"/>
          </w:tcPr>
          <w:p w14:paraId="10BFC704" w14:textId="7A82B6CA" w:rsidR="008059A3" w:rsidRPr="008059A3" w:rsidRDefault="008059A3" w:rsidP="008059A3">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color w:val="auto"/>
                <w:szCs w:val="20"/>
              </w:rPr>
              <w:t>QUALITY ASSURING THE SERVICES YOU PROVIDE</w:t>
            </w:r>
          </w:p>
        </w:tc>
        <w:tc>
          <w:tcPr>
            <w:tcW w:w="1134" w:type="dxa"/>
          </w:tcPr>
          <w:p w14:paraId="75A6DCCD" w14:textId="03AB592D" w:rsidR="008059A3" w:rsidRPr="008059A3" w:rsidRDefault="008059A3" w:rsidP="008059A3">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cs="Arial"/>
                <w:color w:val="auto"/>
                <w:szCs w:val="20"/>
              </w:rPr>
              <w:t>10%</w:t>
            </w:r>
          </w:p>
        </w:tc>
      </w:tr>
      <w:tr w:rsidR="008059A3" w14:paraId="3195FDFA" w14:textId="1D719D8F" w:rsidTr="00172C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dxa"/>
          </w:tcPr>
          <w:p w14:paraId="1D809A7F" w14:textId="1A99FCD9" w:rsidR="008059A3" w:rsidRPr="008059A3" w:rsidRDefault="008059A3" w:rsidP="008059A3">
            <w:pPr>
              <w:pStyle w:val="BodyText"/>
              <w:rPr>
                <w:color w:val="FFFFFF" w:themeColor="background1"/>
              </w:rPr>
            </w:pPr>
            <w:r w:rsidRPr="008059A3">
              <w:rPr>
                <w:rFonts w:cs="Arial"/>
                <w:color w:val="FFFFFF" w:themeColor="background1"/>
                <w:szCs w:val="20"/>
              </w:rPr>
              <w:t>4</w:t>
            </w:r>
          </w:p>
        </w:tc>
        <w:tc>
          <w:tcPr>
            <w:tcW w:w="4526" w:type="dxa"/>
          </w:tcPr>
          <w:p w14:paraId="69B3CB95" w14:textId="48BD05DE" w:rsidR="008059A3" w:rsidRPr="008059A3" w:rsidRDefault="008059A3" w:rsidP="008059A3">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color w:val="auto"/>
                <w:szCs w:val="20"/>
              </w:rPr>
              <w:t>MANAGEMENT STRUCTURE</w:t>
            </w:r>
          </w:p>
        </w:tc>
        <w:tc>
          <w:tcPr>
            <w:tcW w:w="1134" w:type="dxa"/>
          </w:tcPr>
          <w:p w14:paraId="2AB63ECF" w14:textId="1696FAE1" w:rsidR="008059A3" w:rsidRPr="008059A3" w:rsidRDefault="008059A3" w:rsidP="008059A3">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cs="Arial"/>
                <w:color w:val="auto"/>
                <w:szCs w:val="20"/>
              </w:rPr>
              <w:t>10%</w:t>
            </w:r>
          </w:p>
        </w:tc>
      </w:tr>
      <w:tr w:rsidR="008059A3" w14:paraId="4C4FBA79" w14:textId="2C944618" w:rsidTr="00172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dxa"/>
          </w:tcPr>
          <w:p w14:paraId="623D3A68" w14:textId="1A37BE67" w:rsidR="008059A3" w:rsidRPr="008059A3" w:rsidRDefault="008059A3" w:rsidP="008059A3">
            <w:pPr>
              <w:pStyle w:val="BodyText"/>
              <w:rPr>
                <w:color w:val="FFFFFF" w:themeColor="background1"/>
              </w:rPr>
            </w:pPr>
            <w:r w:rsidRPr="008059A3">
              <w:rPr>
                <w:rFonts w:cs="Arial"/>
                <w:color w:val="FFFFFF" w:themeColor="background1"/>
                <w:szCs w:val="20"/>
              </w:rPr>
              <w:t>5</w:t>
            </w:r>
          </w:p>
        </w:tc>
        <w:tc>
          <w:tcPr>
            <w:tcW w:w="4526" w:type="dxa"/>
          </w:tcPr>
          <w:p w14:paraId="61F698C5" w14:textId="2188FED7" w:rsidR="008059A3" w:rsidRPr="008059A3" w:rsidRDefault="008059A3" w:rsidP="008059A3">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color w:val="auto"/>
                <w:szCs w:val="20"/>
              </w:rPr>
              <w:t>PROJECT TEAM – SKILLS AND KNOWLEDGE</w:t>
            </w:r>
          </w:p>
        </w:tc>
        <w:tc>
          <w:tcPr>
            <w:tcW w:w="1134" w:type="dxa"/>
          </w:tcPr>
          <w:p w14:paraId="4F51D7B7" w14:textId="1FA53182" w:rsidR="008059A3" w:rsidRPr="008059A3" w:rsidRDefault="008059A3" w:rsidP="008059A3">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cs="Arial"/>
                <w:color w:val="auto"/>
                <w:szCs w:val="20"/>
              </w:rPr>
              <w:t>20%</w:t>
            </w:r>
          </w:p>
        </w:tc>
      </w:tr>
      <w:tr w:rsidR="008059A3" w14:paraId="343F0F87" w14:textId="11CD6EE2" w:rsidTr="00172C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dxa"/>
          </w:tcPr>
          <w:p w14:paraId="29B185EE" w14:textId="1D0811F9" w:rsidR="008059A3" w:rsidRPr="008059A3" w:rsidRDefault="008059A3" w:rsidP="008059A3">
            <w:pPr>
              <w:pStyle w:val="BodyText"/>
              <w:rPr>
                <w:color w:val="FFFFFF" w:themeColor="background1"/>
              </w:rPr>
            </w:pPr>
            <w:r w:rsidRPr="008059A3">
              <w:rPr>
                <w:rFonts w:cs="Arial"/>
                <w:color w:val="FFFFFF" w:themeColor="background1"/>
                <w:szCs w:val="20"/>
              </w:rPr>
              <w:t>6</w:t>
            </w:r>
          </w:p>
        </w:tc>
        <w:tc>
          <w:tcPr>
            <w:tcW w:w="4526" w:type="dxa"/>
          </w:tcPr>
          <w:p w14:paraId="1A6BCA5D" w14:textId="15F9F9F9" w:rsidR="008059A3" w:rsidRPr="008059A3" w:rsidRDefault="008059A3" w:rsidP="008059A3">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color w:val="auto"/>
                <w:szCs w:val="20"/>
              </w:rPr>
              <w:t>METHOD, ABILITY AND TECHNICAL CAPACITY</w:t>
            </w:r>
          </w:p>
        </w:tc>
        <w:tc>
          <w:tcPr>
            <w:tcW w:w="1134" w:type="dxa"/>
          </w:tcPr>
          <w:p w14:paraId="1123A10E" w14:textId="3994050A" w:rsidR="008059A3" w:rsidRPr="008059A3" w:rsidRDefault="008059A3" w:rsidP="008059A3">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cs="Arial"/>
                <w:color w:val="auto"/>
                <w:szCs w:val="20"/>
              </w:rPr>
              <w:t>10%</w:t>
            </w:r>
          </w:p>
        </w:tc>
      </w:tr>
      <w:tr w:rsidR="008059A3" w14:paraId="559499D6" w14:textId="1EE65E78" w:rsidTr="00172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dxa"/>
          </w:tcPr>
          <w:p w14:paraId="72437B4B" w14:textId="493A8CB5" w:rsidR="008059A3" w:rsidRPr="008059A3" w:rsidRDefault="008059A3" w:rsidP="008059A3">
            <w:pPr>
              <w:pStyle w:val="BodyText"/>
              <w:rPr>
                <w:color w:val="FFFFFF" w:themeColor="background1"/>
              </w:rPr>
            </w:pPr>
            <w:r w:rsidRPr="008059A3">
              <w:rPr>
                <w:rFonts w:cs="Arial"/>
                <w:color w:val="FFFFFF" w:themeColor="background1"/>
                <w:szCs w:val="20"/>
              </w:rPr>
              <w:t>7</w:t>
            </w:r>
          </w:p>
        </w:tc>
        <w:tc>
          <w:tcPr>
            <w:tcW w:w="4526" w:type="dxa"/>
          </w:tcPr>
          <w:p w14:paraId="21DDD081" w14:textId="118615D4" w:rsidR="008059A3" w:rsidRPr="008059A3" w:rsidRDefault="008059A3" w:rsidP="008059A3">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color w:val="auto"/>
                <w:szCs w:val="20"/>
              </w:rPr>
              <w:t>UNDERSTANDING OF REQUIREMENTS</w:t>
            </w:r>
          </w:p>
        </w:tc>
        <w:tc>
          <w:tcPr>
            <w:tcW w:w="1134" w:type="dxa"/>
          </w:tcPr>
          <w:p w14:paraId="06C2E6E8" w14:textId="600020D5" w:rsidR="008059A3" w:rsidRPr="008059A3" w:rsidRDefault="008059A3" w:rsidP="008059A3">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cs="Arial"/>
                <w:color w:val="auto"/>
                <w:szCs w:val="20"/>
              </w:rPr>
              <w:t>10%</w:t>
            </w:r>
          </w:p>
        </w:tc>
      </w:tr>
      <w:tr w:rsidR="008059A3" w14:paraId="7EC3715A" w14:textId="7E21066E" w:rsidTr="00172C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dxa"/>
          </w:tcPr>
          <w:p w14:paraId="40DE90B1" w14:textId="7AB12016" w:rsidR="008059A3" w:rsidRPr="008059A3" w:rsidRDefault="008059A3" w:rsidP="008059A3">
            <w:pPr>
              <w:pStyle w:val="BodyText"/>
              <w:rPr>
                <w:color w:val="FFFFFF" w:themeColor="background1"/>
              </w:rPr>
            </w:pPr>
            <w:r w:rsidRPr="008059A3">
              <w:rPr>
                <w:color w:val="FFFFFF" w:themeColor="background1"/>
                <w:szCs w:val="20"/>
              </w:rPr>
              <w:t>8</w:t>
            </w:r>
          </w:p>
        </w:tc>
        <w:tc>
          <w:tcPr>
            <w:tcW w:w="4526" w:type="dxa"/>
          </w:tcPr>
          <w:p w14:paraId="3561A9FF" w14:textId="530022AC" w:rsidR="008059A3" w:rsidRPr="008059A3" w:rsidRDefault="008059A3" w:rsidP="008059A3">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color w:val="auto"/>
              </w:rPr>
              <w:t>RISK AND CHALLENGES</w:t>
            </w:r>
          </w:p>
        </w:tc>
        <w:tc>
          <w:tcPr>
            <w:tcW w:w="1134" w:type="dxa"/>
          </w:tcPr>
          <w:p w14:paraId="540093FC" w14:textId="473EFD52" w:rsidR="008059A3" w:rsidRPr="008059A3" w:rsidRDefault="008059A3" w:rsidP="008059A3">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cs="Arial"/>
                <w:color w:val="auto"/>
                <w:szCs w:val="20"/>
              </w:rPr>
              <w:t>10%</w:t>
            </w:r>
          </w:p>
        </w:tc>
      </w:tr>
    </w:tbl>
    <w:p w14:paraId="11B27F82" w14:textId="716C9C86" w:rsidR="0038388A" w:rsidRPr="0038388A" w:rsidRDefault="0038388A" w:rsidP="008059A3">
      <w:pPr>
        <w:pStyle w:val="Heading4"/>
      </w:pPr>
      <w:r w:rsidRPr="0038388A">
        <w:t xml:space="preserve">Scoring </w:t>
      </w:r>
      <w:r w:rsidR="00DF64DE">
        <w:t>m</w:t>
      </w:r>
      <w:r w:rsidRPr="0038388A">
        <w:t>ethod</w:t>
      </w:r>
    </w:p>
    <w:p w14:paraId="2E2A2ECF" w14:textId="77777777" w:rsidR="0038388A" w:rsidRPr="008059A3" w:rsidRDefault="0038388A" w:rsidP="008059A3">
      <w:pPr>
        <w:pStyle w:val="Norma"/>
      </w:pPr>
      <w:r w:rsidRPr="008059A3">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8059A3" w:rsidRDefault="0038388A" w:rsidP="008059A3">
      <w:pPr>
        <w:pStyle w:val="Norma"/>
      </w:pPr>
    </w:p>
    <w:p w14:paraId="309164CD" w14:textId="5FB9DD03" w:rsidR="0038388A" w:rsidRDefault="0038388A" w:rsidP="008059A3">
      <w:pPr>
        <w:pStyle w:val="Norma"/>
      </w:pPr>
      <w:r w:rsidRPr="008059A3">
        <w:t>The total score will be calculated by applying the weighting set against each criterion, outlined above</w:t>
      </w:r>
      <w:r w:rsidR="006C39E8">
        <w:t>:</w:t>
      </w:r>
      <w:r w:rsidRPr="008059A3">
        <w:t xml:space="preserve"> the maximum number of marks possible will be 100</w:t>
      </w:r>
      <w:r w:rsidR="007A5261">
        <w:t xml:space="preserve">. </w:t>
      </w:r>
      <w:r w:rsidRPr="008059A3">
        <w:t>Should any contractor score 1 in any of the criteria, they will be excluded from the tender competition.</w:t>
      </w:r>
    </w:p>
    <w:p w14:paraId="5C78EA91" w14:textId="77777777" w:rsidR="008059A3" w:rsidRPr="008059A3" w:rsidRDefault="008059A3" w:rsidP="008059A3">
      <w:pPr>
        <w:pStyle w:val="Norma"/>
      </w:pPr>
    </w:p>
    <w:tbl>
      <w:tblPr>
        <w:tblStyle w:val="CCCTable"/>
        <w:tblW w:w="7213" w:type="dxa"/>
        <w:tblInd w:w="720" w:type="dxa"/>
        <w:tblLook w:val="04A0" w:firstRow="1" w:lastRow="0" w:firstColumn="1" w:lastColumn="0" w:noHBand="0" w:noVBand="1"/>
      </w:tblPr>
      <w:tblGrid>
        <w:gridCol w:w="976"/>
        <w:gridCol w:w="6237"/>
      </w:tblGrid>
      <w:tr w:rsidR="008059A3" w14:paraId="417EB6C2" w14:textId="77777777" w:rsidTr="00172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dxa"/>
          </w:tcPr>
          <w:p w14:paraId="1F533DD9" w14:textId="1875D12E" w:rsidR="008059A3" w:rsidRPr="008059A3" w:rsidRDefault="008059A3" w:rsidP="008059A3">
            <w:pPr>
              <w:pStyle w:val="BodyText"/>
              <w:rPr>
                <w:color w:val="FFFFFF" w:themeColor="background1"/>
              </w:rPr>
            </w:pPr>
            <w:r w:rsidRPr="008059A3">
              <w:rPr>
                <w:rFonts w:ascii="Century Gothic" w:hAnsi="Century Gothic" w:cs="Arial"/>
                <w:color w:val="FFFFFF" w:themeColor="background1"/>
              </w:rPr>
              <w:t>Score</w:t>
            </w:r>
          </w:p>
        </w:tc>
        <w:tc>
          <w:tcPr>
            <w:tcW w:w="6237" w:type="dxa"/>
          </w:tcPr>
          <w:p w14:paraId="577869C6" w14:textId="7B08B7A8" w:rsidR="008059A3" w:rsidRPr="008059A3" w:rsidRDefault="008059A3" w:rsidP="008059A3">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8059A3">
              <w:rPr>
                <w:rFonts w:ascii="Century Gothic" w:hAnsi="Century Gothic" w:cs="Arial"/>
                <w:b/>
                <w:color w:val="FFFFFF" w:themeColor="background1"/>
              </w:rPr>
              <w:t>Description</w:t>
            </w:r>
          </w:p>
        </w:tc>
      </w:tr>
      <w:tr w:rsidR="008059A3" w14:paraId="1F2199E5" w14:textId="77777777" w:rsidTr="00172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dxa"/>
          </w:tcPr>
          <w:p w14:paraId="3536048C" w14:textId="30E601F7" w:rsidR="008059A3" w:rsidRPr="008059A3" w:rsidRDefault="008059A3" w:rsidP="008059A3">
            <w:pPr>
              <w:pStyle w:val="BodyText"/>
              <w:rPr>
                <w:color w:val="FFFFFF" w:themeColor="background1"/>
              </w:rPr>
            </w:pPr>
            <w:r w:rsidRPr="008059A3">
              <w:rPr>
                <w:rFonts w:ascii="Century Gothic" w:hAnsi="Century Gothic" w:cs="Arial"/>
                <w:color w:val="FFFFFF" w:themeColor="background1"/>
              </w:rPr>
              <w:t>1</w:t>
            </w:r>
          </w:p>
        </w:tc>
        <w:tc>
          <w:tcPr>
            <w:tcW w:w="6237" w:type="dxa"/>
            <w:tcMar>
              <w:right w:w="113" w:type="dxa"/>
            </w:tcMar>
          </w:tcPr>
          <w:p w14:paraId="7459410E" w14:textId="51F50C28" w:rsidR="008059A3" w:rsidRPr="008059A3" w:rsidRDefault="008059A3" w:rsidP="008059A3">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ascii="Century Gothic" w:hAnsi="Century Gothic" w:cs="Arial"/>
                <w:color w:val="auto"/>
                <w:szCs w:val="24"/>
              </w:rPr>
              <w:t>Not Satisfactory: Proposal contains significant shortcomings and does not meet the required standard</w:t>
            </w:r>
          </w:p>
        </w:tc>
      </w:tr>
      <w:tr w:rsidR="008059A3" w14:paraId="1D42DE33" w14:textId="77777777" w:rsidTr="00172C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dxa"/>
          </w:tcPr>
          <w:p w14:paraId="67199791" w14:textId="72D8F99C" w:rsidR="008059A3" w:rsidRPr="008059A3" w:rsidRDefault="008059A3" w:rsidP="008059A3">
            <w:pPr>
              <w:pStyle w:val="BodyText"/>
              <w:rPr>
                <w:color w:val="FFFFFF" w:themeColor="background1"/>
              </w:rPr>
            </w:pPr>
            <w:r w:rsidRPr="008059A3">
              <w:rPr>
                <w:rFonts w:ascii="Century Gothic" w:hAnsi="Century Gothic" w:cs="Arial"/>
                <w:color w:val="FFFFFF" w:themeColor="background1"/>
              </w:rPr>
              <w:t>2</w:t>
            </w:r>
          </w:p>
        </w:tc>
        <w:tc>
          <w:tcPr>
            <w:tcW w:w="6237" w:type="dxa"/>
            <w:tcMar>
              <w:right w:w="113" w:type="dxa"/>
            </w:tcMar>
          </w:tcPr>
          <w:p w14:paraId="5BD88A6A" w14:textId="7D5AAC36" w:rsidR="008059A3" w:rsidRPr="008059A3" w:rsidRDefault="008059A3" w:rsidP="008059A3">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ascii="Century Gothic" w:hAnsi="Century Gothic" w:cs="Arial"/>
                <w:color w:val="auto"/>
                <w:szCs w:val="24"/>
              </w:rPr>
              <w:t xml:space="preserve">Partially Satisfactory: Proposal partially meets the required standard, with one or more moderate weaknesses or gaps </w:t>
            </w:r>
          </w:p>
        </w:tc>
      </w:tr>
      <w:tr w:rsidR="008059A3" w14:paraId="0EF37AF0" w14:textId="77777777" w:rsidTr="00172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dxa"/>
          </w:tcPr>
          <w:p w14:paraId="29530E44" w14:textId="4161B402" w:rsidR="008059A3" w:rsidRPr="008059A3" w:rsidRDefault="008059A3" w:rsidP="008059A3">
            <w:pPr>
              <w:pStyle w:val="BodyText"/>
              <w:rPr>
                <w:color w:val="FFFFFF" w:themeColor="background1"/>
              </w:rPr>
            </w:pPr>
            <w:r w:rsidRPr="008059A3">
              <w:rPr>
                <w:rFonts w:ascii="Century Gothic" w:hAnsi="Century Gothic" w:cs="Arial"/>
                <w:color w:val="FFFFFF" w:themeColor="background1"/>
              </w:rPr>
              <w:t>3</w:t>
            </w:r>
          </w:p>
        </w:tc>
        <w:tc>
          <w:tcPr>
            <w:tcW w:w="6237" w:type="dxa"/>
            <w:tcMar>
              <w:right w:w="113" w:type="dxa"/>
            </w:tcMar>
          </w:tcPr>
          <w:p w14:paraId="725701F8" w14:textId="7D791C77" w:rsidR="008059A3" w:rsidRPr="008059A3" w:rsidRDefault="008059A3" w:rsidP="008059A3">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ascii="Century Gothic" w:hAnsi="Century Gothic" w:cs="Arial"/>
                <w:color w:val="auto"/>
                <w:szCs w:val="24"/>
              </w:rPr>
              <w:t>Satisfactory: Proposal mostly meets the required standard, with one or more minor weaknesses or gaps</w:t>
            </w:r>
          </w:p>
        </w:tc>
      </w:tr>
      <w:tr w:rsidR="008059A3" w14:paraId="32A36269" w14:textId="77777777" w:rsidTr="00172C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dxa"/>
          </w:tcPr>
          <w:p w14:paraId="2DBFF5C5" w14:textId="117732C7" w:rsidR="008059A3" w:rsidRPr="008059A3" w:rsidRDefault="008059A3" w:rsidP="008059A3">
            <w:pPr>
              <w:pStyle w:val="BodyText"/>
              <w:rPr>
                <w:color w:val="FFFFFF" w:themeColor="background1"/>
              </w:rPr>
            </w:pPr>
            <w:r w:rsidRPr="008059A3">
              <w:rPr>
                <w:rFonts w:ascii="Century Gothic" w:hAnsi="Century Gothic" w:cs="Arial"/>
                <w:color w:val="FFFFFF" w:themeColor="background1"/>
              </w:rPr>
              <w:t>4</w:t>
            </w:r>
          </w:p>
        </w:tc>
        <w:tc>
          <w:tcPr>
            <w:tcW w:w="6237" w:type="dxa"/>
            <w:tcMar>
              <w:right w:w="113" w:type="dxa"/>
            </w:tcMar>
          </w:tcPr>
          <w:p w14:paraId="38446354" w14:textId="4D930D79" w:rsidR="008059A3" w:rsidRPr="008059A3" w:rsidRDefault="008059A3" w:rsidP="008059A3">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ascii="Century Gothic" w:hAnsi="Century Gothic" w:cs="Arial"/>
                <w:color w:val="auto"/>
                <w:szCs w:val="24"/>
              </w:rPr>
              <w:t>Good: Proposal meets the required standard, with moderate levels of assurance</w:t>
            </w:r>
          </w:p>
        </w:tc>
      </w:tr>
      <w:tr w:rsidR="008059A3" w14:paraId="1671AAFF" w14:textId="77777777" w:rsidTr="00172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dxa"/>
          </w:tcPr>
          <w:p w14:paraId="41032844" w14:textId="38DCBD61" w:rsidR="008059A3" w:rsidRPr="008059A3" w:rsidRDefault="008059A3" w:rsidP="008059A3">
            <w:pPr>
              <w:pStyle w:val="BodyText"/>
              <w:rPr>
                <w:color w:val="FFFFFF" w:themeColor="background1"/>
              </w:rPr>
            </w:pPr>
            <w:r w:rsidRPr="008059A3">
              <w:rPr>
                <w:rFonts w:ascii="Century Gothic" w:hAnsi="Century Gothic" w:cs="Arial"/>
                <w:color w:val="FFFFFF" w:themeColor="background1"/>
              </w:rPr>
              <w:t>5</w:t>
            </w:r>
          </w:p>
        </w:tc>
        <w:tc>
          <w:tcPr>
            <w:tcW w:w="6237" w:type="dxa"/>
            <w:tcMar>
              <w:right w:w="113" w:type="dxa"/>
            </w:tcMar>
          </w:tcPr>
          <w:p w14:paraId="312C958A" w14:textId="2423D1B9" w:rsidR="008059A3" w:rsidRPr="008059A3" w:rsidRDefault="008059A3" w:rsidP="008059A3">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ascii="Century Gothic" w:hAnsi="Century Gothic" w:cs="Arial"/>
                <w:color w:val="auto"/>
                <w:szCs w:val="24"/>
              </w:rPr>
              <w:t>Excellent: Proposal fully meets the required standard with high levels of assurance</w:t>
            </w:r>
          </w:p>
        </w:tc>
      </w:tr>
    </w:tbl>
    <w:p w14:paraId="57EED380" w14:textId="2A1788D2" w:rsidR="004711FD" w:rsidRPr="004711FD" w:rsidRDefault="004711FD" w:rsidP="008059A3">
      <w:pPr>
        <w:pStyle w:val="Heading4"/>
      </w:pPr>
      <w:r w:rsidRPr="004711FD">
        <w:t xml:space="preserve">Scoring for </w:t>
      </w:r>
      <w:r w:rsidR="00DF64DE">
        <w:t>p</w:t>
      </w:r>
      <w:r w:rsidRPr="004711FD">
        <w:t xml:space="preserve">ricing </w:t>
      </w:r>
      <w:r w:rsidR="00DF64DE">
        <w:t>e</w:t>
      </w:r>
      <w:r w:rsidRPr="004711FD">
        <w:t>valuation</w:t>
      </w:r>
    </w:p>
    <w:p w14:paraId="0034CB71" w14:textId="759AD82D" w:rsidR="004711FD" w:rsidRPr="004711FD" w:rsidRDefault="004711FD" w:rsidP="008059A3">
      <w:pPr>
        <w:pStyle w:val="Norma"/>
      </w:pPr>
      <w:r w:rsidRPr="004711FD">
        <w:t>Price will be marked using proportionate pricing</w:t>
      </w:r>
      <w:r w:rsidR="007A5261">
        <w:t xml:space="preserve">. </w:t>
      </w:r>
      <w:r w:rsidRPr="004711FD">
        <w:t>Please see the example below.</w:t>
      </w:r>
    </w:p>
    <w:p w14:paraId="380D2329" w14:textId="6EEF1B8D" w:rsidR="00644C65" w:rsidRDefault="00644C65" w:rsidP="00644C65">
      <w:pPr>
        <w:pStyle w:val="Heading5a"/>
      </w:pPr>
      <w:r w:rsidRPr="004711FD">
        <w:t xml:space="preserve">Proportionate </w:t>
      </w:r>
      <w:r w:rsidR="00DF64DE">
        <w:t>p</w:t>
      </w:r>
      <w:r w:rsidRPr="004711FD">
        <w:t>ricing scoring example</w:t>
      </w:r>
    </w:p>
    <w:p w14:paraId="27E6D7D5" w14:textId="68201B54" w:rsidR="004711FD" w:rsidRDefault="004711FD" w:rsidP="00644C65">
      <w:pPr>
        <w:pStyle w:val="Norma"/>
      </w:pPr>
      <w:r w:rsidRPr="004711FD">
        <w:t>There will be a maximum of 20 marks</w:t>
      </w:r>
      <w:r w:rsidR="008059A3">
        <w:t xml:space="preserve">. </w:t>
      </w:r>
      <w:r w:rsidRPr="004711FD">
        <w:t xml:space="preserve">The lowest priced bid will receive the full 20 marks, all other bids will then be marked as set out </w:t>
      </w:r>
      <w:r w:rsidR="00A965F4">
        <w:t xml:space="preserve">in the example </w:t>
      </w:r>
      <w:r w:rsidRPr="004711FD">
        <w:t>below.</w:t>
      </w:r>
    </w:p>
    <w:p w14:paraId="7A394175" w14:textId="77777777" w:rsidR="00644C65" w:rsidRDefault="00644C65" w:rsidP="00644C65">
      <w:pPr>
        <w:pStyle w:val="Norma"/>
      </w:pPr>
    </w:p>
    <w:tbl>
      <w:tblPr>
        <w:tblStyle w:val="CCCTable"/>
        <w:tblW w:w="7213" w:type="dxa"/>
        <w:tblInd w:w="720" w:type="dxa"/>
        <w:tblLook w:val="04A0" w:firstRow="1" w:lastRow="0" w:firstColumn="1" w:lastColumn="0" w:noHBand="0" w:noVBand="1"/>
      </w:tblPr>
      <w:tblGrid>
        <w:gridCol w:w="1685"/>
        <w:gridCol w:w="2764"/>
        <w:gridCol w:w="2764"/>
      </w:tblGrid>
      <w:tr w:rsidR="00644C65" w14:paraId="792BF449" w14:textId="77777777" w:rsidTr="00172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092AC704" w14:textId="22E20621" w:rsidR="00644C65" w:rsidRPr="00644C65" w:rsidRDefault="00644C65" w:rsidP="00644C65">
            <w:pPr>
              <w:pStyle w:val="BodyText"/>
              <w:rPr>
                <w:color w:val="FFFFFF" w:themeColor="background1"/>
              </w:rPr>
            </w:pPr>
            <w:r w:rsidRPr="00644C65">
              <w:rPr>
                <w:rFonts w:eastAsia="Calibri" w:cs="Arial"/>
                <w:color w:val="FFFFFF" w:themeColor="background1"/>
                <w:szCs w:val="24"/>
              </w:rPr>
              <w:t>Supplier</w:t>
            </w:r>
          </w:p>
        </w:tc>
        <w:tc>
          <w:tcPr>
            <w:tcW w:w="2764" w:type="dxa"/>
          </w:tcPr>
          <w:p w14:paraId="49219C59" w14:textId="4BCA83D1" w:rsidR="00644C65" w:rsidRPr="00644C65" w:rsidRDefault="00644C65" w:rsidP="00644C65">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644C65">
              <w:rPr>
                <w:rFonts w:eastAsia="Calibri" w:cs="Arial"/>
                <w:b/>
                <w:color w:val="FFFFFF" w:themeColor="background1"/>
                <w:szCs w:val="24"/>
              </w:rPr>
              <w:t>Price</w:t>
            </w:r>
          </w:p>
        </w:tc>
        <w:tc>
          <w:tcPr>
            <w:tcW w:w="2764" w:type="dxa"/>
          </w:tcPr>
          <w:p w14:paraId="2977EF81" w14:textId="4810C4BD" w:rsidR="00644C65" w:rsidRPr="00644C65" w:rsidRDefault="00644C65" w:rsidP="00644C65">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644C65">
              <w:rPr>
                <w:rFonts w:eastAsia="Calibri" w:cs="Arial"/>
                <w:b/>
                <w:color w:val="FFFFFF" w:themeColor="background1"/>
                <w:szCs w:val="24"/>
              </w:rPr>
              <w:t>Marks</w:t>
            </w:r>
          </w:p>
        </w:tc>
      </w:tr>
      <w:tr w:rsidR="00644C65" w14:paraId="7E40F17D" w14:textId="77777777" w:rsidTr="00172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26479F37" w14:textId="4A3280E0" w:rsidR="00644C65" w:rsidRPr="00644C65" w:rsidRDefault="00644C65" w:rsidP="00644C65">
            <w:pPr>
              <w:pStyle w:val="BodyText"/>
              <w:rPr>
                <w:color w:val="FFFFFF" w:themeColor="background1"/>
              </w:rPr>
            </w:pPr>
            <w:r w:rsidRPr="00644C65">
              <w:rPr>
                <w:rFonts w:eastAsia="Calibri" w:cs="Arial"/>
                <w:color w:val="FFFFFF" w:themeColor="background1"/>
                <w:szCs w:val="24"/>
              </w:rPr>
              <w:t>1 (lowest bid)</w:t>
            </w:r>
          </w:p>
        </w:tc>
        <w:tc>
          <w:tcPr>
            <w:tcW w:w="2764" w:type="dxa"/>
          </w:tcPr>
          <w:p w14:paraId="24B3BCDA" w14:textId="22946129" w:rsidR="00644C65" w:rsidRPr="00644C65" w:rsidRDefault="00644C65" w:rsidP="00644C65">
            <w:pPr>
              <w:pStyle w:val="BodyText"/>
              <w:cnfStyle w:val="000000100000" w:firstRow="0" w:lastRow="0" w:firstColumn="0" w:lastColumn="0" w:oddVBand="0" w:evenVBand="0" w:oddHBand="1" w:evenHBand="0" w:firstRowFirstColumn="0" w:firstRowLastColumn="0" w:lastRowFirstColumn="0" w:lastRowLastColumn="0"/>
              <w:rPr>
                <w:color w:val="auto"/>
              </w:rPr>
            </w:pPr>
            <w:r w:rsidRPr="00644C65">
              <w:rPr>
                <w:rFonts w:eastAsia="Calibri" w:cs="Arial"/>
                <w:color w:val="auto"/>
                <w:szCs w:val="24"/>
              </w:rPr>
              <w:t>£</w:t>
            </w:r>
            <w:r w:rsidR="00A356BD">
              <w:rPr>
                <w:rFonts w:eastAsia="Calibri" w:cs="Arial"/>
                <w:color w:val="auto"/>
                <w:szCs w:val="24"/>
              </w:rPr>
              <w:t>3</w:t>
            </w:r>
            <w:r w:rsidRPr="00644C65">
              <w:rPr>
                <w:rFonts w:eastAsia="Calibri" w:cs="Arial"/>
                <w:color w:val="auto"/>
                <w:szCs w:val="24"/>
              </w:rPr>
              <w:t>0,000</w:t>
            </w:r>
          </w:p>
        </w:tc>
        <w:tc>
          <w:tcPr>
            <w:tcW w:w="2764" w:type="dxa"/>
          </w:tcPr>
          <w:p w14:paraId="1E60AFB2" w14:textId="539F318D" w:rsidR="00644C65" w:rsidRPr="00644C65" w:rsidRDefault="00644C65" w:rsidP="00644C65">
            <w:pPr>
              <w:pStyle w:val="BodyText"/>
              <w:cnfStyle w:val="000000100000" w:firstRow="0" w:lastRow="0" w:firstColumn="0" w:lastColumn="0" w:oddVBand="0" w:evenVBand="0" w:oddHBand="1" w:evenHBand="0" w:firstRowFirstColumn="0" w:firstRowLastColumn="0" w:lastRowFirstColumn="0" w:lastRowLastColumn="0"/>
              <w:rPr>
                <w:color w:val="auto"/>
              </w:rPr>
            </w:pPr>
            <w:r w:rsidRPr="00644C65">
              <w:rPr>
                <w:rFonts w:eastAsia="Calibri" w:cs="Arial"/>
                <w:color w:val="auto"/>
                <w:szCs w:val="24"/>
              </w:rPr>
              <w:t>20</w:t>
            </w:r>
          </w:p>
        </w:tc>
      </w:tr>
      <w:tr w:rsidR="00644C65" w14:paraId="19DBC8F9" w14:textId="77777777" w:rsidTr="00172C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1C7D4099" w14:textId="19C90F60" w:rsidR="00644C65" w:rsidRPr="00644C65" w:rsidRDefault="00644C65" w:rsidP="00644C65">
            <w:pPr>
              <w:pStyle w:val="BodyText"/>
              <w:rPr>
                <w:color w:val="FFFFFF" w:themeColor="background1"/>
              </w:rPr>
            </w:pPr>
            <w:r w:rsidRPr="00644C65">
              <w:rPr>
                <w:rFonts w:eastAsia="Calibri" w:cs="Arial"/>
                <w:color w:val="FFFFFF" w:themeColor="background1"/>
                <w:szCs w:val="24"/>
              </w:rPr>
              <w:t>2</w:t>
            </w:r>
          </w:p>
        </w:tc>
        <w:tc>
          <w:tcPr>
            <w:tcW w:w="2764" w:type="dxa"/>
          </w:tcPr>
          <w:p w14:paraId="0C23EE8C" w14:textId="52FA7750" w:rsidR="00644C65" w:rsidRPr="00644C65" w:rsidRDefault="00644C65" w:rsidP="00644C65">
            <w:pPr>
              <w:pStyle w:val="BodyText"/>
              <w:cnfStyle w:val="000000010000" w:firstRow="0" w:lastRow="0" w:firstColumn="0" w:lastColumn="0" w:oddVBand="0" w:evenVBand="0" w:oddHBand="0" w:evenHBand="1" w:firstRowFirstColumn="0" w:firstRowLastColumn="0" w:lastRowFirstColumn="0" w:lastRowLastColumn="0"/>
              <w:rPr>
                <w:color w:val="auto"/>
              </w:rPr>
            </w:pPr>
            <w:r w:rsidRPr="00644C65">
              <w:rPr>
                <w:rFonts w:eastAsia="Calibri" w:cs="Arial"/>
                <w:color w:val="auto"/>
                <w:szCs w:val="24"/>
              </w:rPr>
              <w:t>£</w:t>
            </w:r>
            <w:r w:rsidR="00A356BD">
              <w:rPr>
                <w:rFonts w:eastAsia="Calibri" w:cs="Arial"/>
                <w:color w:val="auto"/>
                <w:szCs w:val="24"/>
              </w:rPr>
              <w:t>3</w:t>
            </w:r>
            <w:r w:rsidRPr="00644C65">
              <w:rPr>
                <w:rFonts w:eastAsia="Calibri" w:cs="Arial"/>
                <w:color w:val="auto"/>
                <w:szCs w:val="24"/>
              </w:rPr>
              <w:t>5,000</w:t>
            </w:r>
          </w:p>
        </w:tc>
        <w:tc>
          <w:tcPr>
            <w:tcW w:w="2764" w:type="dxa"/>
          </w:tcPr>
          <w:p w14:paraId="598336D7" w14:textId="780A9602" w:rsidR="00644C65" w:rsidRPr="00644C65" w:rsidRDefault="00A356BD" w:rsidP="00644C65">
            <w:pPr>
              <w:pStyle w:val="BodyText"/>
              <w:cnfStyle w:val="000000010000" w:firstRow="0" w:lastRow="0" w:firstColumn="0" w:lastColumn="0" w:oddVBand="0" w:evenVBand="0" w:oddHBand="0" w:evenHBand="1" w:firstRowFirstColumn="0" w:firstRowLastColumn="0" w:lastRowFirstColumn="0" w:lastRowLastColumn="0"/>
              <w:rPr>
                <w:color w:val="auto"/>
              </w:rPr>
            </w:pPr>
            <w:r>
              <w:rPr>
                <w:rFonts w:eastAsia="Calibri" w:cs="Arial"/>
                <w:color w:val="auto"/>
                <w:szCs w:val="24"/>
              </w:rPr>
              <w:t>(30</w:t>
            </w:r>
            <w:r w:rsidR="00644C65" w:rsidRPr="00644C65">
              <w:rPr>
                <w:rFonts w:eastAsia="Calibri" w:cs="Arial"/>
                <w:color w:val="auto"/>
                <w:szCs w:val="24"/>
              </w:rPr>
              <w:t>/</w:t>
            </w:r>
            <w:r>
              <w:rPr>
                <w:rFonts w:eastAsia="Calibri" w:cs="Arial"/>
                <w:color w:val="auto"/>
                <w:szCs w:val="24"/>
              </w:rPr>
              <w:t>3</w:t>
            </w:r>
            <w:r w:rsidR="00644C65" w:rsidRPr="00644C65">
              <w:rPr>
                <w:rFonts w:eastAsia="Calibri" w:cs="Arial"/>
                <w:color w:val="auto"/>
                <w:szCs w:val="24"/>
              </w:rPr>
              <w:t>5</w:t>
            </w:r>
            <w:r>
              <w:rPr>
                <w:rFonts w:eastAsia="Calibri" w:cs="Arial"/>
                <w:color w:val="auto"/>
                <w:szCs w:val="24"/>
              </w:rPr>
              <w:t>)</w:t>
            </w:r>
            <w:r w:rsidR="00644C65" w:rsidRPr="00644C65">
              <w:rPr>
                <w:rFonts w:eastAsia="Calibri" w:cs="Arial"/>
                <w:color w:val="auto"/>
                <w:szCs w:val="24"/>
              </w:rPr>
              <w:t xml:space="preserve"> * 20 = 1</w:t>
            </w:r>
            <w:r>
              <w:rPr>
                <w:rFonts w:eastAsia="Calibri" w:cs="Arial"/>
                <w:color w:val="auto"/>
                <w:szCs w:val="24"/>
              </w:rPr>
              <w:t>7.1</w:t>
            </w:r>
          </w:p>
        </w:tc>
      </w:tr>
      <w:tr w:rsidR="00644C65" w14:paraId="6D924E83" w14:textId="77777777" w:rsidTr="00172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1FB9BD65" w14:textId="2B9BD20F" w:rsidR="00644C65" w:rsidRPr="00644C65" w:rsidRDefault="00644C65" w:rsidP="00644C65">
            <w:pPr>
              <w:pStyle w:val="BodyText"/>
              <w:rPr>
                <w:color w:val="FFFFFF" w:themeColor="background1"/>
              </w:rPr>
            </w:pPr>
            <w:r w:rsidRPr="00644C65">
              <w:rPr>
                <w:rFonts w:eastAsia="Calibri" w:cs="Arial"/>
                <w:color w:val="FFFFFF" w:themeColor="background1"/>
                <w:szCs w:val="24"/>
              </w:rPr>
              <w:t>3</w:t>
            </w:r>
          </w:p>
        </w:tc>
        <w:tc>
          <w:tcPr>
            <w:tcW w:w="2764" w:type="dxa"/>
          </w:tcPr>
          <w:p w14:paraId="33A3835D" w14:textId="0CA47806" w:rsidR="00644C65" w:rsidRPr="00644C65" w:rsidRDefault="00644C65" w:rsidP="00644C65">
            <w:pPr>
              <w:pStyle w:val="BodyText"/>
              <w:cnfStyle w:val="000000100000" w:firstRow="0" w:lastRow="0" w:firstColumn="0" w:lastColumn="0" w:oddVBand="0" w:evenVBand="0" w:oddHBand="1" w:evenHBand="0" w:firstRowFirstColumn="0" w:firstRowLastColumn="0" w:lastRowFirstColumn="0" w:lastRowLastColumn="0"/>
              <w:rPr>
                <w:color w:val="auto"/>
              </w:rPr>
            </w:pPr>
            <w:r w:rsidRPr="00644C65">
              <w:rPr>
                <w:rFonts w:eastAsia="Calibri" w:cs="Arial"/>
                <w:color w:val="auto"/>
                <w:szCs w:val="24"/>
              </w:rPr>
              <w:t>£</w:t>
            </w:r>
            <w:r w:rsidR="00A356BD">
              <w:rPr>
                <w:rFonts w:eastAsia="Calibri" w:cs="Arial"/>
                <w:color w:val="auto"/>
                <w:szCs w:val="24"/>
              </w:rPr>
              <w:t>37</w:t>
            </w:r>
            <w:r w:rsidRPr="00644C65">
              <w:rPr>
                <w:rFonts w:eastAsia="Calibri" w:cs="Arial"/>
                <w:color w:val="auto"/>
                <w:szCs w:val="24"/>
              </w:rPr>
              <w:t>,</w:t>
            </w:r>
            <w:r w:rsidR="00A356BD">
              <w:rPr>
                <w:rFonts w:eastAsia="Calibri" w:cs="Arial"/>
                <w:color w:val="auto"/>
                <w:szCs w:val="24"/>
              </w:rPr>
              <w:t>5</w:t>
            </w:r>
            <w:r w:rsidRPr="00644C65">
              <w:rPr>
                <w:rFonts w:eastAsia="Calibri" w:cs="Arial"/>
                <w:color w:val="auto"/>
                <w:szCs w:val="24"/>
              </w:rPr>
              <w:t>00</w:t>
            </w:r>
          </w:p>
        </w:tc>
        <w:tc>
          <w:tcPr>
            <w:tcW w:w="2764" w:type="dxa"/>
          </w:tcPr>
          <w:p w14:paraId="22F35F0E" w14:textId="639FDB1A" w:rsidR="00644C65" w:rsidRPr="00644C65" w:rsidRDefault="00A356BD" w:rsidP="00644C65">
            <w:pPr>
              <w:pStyle w:val="BodyText"/>
              <w:cnfStyle w:val="000000100000" w:firstRow="0" w:lastRow="0" w:firstColumn="0" w:lastColumn="0" w:oddVBand="0" w:evenVBand="0" w:oddHBand="1" w:evenHBand="0" w:firstRowFirstColumn="0" w:firstRowLastColumn="0" w:lastRowFirstColumn="0" w:lastRowLastColumn="0"/>
              <w:rPr>
                <w:color w:val="auto"/>
              </w:rPr>
            </w:pPr>
            <w:r>
              <w:rPr>
                <w:rFonts w:eastAsia="Calibri" w:cs="Arial"/>
                <w:color w:val="auto"/>
                <w:szCs w:val="24"/>
              </w:rPr>
              <w:t>(3</w:t>
            </w:r>
            <w:r w:rsidR="00644C65" w:rsidRPr="00644C65">
              <w:rPr>
                <w:rFonts w:eastAsia="Calibri" w:cs="Arial"/>
                <w:color w:val="auto"/>
                <w:szCs w:val="24"/>
              </w:rPr>
              <w:t>0/3</w:t>
            </w:r>
            <w:r>
              <w:rPr>
                <w:rFonts w:eastAsia="Calibri" w:cs="Arial"/>
                <w:color w:val="auto"/>
                <w:szCs w:val="24"/>
              </w:rPr>
              <w:t>7.5)</w:t>
            </w:r>
            <w:r w:rsidR="00644C65" w:rsidRPr="00644C65">
              <w:rPr>
                <w:rFonts w:eastAsia="Calibri" w:cs="Arial"/>
                <w:color w:val="auto"/>
                <w:szCs w:val="24"/>
              </w:rPr>
              <w:t xml:space="preserve"> * 20 = </w:t>
            </w:r>
            <w:r>
              <w:rPr>
                <w:rFonts w:eastAsia="Calibri" w:cs="Arial"/>
                <w:color w:val="auto"/>
                <w:szCs w:val="24"/>
              </w:rPr>
              <w:t>16</w:t>
            </w:r>
          </w:p>
        </w:tc>
      </w:tr>
    </w:tbl>
    <w:p w14:paraId="61F77B03" w14:textId="49FDDAD5" w:rsidR="004711FD" w:rsidRPr="004711FD" w:rsidRDefault="004711FD" w:rsidP="00644C65">
      <w:pPr>
        <w:pStyle w:val="Heading4"/>
      </w:pPr>
      <w:r w:rsidRPr="004711FD">
        <w:t xml:space="preserve">Structure of </w:t>
      </w:r>
      <w:r w:rsidR="00DF64DE">
        <w:t>t</w:t>
      </w:r>
      <w:r w:rsidRPr="004711FD">
        <w:t>enders</w:t>
      </w:r>
    </w:p>
    <w:p w14:paraId="62929FFC" w14:textId="3B8C310D" w:rsidR="004711FD" w:rsidRPr="00644C65" w:rsidRDefault="004711FD" w:rsidP="00644C65">
      <w:pPr>
        <w:pStyle w:val="Norma"/>
        <w:rPr>
          <w:rFonts w:eastAsia="Calibri"/>
        </w:rPr>
      </w:pPr>
      <w:r w:rsidRPr="00644C65">
        <w:t xml:space="preserve">Contractors are strongly advised to structure their tender submissions to cover each of the criteria above and supply a price </w:t>
      </w:r>
      <w:r w:rsidRPr="00644C65">
        <w:rPr>
          <w:rFonts w:eastAsia="Calibri"/>
        </w:rPr>
        <w:t xml:space="preserve">schedule specifying the daily rates (ex-VAT) you will charge for each level of your staff. </w:t>
      </w:r>
    </w:p>
    <w:p w14:paraId="2E106EA0" w14:textId="4E06B6A5" w:rsidR="004711FD" w:rsidRPr="004711FD" w:rsidRDefault="004711FD" w:rsidP="00644C65">
      <w:pPr>
        <w:pStyle w:val="Heading4"/>
      </w:pPr>
      <w:r w:rsidRPr="004711FD">
        <w:lastRenderedPageBreak/>
        <w:t xml:space="preserve">Evaluation for </w:t>
      </w:r>
      <w:r w:rsidR="00DF64DE">
        <w:t>i</w:t>
      </w:r>
      <w:r w:rsidRPr="004711FD">
        <w:t xml:space="preserve">nterviews, if held </w:t>
      </w:r>
    </w:p>
    <w:p w14:paraId="48F8E8D4" w14:textId="28EAFDB6" w:rsidR="004711FD" w:rsidRPr="00644C65" w:rsidRDefault="006C39E8" w:rsidP="00644C65">
      <w:pPr>
        <w:pStyle w:val="Norma"/>
      </w:pPr>
      <w:r>
        <w:t xml:space="preserve">The </w:t>
      </w:r>
      <w:r w:rsidR="004711FD" w:rsidRPr="00644C65">
        <w:t>CCC reserves the right to award the contract based on applicants’ written evaluation only if one candidate emerges from the evaluation stage as significantly stronger than the others</w:t>
      </w:r>
      <w:r w:rsidR="007A5261">
        <w:t xml:space="preserve">. </w:t>
      </w:r>
    </w:p>
    <w:p w14:paraId="1008FC10" w14:textId="77777777" w:rsidR="004711FD" w:rsidRPr="00644C65" w:rsidRDefault="004711FD" w:rsidP="00644C65">
      <w:pPr>
        <w:pStyle w:val="Norma"/>
      </w:pPr>
    </w:p>
    <w:p w14:paraId="43BAACA2" w14:textId="309D8B4F" w:rsidR="004711FD" w:rsidRPr="00644C65" w:rsidRDefault="334442AA" w:rsidP="00644C65">
      <w:pPr>
        <w:pStyle w:val="Norma"/>
      </w:pPr>
      <w:r>
        <w:t>Should interviews go ahead,</w:t>
      </w:r>
      <w:r w:rsidR="6E2DC407">
        <w:t xml:space="preserve"> the</w:t>
      </w:r>
      <w:r>
        <w:t xml:space="preserve"> CCC will shortlist the top three suppliers with the highest marks from the written proposals. Interviews are provisionally expected to be held</w:t>
      </w:r>
      <w:r w:rsidR="1273CB2B">
        <w:t xml:space="preserve"> in the week beginning the</w:t>
      </w:r>
      <w:r w:rsidR="6B5B4799">
        <w:t xml:space="preserve"> </w:t>
      </w:r>
      <w:proofErr w:type="gramStart"/>
      <w:r w:rsidR="6B5B4799">
        <w:t>9</w:t>
      </w:r>
      <w:r w:rsidR="6B5B4799" w:rsidRPr="22A25F38">
        <w:rPr>
          <w:vertAlign w:val="superscript"/>
        </w:rPr>
        <w:t>th</w:t>
      </w:r>
      <w:proofErr w:type="gramEnd"/>
      <w:r w:rsidR="1273CB2B">
        <w:t xml:space="preserve"> </w:t>
      </w:r>
      <w:r w:rsidR="6B5B4799">
        <w:t>January 2023</w:t>
      </w:r>
      <w:r>
        <w:t xml:space="preserve">. If this date changes, </w:t>
      </w:r>
      <w:r w:rsidR="6E2DC407">
        <w:t xml:space="preserve">the </w:t>
      </w:r>
      <w:r>
        <w:t xml:space="preserve">CCC will notify applicants. </w:t>
      </w:r>
    </w:p>
    <w:p w14:paraId="6B7D8CE1" w14:textId="77777777" w:rsidR="004711FD" w:rsidRPr="00644C65" w:rsidRDefault="004711FD" w:rsidP="00644C65">
      <w:pPr>
        <w:pStyle w:val="Norma"/>
      </w:pPr>
    </w:p>
    <w:p w14:paraId="4A927F43" w14:textId="7A84C5E9" w:rsidR="004711FD" w:rsidRPr="00644C65" w:rsidRDefault="004711FD" w:rsidP="00644C65">
      <w:pPr>
        <w:pStyle w:val="Norma"/>
      </w:pPr>
      <w:r w:rsidRPr="00644C65">
        <w:t>The areas to be covered in the interview, and markings allocated to each topic area</w:t>
      </w:r>
      <w:r w:rsidR="006C39E8">
        <w:t>,</w:t>
      </w:r>
      <w:r w:rsidRPr="00644C65">
        <w:t xml:space="preserve"> will be sent to the shortlisted supplier</w:t>
      </w:r>
      <w:r w:rsidR="006C39E8">
        <w:t>s</w:t>
      </w:r>
      <w:r w:rsidRPr="00644C65">
        <w:t xml:space="preserve"> prior to interview.</w:t>
      </w:r>
    </w:p>
    <w:p w14:paraId="7128F9FD" w14:textId="77777777" w:rsidR="004711FD" w:rsidRPr="00644C65" w:rsidRDefault="004711FD" w:rsidP="00644C65">
      <w:pPr>
        <w:pStyle w:val="Norma"/>
      </w:pPr>
    </w:p>
    <w:p w14:paraId="6A415962" w14:textId="2F09C056" w:rsidR="004711FD" w:rsidRPr="004711FD" w:rsidRDefault="004711FD" w:rsidP="004A3015">
      <w:pPr>
        <w:pStyle w:val="Norma"/>
      </w:pPr>
      <w:r w:rsidRPr="00644C65">
        <w:t xml:space="preserve">Further details of interviews will be sent to successful applicants on selection. </w:t>
      </w:r>
    </w:p>
    <w:p w14:paraId="1F6F7018" w14:textId="41D8A39E" w:rsidR="004711FD" w:rsidRPr="004711FD" w:rsidRDefault="004711FD" w:rsidP="004A3015">
      <w:pPr>
        <w:pStyle w:val="Heading4"/>
      </w:pPr>
      <w:r w:rsidRPr="004711FD">
        <w:t>Feedback</w:t>
      </w:r>
    </w:p>
    <w:p w14:paraId="608DAF4A" w14:textId="59E71A78" w:rsidR="004711FD" w:rsidRPr="004711FD" w:rsidRDefault="004711FD" w:rsidP="004A3015">
      <w:pPr>
        <w:pStyle w:val="Norma"/>
      </w:pPr>
      <w:r w:rsidRPr="004711FD">
        <w:t>Feedback will be given in the unsuccessful letters</w:t>
      </w:r>
      <w:r w:rsidRPr="004711FD" w:rsidDel="00AA6AF5">
        <w:t xml:space="preserve"> </w:t>
      </w:r>
      <w:r w:rsidRPr="004711FD">
        <w:t>or emails.</w:t>
      </w:r>
    </w:p>
    <w:sectPr w:rsidR="004711FD" w:rsidRPr="004711FD" w:rsidSect="002F41A0">
      <w:headerReference w:type="default" r:id="rId12"/>
      <w:headerReference w:type="first" r:id="rId13"/>
      <w:footerReference w:type="first" r:id="rId14"/>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A01B4" w14:textId="77777777" w:rsidR="0070645F" w:rsidRDefault="0070645F" w:rsidP="004E6806">
      <w:r>
        <w:separator/>
      </w:r>
    </w:p>
  </w:endnote>
  <w:endnote w:type="continuationSeparator" w:id="0">
    <w:p w14:paraId="7082D4A6" w14:textId="77777777" w:rsidR="0070645F" w:rsidRDefault="0070645F" w:rsidP="004E6806">
      <w:r>
        <w:continuationSeparator/>
      </w:r>
    </w:p>
  </w:endnote>
  <w:endnote w:type="continuationNotice" w:id="1">
    <w:p w14:paraId="2F9E8991" w14:textId="77777777" w:rsidR="0070645F" w:rsidRDefault="00706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A356BD" w:rsidRDefault="00A356BD"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EE25D" w14:textId="77777777" w:rsidR="0070645F" w:rsidRDefault="0070645F" w:rsidP="004E6806">
      <w:r>
        <w:separator/>
      </w:r>
    </w:p>
  </w:footnote>
  <w:footnote w:type="continuationSeparator" w:id="0">
    <w:p w14:paraId="5E6144DD" w14:textId="77777777" w:rsidR="0070645F" w:rsidRDefault="0070645F" w:rsidP="004E6806">
      <w:r>
        <w:continuationSeparator/>
      </w:r>
    </w:p>
  </w:footnote>
  <w:footnote w:type="continuationNotice" w:id="1">
    <w:p w14:paraId="7737AA7A" w14:textId="77777777" w:rsidR="0070645F" w:rsidRDefault="0070645F"/>
  </w:footnote>
  <w:footnote w:id="2">
    <w:p w14:paraId="2B0CF82C" w14:textId="4BC8055A" w:rsidR="00A119A2" w:rsidRDefault="00A119A2">
      <w:pPr>
        <w:pStyle w:val="FootnoteText"/>
      </w:pPr>
      <w:r>
        <w:rPr>
          <w:rStyle w:val="FootnoteReference"/>
        </w:rPr>
        <w:footnoteRef/>
      </w:r>
      <w:r>
        <w:t xml:space="preserve"> RAC Foundation (2022), </w:t>
      </w:r>
      <w:hyperlink r:id="rId1" w:history="1">
        <w:r w:rsidRPr="003A3E91">
          <w:rPr>
            <w:rStyle w:val="Hyperlink"/>
          </w:rPr>
          <w:t>https://www.racfoundation.org/data/cost-of-transport-index</w:t>
        </w:r>
      </w:hyperlink>
      <w:r>
        <w:t xml:space="preserve"> </w:t>
      </w:r>
    </w:p>
  </w:footnote>
  <w:footnote w:id="3">
    <w:p w14:paraId="7C48754A" w14:textId="3EC2552E" w:rsidR="00A119A2" w:rsidRDefault="00A119A2">
      <w:pPr>
        <w:pStyle w:val="FootnoteText"/>
      </w:pPr>
      <w:r>
        <w:rPr>
          <w:rStyle w:val="FootnoteReference"/>
        </w:rPr>
        <w:footnoteRef/>
      </w:r>
      <w:r>
        <w:t xml:space="preserve"> Begg and Haigh (2018), </w:t>
      </w:r>
      <w:hyperlink r:id="rId2" w:history="1">
        <w:r w:rsidRPr="003A3E91">
          <w:rPr>
            <w:rStyle w:val="Hyperlink"/>
          </w:rPr>
          <w:t>https://greenertransportsolutions.com/wp-content/uploads/2018/06/THE-UNINTENDED-CONSEQUENCES-OF-FREEZING-FUEL-DUTY-JUNE-2018-2.pdf</w:t>
        </w:r>
      </w:hyperlink>
      <w:r>
        <w:t xml:space="preserve"> </w:t>
      </w:r>
    </w:p>
  </w:footnote>
  <w:footnote w:id="4">
    <w:p w14:paraId="579B3CBB" w14:textId="77777777" w:rsidR="00F27ABA" w:rsidRDefault="00F27ABA" w:rsidP="00F27ABA">
      <w:pPr>
        <w:pStyle w:val="FootnoteText"/>
      </w:pPr>
      <w:r>
        <w:rPr>
          <w:rStyle w:val="FootnoteReference"/>
        </w:rPr>
        <w:footnoteRef/>
      </w:r>
      <w:r>
        <w:t xml:space="preserve"> Local Government Association (2022), </w:t>
      </w:r>
      <w:r w:rsidRPr="00F27ABA">
        <w:t>https://www.local.gov.uk/decarbonising-transport</w:t>
      </w:r>
    </w:p>
  </w:footnote>
  <w:footnote w:id="5">
    <w:p w14:paraId="7975AE3E" w14:textId="5AE24C31" w:rsidR="00F27ABA" w:rsidRDefault="00F27ABA" w:rsidP="00F27ABA">
      <w:pPr>
        <w:pStyle w:val="FootnoteText"/>
      </w:pPr>
      <w:r>
        <w:rPr>
          <w:rStyle w:val="FootnoteReference"/>
        </w:rPr>
        <w:footnoteRef/>
      </w:r>
      <w:r>
        <w:t xml:space="preserve"> Department for Transport (2022), </w:t>
      </w:r>
      <w:r w:rsidRPr="00F27ABA">
        <w:t>https://www.gov.uk/government/publications/active-travel-local-authority-toolkit/active-travel-local-authority-toolkit</w:t>
      </w:r>
    </w:p>
  </w:footnote>
  <w:footnote w:id="6">
    <w:p w14:paraId="206C4362" w14:textId="0536E2C2" w:rsidR="007245A9" w:rsidRDefault="007245A9">
      <w:pPr>
        <w:pStyle w:val="FootnoteText"/>
      </w:pPr>
      <w:r>
        <w:rPr>
          <w:rStyle w:val="FootnoteReference"/>
        </w:rPr>
        <w:footnoteRef/>
      </w:r>
      <w:r>
        <w:t xml:space="preserve"> Philips et al. (2022), </w:t>
      </w:r>
      <w:r w:rsidR="00800864">
        <w:t>/</w:t>
      </w:r>
      <w:hyperlink r:id="rId3" w:history="1">
        <w:r w:rsidR="00800864" w:rsidRPr="00800864">
          <w:rPr>
            <w:rStyle w:val="Hyperlink"/>
          </w:rPr>
          <w:t>https://reader.elsevier.com/reader/sd/pii/S0967070X21003401?token=6339D4F7BDC3114D17F6E8E02F5F648DCCC377589218A6604AA657700E2694C60D71AA274C43CDD29FF8D0A42D9BEACD&amp;originRegion=eu-west-1&amp;originCreation=20221114191830</w:t>
        </w:r>
      </w:hyperlink>
      <w:r>
        <w:t xml:space="preserve"> </w:t>
      </w:r>
    </w:p>
  </w:footnote>
  <w:footnote w:id="7">
    <w:p w14:paraId="01708FD3" w14:textId="3425BD94" w:rsidR="007245A9" w:rsidRDefault="007245A9">
      <w:pPr>
        <w:pStyle w:val="FootnoteText"/>
      </w:pPr>
      <w:r>
        <w:rPr>
          <w:rStyle w:val="FootnoteReference"/>
        </w:rPr>
        <w:footnoteRef/>
      </w:r>
      <w:r>
        <w:t xml:space="preserve"> Brand, C., (2021), </w:t>
      </w:r>
      <w:hyperlink r:id="rId4" w:history="1">
        <w:r w:rsidRPr="003A3E91">
          <w:rPr>
            <w:rStyle w:val="Hyperlink"/>
          </w:rPr>
          <w:t>https://activetravelstudies.org/article/1036/galley/4906/view/</w:t>
        </w:r>
      </w:hyperlink>
      <w:r>
        <w:t xml:space="preserve"> </w:t>
      </w:r>
    </w:p>
  </w:footnote>
  <w:footnote w:id="8">
    <w:p w14:paraId="60494419" w14:textId="29DEEDAA" w:rsidR="00241E30" w:rsidRDefault="00241E30">
      <w:pPr>
        <w:pStyle w:val="FootnoteText"/>
      </w:pPr>
      <w:r>
        <w:rPr>
          <w:rStyle w:val="FootnoteReference"/>
        </w:rPr>
        <w:footnoteRef/>
      </w:r>
      <w:r>
        <w:t xml:space="preserve"> Marsden et al. (2019) Shared mobility, where now, where next?</w:t>
      </w:r>
      <w:r w:rsidR="000C56E8">
        <w:t xml:space="preserve">, </w:t>
      </w:r>
      <w:hyperlink r:id="rId5" w:history="1">
        <w:r w:rsidR="000C56E8" w:rsidRPr="00812BB1">
          <w:rPr>
            <w:rStyle w:val="Hyperlink"/>
          </w:rPr>
          <w:t>https://www.creds.ac.uk/wp-content/uploads/CREDS-Shared-mobility-comm-report-WEB.pdf</w:t>
        </w:r>
      </w:hyperlink>
      <w:r w:rsidR="000C56E8">
        <w:t xml:space="preserve"> </w:t>
      </w:r>
    </w:p>
  </w:footnote>
  <w:footnote w:id="9">
    <w:p w14:paraId="5A35DC2F" w14:textId="3332DE24" w:rsidR="00241E30" w:rsidRDefault="00241E30">
      <w:pPr>
        <w:pStyle w:val="FootnoteText"/>
      </w:pPr>
      <w:r>
        <w:rPr>
          <w:rStyle w:val="FootnoteReference"/>
        </w:rPr>
        <w:footnoteRef/>
      </w:r>
      <w:r>
        <w:t xml:space="preserve"> ARUP (2016), </w:t>
      </w:r>
      <w:hyperlink r:id="rId6" w:history="1">
        <w:r w:rsidRPr="003A3E91">
          <w:rPr>
            <w:rStyle w:val="Hyperlink"/>
          </w:rPr>
          <w:t>https://www.arup.com/perspectives/publications/research/section/future-potential-for-modal-shift-in-the-uk-rail-freight-market</w:t>
        </w:r>
      </w:hyperlink>
      <w:r>
        <w:t xml:space="preserve"> </w:t>
      </w:r>
    </w:p>
  </w:footnote>
  <w:footnote w:id="10">
    <w:p w14:paraId="4D0FC6BA" w14:textId="3A13CCCE" w:rsidR="00561803" w:rsidRDefault="00561803">
      <w:pPr>
        <w:pStyle w:val="FootnoteText"/>
      </w:pPr>
      <w:r>
        <w:rPr>
          <w:rStyle w:val="FootnoteReference"/>
        </w:rPr>
        <w:footnoteRef/>
      </w:r>
      <w:r>
        <w:t xml:space="preserve"> CoMoUK (2021), </w:t>
      </w:r>
      <w:hyperlink r:id="rId7" w:history="1">
        <w:r w:rsidRPr="004F3E59">
          <w:rPr>
            <w:rStyle w:val="Hyperlink"/>
          </w:rPr>
          <w:t>https://uploads-ssl.webflow.com/6102564995f71c83fba14d54/623082b095a4567ce1720e27_CoMoUK%20Bike%20Share%20Survey%202021.pdf</w:t>
        </w:r>
      </w:hyperlink>
      <w:r>
        <w:t xml:space="preserve"> </w:t>
      </w:r>
    </w:p>
  </w:footnote>
  <w:footnote w:id="11">
    <w:p w14:paraId="47130E7E" w14:textId="2EFF3802" w:rsidR="00631929" w:rsidRDefault="00631929">
      <w:pPr>
        <w:pStyle w:val="FootnoteText"/>
      </w:pPr>
      <w:r>
        <w:rPr>
          <w:rStyle w:val="FootnoteReference"/>
        </w:rPr>
        <w:footnoteRef/>
      </w:r>
      <w:r>
        <w:t xml:space="preserve"> Cairns et al</w:t>
      </w:r>
      <w:r w:rsidR="00E72551">
        <w:t xml:space="preserve">. (2002), </w:t>
      </w:r>
      <w:hyperlink r:id="rId8" w:history="1">
        <w:r w:rsidR="00E72551" w:rsidRPr="003A3E91">
          <w:rPr>
            <w:rStyle w:val="Hyperlink"/>
          </w:rPr>
          <w:t>https://www.icevirtuallibrary.com/doi/epdf/10.1680/muen.2002.151.1.13</w:t>
        </w:r>
      </w:hyperlink>
      <w:r w:rsidR="00E72551">
        <w:t xml:space="preserve"> </w:t>
      </w:r>
    </w:p>
  </w:footnote>
  <w:footnote w:id="12">
    <w:p w14:paraId="7746CA60" w14:textId="6DAF365C" w:rsidR="0041237F" w:rsidRDefault="0041237F">
      <w:pPr>
        <w:pStyle w:val="FootnoteText"/>
      </w:pPr>
      <w:r>
        <w:rPr>
          <w:rStyle w:val="FootnoteReference"/>
        </w:rPr>
        <w:footnoteRef/>
      </w:r>
      <w:r>
        <w:t xml:space="preserve"> Kuss and Nicholas (2022), </w:t>
      </w:r>
      <w:r w:rsidRPr="0041237F">
        <w:t>https://www.sciencedirect.com/science/article/pii/S2213624X22000281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A356BD" w:rsidRPr="00DA2FBB" w:rsidRDefault="00A356BD" w:rsidP="002F41A0">
    <w:pPr>
      <w:pStyle w:val="BodyText"/>
      <w:rPr>
        <w:color w:val="FFFFFF" w:themeColor="background1"/>
      </w:rPr>
    </w:pPr>
    <w:r w:rsidRPr="00DA2FBB">
      <w:rPr>
        <w:noProof/>
        <w:color w:val="FFFFFF" w:themeColor="background1"/>
      </w:rPr>
      <w:drawing>
        <wp:anchor distT="0" distB="0" distL="114300" distR="114300" simplePos="0" relativeHeight="251658241"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A356BD" w:rsidRPr="00DA2FBB" w:rsidRDefault="00A356BD" w:rsidP="00DA2FBB">
    <w:pPr>
      <w:pStyle w:val="Page1Logo"/>
      <w:rPr>
        <w:color w:val="FFFFFF" w:themeColor="background1"/>
      </w:rPr>
    </w:pPr>
    <w:r>
      <w:drawing>
        <wp:anchor distT="0" distB="0" distL="114300" distR="114300" simplePos="0" relativeHeight="251658240"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AC5E5F"/>
    <w:multiLevelType w:val="multilevel"/>
    <w:tmpl w:val="35766D4A"/>
    <w:numStyleLink w:val="CCCBullets"/>
  </w:abstractNum>
  <w:abstractNum w:abstractNumId="2" w15:restartNumberingAfterBreak="0">
    <w:nsid w:val="0D0A78E8"/>
    <w:multiLevelType w:val="multilevel"/>
    <w:tmpl w:val="35766D4A"/>
    <w:styleLink w:val="CCCBullets"/>
    <w:lvl w:ilvl="0">
      <w:start w:val="1"/>
      <w:numFmt w:val="bullet"/>
      <w:pStyle w:val="Bullet"/>
      <w:lvlText w:val="•"/>
      <w:lvlJc w:val="left"/>
      <w:pPr>
        <w:ind w:left="714" w:hanging="357"/>
      </w:pPr>
      <w:rPr>
        <w:rFonts w:ascii="Century Gothic" w:hAnsi="Century Gothic" w:hint="default"/>
        <w:sz w:val="20"/>
      </w:rPr>
    </w:lvl>
    <w:lvl w:ilvl="1">
      <w:start w:val="1"/>
      <w:numFmt w:val="bullet"/>
      <w:lvlText w:val="•"/>
      <w:lvlJc w:val="left"/>
      <w:pPr>
        <w:tabs>
          <w:tab w:val="num" w:pos="992"/>
        </w:tabs>
        <w:ind w:left="1191" w:hanging="199"/>
      </w:pPr>
      <w:rPr>
        <w:rFonts w:ascii="Arial Nova Light" w:hAnsi="Arial Nova Light" w:hint="default"/>
        <w:sz w:val="20"/>
      </w:rPr>
    </w:lvl>
    <w:lvl w:ilvl="2">
      <w:start w:val="1"/>
      <w:numFmt w:val="bullet"/>
      <w:lvlText w:val="–"/>
      <w:lvlJc w:val="left"/>
      <w:pPr>
        <w:tabs>
          <w:tab w:val="num" w:pos="992"/>
        </w:tabs>
        <w:ind w:left="1191" w:hanging="199"/>
      </w:pPr>
      <w:rPr>
        <w:rFonts w:ascii="Century Gothic" w:hAnsi="Century Gothic" w:hint="default"/>
        <w:sz w:val="20"/>
      </w:rPr>
    </w:lvl>
    <w:lvl w:ilvl="3">
      <w:start w:val="1"/>
      <w:numFmt w:val="bullet"/>
      <w:lvlText w:val="•"/>
      <w:lvlJc w:val="left"/>
      <w:pPr>
        <w:ind w:left="1542" w:hanging="198"/>
      </w:pPr>
      <w:rPr>
        <w:rFonts w:ascii="Arial Nova Light" w:hAnsi="Arial Nova Light" w:hint="default"/>
        <w:sz w:val="20"/>
      </w:rPr>
    </w:lvl>
    <w:lvl w:ilvl="4">
      <w:start w:val="1"/>
      <w:numFmt w:val="bullet"/>
      <w:lvlText w:val="–"/>
      <w:lvlJc w:val="left"/>
      <w:pPr>
        <w:ind w:left="1542" w:hanging="198"/>
      </w:pPr>
      <w:rPr>
        <w:rFonts w:ascii="Century Gothic" w:hAnsi="Century Gothic" w:hint="default"/>
        <w:sz w:val="20"/>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1" w:hanging="361"/>
      </w:pPr>
      <w:rPr>
        <w:rFonts w:hint="default"/>
      </w:rPr>
    </w:lvl>
    <w:lvl w:ilvl="8">
      <w:start w:val="1"/>
      <w:numFmt w:val="none"/>
      <w:lvlText w:val=""/>
      <w:lvlJc w:val="left"/>
      <w:pPr>
        <w:ind w:left="6480" w:hanging="360"/>
      </w:pPr>
      <w:rPr>
        <w:rFonts w:hint="default"/>
      </w:rPr>
    </w:lvl>
  </w:abstractNum>
  <w:abstractNum w:abstractNumId="3" w15:restartNumberingAfterBreak="0">
    <w:nsid w:val="116E5D8D"/>
    <w:multiLevelType w:val="multilevel"/>
    <w:tmpl w:val="5C0E1AE0"/>
    <w:lvl w:ilvl="0">
      <w:start w:val="1"/>
      <w:numFmt w:val="bullet"/>
      <w:lvlText w:val=""/>
      <w:lvlJc w:val="left"/>
      <w:pPr>
        <w:ind w:left="720" w:hanging="360"/>
      </w:pPr>
      <w:rPr>
        <w:rFonts w:ascii="Symbol" w:hAnsi="Symbol" w:hint="default"/>
      </w:rPr>
    </w:lvl>
    <w:lvl w:ilvl="1">
      <w:start w:val="1"/>
      <w:numFmt w:val="bullet"/>
      <w:pStyle w:val="DashLevel2"/>
      <w:lvlText w:val="–"/>
      <w:lvlJc w:val="left"/>
      <w:pPr>
        <w:ind w:left="1843" w:hanging="199"/>
      </w:pPr>
      <w:rPr>
        <w:rFonts w:ascii="Arial Nova Light" w:hAnsi="Arial Nova Light" w:hint="default"/>
        <w:color w:val="280049" w:themeColor="text1"/>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7B581C"/>
    <w:multiLevelType w:val="hybridMultilevel"/>
    <w:tmpl w:val="28A00EBE"/>
    <w:lvl w:ilvl="0" w:tplc="03CE716A">
      <w:start w:val="7"/>
      <w:numFmt w:val="bullet"/>
      <w:pStyle w:val="BulletLevel3"/>
      <w:lvlText w:val="-"/>
      <w:lvlJc w:val="left"/>
      <w:pPr>
        <w:ind w:left="1704" w:hanging="360"/>
      </w:pPr>
      <w:rPr>
        <w:rFonts w:ascii="Century Gothic" w:eastAsiaTheme="minorHAnsi" w:hAnsi="Century Gothic" w:cstheme="minorBidi" w:hint="default"/>
      </w:rPr>
    </w:lvl>
    <w:lvl w:ilvl="1" w:tplc="08090003">
      <w:start w:val="1"/>
      <w:numFmt w:val="bullet"/>
      <w:lvlText w:val="o"/>
      <w:lvlJc w:val="left"/>
      <w:pPr>
        <w:ind w:left="2424" w:hanging="360"/>
      </w:pPr>
      <w:rPr>
        <w:rFonts w:ascii="Courier New" w:hAnsi="Courier New" w:cs="Courier New" w:hint="default"/>
      </w:rPr>
    </w:lvl>
    <w:lvl w:ilvl="2" w:tplc="08090005" w:tentative="1">
      <w:start w:val="1"/>
      <w:numFmt w:val="bullet"/>
      <w:lvlText w:val=""/>
      <w:lvlJc w:val="left"/>
      <w:pPr>
        <w:ind w:left="3144" w:hanging="360"/>
      </w:pPr>
      <w:rPr>
        <w:rFonts w:ascii="Wingdings" w:hAnsi="Wingdings" w:hint="default"/>
      </w:rPr>
    </w:lvl>
    <w:lvl w:ilvl="3" w:tplc="08090001" w:tentative="1">
      <w:start w:val="1"/>
      <w:numFmt w:val="bullet"/>
      <w:lvlText w:val=""/>
      <w:lvlJc w:val="left"/>
      <w:pPr>
        <w:ind w:left="3864" w:hanging="360"/>
      </w:pPr>
      <w:rPr>
        <w:rFonts w:ascii="Symbol" w:hAnsi="Symbol" w:hint="default"/>
      </w:rPr>
    </w:lvl>
    <w:lvl w:ilvl="4" w:tplc="08090003" w:tentative="1">
      <w:start w:val="1"/>
      <w:numFmt w:val="bullet"/>
      <w:lvlText w:val="o"/>
      <w:lvlJc w:val="left"/>
      <w:pPr>
        <w:ind w:left="4584" w:hanging="360"/>
      </w:pPr>
      <w:rPr>
        <w:rFonts w:ascii="Courier New" w:hAnsi="Courier New" w:cs="Courier New" w:hint="default"/>
      </w:rPr>
    </w:lvl>
    <w:lvl w:ilvl="5" w:tplc="08090005" w:tentative="1">
      <w:start w:val="1"/>
      <w:numFmt w:val="bullet"/>
      <w:lvlText w:val=""/>
      <w:lvlJc w:val="left"/>
      <w:pPr>
        <w:ind w:left="5304" w:hanging="360"/>
      </w:pPr>
      <w:rPr>
        <w:rFonts w:ascii="Wingdings" w:hAnsi="Wingdings" w:hint="default"/>
      </w:rPr>
    </w:lvl>
    <w:lvl w:ilvl="6" w:tplc="08090001" w:tentative="1">
      <w:start w:val="1"/>
      <w:numFmt w:val="bullet"/>
      <w:lvlText w:val=""/>
      <w:lvlJc w:val="left"/>
      <w:pPr>
        <w:ind w:left="6024" w:hanging="360"/>
      </w:pPr>
      <w:rPr>
        <w:rFonts w:ascii="Symbol" w:hAnsi="Symbol" w:hint="default"/>
      </w:rPr>
    </w:lvl>
    <w:lvl w:ilvl="7" w:tplc="08090003" w:tentative="1">
      <w:start w:val="1"/>
      <w:numFmt w:val="bullet"/>
      <w:lvlText w:val="o"/>
      <w:lvlJc w:val="left"/>
      <w:pPr>
        <w:ind w:left="6744" w:hanging="360"/>
      </w:pPr>
      <w:rPr>
        <w:rFonts w:ascii="Courier New" w:hAnsi="Courier New" w:cs="Courier New" w:hint="default"/>
      </w:rPr>
    </w:lvl>
    <w:lvl w:ilvl="8" w:tplc="08090005" w:tentative="1">
      <w:start w:val="1"/>
      <w:numFmt w:val="bullet"/>
      <w:lvlText w:val=""/>
      <w:lvlJc w:val="left"/>
      <w:pPr>
        <w:ind w:left="7464" w:hanging="360"/>
      </w:pPr>
      <w:rPr>
        <w:rFonts w:ascii="Wingdings" w:hAnsi="Wingdings" w:hint="default"/>
      </w:rPr>
    </w:lvl>
  </w:abstractNum>
  <w:abstractNum w:abstractNumId="5"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4E6E23F1"/>
    <w:multiLevelType w:val="hybridMultilevel"/>
    <w:tmpl w:val="97C045DA"/>
    <w:lvl w:ilvl="0" w:tplc="4F9206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17BE08"/>
    <w:multiLevelType w:val="hybridMultilevel"/>
    <w:tmpl w:val="1E1C76C4"/>
    <w:lvl w:ilvl="0" w:tplc="AC74542C">
      <w:start w:val="1"/>
      <w:numFmt w:val="decimal"/>
      <w:lvlText w:val="%1)"/>
      <w:lvlJc w:val="left"/>
      <w:pPr>
        <w:ind w:left="1080" w:hanging="360"/>
      </w:pPr>
    </w:lvl>
    <w:lvl w:ilvl="1" w:tplc="A0404654">
      <w:start w:val="1"/>
      <w:numFmt w:val="lowerLetter"/>
      <w:lvlText w:val="%2."/>
      <w:lvlJc w:val="left"/>
      <w:pPr>
        <w:ind w:left="1800" w:hanging="360"/>
      </w:pPr>
    </w:lvl>
    <w:lvl w:ilvl="2" w:tplc="4FF4AB64">
      <w:start w:val="1"/>
      <w:numFmt w:val="lowerRoman"/>
      <w:lvlText w:val="%3."/>
      <w:lvlJc w:val="right"/>
      <w:pPr>
        <w:ind w:left="2520" w:hanging="180"/>
      </w:pPr>
    </w:lvl>
    <w:lvl w:ilvl="3" w:tplc="8F02CE3A">
      <w:start w:val="1"/>
      <w:numFmt w:val="decimal"/>
      <w:lvlText w:val="%4."/>
      <w:lvlJc w:val="left"/>
      <w:pPr>
        <w:ind w:left="3240" w:hanging="360"/>
      </w:pPr>
    </w:lvl>
    <w:lvl w:ilvl="4" w:tplc="0FF6ABF0">
      <w:start w:val="1"/>
      <w:numFmt w:val="lowerLetter"/>
      <w:lvlText w:val="%5."/>
      <w:lvlJc w:val="left"/>
      <w:pPr>
        <w:ind w:left="3960" w:hanging="360"/>
      </w:pPr>
    </w:lvl>
    <w:lvl w:ilvl="5" w:tplc="9124AD16">
      <w:start w:val="1"/>
      <w:numFmt w:val="lowerRoman"/>
      <w:lvlText w:val="%6."/>
      <w:lvlJc w:val="right"/>
      <w:pPr>
        <w:ind w:left="4680" w:hanging="180"/>
      </w:pPr>
    </w:lvl>
    <w:lvl w:ilvl="6" w:tplc="C632F86A">
      <w:start w:val="1"/>
      <w:numFmt w:val="decimal"/>
      <w:lvlText w:val="%7."/>
      <w:lvlJc w:val="left"/>
      <w:pPr>
        <w:ind w:left="5400" w:hanging="360"/>
      </w:pPr>
    </w:lvl>
    <w:lvl w:ilvl="7" w:tplc="7DB62E54">
      <w:start w:val="1"/>
      <w:numFmt w:val="lowerLetter"/>
      <w:lvlText w:val="%8."/>
      <w:lvlJc w:val="left"/>
      <w:pPr>
        <w:ind w:left="6120" w:hanging="360"/>
      </w:pPr>
    </w:lvl>
    <w:lvl w:ilvl="8" w:tplc="C568CFA8">
      <w:start w:val="1"/>
      <w:numFmt w:val="lowerRoman"/>
      <w:lvlText w:val="%9."/>
      <w:lvlJc w:val="right"/>
      <w:pPr>
        <w:ind w:left="6840" w:hanging="180"/>
      </w:pPr>
    </w:lvl>
  </w:abstractNum>
  <w:abstractNum w:abstractNumId="8" w15:restartNumberingAfterBreak="0">
    <w:nsid w:val="60E06F21"/>
    <w:multiLevelType w:val="hybridMultilevel"/>
    <w:tmpl w:val="FFFFFFFF"/>
    <w:lvl w:ilvl="0" w:tplc="FBD26650">
      <w:start w:val="1"/>
      <w:numFmt w:val="bullet"/>
      <w:lvlText w:val=""/>
      <w:lvlJc w:val="left"/>
      <w:pPr>
        <w:ind w:left="720" w:hanging="360"/>
      </w:pPr>
      <w:rPr>
        <w:rFonts w:ascii="Symbol" w:hAnsi="Symbol" w:hint="default"/>
      </w:rPr>
    </w:lvl>
    <w:lvl w:ilvl="1" w:tplc="8E524C44">
      <w:start w:val="1"/>
      <w:numFmt w:val="bullet"/>
      <w:lvlText w:val="o"/>
      <w:lvlJc w:val="left"/>
      <w:pPr>
        <w:ind w:left="1440" w:hanging="360"/>
      </w:pPr>
      <w:rPr>
        <w:rFonts w:ascii="Courier New" w:hAnsi="Courier New" w:hint="default"/>
      </w:rPr>
    </w:lvl>
    <w:lvl w:ilvl="2" w:tplc="4C70F350">
      <w:start w:val="1"/>
      <w:numFmt w:val="bullet"/>
      <w:lvlText w:val=""/>
      <w:lvlJc w:val="left"/>
      <w:pPr>
        <w:ind w:left="2160" w:hanging="360"/>
      </w:pPr>
      <w:rPr>
        <w:rFonts w:ascii="Wingdings" w:hAnsi="Wingdings" w:hint="default"/>
      </w:rPr>
    </w:lvl>
    <w:lvl w:ilvl="3" w:tplc="E2EAF136">
      <w:start w:val="1"/>
      <w:numFmt w:val="bullet"/>
      <w:lvlText w:val=""/>
      <w:lvlJc w:val="left"/>
      <w:pPr>
        <w:ind w:left="2880" w:hanging="360"/>
      </w:pPr>
      <w:rPr>
        <w:rFonts w:ascii="Symbol" w:hAnsi="Symbol" w:hint="default"/>
      </w:rPr>
    </w:lvl>
    <w:lvl w:ilvl="4" w:tplc="38CA213A">
      <w:start w:val="1"/>
      <w:numFmt w:val="bullet"/>
      <w:lvlText w:val="o"/>
      <w:lvlJc w:val="left"/>
      <w:pPr>
        <w:ind w:left="3600" w:hanging="360"/>
      </w:pPr>
      <w:rPr>
        <w:rFonts w:ascii="Courier New" w:hAnsi="Courier New" w:hint="default"/>
      </w:rPr>
    </w:lvl>
    <w:lvl w:ilvl="5" w:tplc="F0080986">
      <w:start w:val="1"/>
      <w:numFmt w:val="bullet"/>
      <w:lvlText w:val=""/>
      <w:lvlJc w:val="left"/>
      <w:pPr>
        <w:ind w:left="4320" w:hanging="360"/>
      </w:pPr>
      <w:rPr>
        <w:rFonts w:ascii="Wingdings" w:hAnsi="Wingdings" w:hint="default"/>
      </w:rPr>
    </w:lvl>
    <w:lvl w:ilvl="6" w:tplc="9AF891A0">
      <w:start w:val="1"/>
      <w:numFmt w:val="bullet"/>
      <w:lvlText w:val=""/>
      <w:lvlJc w:val="left"/>
      <w:pPr>
        <w:ind w:left="5040" w:hanging="360"/>
      </w:pPr>
      <w:rPr>
        <w:rFonts w:ascii="Symbol" w:hAnsi="Symbol" w:hint="default"/>
      </w:rPr>
    </w:lvl>
    <w:lvl w:ilvl="7" w:tplc="41C69B6A">
      <w:start w:val="1"/>
      <w:numFmt w:val="bullet"/>
      <w:lvlText w:val="o"/>
      <w:lvlJc w:val="left"/>
      <w:pPr>
        <w:ind w:left="5760" w:hanging="360"/>
      </w:pPr>
      <w:rPr>
        <w:rFonts w:ascii="Courier New" w:hAnsi="Courier New" w:hint="default"/>
      </w:rPr>
    </w:lvl>
    <w:lvl w:ilvl="8" w:tplc="ADC4EA78">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2"/>
  </w:num>
  <w:num w:numId="6">
    <w:abstractNumId w:val="1"/>
  </w:num>
  <w:num w:numId="7">
    <w:abstractNumId w:val="3"/>
  </w:num>
  <w:num w:numId="8">
    <w:abstractNumId w:val="8"/>
  </w:num>
  <w:num w:numId="9">
    <w:abstractNumId w:val="1"/>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40453"/>
    <w:rsid w:val="00041CE6"/>
    <w:rsid w:val="00053F17"/>
    <w:rsid w:val="000576CE"/>
    <w:rsid w:val="000A0490"/>
    <w:rsid w:val="000C56E8"/>
    <w:rsid w:val="0010797E"/>
    <w:rsid w:val="00113FF8"/>
    <w:rsid w:val="00146A07"/>
    <w:rsid w:val="00157906"/>
    <w:rsid w:val="00172CCD"/>
    <w:rsid w:val="00191471"/>
    <w:rsid w:val="00197DBD"/>
    <w:rsid w:val="001B5DAD"/>
    <w:rsid w:val="001C03F8"/>
    <w:rsid w:val="001E293D"/>
    <w:rsid w:val="00210DC9"/>
    <w:rsid w:val="00241E30"/>
    <w:rsid w:val="00243C4A"/>
    <w:rsid w:val="002B4064"/>
    <w:rsid w:val="002F41A0"/>
    <w:rsid w:val="00323B69"/>
    <w:rsid w:val="00340375"/>
    <w:rsid w:val="00342870"/>
    <w:rsid w:val="0038388A"/>
    <w:rsid w:val="00385FE3"/>
    <w:rsid w:val="003A05B7"/>
    <w:rsid w:val="003A391E"/>
    <w:rsid w:val="003A6D5E"/>
    <w:rsid w:val="003A7720"/>
    <w:rsid w:val="003C0907"/>
    <w:rsid w:val="003E64FA"/>
    <w:rsid w:val="003F38EA"/>
    <w:rsid w:val="00403A0E"/>
    <w:rsid w:val="0041237F"/>
    <w:rsid w:val="00433DD9"/>
    <w:rsid w:val="004577AB"/>
    <w:rsid w:val="004711FD"/>
    <w:rsid w:val="00481145"/>
    <w:rsid w:val="004A3015"/>
    <w:rsid w:val="004C7CD3"/>
    <w:rsid w:val="004D5310"/>
    <w:rsid w:val="004D59C8"/>
    <w:rsid w:val="004E6806"/>
    <w:rsid w:val="00520FAC"/>
    <w:rsid w:val="00521506"/>
    <w:rsid w:val="00552BE8"/>
    <w:rsid w:val="00554E79"/>
    <w:rsid w:val="00561803"/>
    <w:rsid w:val="005904D3"/>
    <w:rsid w:val="005B031B"/>
    <w:rsid w:val="005C1958"/>
    <w:rsid w:val="005C519D"/>
    <w:rsid w:val="005D1FFD"/>
    <w:rsid w:val="00600AD5"/>
    <w:rsid w:val="00631929"/>
    <w:rsid w:val="00644C65"/>
    <w:rsid w:val="00651C77"/>
    <w:rsid w:val="00691B7B"/>
    <w:rsid w:val="006A1EA9"/>
    <w:rsid w:val="006A24DA"/>
    <w:rsid w:val="006C39E8"/>
    <w:rsid w:val="006D763E"/>
    <w:rsid w:val="006F0AEC"/>
    <w:rsid w:val="006F4AB3"/>
    <w:rsid w:val="0070645F"/>
    <w:rsid w:val="007245A9"/>
    <w:rsid w:val="00771171"/>
    <w:rsid w:val="00783344"/>
    <w:rsid w:val="007A1A80"/>
    <w:rsid w:val="007A5261"/>
    <w:rsid w:val="007A6F04"/>
    <w:rsid w:val="007C6DA6"/>
    <w:rsid w:val="007D76BE"/>
    <w:rsid w:val="007F0C85"/>
    <w:rsid w:val="00800864"/>
    <w:rsid w:val="008059A3"/>
    <w:rsid w:val="00817334"/>
    <w:rsid w:val="00822490"/>
    <w:rsid w:val="00823518"/>
    <w:rsid w:val="0083151A"/>
    <w:rsid w:val="00841B40"/>
    <w:rsid w:val="00850A77"/>
    <w:rsid w:val="008960A9"/>
    <w:rsid w:val="00896149"/>
    <w:rsid w:val="008A2514"/>
    <w:rsid w:val="008F7EFD"/>
    <w:rsid w:val="00974DA2"/>
    <w:rsid w:val="00975520"/>
    <w:rsid w:val="00987C55"/>
    <w:rsid w:val="00990FDD"/>
    <w:rsid w:val="00994C96"/>
    <w:rsid w:val="0099611F"/>
    <w:rsid w:val="00A0077C"/>
    <w:rsid w:val="00A04D23"/>
    <w:rsid w:val="00A0652B"/>
    <w:rsid w:val="00A0716F"/>
    <w:rsid w:val="00A119A2"/>
    <w:rsid w:val="00A356BD"/>
    <w:rsid w:val="00A55235"/>
    <w:rsid w:val="00A67B13"/>
    <w:rsid w:val="00A91470"/>
    <w:rsid w:val="00A965F4"/>
    <w:rsid w:val="00A9730B"/>
    <w:rsid w:val="00AA140D"/>
    <w:rsid w:val="00AB5C65"/>
    <w:rsid w:val="00AB69A3"/>
    <w:rsid w:val="00AE00C9"/>
    <w:rsid w:val="00B14AD2"/>
    <w:rsid w:val="00B20CAB"/>
    <w:rsid w:val="00BE6C90"/>
    <w:rsid w:val="00C132D4"/>
    <w:rsid w:val="00C267F7"/>
    <w:rsid w:val="00C27D8B"/>
    <w:rsid w:val="00C67C4A"/>
    <w:rsid w:val="00C94399"/>
    <w:rsid w:val="00C94DD8"/>
    <w:rsid w:val="00CA714A"/>
    <w:rsid w:val="00CCE3CA"/>
    <w:rsid w:val="00CD0D43"/>
    <w:rsid w:val="00CD4EEF"/>
    <w:rsid w:val="00CD5593"/>
    <w:rsid w:val="00CE6769"/>
    <w:rsid w:val="00D2323E"/>
    <w:rsid w:val="00D259BB"/>
    <w:rsid w:val="00D81308"/>
    <w:rsid w:val="00DA2FBB"/>
    <w:rsid w:val="00DB5892"/>
    <w:rsid w:val="00DF64DE"/>
    <w:rsid w:val="00DF72BB"/>
    <w:rsid w:val="00E72551"/>
    <w:rsid w:val="00E86C41"/>
    <w:rsid w:val="00EA4456"/>
    <w:rsid w:val="00ED38B2"/>
    <w:rsid w:val="00EE37F0"/>
    <w:rsid w:val="00EE43F6"/>
    <w:rsid w:val="00F16F60"/>
    <w:rsid w:val="00F27ABA"/>
    <w:rsid w:val="00F70157"/>
    <w:rsid w:val="00F70955"/>
    <w:rsid w:val="00FA3C42"/>
    <w:rsid w:val="00FA43A2"/>
    <w:rsid w:val="00FF260E"/>
    <w:rsid w:val="012ACFBA"/>
    <w:rsid w:val="03446802"/>
    <w:rsid w:val="03889BCA"/>
    <w:rsid w:val="065472A3"/>
    <w:rsid w:val="06A3053A"/>
    <w:rsid w:val="06B30C63"/>
    <w:rsid w:val="0734E959"/>
    <w:rsid w:val="09598571"/>
    <w:rsid w:val="0C28F019"/>
    <w:rsid w:val="0DDC69D6"/>
    <w:rsid w:val="0DDE4A14"/>
    <w:rsid w:val="0F783A37"/>
    <w:rsid w:val="0FA8E696"/>
    <w:rsid w:val="1273CB2B"/>
    <w:rsid w:val="12AAD6D7"/>
    <w:rsid w:val="12AFDAF9"/>
    <w:rsid w:val="145F6BE9"/>
    <w:rsid w:val="156B8CF0"/>
    <w:rsid w:val="159C45AE"/>
    <w:rsid w:val="15FC5DA5"/>
    <w:rsid w:val="16CE73CB"/>
    <w:rsid w:val="17075D51"/>
    <w:rsid w:val="177EB767"/>
    <w:rsid w:val="1857C095"/>
    <w:rsid w:val="1AAE52A3"/>
    <w:rsid w:val="1C624132"/>
    <w:rsid w:val="1E2E7856"/>
    <w:rsid w:val="1EBE56F9"/>
    <w:rsid w:val="1FAA0C16"/>
    <w:rsid w:val="21321BE8"/>
    <w:rsid w:val="22A25F38"/>
    <w:rsid w:val="23A3110F"/>
    <w:rsid w:val="24AA642D"/>
    <w:rsid w:val="263797FC"/>
    <w:rsid w:val="270458BE"/>
    <w:rsid w:val="27B63F56"/>
    <w:rsid w:val="28D11070"/>
    <w:rsid w:val="2A81D4AF"/>
    <w:rsid w:val="2B6CAC56"/>
    <w:rsid w:val="2B869B42"/>
    <w:rsid w:val="2BBF6BCD"/>
    <w:rsid w:val="2C2C74B3"/>
    <w:rsid w:val="2CF1CDDA"/>
    <w:rsid w:val="2E59AA6B"/>
    <w:rsid w:val="2FAFD3E8"/>
    <w:rsid w:val="3060F1E9"/>
    <w:rsid w:val="33099565"/>
    <w:rsid w:val="333ACE58"/>
    <w:rsid w:val="334442AA"/>
    <w:rsid w:val="3358643E"/>
    <w:rsid w:val="34227276"/>
    <w:rsid w:val="347B9A01"/>
    <w:rsid w:val="348B6467"/>
    <w:rsid w:val="3520367D"/>
    <w:rsid w:val="3561E9F3"/>
    <w:rsid w:val="3616D22D"/>
    <w:rsid w:val="380E3F7B"/>
    <w:rsid w:val="382BC88E"/>
    <w:rsid w:val="3991355D"/>
    <w:rsid w:val="3A1885C6"/>
    <w:rsid w:val="3AE9C44B"/>
    <w:rsid w:val="3B45E03D"/>
    <w:rsid w:val="3D3BCE98"/>
    <w:rsid w:val="3F597D7A"/>
    <w:rsid w:val="4717F328"/>
    <w:rsid w:val="4737EDE7"/>
    <w:rsid w:val="48CAB85B"/>
    <w:rsid w:val="4A17F633"/>
    <w:rsid w:val="4A7B1317"/>
    <w:rsid w:val="4B6D57C6"/>
    <w:rsid w:val="4D5E343C"/>
    <w:rsid w:val="4FE67B0F"/>
    <w:rsid w:val="51D987DD"/>
    <w:rsid w:val="528D30BE"/>
    <w:rsid w:val="532F1900"/>
    <w:rsid w:val="54D94D62"/>
    <w:rsid w:val="56751DC3"/>
    <w:rsid w:val="5A5481F0"/>
    <w:rsid w:val="5A6937EA"/>
    <w:rsid w:val="5B0C28FF"/>
    <w:rsid w:val="5C2189C0"/>
    <w:rsid w:val="5D5018E8"/>
    <w:rsid w:val="5D633C2A"/>
    <w:rsid w:val="5E77F30C"/>
    <w:rsid w:val="5E815103"/>
    <w:rsid w:val="5E993785"/>
    <w:rsid w:val="5EE3A089"/>
    <w:rsid w:val="60E79539"/>
    <w:rsid w:val="62B5C1C9"/>
    <w:rsid w:val="645FC1D2"/>
    <w:rsid w:val="66057EFB"/>
    <w:rsid w:val="667F6E84"/>
    <w:rsid w:val="685856AB"/>
    <w:rsid w:val="68EA23BA"/>
    <w:rsid w:val="69B41D07"/>
    <w:rsid w:val="6A3256A5"/>
    <w:rsid w:val="6AAAFAF4"/>
    <w:rsid w:val="6AB5DAF9"/>
    <w:rsid w:val="6B5B4799"/>
    <w:rsid w:val="6CEEB008"/>
    <w:rsid w:val="6E2DC407"/>
    <w:rsid w:val="72E3D2E0"/>
    <w:rsid w:val="74309E9C"/>
    <w:rsid w:val="76E65C46"/>
    <w:rsid w:val="76EBDBEF"/>
    <w:rsid w:val="772FA9FD"/>
    <w:rsid w:val="77E994CF"/>
    <w:rsid w:val="782BFAE1"/>
    <w:rsid w:val="79D8B703"/>
    <w:rsid w:val="79E5DF9A"/>
    <w:rsid w:val="7AAB6413"/>
    <w:rsid w:val="7ABD6AE3"/>
    <w:rsid w:val="7DEFD4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7DC3D297-9B61-46CD-AC14-1FBA53DF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157906"/>
    <w:pPr>
      <w:keepNext/>
      <w:widowControl w:val="0"/>
      <w:overflowPunct w:val="0"/>
      <w:autoSpaceDE w:val="0"/>
      <w:autoSpaceDN w:val="0"/>
      <w:adjustRightInd w:val="0"/>
      <w:spacing w:before="240" w:after="60"/>
      <w:ind w:left="1080"/>
      <w:textAlignment w:val="baseline"/>
      <w:outlineLvl w:val="0"/>
    </w:pPr>
    <w:rPr>
      <w:rFonts w:eastAsia="Times New Roman" w:cs="Arial"/>
      <w:b/>
      <w:bCs/>
      <w:kern w:val="32"/>
      <w:sz w:val="20"/>
      <w:szCs w:val="20"/>
    </w:rPr>
  </w:style>
  <w:style w:type="paragraph" w:styleId="Heading2">
    <w:name w:val="heading 2"/>
    <w:basedOn w:val="Normal"/>
    <w:next w:val="Normal"/>
    <w:link w:val="Heading2Char"/>
    <w:uiPriority w:val="2"/>
    <w:semiHidden/>
    <w:qFormat/>
    <w:rsid w:val="00157906"/>
    <w:pPr>
      <w:keepNext/>
      <w:keepLines/>
      <w:spacing w:before="40"/>
      <w:outlineLvl w:val="1"/>
    </w:pPr>
    <w:rPr>
      <w:rFonts w:asciiTheme="majorHAnsi" w:eastAsiaTheme="majorEastAsia" w:hAnsiTheme="majorHAnsi" w:cstheme="majorBidi"/>
      <w:color w:val="1D0036" w:themeColor="accent1" w:themeShade="BF"/>
      <w:sz w:val="26"/>
      <w:szCs w:val="26"/>
    </w:rPr>
  </w:style>
  <w:style w:type="paragraph" w:styleId="Heading3">
    <w:name w:val="heading 3"/>
    <w:basedOn w:val="Normal"/>
    <w:next w:val="Normal"/>
    <w:link w:val="Heading3Char"/>
    <w:uiPriority w:val="3"/>
    <w:semiHidden/>
    <w:qFormat/>
    <w:rsid w:val="00157906"/>
    <w:pPr>
      <w:keepNext/>
      <w:keepLines/>
      <w:spacing w:before="40"/>
      <w:outlineLvl w:val="2"/>
    </w:pPr>
    <w:rPr>
      <w:rFonts w:asciiTheme="majorHAnsi" w:eastAsiaTheme="majorEastAsia" w:hAnsiTheme="majorHAnsi" w:cstheme="majorBidi"/>
      <w:color w:val="130024" w:themeColor="accent1" w:themeShade="7F"/>
      <w:sz w:val="24"/>
      <w:szCs w:val="24"/>
    </w:rPr>
  </w:style>
  <w:style w:type="paragraph" w:styleId="Heading4">
    <w:name w:val="heading 4"/>
    <w:basedOn w:val="Heading1"/>
    <w:next w:val="Normal"/>
    <w:link w:val="Heading4Char"/>
    <w:uiPriority w:val="1"/>
    <w:qFormat/>
    <w:rsid w:val="00157906"/>
    <w:pPr>
      <w:ind w:left="720"/>
      <w:outlineLvl w:val="3"/>
    </w:pPr>
    <w:rPr>
      <w:color w:val="7142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157906"/>
    <w:pPr>
      <w:spacing w:after="0" w:line="240" w:lineRule="auto"/>
      <w:ind w:left="720"/>
    </w:pPr>
    <w:rPr>
      <w:rFonts w:eastAsia="Times New Roman" w:cs="Times New Roman"/>
      <w:bCs/>
      <w:sz w:val="20"/>
      <w:szCs w:val="20"/>
    </w:rPr>
  </w:style>
  <w:style w:type="paragraph" w:styleId="TOC1">
    <w:name w:val="toc 1"/>
    <w:basedOn w:val="Normal"/>
    <w:next w:val="Normal"/>
    <w:autoRedefine/>
    <w:uiPriority w:val="39"/>
    <w:unhideWhenUsed/>
    <w:rsid w:val="00CD0D43"/>
    <w:pPr>
      <w:tabs>
        <w:tab w:val="left" w:pos="660"/>
        <w:tab w:val="right" w:leader="dot" w:pos="7854"/>
      </w:tabs>
      <w:spacing w:after="120"/>
      <w:ind w:left="34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157906"/>
    <w:rPr>
      <w:rFonts w:eastAsia="Times New Roman" w:cs="Arial"/>
      <w:b/>
      <w:bCs/>
      <w:kern w:val="32"/>
      <w:sz w:val="20"/>
      <w:szCs w:val="20"/>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157906"/>
    <w:rPr>
      <w:rFonts w:eastAsia="Times New Roman" w:cs="Arial"/>
      <w:b/>
      <w:bCs/>
      <w:color w:val="7142FF" w:themeColor="text2"/>
      <w:kern w:val="32"/>
      <w:sz w:val="20"/>
      <w:szCs w:val="20"/>
    </w:rPr>
  </w:style>
  <w:style w:type="paragraph" w:styleId="TOCHeading">
    <w:name w:val="TOC Heading"/>
    <w:basedOn w:val="Heading1"/>
    <w:next w:val="Normal"/>
    <w:uiPriority w:val="39"/>
    <w:unhideWhenUsed/>
    <w:qFormat/>
    <w:rsid w:val="007D76BE"/>
    <w:pPr>
      <w:keepLines/>
      <w:spacing w:after="0" w:line="259" w:lineRule="auto"/>
      <w:outlineLvl w:val="9"/>
    </w:pPr>
    <w:rPr>
      <w:rFonts w:asciiTheme="majorHAnsi" w:eastAsiaTheme="majorEastAsia" w:hAnsiTheme="majorHAnsi" w:cstheme="majorBidi"/>
      <w:b w:val="0"/>
      <w:bCs w:val="0"/>
      <w:color w:val="1D0036" w:themeColor="accent1" w:themeShade="BF"/>
      <w:kern w:val="0"/>
      <w:sz w:val="32"/>
      <w:lang w:val="en-US"/>
    </w:rPr>
  </w:style>
  <w:style w:type="character" w:styleId="Hyperlink">
    <w:name w:val="Hyperlink"/>
    <w:basedOn w:val="DefaultParagraphFont"/>
    <w:uiPriority w:val="99"/>
    <w:unhideWhenUsed/>
    <w:rsid w:val="007D76BE"/>
    <w:rPr>
      <w:color w:val="000000" w:themeColor="hyperlink"/>
      <w:u w:val="single"/>
    </w:rPr>
  </w:style>
  <w:style w:type="character" w:customStyle="1" w:styleId="Heading2Char">
    <w:name w:val="Heading 2 Char"/>
    <w:basedOn w:val="DefaultParagraphFont"/>
    <w:link w:val="Heading2"/>
    <w:uiPriority w:val="2"/>
    <w:semiHidden/>
    <w:rsid w:val="00157906"/>
    <w:rPr>
      <w:rFonts w:asciiTheme="majorHAnsi" w:eastAsiaTheme="majorEastAsia" w:hAnsiTheme="majorHAnsi" w:cstheme="majorBidi"/>
      <w:color w:val="1D0036" w:themeColor="accent1" w:themeShade="BF"/>
      <w:sz w:val="26"/>
      <w:szCs w:val="26"/>
    </w:rPr>
  </w:style>
  <w:style w:type="paragraph" w:customStyle="1" w:styleId="Bullet">
    <w:name w:val="Bullet"/>
    <w:basedOn w:val="BodyText"/>
    <w:uiPriority w:val="8"/>
    <w:qFormat/>
    <w:rsid w:val="00340375"/>
    <w:pPr>
      <w:numPr>
        <w:numId w:val="6"/>
      </w:numPr>
      <w:spacing w:before="170" w:line="260" w:lineRule="exact"/>
      <w:ind w:left="1281"/>
    </w:pPr>
    <w:rPr>
      <w:color w:val="auto"/>
    </w:rPr>
  </w:style>
  <w:style w:type="character" w:styleId="FootnoteReference">
    <w:name w:val="footnote reference"/>
    <w:basedOn w:val="DefaultParagraphFont"/>
    <w:uiPriority w:val="99"/>
    <w:rsid w:val="00157906"/>
    <w:rPr>
      <w:vertAlign w:val="superscript"/>
    </w:rPr>
  </w:style>
  <w:style w:type="paragraph" w:customStyle="1" w:styleId="BulletLevel3">
    <w:name w:val="Bullet Level 3"/>
    <w:basedOn w:val="Bullet"/>
    <w:uiPriority w:val="11"/>
    <w:qFormat/>
    <w:rsid w:val="00340375"/>
    <w:pPr>
      <w:numPr>
        <w:numId w:val="10"/>
      </w:numPr>
    </w:pPr>
  </w:style>
  <w:style w:type="paragraph" w:customStyle="1" w:styleId="DashLevel3">
    <w:name w:val="Dash Level 3"/>
    <w:basedOn w:val="BulletLevel3"/>
    <w:uiPriority w:val="12"/>
    <w:qFormat/>
    <w:rsid w:val="00340375"/>
  </w:style>
  <w:style w:type="numbering" w:customStyle="1" w:styleId="CCCBullets">
    <w:name w:val="CCC Bullets"/>
    <w:uiPriority w:val="99"/>
    <w:rsid w:val="00157906"/>
    <w:pPr>
      <w:numPr>
        <w:numId w:val="5"/>
      </w:numPr>
    </w:pPr>
  </w:style>
  <w:style w:type="character" w:styleId="CommentReference">
    <w:name w:val="annotation reference"/>
    <w:basedOn w:val="DefaultParagraphFont"/>
    <w:uiPriority w:val="99"/>
    <w:semiHidden/>
    <w:unhideWhenUsed/>
    <w:rsid w:val="00157906"/>
    <w:rPr>
      <w:sz w:val="16"/>
      <w:szCs w:val="16"/>
    </w:rPr>
  </w:style>
  <w:style w:type="paragraph" w:styleId="CommentText">
    <w:name w:val="annotation text"/>
    <w:basedOn w:val="Normal"/>
    <w:link w:val="CommentTextChar"/>
    <w:uiPriority w:val="99"/>
    <w:semiHidden/>
    <w:unhideWhenUsed/>
    <w:rsid w:val="00157906"/>
    <w:rPr>
      <w:sz w:val="20"/>
      <w:szCs w:val="20"/>
    </w:rPr>
  </w:style>
  <w:style w:type="character" w:customStyle="1" w:styleId="CommentTextChar">
    <w:name w:val="Comment Text Char"/>
    <w:basedOn w:val="DefaultParagraphFont"/>
    <w:link w:val="CommentText"/>
    <w:uiPriority w:val="99"/>
    <w:semiHidden/>
    <w:rsid w:val="00157906"/>
    <w:rPr>
      <w:sz w:val="20"/>
      <w:szCs w:val="20"/>
    </w:rPr>
  </w:style>
  <w:style w:type="character" w:customStyle="1" w:styleId="Heading3Char">
    <w:name w:val="Heading 3 Char"/>
    <w:basedOn w:val="DefaultParagraphFont"/>
    <w:link w:val="Heading3"/>
    <w:uiPriority w:val="3"/>
    <w:semiHidden/>
    <w:rsid w:val="00157906"/>
    <w:rPr>
      <w:rFonts w:asciiTheme="majorHAnsi" w:eastAsiaTheme="majorEastAsia" w:hAnsiTheme="majorHAnsi" w:cstheme="majorBidi"/>
      <w:color w:val="130024" w:themeColor="accent1" w:themeShade="7F"/>
      <w:sz w:val="24"/>
      <w:szCs w:val="24"/>
    </w:rPr>
  </w:style>
  <w:style w:type="paragraph" w:customStyle="1" w:styleId="DashLevel2">
    <w:name w:val="Dash Level 2"/>
    <w:basedOn w:val="Normal"/>
    <w:uiPriority w:val="10"/>
    <w:qFormat/>
    <w:rsid w:val="00157906"/>
    <w:pPr>
      <w:numPr>
        <w:ilvl w:val="1"/>
        <w:numId w:val="7"/>
      </w:numPr>
      <w:spacing w:before="170" w:line="260" w:lineRule="exact"/>
      <w:ind w:left="1191"/>
    </w:pPr>
    <w:rPr>
      <w:color w:val="280049" w:themeColor="text1"/>
      <w:sz w:val="20"/>
    </w:rPr>
  </w:style>
  <w:style w:type="paragraph" w:customStyle="1" w:styleId="Heading5a">
    <w:name w:val="Heading 5a"/>
    <w:basedOn w:val="Heading4"/>
    <w:link w:val="Heading5aChar"/>
    <w:uiPriority w:val="8"/>
    <w:qFormat/>
    <w:rsid w:val="00157906"/>
    <w:rPr>
      <w:b w:val="0"/>
      <w:bCs w:val="0"/>
    </w:rPr>
  </w:style>
  <w:style w:type="table" w:customStyle="1" w:styleId="CCCTable">
    <w:name w:val="CCC Table"/>
    <w:basedOn w:val="TableNormal"/>
    <w:uiPriority w:val="99"/>
    <w:rsid w:val="00157906"/>
    <w:pPr>
      <w:spacing w:after="0" w:line="240" w:lineRule="auto"/>
    </w:pPr>
    <w:rPr>
      <w:sz w:val="18"/>
    </w:rPr>
    <w:tblPr>
      <w:tblStyleRowBandSize w:val="1"/>
      <w:tblInd w:w="-2608" w:type="dxa"/>
      <w:tblBorders>
        <w:top w:val="single" w:sz="4" w:space="0" w:color="280049"/>
        <w:left w:val="single" w:sz="4" w:space="0" w:color="280049"/>
        <w:bottom w:val="single" w:sz="4" w:space="0" w:color="280049"/>
        <w:right w:val="single" w:sz="4" w:space="0" w:color="280049"/>
        <w:insideH w:val="single" w:sz="4" w:space="0" w:color="280049"/>
        <w:insideV w:val="single" w:sz="4" w:space="0" w:color="280049"/>
      </w:tblBorders>
    </w:tblPr>
    <w:tcPr>
      <w:tcMar>
        <w:top w:w="0" w:type="dxa"/>
        <w:left w:w="85" w:type="dxa"/>
        <w:bottom w:w="0" w:type="dxa"/>
        <w:right w:w="85" w:type="dxa"/>
      </w:tcMar>
    </w:tcPr>
    <w:tblStylePr w:type="firstRow">
      <w:pPr>
        <w:jc w:val="left"/>
      </w:pPr>
      <w:rPr>
        <w:rFonts w:asciiTheme="minorHAnsi" w:hAnsiTheme="minorHAnsi"/>
        <w:color w:val="FFFFFF" w:themeColor="background1"/>
        <w:sz w:val="18"/>
      </w:rPr>
      <w:tblPr/>
      <w:tcPr>
        <w:shd w:val="clear" w:color="auto" w:fill="280049"/>
        <w:vAlign w:val="center"/>
      </w:tcPr>
    </w:tblStylePr>
    <w:tblStylePr w:type="firstCol">
      <w:rPr>
        <w:rFonts w:asciiTheme="minorHAnsi" w:hAnsiTheme="minorHAnsi"/>
        <w:b/>
        <w:color w:val="FFFFFF" w:themeColor="background1"/>
        <w:sz w:val="18"/>
      </w:rPr>
      <w:tblPr/>
      <w:tcPr>
        <w:shd w:val="clear" w:color="auto" w:fill="7142FF"/>
      </w:tcPr>
    </w:tblStylePr>
    <w:tblStylePr w:type="band1Horz">
      <w:pPr>
        <w:jc w:val="left"/>
      </w:pPr>
      <w:rPr>
        <w:rFonts w:asciiTheme="minorHAnsi" w:hAnsiTheme="minorHAnsi"/>
        <w:color w:val="280049" w:themeColor="text1"/>
        <w:sz w:val="18"/>
      </w:rPr>
      <w:tblPr/>
      <w:tcPr>
        <w:shd w:val="clear" w:color="auto" w:fill="FFFFFF" w:themeFill="background1"/>
      </w:tcPr>
    </w:tblStylePr>
    <w:tblStylePr w:type="band2Horz">
      <w:pPr>
        <w:jc w:val="left"/>
      </w:pPr>
      <w:rPr>
        <w:rFonts w:asciiTheme="minorHAnsi" w:hAnsiTheme="minorHAnsi"/>
        <w:sz w:val="18"/>
      </w:rPr>
      <w:tblPr/>
      <w:tcPr>
        <w:shd w:val="clear" w:color="auto" w:fill="FFFFFF" w:themeFill="background1"/>
      </w:tcPr>
    </w:tblStylePr>
  </w:style>
  <w:style w:type="character" w:customStyle="1" w:styleId="Heading5aChar">
    <w:name w:val="Heading 5a Char"/>
    <w:basedOn w:val="Heading4Char"/>
    <w:link w:val="Heading5a"/>
    <w:uiPriority w:val="8"/>
    <w:rsid w:val="00157906"/>
    <w:rPr>
      <w:rFonts w:eastAsia="Times New Roman" w:cs="Arial"/>
      <w:b w:val="0"/>
      <w:bCs w:val="0"/>
      <w:color w:val="7142FF" w:themeColor="text2"/>
      <w:kern w:val="32"/>
      <w:sz w:val="20"/>
      <w:szCs w:val="20"/>
    </w:rPr>
  </w:style>
  <w:style w:type="paragraph" w:styleId="CommentSubject">
    <w:name w:val="annotation subject"/>
    <w:basedOn w:val="CommentText"/>
    <w:next w:val="CommentText"/>
    <w:link w:val="CommentSubjectChar"/>
    <w:uiPriority w:val="99"/>
    <w:semiHidden/>
    <w:unhideWhenUsed/>
    <w:rsid w:val="004A3015"/>
    <w:rPr>
      <w:b/>
      <w:bCs/>
    </w:rPr>
  </w:style>
  <w:style w:type="character" w:customStyle="1" w:styleId="CommentSubjectChar">
    <w:name w:val="Comment Subject Char"/>
    <w:basedOn w:val="CommentTextChar"/>
    <w:link w:val="CommentSubject"/>
    <w:uiPriority w:val="99"/>
    <w:semiHidden/>
    <w:rsid w:val="004A3015"/>
    <w:rPr>
      <w:b/>
      <w:bCs/>
      <w:sz w:val="20"/>
      <w:szCs w:val="20"/>
    </w:rPr>
  </w:style>
  <w:style w:type="character" w:styleId="UnresolvedMention">
    <w:name w:val="Unresolved Mention"/>
    <w:basedOn w:val="DefaultParagraphFont"/>
    <w:uiPriority w:val="99"/>
    <w:semiHidden/>
    <w:unhideWhenUsed/>
    <w:rsid w:val="00040453"/>
    <w:rPr>
      <w:color w:val="605E5C"/>
      <w:shd w:val="clear" w:color="auto" w:fill="E1DFDD"/>
    </w:rPr>
  </w:style>
  <w:style w:type="character" w:customStyle="1" w:styleId="normaltextrun">
    <w:name w:val="normaltextrun"/>
    <w:basedOn w:val="DefaultParagraphFont"/>
    <w:rsid w:val="00974DA2"/>
  </w:style>
  <w:style w:type="character" w:customStyle="1" w:styleId="eop">
    <w:name w:val="eop"/>
    <w:basedOn w:val="DefaultParagraphFont"/>
    <w:rsid w:val="00974DA2"/>
  </w:style>
  <w:style w:type="paragraph" w:styleId="EndnoteText">
    <w:name w:val="endnote text"/>
    <w:basedOn w:val="Normal"/>
    <w:link w:val="EndnoteTextChar"/>
    <w:uiPriority w:val="99"/>
    <w:semiHidden/>
    <w:unhideWhenUsed/>
    <w:rsid w:val="0041237F"/>
    <w:rPr>
      <w:sz w:val="20"/>
      <w:szCs w:val="20"/>
    </w:rPr>
  </w:style>
  <w:style w:type="character" w:customStyle="1" w:styleId="EndnoteTextChar">
    <w:name w:val="Endnote Text Char"/>
    <w:basedOn w:val="DefaultParagraphFont"/>
    <w:link w:val="EndnoteText"/>
    <w:uiPriority w:val="99"/>
    <w:semiHidden/>
    <w:rsid w:val="0041237F"/>
    <w:rPr>
      <w:sz w:val="20"/>
      <w:szCs w:val="20"/>
    </w:rPr>
  </w:style>
  <w:style w:type="character" w:styleId="EndnoteReference">
    <w:name w:val="endnote reference"/>
    <w:basedOn w:val="DefaultParagraphFont"/>
    <w:uiPriority w:val="99"/>
    <w:semiHidden/>
    <w:unhideWhenUsed/>
    <w:rsid w:val="004123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icevirtuallibrary.com/doi/epdf/10.1680/muen.2002.151.1.13" TargetMode="External"/><Relationship Id="rId3" Type="http://schemas.openxmlformats.org/officeDocument/2006/relationships/hyperlink" Target="https://reader.elsevier.com/reader/sd/pii/S0967070X21003401?token=6339D4F7BDC3114D17F6E8E02F5F648DCCC377589218A6604AA657700E2694C60D71AA274C43CDD29FF8D0A42D9BEACD&amp;originRegion=eu-west-1&amp;originCreation=20221114191830" TargetMode="External"/><Relationship Id="rId7" Type="http://schemas.openxmlformats.org/officeDocument/2006/relationships/hyperlink" Target="https://uploads-ssl.webflow.com/6102564995f71c83fba14d54/623082b095a4567ce1720e27_CoMoUK%20Bike%20Share%20Survey%202021.pdf" TargetMode="External"/><Relationship Id="rId2" Type="http://schemas.openxmlformats.org/officeDocument/2006/relationships/hyperlink" Target="https://greenertransportsolutions.com/wp-content/uploads/2018/06/THE-UNINTENDED-CONSEQUENCES-OF-FREEZING-FUEL-DUTY-JUNE-2018-2.pdf" TargetMode="External"/><Relationship Id="rId1" Type="http://schemas.openxmlformats.org/officeDocument/2006/relationships/hyperlink" Target="https://www.racfoundation.org/data/cost-of-transport-index" TargetMode="External"/><Relationship Id="rId6" Type="http://schemas.openxmlformats.org/officeDocument/2006/relationships/hyperlink" Target="https://www.arup.com/perspectives/publications/research/section/future-potential-for-modal-shift-in-the-uk-rail-freight-market" TargetMode="External"/><Relationship Id="rId5" Type="http://schemas.openxmlformats.org/officeDocument/2006/relationships/hyperlink" Target="https://www.creds.ac.uk/wp-content/uploads/CREDS-Shared-mobility-comm-report-WEB.pdf" TargetMode="External"/><Relationship Id="rId4" Type="http://schemas.openxmlformats.org/officeDocument/2006/relationships/hyperlink" Target="https://activetravelstudies.org/article/1036/galley/4906/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3" ma:contentTypeDescription="Create a new document." ma:contentTypeScope="" ma:versionID="e998335f9b45884dbc88346095e1eb2b">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fe164a5049ca9451b19d9f65a314be0e"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Mitigation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lcf76f155ced4ddcb4097134ff3c332f xmlns="7a4ed3e5-8539-4056-add8-8824f7d44d37">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A53A6AE3-3B67-4328-97D9-A0CE36F23341}">
  <ds:schemaRefs>
    <ds:schemaRef ds:uri="http://schemas.microsoft.com/sharepoint/v3/contenttype/forms"/>
  </ds:schemaRefs>
</ds:datastoreItem>
</file>

<file path=customXml/itemProps2.xml><?xml version="1.0" encoding="utf-8"?>
<ds:datastoreItem xmlns:ds="http://schemas.openxmlformats.org/officeDocument/2006/customXml" ds:itemID="{E1DF9DC1-5F0B-46E2-BA6D-7416CAA95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6D0B9-9DBA-45EF-BF43-BE3555A4424E}">
  <ds:schemaRefs>
    <ds:schemaRef ds:uri="Microsoft.SharePoint.Taxonomy.ContentTypeSync"/>
  </ds:schemaRefs>
</ds:datastoreItem>
</file>

<file path=customXml/itemProps4.xml><?xml version="1.0" encoding="utf-8"?>
<ds:datastoreItem xmlns:ds="http://schemas.openxmlformats.org/officeDocument/2006/customXml" ds:itemID="{6EF2064E-0D3B-46DA-889D-B0D5DC2477C5}">
  <ds:schemaRefs>
    <ds:schemaRef ds:uri="http://schemas.openxmlformats.org/officeDocument/2006/bibliography"/>
  </ds:schemaRefs>
</ds:datastoreItem>
</file>

<file path=customXml/itemProps5.xml><?xml version="1.0" encoding="utf-8"?>
<ds:datastoreItem xmlns:ds="http://schemas.openxmlformats.org/officeDocument/2006/customXml" ds:itemID="{57F7153E-796B-4823-8892-719001AFFE0B}">
  <ds:schemaRefs>
    <ds:schemaRef ds:uri="http://schemas.microsoft.com/office/2006/metadata/properties"/>
    <ds:schemaRef ds:uri="http://schemas.microsoft.com/office/infopath/2007/PartnerControls"/>
    <ds:schemaRef ds:uri="662745e8-e224-48e8-a2e3-254862b8c2f5"/>
    <ds:schemaRef ds:uri="http://schemas.microsoft.com/sharepoint/v3"/>
    <ds:schemaRef ds:uri="7a4ed3e5-8539-4056-add8-8824f7d44d3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4041</Words>
  <Characters>23037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Seera, Penny (ccc)</dc:creator>
  <cp:keywords/>
  <cp:lastModifiedBy>Taylor, Sean</cp:lastModifiedBy>
  <cp:revision>2</cp:revision>
  <dcterms:created xsi:type="dcterms:W3CDTF">2022-11-25T07:12:00Z</dcterms:created>
  <dcterms:modified xsi:type="dcterms:W3CDTF">2022-11-25T07:12:00Z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