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4AB4" w14:textId="77777777" w:rsidR="00CD594D" w:rsidRDefault="00493044">
      <w:pPr>
        <w:ind w:right="210"/>
        <w:rPr>
          <w:rFonts w:ascii="Arial" w:eastAsia="Arial" w:hAnsi="Arial" w:cs="Arial"/>
          <w:color w:val="FF0000"/>
        </w:rPr>
      </w:pPr>
      <w:r>
        <w:rPr>
          <w:rFonts w:ascii="WWF" w:eastAsia="WWF" w:hAnsi="WWF" w:cs="WWF"/>
          <w:sz w:val="48"/>
          <w:szCs w:val="48"/>
        </w:rPr>
        <w:t>WWF NATURE PAYS HUB:</w:t>
      </w:r>
      <w:r>
        <w:rPr>
          <w:rFonts w:ascii="WWF" w:eastAsia="WWF" w:hAnsi="WWF" w:cs="WWF"/>
          <w:sz w:val="48"/>
          <w:szCs w:val="48"/>
        </w:rPr>
        <w:br/>
      </w:r>
      <w:r>
        <w:rPr>
          <w:rFonts w:ascii="WWF" w:eastAsia="WWF" w:hAnsi="WWF" w:cs="WWF"/>
          <w:sz w:val="44"/>
          <w:szCs w:val="44"/>
        </w:rPr>
        <w:t>Terms of Reference for Communications Support</w:t>
      </w:r>
    </w:p>
    <w:p w14:paraId="2370E14A" w14:textId="162994C7" w:rsidR="00CD594D" w:rsidRDefault="004930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Housed within WWF's Markets Practice team, the </w:t>
      </w:r>
      <w:hyperlink r:id="rId8">
        <w:r>
          <w:rPr>
            <w:rFonts w:ascii="Arial" w:eastAsia="Arial" w:hAnsi="Arial" w:cs="Arial"/>
            <w:color w:val="1155CC"/>
            <w:u w:val="single"/>
          </w:rPr>
          <w:t>Nature Pays Hub</w:t>
        </w:r>
      </w:hyperlink>
      <w:r>
        <w:rPr>
          <w:rFonts w:ascii="Arial" w:eastAsia="Arial" w:hAnsi="Arial" w:cs="Arial"/>
        </w:rPr>
        <w:t xml:space="preserve"> aims to foster a community, share best practices, and spur innovation to enable market access for community enterprises in support of biodiversity conservation and sustainable livelihoods, in the world’s most critical land/seascapes. For conservation to b</w:t>
      </w:r>
      <w:r>
        <w:rPr>
          <w:rFonts w:ascii="Arial" w:eastAsia="Arial" w:hAnsi="Arial" w:cs="Arial"/>
        </w:rPr>
        <w:t xml:space="preserve">e effective, local communities must benefit from conservation efforts. This is the understanding at the heart of WWF’s Nature Pays, which helps communities set up and run enterprises that support </w:t>
      </w:r>
      <w:r w:rsidR="00725F68">
        <w:rPr>
          <w:rFonts w:ascii="Arial" w:eastAsia="Arial" w:hAnsi="Arial" w:cs="Arial"/>
        </w:rPr>
        <w:t>conservation. There</w:t>
      </w:r>
      <w:r>
        <w:rPr>
          <w:rFonts w:ascii="Arial" w:eastAsia="Arial" w:hAnsi="Arial" w:cs="Arial"/>
        </w:rPr>
        <w:t xml:space="preserve"> is a significant opportunity to leverage </w:t>
      </w:r>
      <w:r>
        <w:rPr>
          <w:rFonts w:ascii="Arial" w:eastAsia="Arial" w:hAnsi="Arial" w:cs="Arial"/>
        </w:rPr>
        <w:t>WWF conservation outcomes by supporting community enterprises and cooperatives to fulfil their potential. WWF is already working with a variety of communities and has built trustful relationships over the years and almost all WWF offices support small scal</w:t>
      </w:r>
      <w:r>
        <w:rPr>
          <w:rFonts w:ascii="Arial" w:eastAsia="Arial" w:hAnsi="Arial" w:cs="Arial"/>
        </w:rPr>
        <w:t xml:space="preserve">e enterprises as a conservation strategy, with 200+ projects identified in 50+ offices. This work has also become even more critical </w:t>
      </w:r>
      <w:proofErr w:type="gramStart"/>
      <w:r>
        <w:rPr>
          <w:rFonts w:ascii="Arial" w:eastAsia="Arial" w:hAnsi="Arial" w:cs="Arial"/>
        </w:rPr>
        <w:t>in light of</w:t>
      </w:r>
      <w:proofErr w:type="gramEnd"/>
      <w:r>
        <w:rPr>
          <w:rFonts w:ascii="Arial" w:eastAsia="Arial" w:hAnsi="Arial" w:cs="Arial"/>
        </w:rPr>
        <w:t xml:space="preserve"> the global pandemic, its drastic impact on the tourism sector and urgent need to create and diversify livelihoo</w:t>
      </w:r>
      <w:r>
        <w:rPr>
          <w:rFonts w:ascii="Arial" w:eastAsia="Arial" w:hAnsi="Arial" w:cs="Arial"/>
        </w:rPr>
        <w:t>ds for the communities WWF supports.</w:t>
      </w:r>
    </w:p>
    <w:tbl>
      <w:tblPr>
        <w:tblStyle w:val="a"/>
        <w:tblW w:w="10395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355"/>
      </w:tblGrid>
      <w:tr w:rsidR="00CD594D" w14:paraId="26124E57" w14:textId="77777777">
        <w:tc>
          <w:tcPr>
            <w:tcW w:w="50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9E23" w14:textId="77777777" w:rsidR="00CD594D" w:rsidRDefault="00493044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 xml:space="preserve">Nature Pays Objectives: </w:t>
            </w:r>
          </w:p>
          <w:p w14:paraId="06E27EC8" w14:textId="77777777" w:rsidR="00CD594D" w:rsidRDefault="00493044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Improve access to formal markets and enable demand</w:t>
            </w:r>
          </w:p>
          <w:p w14:paraId="3A267EDF" w14:textId="77777777" w:rsidR="00CD594D" w:rsidRDefault="00493044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Reduce the pressure on environmental resources</w:t>
            </w:r>
          </w:p>
          <w:p w14:paraId="71DDFE09" w14:textId="77777777" w:rsidR="00CD594D" w:rsidRDefault="00493044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Ensure conservation benefits are equitably distributed, resulting in positive social impact</w:t>
            </w:r>
          </w:p>
        </w:tc>
        <w:tc>
          <w:tcPr>
            <w:tcW w:w="535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94FB" w14:textId="77777777" w:rsidR="00CD594D" w:rsidRDefault="00493044">
            <w:pPr>
              <w:ind w:right="6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 xml:space="preserve">Our </w:t>
            </w:r>
            <w:r>
              <w:rPr>
                <w:rFonts w:ascii="Arial" w:eastAsia="Arial" w:hAnsi="Arial" w:cs="Arial"/>
                <w:b/>
                <w:u w:val="single"/>
              </w:rPr>
              <w:t>Three-pronged approach:</w:t>
            </w:r>
          </w:p>
          <w:p w14:paraId="5CCB48CF" w14:textId="77777777" w:rsidR="00CD594D" w:rsidRDefault="00493044">
            <w:pPr>
              <w:ind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Community of Excellence: </w:t>
            </w:r>
            <w:r>
              <w:rPr>
                <w:rFonts w:ascii="Arial" w:eastAsia="Arial" w:hAnsi="Arial" w:cs="Arial"/>
              </w:rPr>
              <w:t xml:space="preserve">Capture knowledge, capacity build, and share best practices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Advisory Services:</w:t>
            </w:r>
            <w:r>
              <w:rPr>
                <w:rFonts w:ascii="Arial" w:eastAsia="Arial" w:hAnsi="Arial" w:cs="Arial"/>
              </w:rPr>
              <w:t xml:space="preserve"> Internal advisory capability for WWF enterprises, programs, and proposals</w:t>
            </w:r>
          </w:p>
          <w:p w14:paraId="7DB50F21" w14:textId="77777777" w:rsidR="00CD594D" w:rsidRDefault="004930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Design Innovation: </w:t>
            </w:r>
            <w:r>
              <w:rPr>
                <w:rFonts w:ascii="Arial" w:eastAsia="Arial" w:hAnsi="Arial" w:cs="Arial"/>
              </w:rPr>
              <w:t>Shift the paradigm through busine</w:t>
            </w:r>
            <w:r>
              <w:rPr>
                <w:rFonts w:ascii="Arial" w:eastAsia="Arial" w:hAnsi="Arial" w:cs="Arial"/>
              </w:rPr>
              <w:t>ss model and tech innovation</w:t>
            </w:r>
          </w:p>
        </w:tc>
      </w:tr>
    </w:tbl>
    <w:p w14:paraId="27542212" w14:textId="77777777" w:rsidR="00CD594D" w:rsidRDefault="00493044">
      <w:pPr>
        <w:ind w:right="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4CF9663" wp14:editId="2AC9014C">
            <wp:extent cx="6645600" cy="3733800"/>
            <wp:effectExtent l="0" t="0" r="0" b="0"/>
            <wp:docPr id="1" name="image1.jpg" descr="Timeli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imeline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373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ABC46F" w14:textId="77777777" w:rsidR="00CD594D" w:rsidRDefault="00493044" w:rsidP="00EE6DE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Nature Pays Hub was created in 2018, and excellent progress has been made in the start-up phase of this critical work - a few of our recent highlights: </w:t>
      </w:r>
    </w:p>
    <w:p w14:paraId="159BC37F" w14:textId="77777777" w:rsidR="00CD594D" w:rsidRDefault="00493044" w:rsidP="00EE6DEA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After successfully rolling out Nature Pays global capacity building programme across WWF Network, reach</w:t>
      </w:r>
      <w:r>
        <w:rPr>
          <w:rFonts w:ascii="Arial" w:eastAsia="Arial" w:hAnsi="Arial" w:cs="Arial"/>
        </w:rPr>
        <w:t xml:space="preserve">ing more than 40% of offices, with over 180+ participants, the training was adapted </w:t>
      </w:r>
      <w:r>
        <w:rPr>
          <w:rFonts w:ascii="Arial" w:eastAsia="Arial" w:hAnsi="Arial" w:cs="Arial"/>
        </w:rPr>
        <w:lastRenderedPageBreak/>
        <w:t>for an external audience for the very first time in 2021. We are now working around scaling this highly popular capacity building program, co-created with Impact Hub, and s</w:t>
      </w:r>
      <w:r>
        <w:rPr>
          <w:rFonts w:ascii="Arial" w:eastAsia="Arial" w:hAnsi="Arial" w:cs="Arial"/>
        </w:rPr>
        <w:t xml:space="preserve">trengthening our vibrant global </w:t>
      </w:r>
      <w:proofErr w:type="gramStart"/>
      <w:r>
        <w:rPr>
          <w:rFonts w:ascii="Arial" w:eastAsia="Arial" w:hAnsi="Arial" w:cs="Arial"/>
        </w:rPr>
        <w:t>community;</w:t>
      </w:r>
      <w:proofErr w:type="gramEnd"/>
    </w:p>
    <w:p w14:paraId="13A7AB91" w14:textId="77777777" w:rsidR="00CD594D" w:rsidRDefault="00493044" w:rsidP="00EE6DEA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are facilitating in collaboration with WWF-US, a global partnership with </w:t>
      </w:r>
      <w:proofErr w:type="spellStart"/>
      <w:r>
        <w:rPr>
          <w:rFonts w:ascii="Arial" w:eastAsia="Arial" w:hAnsi="Arial" w:cs="Arial"/>
        </w:rPr>
        <w:t>TechnoServe</w:t>
      </w:r>
      <w:proofErr w:type="spellEnd"/>
      <w:r>
        <w:rPr>
          <w:rFonts w:ascii="Arial" w:eastAsia="Arial" w:hAnsi="Arial" w:cs="Arial"/>
        </w:rPr>
        <w:t xml:space="preserve"> - the #1 non-profit organisation for poverty alleviation to support community conservation enterprises and improve livelihood</w:t>
      </w:r>
      <w:r>
        <w:rPr>
          <w:rFonts w:ascii="Arial" w:eastAsia="Arial" w:hAnsi="Arial" w:cs="Arial"/>
        </w:rPr>
        <w:t xml:space="preserve">s and protect water and </w:t>
      </w:r>
      <w:proofErr w:type="gramStart"/>
      <w:r>
        <w:rPr>
          <w:rFonts w:ascii="Arial" w:eastAsia="Arial" w:hAnsi="Arial" w:cs="Arial"/>
        </w:rPr>
        <w:t>biodiversity;</w:t>
      </w:r>
      <w:proofErr w:type="gramEnd"/>
      <w:r>
        <w:rPr>
          <w:rFonts w:ascii="Arial" w:eastAsia="Arial" w:hAnsi="Arial" w:cs="Arial"/>
        </w:rPr>
        <w:t xml:space="preserve"> </w:t>
      </w:r>
    </w:p>
    <w:p w14:paraId="226D97A5" w14:textId="77777777" w:rsidR="00CD594D" w:rsidRDefault="00493044" w:rsidP="00EE6DEA">
      <w:pPr>
        <w:numPr>
          <w:ilvl w:val="0"/>
          <w:numId w:val="2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 a cross-Practice collaboration with WWF's Oceans Practice, we are supporting the Accelerating Coastal Community-led Conservation Initiative on creating enabling environments for coastal community enterprise development; </w:t>
      </w:r>
      <w:r>
        <w:rPr>
          <w:rFonts w:ascii="Arial" w:eastAsia="Arial" w:hAnsi="Arial" w:cs="Arial"/>
        </w:rPr>
        <w:br/>
      </w:r>
    </w:p>
    <w:p w14:paraId="615F50BC" w14:textId="77777777" w:rsidR="00CD594D" w:rsidRDefault="00493044" w:rsidP="00EE6DEA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are also researching options</w:t>
      </w:r>
      <w:r>
        <w:rPr>
          <w:rFonts w:ascii="Arial" w:eastAsia="Arial" w:hAnsi="Arial" w:cs="Arial"/>
        </w:rPr>
        <w:t xml:space="preserve"> for developing a Socio-Economic Impact Assessment Framework, to support WWF practitioners with a universal tool &amp; KPIs to measure, monitor, and evaluate the socio-economic impacts alongside the ecological impacts of their work with communities. </w:t>
      </w:r>
    </w:p>
    <w:p w14:paraId="20A91431" w14:textId="77777777" w:rsidR="00CD594D" w:rsidRDefault="00493044" w:rsidP="00EE6DE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are no</w:t>
      </w:r>
      <w:r>
        <w:rPr>
          <w:rFonts w:ascii="Arial" w:eastAsia="Arial" w:hAnsi="Arial" w:cs="Arial"/>
        </w:rPr>
        <w:t xml:space="preserve">w seeking specialist consultancy support on Communications to help us continue to raise WWF’s profile in this space to be seen as the </w:t>
      </w:r>
      <w:r>
        <w:rPr>
          <w:rFonts w:ascii="Arial" w:eastAsia="Arial" w:hAnsi="Arial" w:cs="Arial"/>
          <w:b/>
        </w:rPr>
        <w:t>go-to environmental NGO</w:t>
      </w:r>
      <w:r>
        <w:rPr>
          <w:rFonts w:ascii="Arial" w:eastAsia="Arial" w:hAnsi="Arial" w:cs="Arial"/>
        </w:rPr>
        <w:t xml:space="preserve"> for community-led conservation enterprise programming. This consultant will also be the main Natur</w:t>
      </w:r>
      <w:r>
        <w:rPr>
          <w:rFonts w:ascii="Arial" w:eastAsia="Arial" w:hAnsi="Arial" w:cs="Arial"/>
        </w:rPr>
        <w:t xml:space="preserve">e Pays global communications lead for one of our flagship programs in Mexico. </w:t>
      </w:r>
    </w:p>
    <w:p w14:paraId="117851C1" w14:textId="77777777" w:rsidR="00CD594D" w:rsidRDefault="00CD594D" w:rsidP="00EE6DEA">
      <w:pPr>
        <w:rPr>
          <w:rFonts w:ascii="Arial" w:eastAsia="Arial" w:hAnsi="Arial" w:cs="Arial"/>
        </w:rPr>
      </w:pPr>
    </w:p>
    <w:p w14:paraId="4FE50432" w14:textId="77777777" w:rsidR="00CD594D" w:rsidRDefault="00493044" w:rsidP="00EE6DEA">
      <w:pPr>
        <w:rPr>
          <w:rFonts w:ascii="WWF" w:eastAsia="WWF" w:hAnsi="WWF" w:cs="WWF"/>
          <w:b/>
          <w:sz w:val="32"/>
          <w:szCs w:val="32"/>
        </w:rPr>
      </w:pPr>
      <w:r>
        <w:rPr>
          <w:rFonts w:ascii="WWF" w:eastAsia="WWF" w:hAnsi="WWF" w:cs="WWF"/>
          <w:b/>
          <w:sz w:val="32"/>
          <w:szCs w:val="32"/>
        </w:rPr>
        <w:t>COMMUNICATIONS ACTIVITIES:</w:t>
      </w:r>
    </w:p>
    <w:p w14:paraId="1FDEDD04" w14:textId="77777777" w:rsidR="00CD594D" w:rsidRDefault="00493044" w:rsidP="00EE6DEA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The current areas of focus for communications support are likely to be as outlined below but may vary slightly depending on emerging needs. Likely co</w:t>
      </w:r>
      <w:r>
        <w:rPr>
          <w:rFonts w:ascii="Arial" w:eastAsia="Arial" w:hAnsi="Arial" w:cs="Arial"/>
        </w:rPr>
        <w:t>mmunication deliverables are as follows:</w:t>
      </w:r>
    </w:p>
    <w:p w14:paraId="43D196AE" w14:textId="77777777" w:rsidR="00CD594D" w:rsidRDefault="00493044" w:rsidP="00EE6D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highlight w:val="white"/>
        </w:rPr>
        <w:t xml:space="preserve">Act as Nature Pays communications liaison with WWF Mexico, WWF Sweden and Ikea Social </w:t>
      </w:r>
      <w:proofErr w:type="gramStart"/>
      <w:r>
        <w:rPr>
          <w:rFonts w:ascii="Arial" w:eastAsia="Arial" w:hAnsi="Arial" w:cs="Arial"/>
          <w:highlight w:val="white"/>
        </w:rPr>
        <w:t>Entrepreneurship  managing</w:t>
      </w:r>
      <w:proofErr w:type="gramEnd"/>
      <w:r>
        <w:rPr>
          <w:rFonts w:ascii="Arial" w:eastAsia="Arial" w:hAnsi="Arial" w:cs="Arial"/>
          <w:highlight w:val="white"/>
        </w:rPr>
        <w:t xml:space="preserve"> the communications needs of the project “Nature Pays: Community Conservation Enterprises (CCE) to impr</w:t>
      </w:r>
      <w:r>
        <w:rPr>
          <w:rFonts w:ascii="Arial" w:eastAsia="Arial" w:hAnsi="Arial" w:cs="Arial"/>
          <w:highlight w:val="white"/>
        </w:rPr>
        <w:t xml:space="preserve">ove livelihoods and protect water and biodiversity in the Oaxacan Watershed </w:t>
      </w:r>
      <w:proofErr w:type="spellStart"/>
      <w:r>
        <w:rPr>
          <w:rFonts w:ascii="Arial" w:eastAsia="Arial" w:hAnsi="Arial" w:cs="Arial"/>
          <w:highlight w:val="white"/>
        </w:rPr>
        <w:t>Copalita</w:t>
      </w:r>
      <w:proofErr w:type="spellEnd"/>
      <w:r>
        <w:rPr>
          <w:rFonts w:ascii="Arial" w:eastAsia="Arial" w:hAnsi="Arial" w:cs="Arial"/>
          <w:highlight w:val="white"/>
        </w:rPr>
        <w:t>-</w:t>
      </w:r>
      <w:proofErr w:type="spellStart"/>
      <w:r>
        <w:rPr>
          <w:rFonts w:ascii="Arial" w:eastAsia="Arial" w:hAnsi="Arial" w:cs="Arial"/>
          <w:highlight w:val="white"/>
        </w:rPr>
        <w:t>Zimatán</w:t>
      </w:r>
      <w:proofErr w:type="spellEnd"/>
      <w:r>
        <w:rPr>
          <w:rFonts w:ascii="Arial" w:eastAsia="Arial" w:hAnsi="Arial" w:cs="Arial"/>
          <w:highlight w:val="white"/>
        </w:rPr>
        <w:t>-Huatulco (CZH) Mexico”.</w:t>
      </w:r>
      <w:r>
        <w:rPr>
          <w:rFonts w:ascii="Arial" w:eastAsia="Arial" w:hAnsi="Arial" w:cs="Arial"/>
          <w:highlight w:val="white"/>
        </w:rPr>
        <w:br/>
      </w:r>
    </w:p>
    <w:p w14:paraId="5A8E5BD7" w14:textId="77777777" w:rsidR="00CD594D" w:rsidRDefault="00493044" w:rsidP="00EE6DEA">
      <w:pPr>
        <w:numPr>
          <w:ilvl w:val="0"/>
          <w:numId w:val="3"/>
        </w:numPr>
        <w:spacing w:after="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Creating an engaging data-driven impact report showcasing the Nature Pays theory in action </w:t>
      </w:r>
      <w:r>
        <w:rPr>
          <w:rFonts w:ascii="Arial" w:eastAsia="Arial" w:hAnsi="Arial" w:cs="Arial"/>
          <w:highlight w:val="white"/>
        </w:rPr>
        <w:br/>
      </w:r>
    </w:p>
    <w:p w14:paraId="22661DA6" w14:textId="77777777" w:rsidR="00CD594D" w:rsidRDefault="00493044" w:rsidP="00EE6D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Identification of relevant thought leadership</w:t>
      </w:r>
      <w:r>
        <w:rPr>
          <w:rFonts w:ascii="Arial" w:eastAsia="Arial" w:hAnsi="Arial" w:cs="Arial"/>
          <w:color w:val="000000"/>
          <w:highlight w:val="white"/>
        </w:rPr>
        <w:t xml:space="preserve"> opportunities &amp; surrounding communications opportunities maximised </w:t>
      </w:r>
      <w:proofErr w:type="gramStart"/>
      <w:r>
        <w:rPr>
          <w:rFonts w:ascii="Arial" w:eastAsia="Arial" w:hAnsi="Arial" w:cs="Arial"/>
          <w:color w:val="000000"/>
          <w:highlight w:val="white"/>
        </w:rPr>
        <w:t>e.g.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creation of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OpEd</w:t>
      </w:r>
      <w:proofErr w:type="spellEnd"/>
      <w:r>
        <w:rPr>
          <w:rFonts w:ascii="Arial" w:eastAsia="Arial" w:hAnsi="Arial" w:cs="Arial"/>
          <w:color w:val="000000"/>
          <w:highlight w:val="white"/>
        </w:rPr>
        <w:t>/</w:t>
      </w:r>
      <w:r>
        <w:rPr>
          <w:rFonts w:ascii="Arial" w:eastAsia="Arial" w:hAnsi="Arial" w:cs="Arial"/>
          <w:highlight w:val="white"/>
        </w:rPr>
        <w:t>blog post</w:t>
      </w:r>
      <w:r>
        <w:rPr>
          <w:rFonts w:ascii="Arial" w:eastAsia="Arial" w:hAnsi="Arial" w:cs="Arial"/>
          <w:color w:val="000000"/>
          <w:highlight w:val="white"/>
        </w:rPr>
        <w:t xml:space="preserve"> content, speaking points/key messages for public speaking/media opportunities</w:t>
      </w:r>
      <w:r>
        <w:rPr>
          <w:rFonts w:ascii="Arial" w:eastAsia="Arial" w:hAnsi="Arial" w:cs="Arial"/>
          <w:color w:val="000000"/>
          <w:highlight w:val="white"/>
        </w:rPr>
        <w:br/>
      </w:r>
    </w:p>
    <w:p w14:paraId="428C3B47" w14:textId="77777777" w:rsidR="00CD594D" w:rsidRDefault="00493044" w:rsidP="00EE6D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Assessment, </w:t>
      </w:r>
      <w:proofErr w:type="gramStart"/>
      <w:r>
        <w:rPr>
          <w:rFonts w:ascii="Arial" w:eastAsia="Arial" w:hAnsi="Arial" w:cs="Arial"/>
          <w:color w:val="000000"/>
          <w:highlight w:val="white"/>
        </w:rPr>
        <w:t>review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and update of current communications content relating to N</w:t>
      </w:r>
      <w:r>
        <w:rPr>
          <w:rFonts w:ascii="Arial" w:eastAsia="Arial" w:hAnsi="Arial" w:cs="Arial"/>
          <w:color w:val="000000"/>
          <w:highlight w:val="white"/>
        </w:rPr>
        <w:t>ature Pays</w:t>
      </w:r>
      <w:r>
        <w:rPr>
          <w:rFonts w:ascii="Arial" w:eastAsia="Arial" w:hAnsi="Arial" w:cs="Arial"/>
          <w:highlight w:val="white"/>
        </w:rPr>
        <w:t>, including the update of Nature Pays page/subsite connected to the Markets Hub Google Site (internal) and external profile of Nature Pays on WWF website (panda.org/markets)</w:t>
      </w:r>
    </w:p>
    <w:p w14:paraId="18CAE1B2" w14:textId="77777777" w:rsidR="00CD594D" w:rsidRDefault="00CD594D" w:rsidP="00EE6D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highlight w:val="white"/>
        </w:rPr>
      </w:pPr>
    </w:p>
    <w:p w14:paraId="3A412768" w14:textId="77777777" w:rsidR="00CD594D" w:rsidRDefault="00493044" w:rsidP="00EE6DEA">
      <w:pPr>
        <w:numPr>
          <w:ilvl w:val="0"/>
          <w:numId w:val="3"/>
        </w:numPr>
        <w:spacing w:after="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Develop communications strategies and assets (outreach packages and landing page) for the micro learning capacity building programmes</w:t>
      </w:r>
      <w:r>
        <w:rPr>
          <w:rFonts w:ascii="Arial" w:eastAsia="Arial" w:hAnsi="Arial" w:cs="Arial"/>
          <w:highlight w:val="white"/>
        </w:rPr>
        <w:br/>
      </w:r>
    </w:p>
    <w:p w14:paraId="70918E08" w14:textId="77777777" w:rsidR="00CD594D" w:rsidRDefault="00493044" w:rsidP="00EE6DE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TIMEFRAME: 1-2 days per week for 6 months</w:t>
      </w:r>
      <w:r>
        <w:br/>
      </w:r>
      <w:r>
        <w:rPr>
          <w:rFonts w:ascii="Arial" w:eastAsia="Arial" w:hAnsi="Arial" w:cs="Arial"/>
          <w:b/>
        </w:rPr>
        <w:t>BUDGET: £5,000-£8,000</w:t>
      </w:r>
    </w:p>
    <w:p w14:paraId="1B02AD2A" w14:textId="266FAAB5" w:rsidR="00CD594D" w:rsidRDefault="00493044" w:rsidP="00EE6DE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Please supply a one-page explanation of how you would app</w:t>
      </w:r>
      <w:r>
        <w:rPr>
          <w:rFonts w:ascii="Arial" w:eastAsia="Arial" w:hAnsi="Arial" w:cs="Arial"/>
          <w:b/>
        </w:rPr>
        <w:t xml:space="preserve">roach the outlined consultancy role, along with a CV and examples of relevant portfolio work by </w:t>
      </w:r>
      <w:r w:rsidR="00602511">
        <w:rPr>
          <w:rFonts w:ascii="Arial" w:eastAsia="Arial" w:hAnsi="Arial" w:cs="Arial"/>
          <w:b/>
        </w:rPr>
        <w:t>29</w:t>
      </w:r>
      <w:r>
        <w:rPr>
          <w:rFonts w:ascii="Arial" w:eastAsia="Arial" w:hAnsi="Arial" w:cs="Arial"/>
          <w:b/>
        </w:rPr>
        <w:t>th April to ideally start by mid-May 2022.</w:t>
      </w:r>
    </w:p>
    <w:p w14:paraId="50B9D93B" w14:textId="77777777" w:rsidR="00CD594D" w:rsidRDefault="00493044" w:rsidP="00EE6DE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 xml:space="preserve">CONTACTS: </w:t>
      </w:r>
      <w:r>
        <w:rPr>
          <w:rFonts w:ascii="Arial" w:eastAsia="Arial" w:hAnsi="Arial" w:cs="Arial"/>
        </w:rPr>
        <w:t xml:space="preserve">Hina West, Nature Pays Director –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hwest@wwwf.org.uk</w:t>
        </w:r>
      </w:hyperlink>
      <w:r>
        <w:rPr>
          <w:rFonts w:ascii="Arial" w:eastAsia="Arial" w:hAnsi="Arial" w:cs="Arial"/>
        </w:rPr>
        <w:br/>
        <w:t xml:space="preserve">Giana </w:t>
      </w:r>
      <w:proofErr w:type="spellStart"/>
      <w:r>
        <w:rPr>
          <w:rFonts w:ascii="Arial" w:eastAsia="Arial" w:hAnsi="Arial" w:cs="Arial"/>
        </w:rPr>
        <w:t>Andonini</w:t>
      </w:r>
      <w:proofErr w:type="spellEnd"/>
      <w:r>
        <w:rPr>
          <w:rFonts w:ascii="Arial" w:eastAsia="Arial" w:hAnsi="Arial" w:cs="Arial"/>
        </w:rPr>
        <w:t xml:space="preserve">, Capacity Development Coordinator - </w:t>
      </w:r>
      <w:hyperlink r:id="rId11">
        <w:r>
          <w:rPr>
            <w:rFonts w:ascii="Arial" w:eastAsia="Arial" w:hAnsi="Arial" w:cs="Arial"/>
            <w:color w:val="1155CC"/>
            <w:u w:val="single"/>
          </w:rPr>
          <w:t>gandonini@wwfint.org</w:t>
        </w:r>
      </w:hyperlink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ab/>
      </w:r>
    </w:p>
    <w:sectPr w:rsidR="00CD594D">
      <w:footerReference w:type="default" r:id="rId12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0FB8" w14:textId="77777777" w:rsidR="00493044" w:rsidRDefault="00493044">
      <w:pPr>
        <w:spacing w:after="0" w:line="240" w:lineRule="auto"/>
      </w:pPr>
      <w:r>
        <w:separator/>
      </w:r>
    </w:p>
  </w:endnote>
  <w:endnote w:type="continuationSeparator" w:id="0">
    <w:p w14:paraId="2946A4A9" w14:textId="77777777" w:rsidR="00493044" w:rsidRDefault="0049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WF">
    <w:panose1 w:val="02000000000000000000"/>
    <w:charset w:val="00"/>
    <w:family w:val="modern"/>
    <w:notTrueType/>
    <w:pitch w:val="variable"/>
    <w:sig w:usb0="A00002A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5005" w14:textId="77777777" w:rsidR="00CD594D" w:rsidRDefault="00CD59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6985" w14:textId="77777777" w:rsidR="00493044" w:rsidRDefault="00493044">
      <w:pPr>
        <w:spacing w:after="0" w:line="240" w:lineRule="auto"/>
      </w:pPr>
      <w:r>
        <w:separator/>
      </w:r>
    </w:p>
  </w:footnote>
  <w:footnote w:type="continuationSeparator" w:id="0">
    <w:p w14:paraId="05B20A7C" w14:textId="77777777" w:rsidR="00493044" w:rsidRDefault="00493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11358"/>
    <w:multiLevelType w:val="multilevel"/>
    <w:tmpl w:val="8EA4C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143F61"/>
    <w:multiLevelType w:val="multilevel"/>
    <w:tmpl w:val="6152DF3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BD564C"/>
    <w:multiLevelType w:val="multilevel"/>
    <w:tmpl w:val="CC06B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4D"/>
    <w:rsid w:val="00493044"/>
    <w:rsid w:val="00602511"/>
    <w:rsid w:val="00725F68"/>
    <w:rsid w:val="00CD594D"/>
    <w:rsid w:val="00E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A784"/>
  <w15:docId w15:val="{D674BAF7-6555-454D-813D-608F95EB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927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24kjd">
    <w:name w:val="e24kjd"/>
    <w:basedOn w:val="DefaultParagraphFont"/>
    <w:rsid w:val="004F07D4"/>
  </w:style>
  <w:style w:type="character" w:customStyle="1" w:styleId="Heading2Char">
    <w:name w:val="Heading 2 Char"/>
    <w:basedOn w:val="DefaultParagraphFont"/>
    <w:link w:val="Heading2"/>
    <w:uiPriority w:val="9"/>
    <w:rsid w:val="0009271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09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07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4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0A2"/>
  </w:style>
  <w:style w:type="paragraph" w:styleId="Footer">
    <w:name w:val="footer"/>
    <w:basedOn w:val="Normal"/>
    <w:link w:val="FooterChar"/>
    <w:uiPriority w:val="99"/>
    <w:unhideWhenUsed/>
    <w:rsid w:val="00C43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0A2"/>
  </w:style>
  <w:style w:type="character" w:styleId="UnresolvedMention">
    <w:name w:val="Unresolved Mention"/>
    <w:basedOn w:val="DefaultParagraphFont"/>
    <w:uiPriority w:val="99"/>
    <w:semiHidden/>
    <w:unhideWhenUsed/>
    <w:rsid w:val="00C430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4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C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C7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73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f.panda.org/projects/nature_pay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ndonini@wwfint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west@wwwf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ZwzJxeFx5/uZv1p7KJeEvkXHaw==">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Hina West</dc:creator>
  <cp:lastModifiedBy>Jemma Razzell</cp:lastModifiedBy>
  <cp:revision>4</cp:revision>
  <dcterms:created xsi:type="dcterms:W3CDTF">2019-09-12T08:28:00Z</dcterms:created>
  <dcterms:modified xsi:type="dcterms:W3CDTF">2022-04-14T09:05:00Z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0x010100BD5A57C7AFD18F468BC9C12411C137E0</vt:lpwstr>
  </property>
</Properties>
</file>