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EA7" w:rsidRDefault="003567F6">
      <w:r>
        <w:rPr>
          <w:rFonts w:ascii="Calibri" w:hAnsi="Calibri"/>
          <w:b/>
          <w:bCs/>
          <w:sz w:val="32"/>
          <w:szCs w:val="40"/>
        </w:rPr>
        <w:t>RCP Human Capital Management Software and Payroll Bureau service</w:t>
      </w:r>
    </w:p>
    <w:p w:rsidR="00A40EA7" w:rsidRDefault="00A40EA7">
      <w:r>
        <w:t xml:space="preserve">Please find below a list of clarification questions received by the RCP to date and our responses. These will be added to throughout the RFI process and questions (sent my email to </w:t>
      </w:r>
      <w:r w:rsidRPr="00A40EA7">
        <w:rPr>
          <w:b/>
        </w:rPr>
        <w:t>Procurement@rcplondon.ac.uk</w:t>
      </w:r>
      <w:r>
        <w:t>) will be accep</w:t>
      </w:r>
      <w:r w:rsidR="003567F6">
        <w:t>ted up to noon on 17</w:t>
      </w:r>
      <w:r w:rsidR="003567F6" w:rsidRPr="003567F6">
        <w:rPr>
          <w:vertAlign w:val="superscript"/>
        </w:rPr>
        <w:t>th</w:t>
      </w:r>
      <w:r w:rsidR="003567F6">
        <w:t xml:space="preserve"> December 2019</w:t>
      </w:r>
    </w:p>
    <w:p w:rsidR="003567F6" w:rsidRDefault="003567F6"/>
    <w:p w:rsidR="00A40EA7" w:rsidRDefault="00A40EA7">
      <w:r>
        <w:t>Clarification Questions and Responses</w:t>
      </w:r>
    </w:p>
    <w:tbl>
      <w:tblPr>
        <w:tblStyle w:val="TableGrid"/>
        <w:tblW w:w="0" w:type="auto"/>
        <w:tblLook w:val="04A0" w:firstRow="1" w:lastRow="0" w:firstColumn="1" w:lastColumn="0" w:noHBand="0" w:noVBand="1"/>
      </w:tblPr>
      <w:tblGrid>
        <w:gridCol w:w="1271"/>
        <w:gridCol w:w="6338"/>
        <w:gridCol w:w="6339"/>
      </w:tblGrid>
      <w:tr w:rsidR="00A40EA7" w:rsidTr="00A40EA7">
        <w:tc>
          <w:tcPr>
            <w:tcW w:w="1271" w:type="dxa"/>
          </w:tcPr>
          <w:p w:rsidR="00A40EA7" w:rsidRDefault="00A40EA7">
            <w:r>
              <w:t>Reference</w:t>
            </w:r>
          </w:p>
        </w:tc>
        <w:tc>
          <w:tcPr>
            <w:tcW w:w="6338" w:type="dxa"/>
          </w:tcPr>
          <w:p w:rsidR="00A40EA7" w:rsidRDefault="00A40EA7">
            <w:r>
              <w:t>Question</w:t>
            </w:r>
          </w:p>
        </w:tc>
        <w:tc>
          <w:tcPr>
            <w:tcW w:w="6339" w:type="dxa"/>
          </w:tcPr>
          <w:p w:rsidR="00A40EA7" w:rsidRDefault="00A40EA7">
            <w:r>
              <w:t>RCP Response</w:t>
            </w:r>
          </w:p>
        </w:tc>
      </w:tr>
      <w:tr w:rsidR="00A40EA7" w:rsidTr="00A40EA7">
        <w:tc>
          <w:tcPr>
            <w:tcW w:w="1271" w:type="dxa"/>
          </w:tcPr>
          <w:p w:rsidR="00A40EA7" w:rsidRDefault="003567F6">
            <w:r>
              <w:t>CQ1</w:t>
            </w:r>
          </w:p>
        </w:tc>
        <w:tc>
          <w:tcPr>
            <w:tcW w:w="6338" w:type="dxa"/>
          </w:tcPr>
          <w:p w:rsidR="00A40EA7" w:rsidRDefault="00AC52E1">
            <w:r>
              <w:rPr>
                <w:lang w:val="en-US"/>
              </w:rPr>
              <w:t>Please can you confirm the submission date, is this the 3</w:t>
            </w:r>
            <w:r>
              <w:rPr>
                <w:vertAlign w:val="superscript"/>
                <w:lang w:val="en-US"/>
              </w:rPr>
              <w:t>rd</w:t>
            </w:r>
            <w:r>
              <w:rPr>
                <w:lang w:val="en-US"/>
              </w:rPr>
              <w:t xml:space="preserve"> or 6</w:t>
            </w:r>
            <w:r>
              <w:rPr>
                <w:vertAlign w:val="superscript"/>
                <w:lang w:val="en-US"/>
              </w:rPr>
              <w:t>th</w:t>
            </w:r>
            <w:r>
              <w:rPr>
                <w:lang w:val="en-US"/>
              </w:rPr>
              <w:t xml:space="preserve"> January please?</w:t>
            </w:r>
          </w:p>
        </w:tc>
        <w:tc>
          <w:tcPr>
            <w:tcW w:w="6339" w:type="dxa"/>
          </w:tcPr>
          <w:p w:rsidR="00A40EA7" w:rsidRDefault="00AC52E1">
            <w:r>
              <w:t>The submission date should have been noon on 6</w:t>
            </w:r>
            <w:r w:rsidRPr="00AC52E1">
              <w:rPr>
                <w:vertAlign w:val="superscript"/>
              </w:rPr>
              <w:t>th</w:t>
            </w:r>
            <w:r>
              <w:t xml:space="preserve"> January. This has now been extended to close of play (up to 23:59hrs) on Monday 6</w:t>
            </w:r>
            <w:r w:rsidRPr="00AC52E1">
              <w:rPr>
                <w:vertAlign w:val="superscript"/>
              </w:rPr>
              <w:t>th</w:t>
            </w:r>
            <w:r>
              <w:t xml:space="preserve"> January. This RFI documentation has been updated to reflect this.</w:t>
            </w:r>
          </w:p>
        </w:tc>
      </w:tr>
      <w:tr w:rsidR="00A40EA7" w:rsidTr="00A40EA7">
        <w:tc>
          <w:tcPr>
            <w:tcW w:w="1271" w:type="dxa"/>
          </w:tcPr>
          <w:p w:rsidR="00A40EA7" w:rsidRDefault="003567F6">
            <w:r>
              <w:t>CQ2</w:t>
            </w:r>
          </w:p>
        </w:tc>
        <w:tc>
          <w:tcPr>
            <w:tcW w:w="6338" w:type="dxa"/>
          </w:tcPr>
          <w:p w:rsidR="00A40EA7" w:rsidRDefault="00AC52E1">
            <w:r>
              <w:t>Where should we submit clarification questions and final responses to?</w:t>
            </w:r>
          </w:p>
        </w:tc>
        <w:tc>
          <w:tcPr>
            <w:tcW w:w="6339" w:type="dxa"/>
          </w:tcPr>
          <w:p w:rsidR="00A40EA7" w:rsidRDefault="00AC52E1">
            <w:r>
              <w:t xml:space="preserve">All questions and responses should be submitted by email to </w:t>
            </w:r>
            <w:hyperlink r:id="rId5" w:history="1">
              <w:r w:rsidRPr="004853C9">
                <w:rPr>
                  <w:rStyle w:val="Hyperlink"/>
                </w:rPr>
                <w:t>Procurement@rcplondon.ac.uk</w:t>
              </w:r>
            </w:hyperlink>
            <w:r>
              <w:t xml:space="preserve"> and </w:t>
            </w:r>
            <w:r w:rsidR="005D2A74">
              <w:t xml:space="preserve">not through </w:t>
            </w:r>
            <w:proofErr w:type="spellStart"/>
            <w:r w:rsidR="005D2A74">
              <w:t>ProContract</w:t>
            </w:r>
            <w:proofErr w:type="spellEnd"/>
            <w:r w:rsidR="005D2A74">
              <w:t>. The RFI</w:t>
            </w:r>
            <w:r>
              <w:t xml:space="preserve"> documentation has been updated to reflect this.</w:t>
            </w:r>
          </w:p>
        </w:tc>
      </w:tr>
      <w:tr w:rsidR="00A40EA7" w:rsidTr="00A40EA7">
        <w:tc>
          <w:tcPr>
            <w:tcW w:w="1271" w:type="dxa"/>
          </w:tcPr>
          <w:p w:rsidR="00A40EA7" w:rsidRDefault="003567F6">
            <w:r>
              <w:t>CQ3</w:t>
            </w:r>
          </w:p>
        </w:tc>
        <w:tc>
          <w:tcPr>
            <w:tcW w:w="6338" w:type="dxa"/>
          </w:tcPr>
          <w:p w:rsidR="00A40EA7" w:rsidRDefault="00A40EA7">
            <w:r>
              <w:rPr>
                <w:lang w:val="en-US"/>
              </w:rPr>
              <w:t>360-degree feedback is this an essential requirement or a future aspiration?</w:t>
            </w:r>
          </w:p>
        </w:tc>
        <w:tc>
          <w:tcPr>
            <w:tcW w:w="6339" w:type="dxa"/>
          </w:tcPr>
          <w:p w:rsidR="00A40EA7" w:rsidRDefault="00A40EA7" w:rsidP="00A1306A">
            <w:r>
              <w:t xml:space="preserve">This </w:t>
            </w:r>
            <w:r w:rsidR="00A1306A">
              <w:t>will be included within the ITT Service Requirements as “Should Have” – not essential for day one but highly desirable</w:t>
            </w:r>
          </w:p>
        </w:tc>
      </w:tr>
      <w:tr w:rsidR="00A40EA7" w:rsidTr="00A40EA7">
        <w:tc>
          <w:tcPr>
            <w:tcW w:w="1271" w:type="dxa"/>
          </w:tcPr>
          <w:p w:rsidR="00A40EA7" w:rsidRDefault="003567F6">
            <w:r>
              <w:t>CQ4</w:t>
            </w:r>
          </w:p>
        </w:tc>
        <w:tc>
          <w:tcPr>
            <w:tcW w:w="6338" w:type="dxa"/>
          </w:tcPr>
          <w:p w:rsidR="00A40EA7" w:rsidRDefault="00AC52E1" w:rsidP="00AC52E1">
            <w:pPr>
              <w:rPr>
                <w:lang w:val="en-US"/>
              </w:rPr>
            </w:pPr>
            <w:r>
              <w:rPr>
                <w:lang w:val="en-US"/>
              </w:rPr>
              <w:t>B1 Financial report - Is it acceptable to attach this as an appendix as it is quite long</w:t>
            </w:r>
          </w:p>
        </w:tc>
        <w:tc>
          <w:tcPr>
            <w:tcW w:w="6339" w:type="dxa"/>
          </w:tcPr>
          <w:p w:rsidR="00A40EA7" w:rsidRDefault="008E2C76">
            <w:r>
              <w:t>Yes, please refer to the attachment in your response</w:t>
            </w:r>
          </w:p>
        </w:tc>
      </w:tr>
      <w:tr w:rsidR="008E2C76" w:rsidTr="00A40EA7">
        <w:tc>
          <w:tcPr>
            <w:tcW w:w="1271" w:type="dxa"/>
          </w:tcPr>
          <w:p w:rsidR="008E2C76" w:rsidRDefault="003567F6">
            <w:r>
              <w:t>CQ5</w:t>
            </w:r>
          </w:p>
        </w:tc>
        <w:tc>
          <w:tcPr>
            <w:tcW w:w="6338" w:type="dxa"/>
          </w:tcPr>
          <w:p w:rsidR="008E2C76" w:rsidRDefault="008E2C76" w:rsidP="008E2C76">
            <w:pPr>
              <w:rPr>
                <w:lang w:val="en-US"/>
              </w:rPr>
            </w:pPr>
            <w:r>
              <w:rPr>
                <w:lang w:val="en-US"/>
              </w:rPr>
              <w:t>H4 Software License – The RFI s</w:t>
            </w:r>
            <w:r w:rsidRPr="008E2C76">
              <w:rPr>
                <w:lang w:val="en-US"/>
              </w:rPr>
              <w:t>tates elsewhere</w:t>
            </w:r>
            <w:r>
              <w:rPr>
                <w:lang w:val="en-US"/>
              </w:rPr>
              <w:t xml:space="preserve"> that we</w:t>
            </w:r>
            <w:r w:rsidRPr="008E2C76">
              <w:rPr>
                <w:lang w:val="en-US"/>
              </w:rPr>
              <w:t xml:space="preserve"> must not attach files – ok to do so in this case as specifically directed to?</w:t>
            </w:r>
          </w:p>
        </w:tc>
        <w:tc>
          <w:tcPr>
            <w:tcW w:w="6339" w:type="dxa"/>
          </w:tcPr>
          <w:p w:rsidR="008E2C76" w:rsidRPr="008E2C76" w:rsidRDefault="008E2C76">
            <w:pPr>
              <w:rPr>
                <w:lang w:val="en-US"/>
              </w:rPr>
            </w:pPr>
            <w:r w:rsidRPr="008E2C76">
              <w:rPr>
                <w:lang w:val="en-US"/>
              </w:rPr>
              <w:t>Yes, attachments may be included if they are referenced and directly relate to your response</w:t>
            </w:r>
          </w:p>
        </w:tc>
      </w:tr>
      <w:tr w:rsidR="008E2C76" w:rsidTr="00A40EA7">
        <w:tc>
          <w:tcPr>
            <w:tcW w:w="1271" w:type="dxa"/>
          </w:tcPr>
          <w:p w:rsidR="008E2C76" w:rsidRDefault="003567F6">
            <w:r>
              <w:t>CQ6</w:t>
            </w:r>
          </w:p>
        </w:tc>
        <w:tc>
          <w:tcPr>
            <w:tcW w:w="6338" w:type="dxa"/>
          </w:tcPr>
          <w:p w:rsidR="008E2C76" w:rsidRDefault="008E2C76" w:rsidP="008E2C76">
            <w:pPr>
              <w:rPr>
                <w:lang w:val="en-US"/>
              </w:rPr>
            </w:pPr>
            <w:r>
              <w:rPr>
                <w:lang w:val="en-US"/>
              </w:rPr>
              <w:t>H7 License fees:</w:t>
            </w:r>
          </w:p>
          <w:p w:rsidR="008E2C76" w:rsidRDefault="008E2C76" w:rsidP="008E2C76">
            <w:pPr>
              <w:pStyle w:val="ListParagraph"/>
              <w:numPr>
                <w:ilvl w:val="0"/>
                <w:numId w:val="1"/>
              </w:numPr>
              <w:rPr>
                <w:lang w:val="en-US"/>
              </w:rPr>
            </w:pPr>
            <w:r>
              <w:rPr>
                <w:lang w:val="en-US"/>
              </w:rPr>
              <w:t>Please can you confirm the number of payrolls and frequency i.e. weekly/monthly?</w:t>
            </w:r>
          </w:p>
          <w:p w:rsidR="002A10F4" w:rsidRDefault="002A10F4" w:rsidP="008E2C76">
            <w:pPr>
              <w:pStyle w:val="ListParagraph"/>
              <w:numPr>
                <w:ilvl w:val="0"/>
                <w:numId w:val="1"/>
              </w:numPr>
              <w:rPr>
                <w:lang w:val="en-US"/>
              </w:rPr>
            </w:pPr>
            <w:r>
              <w:rPr>
                <w:lang w:val="en-US"/>
              </w:rPr>
              <w:t>What are the estimated numbers of pay</w:t>
            </w:r>
            <w:r w:rsidR="00890FAB">
              <w:rPr>
                <w:lang w:val="en-US"/>
              </w:rPr>
              <w:t>-</w:t>
            </w:r>
            <w:r>
              <w:rPr>
                <w:lang w:val="en-US"/>
              </w:rPr>
              <w:t>slips</w:t>
            </w:r>
          </w:p>
          <w:p w:rsidR="008E2C76" w:rsidRDefault="008E2C76" w:rsidP="008E2C76">
            <w:pPr>
              <w:pStyle w:val="ListParagraph"/>
              <w:numPr>
                <w:ilvl w:val="0"/>
                <w:numId w:val="1"/>
              </w:numPr>
              <w:rPr>
                <w:lang w:val="en-US"/>
              </w:rPr>
            </w:pPr>
            <w:r>
              <w:rPr>
                <w:lang w:val="en-US"/>
              </w:rPr>
              <w:t>How many PAYE references do you have?</w:t>
            </w:r>
          </w:p>
          <w:p w:rsidR="008E2C76" w:rsidRPr="008E2C76" w:rsidRDefault="008E2C76" w:rsidP="008E2C76">
            <w:pPr>
              <w:pStyle w:val="ListParagraph"/>
              <w:numPr>
                <w:ilvl w:val="0"/>
                <w:numId w:val="1"/>
              </w:numPr>
              <w:rPr>
                <w:lang w:val="en-US"/>
              </w:rPr>
            </w:pPr>
            <w:r>
              <w:rPr>
                <w:lang w:val="en-US"/>
              </w:rPr>
              <w:t>Do you require electronic pay-slips or paper printed? </w:t>
            </w:r>
          </w:p>
        </w:tc>
        <w:tc>
          <w:tcPr>
            <w:tcW w:w="6339" w:type="dxa"/>
          </w:tcPr>
          <w:p w:rsidR="008E2C76" w:rsidRDefault="008E2C76">
            <w:pPr>
              <w:rPr>
                <w:lang w:val="en-US"/>
              </w:rPr>
            </w:pPr>
          </w:p>
          <w:p w:rsidR="008E2C76" w:rsidRDefault="008E2C76" w:rsidP="008E2C76">
            <w:pPr>
              <w:pStyle w:val="ListParagraph"/>
              <w:numPr>
                <w:ilvl w:val="0"/>
                <w:numId w:val="1"/>
              </w:numPr>
              <w:rPr>
                <w:lang w:val="en-US"/>
              </w:rPr>
            </w:pPr>
            <w:r>
              <w:rPr>
                <w:lang w:val="en-US"/>
              </w:rPr>
              <w:t>1 payroll done monthly</w:t>
            </w:r>
          </w:p>
          <w:p w:rsidR="008E2C76" w:rsidRDefault="008E2C76" w:rsidP="008E2C76">
            <w:pPr>
              <w:pStyle w:val="ListParagraph"/>
              <w:rPr>
                <w:lang w:val="en-US"/>
              </w:rPr>
            </w:pPr>
          </w:p>
          <w:p w:rsidR="002A10F4" w:rsidRDefault="002A10F4" w:rsidP="002A10F4">
            <w:pPr>
              <w:pStyle w:val="ListParagraph"/>
              <w:numPr>
                <w:ilvl w:val="0"/>
                <w:numId w:val="1"/>
              </w:numPr>
              <w:rPr>
                <w:lang w:val="en-US"/>
              </w:rPr>
            </w:pPr>
            <w:r>
              <w:rPr>
                <w:lang w:val="en-US"/>
              </w:rPr>
              <w:t>450-500 pay-slips per month including ad hoc workers</w:t>
            </w:r>
          </w:p>
          <w:p w:rsidR="008E2C76" w:rsidRDefault="008E2C76" w:rsidP="008E2C76">
            <w:pPr>
              <w:pStyle w:val="ListParagraph"/>
              <w:numPr>
                <w:ilvl w:val="0"/>
                <w:numId w:val="1"/>
              </w:numPr>
              <w:rPr>
                <w:lang w:val="en-US"/>
              </w:rPr>
            </w:pPr>
            <w:r>
              <w:rPr>
                <w:lang w:val="en-US"/>
              </w:rPr>
              <w:t>1</w:t>
            </w:r>
          </w:p>
          <w:p w:rsidR="005D2A74" w:rsidRPr="005D2A74" w:rsidRDefault="008E2C76" w:rsidP="005D2A74">
            <w:pPr>
              <w:pStyle w:val="ListParagraph"/>
              <w:numPr>
                <w:ilvl w:val="0"/>
                <w:numId w:val="1"/>
              </w:numPr>
              <w:rPr>
                <w:lang w:val="en-US"/>
              </w:rPr>
            </w:pPr>
            <w:r>
              <w:rPr>
                <w:lang w:val="en-US"/>
              </w:rPr>
              <w:t xml:space="preserve">Both – employees receive electronic pay-slips and invigilators </w:t>
            </w:r>
            <w:r w:rsidR="005D2A74">
              <w:rPr>
                <w:lang w:val="en-US"/>
              </w:rPr>
              <w:t>paper printed</w:t>
            </w:r>
          </w:p>
        </w:tc>
      </w:tr>
      <w:tr w:rsidR="008E2C76" w:rsidTr="00A40EA7">
        <w:tc>
          <w:tcPr>
            <w:tcW w:w="1271" w:type="dxa"/>
          </w:tcPr>
          <w:p w:rsidR="008E2C76" w:rsidRDefault="003567F6">
            <w:r>
              <w:t>CQ7</w:t>
            </w:r>
          </w:p>
        </w:tc>
        <w:tc>
          <w:tcPr>
            <w:tcW w:w="6338" w:type="dxa"/>
          </w:tcPr>
          <w:p w:rsidR="008E2C76" w:rsidRDefault="008E2C76" w:rsidP="008E2C76">
            <w:pPr>
              <w:rPr>
                <w:lang w:val="en-US"/>
              </w:rPr>
            </w:pPr>
            <w:r>
              <w:rPr>
                <w:lang w:val="en-US"/>
              </w:rPr>
              <w:t>Annex 3 – please confirm where this is located</w:t>
            </w:r>
          </w:p>
        </w:tc>
        <w:tc>
          <w:tcPr>
            <w:tcW w:w="6339" w:type="dxa"/>
          </w:tcPr>
          <w:p w:rsidR="008E2C76" w:rsidRDefault="008E2C76">
            <w:pPr>
              <w:rPr>
                <w:lang w:val="en-US"/>
              </w:rPr>
            </w:pPr>
            <w:r>
              <w:rPr>
                <w:lang w:val="en-US"/>
              </w:rPr>
              <w:t>This is an error and there is no Annex 3 for this RFI. The RFI documentation has been updated to reflect this.</w:t>
            </w:r>
          </w:p>
        </w:tc>
      </w:tr>
      <w:tr w:rsidR="008E2C76" w:rsidTr="00A40EA7">
        <w:tc>
          <w:tcPr>
            <w:tcW w:w="1271" w:type="dxa"/>
          </w:tcPr>
          <w:p w:rsidR="008E2C76" w:rsidRDefault="003567F6">
            <w:r>
              <w:t>CQ8</w:t>
            </w:r>
          </w:p>
        </w:tc>
        <w:tc>
          <w:tcPr>
            <w:tcW w:w="6338" w:type="dxa"/>
          </w:tcPr>
          <w:p w:rsidR="00A1306A" w:rsidRPr="00A1306A" w:rsidRDefault="00A1306A" w:rsidP="00A1306A">
            <w:pPr>
              <w:rPr>
                <w:lang w:val="en-US"/>
              </w:rPr>
            </w:pPr>
            <w:r>
              <w:rPr>
                <w:lang w:val="en-US"/>
              </w:rPr>
              <w:t>I1 Finance system: -</w:t>
            </w:r>
            <w:r w:rsidRPr="00A1306A">
              <w:rPr>
                <w:lang w:val="en-US"/>
              </w:rPr>
              <w:t xml:space="preserve"> Which finance system do you use today, and does it integrate with Ca</w:t>
            </w:r>
            <w:r>
              <w:rPr>
                <w:lang w:val="en-US"/>
              </w:rPr>
              <w:t>scade</w:t>
            </w:r>
            <w:r w:rsidRPr="00A1306A">
              <w:rPr>
                <w:lang w:val="en-US"/>
              </w:rPr>
              <w:t xml:space="preserve">?  </w:t>
            </w:r>
          </w:p>
          <w:p w:rsidR="008E2C76" w:rsidRDefault="00A1306A" w:rsidP="00A1306A">
            <w:pPr>
              <w:rPr>
                <w:lang w:val="en-US"/>
              </w:rPr>
            </w:pPr>
            <w:r w:rsidRPr="00A1306A">
              <w:rPr>
                <w:lang w:val="en-US"/>
              </w:rPr>
              <w:lastRenderedPageBreak/>
              <w:t>Where does this sit in your priority list/timeline? A GL interface is supplied as standard with all payroll implementations, scoped to meet your requirements.</w:t>
            </w:r>
          </w:p>
        </w:tc>
        <w:tc>
          <w:tcPr>
            <w:tcW w:w="6339" w:type="dxa"/>
          </w:tcPr>
          <w:p w:rsidR="008E2C76" w:rsidRDefault="00890FAB">
            <w:pPr>
              <w:rPr>
                <w:lang w:val="en-US"/>
              </w:rPr>
            </w:pPr>
            <w:r>
              <w:rPr>
                <w:lang w:val="en-US"/>
              </w:rPr>
              <w:lastRenderedPageBreak/>
              <w:t>We are using Dynamics GP 2015R2 and it does not integrate with Cascade.</w:t>
            </w:r>
          </w:p>
          <w:p w:rsidR="00890FAB" w:rsidRDefault="00890FAB">
            <w:pPr>
              <w:rPr>
                <w:lang w:val="en-US"/>
              </w:rPr>
            </w:pPr>
            <w:r>
              <w:rPr>
                <w:lang w:val="en-US"/>
              </w:rPr>
              <w:lastRenderedPageBreak/>
              <w:t>GL interface for Payroll is a higher priority at the moment. We will commence a review of the finance systems roadmap in the next 3-5 years.</w:t>
            </w:r>
          </w:p>
        </w:tc>
      </w:tr>
      <w:tr w:rsidR="002A10F4" w:rsidTr="00A40EA7">
        <w:tc>
          <w:tcPr>
            <w:tcW w:w="1271" w:type="dxa"/>
          </w:tcPr>
          <w:p w:rsidR="002A10F4" w:rsidRDefault="003567F6">
            <w:r>
              <w:lastRenderedPageBreak/>
              <w:t>CQ9</w:t>
            </w:r>
          </w:p>
        </w:tc>
        <w:tc>
          <w:tcPr>
            <w:tcW w:w="6338" w:type="dxa"/>
          </w:tcPr>
          <w:p w:rsidR="002A10F4" w:rsidRPr="002A10F4" w:rsidRDefault="002A10F4" w:rsidP="002A10F4">
            <w:pPr>
              <w:pStyle w:val="xmsonormal"/>
            </w:pPr>
            <w:r>
              <w:t>Does the College have any scenarios of multiple employment? If so, how many?</w:t>
            </w:r>
          </w:p>
        </w:tc>
        <w:tc>
          <w:tcPr>
            <w:tcW w:w="6339" w:type="dxa"/>
          </w:tcPr>
          <w:p w:rsidR="002A10F4" w:rsidRDefault="002A10F4">
            <w:pPr>
              <w:rPr>
                <w:lang w:val="en-US"/>
              </w:rPr>
            </w:pPr>
            <w:r w:rsidRPr="002A10F4">
              <w:rPr>
                <w:lang w:val="en-US"/>
              </w:rPr>
              <w:t xml:space="preserve">We currently have employees with GL split cost (finance cost recognition) but sits under a master department in </w:t>
            </w:r>
            <w:r>
              <w:rPr>
                <w:lang w:val="en-US"/>
              </w:rPr>
              <w:t xml:space="preserve">the </w:t>
            </w:r>
            <w:r w:rsidRPr="002A10F4">
              <w:rPr>
                <w:lang w:val="en-US"/>
              </w:rPr>
              <w:t>HR structure. We don’t have people in multiple employment.</w:t>
            </w:r>
          </w:p>
        </w:tc>
      </w:tr>
      <w:tr w:rsidR="002A10F4" w:rsidTr="00A40EA7">
        <w:tc>
          <w:tcPr>
            <w:tcW w:w="1271" w:type="dxa"/>
          </w:tcPr>
          <w:p w:rsidR="002A10F4" w:rsidRDefault="003567F6">
            <w:r>
              <w:t>CQ10</w:t>
            </w:r>
          </w:p>
        </w:tc>
        <w:tc>
          <w:tcPr>
            <w:tcW w:w="6338" w:type="dxa"/>
          </w:tcPr>
          <w:p w:rsidR="002A10F4" w:rsidRDefault="002A10F4" w:rsidP="002A10F4">
            <w:pPr>
              <w:pStyle w:val="xmsonormal"/>
            </w:pPr>
            <w:r>
              <w:t>Will the College require AD integration from the cloud hosted environment?</w:t>
            </w:r>
          </w:p>
        </w:tc>
        <w:tc>
          <w:tcPr>
            <w:tcW w:w="6339" w:type="dxa"/>
          </w:tcPr>
          <w:p w:rsidR="003567F6" w:rsidRPr="003567F6" w:rsidRDefault="003567F6" w:rsidP="003567F6">
            <w:pPr>
              <w:pStyle w:val="xmsonormal"/>
              <w:rPr>
                <w:rFonts w:eastAsia="Times New Roman"/>
              </w:rPr>
            </w:pPr>
            <w:r w:rsidRPr="003567F6">
              <w:rPr>
                <w:rFonts w:eastAsia="Times New Roman"/>
              </w:rPr>
              <w:t>The college has below AD integration requirement:</w:t>
            </w:r>
          </w:p>
          <w:p w:rsidR="003567F6" w:rsidRPr="003567F6" w:rsidRDefault="003567F6" w:rsidP="003567F6">
            <w:pPr>
              <w:pStyle w:val="xmsonormal"/>
              <w:numPr>
                <w:ilvl w:val="0"/>
                <w:numId w:val="4"/>
              </w:numPr>
              <w:rPr>
                <w:rFonts w:eastAsia="Times New Roman"/>
              </w:rPr>
            </w:pPr>
            <w:r w:rsidRPr="003567F6">
              <w:rPr>
                <w:rFonts w:eastAsia="Times New Roman"/>
              </w:rPr>
              <w:t>ability to interact with ADFS/Office365 for 2 way communication/integration</w:t>
            </w:r>
          </w:p>
          <w:p w:rsidR="003567F6" w:rsidRDefault="003567F6" w:rsidP="003567F6">
            <w:pPr>
              <w:pStyle w:val="xmsonormal"/>
              <w:numPr>
                <w:ilvl w:val="0"/>
                <w:numId w:val="4"/>
              </w:numPr>
              <w:rPr>
                <w:rFonts w:eastAsia="Times New Roman"/>
              </w:rPr>
            </w:pPr>
            <w:r w:rsidRPr="003567F6">
              <w:rPr>
                <w:rFonts w:eastAsia="Times New Roman"/>
              </w:rPr>
              <w:t>integration with ADFS for signed on and user management (ability to look up our ADFS)</w:t>
            </w:r>
          </w:p>
          <w:p w:rsidR="002A10F4" w:rsidRPr="002A10F4" w:rsidRDefault="002A10F4">
            <w:pPr>
              <w:rPr>
                <w:lang w:val="en-US"/>
              </w:rPr>
            </w:pPr>
          </w:p>
        </w:tc>
      </w:tr>
      <w:tr w:rsidR="00976183" w:rsidTr="00A40EA7">
        <w:tc>
          <w:tcPr>
            <w:tcW w:w="1271" w:type="dxa"/>
          </w:tcPr>
          <w:p w:rsidR="00976183" w:rsidRDefault="00976183">
            <w:r>
              <w:t>CQ11</w:t>
            </w:r>
          </w:p>
        </w:tc>
        <w:tc>
          <w:tcPr>
            <w:tcW w:w="6338" w:type="dxa"/>
          </w:tcPr>
          <w:p w:rsidR="00976183" w:rsidRDefault="00976183" w:rsidP="002A10F4">
            <w:pPr>
              <w:pStyle w:val="xmsonormal"/>
            </w:pPr>
            <w:r w:rsidRPr="00976183">
              <w:t>Please can we request more detail regarding the applicant tracking requirements?</w:t>
            </w:r>
          </w:p>
        </w:tc>
        <w:tc>
          <w:tcPr>
            <w:tcW w:w="6339" w:type="dxa"/>
          </w:tcPr>
          <w:p w:rsidR="00976183" w:rsidRPr="003567F6" w:rsidRDefault="00976183" w:rsidP="003567F6">
            <w:pPr>
              <w:pStyle w:val="xmsonormal"/>
              <w:rPr>
                <w:rFonts w:eastAsia="Times New Roman"/>
              </w:rPr>
            </w:pPr>
            <w:r w:rsidRPr="00976183">
              <w:rPr>
                <w:rFonts w:asciiTheme="minorHAnsi" w:hAnsiTheme="minorHAnsi" w:cstheme="minorBidi"/>
                <w:lang w:val="en-US" w:eastAsia="en-US"/>
              </w:rPr>
              <w:t>This is quite vague, detailed requirements will form part of the ITT. Broadly we want a system that provides an online portal for all vacancies and applicants. Where people can apply on line, also apply on mobile, the ability to add ‘killer questions’ where answers to these will automatically cause an applicant to be rejected. Managers to be able to view and shortlist candidates online. Applicants to be able to select their interview time on line once selected. Integration with external job boards.</w:t>
            </w:r>
          </w:p>
        </w:tc>
      </w:tr>
      <w:tr w:rsidR="00976183" w:rsidTr="00A40EA7">
        <w:tc>
          <w:tcPr>
            <w:tcW w:w="1271" w:type="dxa"/>
          </w:tcPr>
          <w:p w:rsidR="00976183" w:rsidRDefault="00976183">
            <w:r>
              <w:t>CQ12</w:t>
            </w:r>
          </w:p>
        </w:tc>
        <w:tc>
          <w:tcPr>
            <w:tcW w:w="6338" w:type="dxa"/>
          </w:tcPr>
          <w:p w:rsidR="00976183" w:rsidRDefault="00976183" w:rsidP="002A10F4">
            <w:pPr>
              <w:pStyle w:val="xmsonormal"/>
            </w:pPr>
            <w:r w:rsidRPr="00976183">
              <w:t>Please can you clarify what is meant by a single system, e.g. if the Applicant Tracking system was a separate system/database from the HR system does that disqualify the bidder?</w:t>
            </w:r>
          </w:p>
        </w:tc>
        <w:tc>
          <w:tcPr>
            <w:tcW w:w="6339" w:type="dxa"/>
          </w:tcPr>
          <w:p w:rsidR="00976183" w:rsidRPr="00976183" w:rsidRDefault="00976183" w:rsidP="00976183">
            <w:pPr>
              <w:pStyle w:val="xmsonormal"/>
              <w:rPr>
                <w:rFonts w:eastAsia="Times New Roman"/>
              </w:rPr>
            </w:pPr>
            <w:r w:rsidRPr="00976183">
              <w:rPr>
                <w:rFonts w:eastAsia="Times New Roman"/>
              </w:rPr>
              <w:t>a.</w:t>
            </w:r>
            <w:r w:rsidRPr="00976183">
              <w:rPr>
                <w:rFonts w:eastAsia="Times New Roman"/>
              </w:rPr>
              <w:tab/>
              <w:t>If there is close integration with an existing company and data is easily transferable from ATS to the HR system then that could work. Having said that they would be at a disadvantage to a comparable system with and integrated ATS.</w:t>
            </w:r>
          </w:p>
          <w:p w:rsidR="00976183" w:rsidRPr="00976183" w:rsidRDefault="00976183" w:rsidP="00976183">
            <w:pPr>
              <w:pStyle w:val="xmsonormal"/>
              <w:rPr>
                <w:rFonts w:eastAsia="Times New Roman"/>
              </w:rPr>
            </w:pPr>
            <w:r w:rsidRPr="00976183">
              <w:rPr>
                <w:rFonts w:eastAsia="Times New Roman"/>
              </w:rPr>
              <w:t>b.</w:t>
            </w:r>
            <w:r w:rsidRPr="00976183">
              <w:rPr>
                <w:rFonts w:eastAsia="Times New Roman"/>
              </w:rPr>
              <w:tab/>
              <w:t xml:space="preserve">Where systems aren’t integrated </w:t>
            </w:r>
            <w:r>
              <w:rPr>
                <w:rFonts w:eastAsia="Times New Roman"/>
              </w:rPr>
              <w:t>there may be concern</w:t>
            </w:r>
            <w:r w:rsidRPr="00976183">
              <w:rPr>
                <w:rFonts w:eastAsia="Times New Roman"/>
              </w:rPr>
              <w:t xml:space="preserve"> about how a system has developed, how the integration works and whether this will cause problems in the future.</w:t>
            </w:r>
          </w:p>
          <w:p w:rsidR="00976183" w:rsidRPr="003567F6" w:rsidRDefault="00976183" w:rsidP="00976183">
            <w:pPr>
              <w:pStyle w:val="xmsonormal"/>
              <w:rPr>
                <w:rFonts w:eastAsia="Times New Roman"/>
              </w:rPr>
            </w:pPr>
            <w:r w:rsidRPr="00976183">
              <w:rPr>
                <w:rFonts w:eastAsia="Times New Roman"/>
              </w:rPr>
              <w:t>c.</w:t>
            </w:r>
            <w:r w:rsidRPr="00976183">
              <w:rPr>
                <w:rFonts w:eastAsia="Times New Roman"/>
              </w:rPr>
              <w:tab/>
              <w:t>Any additional systems will need to be able to pass the same stringent cyber security tests as the main system.</w:t>
            </w:r>
          </w:p>
        </w:tc>
      </w:tr>
      <w:tr w:rsidR="00976183" w:rsidTr="00A40EA7">
        <w:tc>
          <w:tcPr>
            <w:tcW w:w="1271" w:type="dxa"/>
          </w:tcPr>
          <w:p w:rsidR="00976183" w:rsidRDefault="00976183">
            <w:r>
              <w:t>CQ13</w:t>
            </w:r>
          </w:p>
        </w:tc>
        <w:tc>
          <w:tcPr>
            <w:tcW w:w="6338" w:type="dxa"/>
          </w:tcPr>
          <w:p w:rsidR="00976183" w:rsidRDefault="00976183" w:rsidP="002A10F4">
            <w:pPr>
              <w:pStyle w:val="xmsonormal"/>
            </w:pPr>
            <w:r w:rsidRPr="00976183">
              <w:t>Please can we request further detail regarding the learning and development requirement?</w:t>
            </w:r>
          </w:p>
        </w:tc>
        <w:tc>
          <w:tcPr>
            <w:tcW w:w="6339" w:type="dxa"/>
          </w:tcPr>
          <w:p w:rsidR="00976183" w:rsidRPr="00976183" w:rsidRDefault="00976183" w:rsidP="00976183">
            <w:pPr>
              <w:pStyle w:val="xmsonormal"/>
              <w:rPr>
                <w:rFonts w:eastAsia="Times New Roman"/>
              </w:rPr>
            </w:pPr>
            <w:r w:rsidRPr="00976183">
              <w:rPr>
                <w:rFonts w:eastAsia="Times New Roman"/>
              </w:rPr>
              <w:t>a.</w:t>
            </w:r>
            <w:r w:rsidRPr="00976183">
              <w:rPr>
                <w:rFonts w:eastAsia="Times New Roman"/>
              </w:rPr>
              <w:tab/>
              <w:t xml:space="preserve">As a minimum we need the system to be able to handle a training calendar with the ability for employees to book on to existing courses. Also for us to be able to deal with all requests for training and development from employees. </w:t>
            </w:r>
          </w:p>
          <w:p w:rsidR="00976183" w:rsidRPr="00976183" w:rsidRDefault="00976183" w:rsidP="00976183">
            <w:pPr>
              <w:pStyle w:val="xmsonormal"/>
              <w:rPr>
                <w:rFonts w:eastAsia="Times New Roman"/>
              </w:rPr>
            </w:pPr>
            <w:r w:rsidRPr="00976183">
              <w:rPr>
                <w:rFonts w:eastAsia="Times New Roman"/>
              </w:rPr>
              <w:lastRenderedPageBreak/>
              <w:t>b.</w:t>
            </w:r>
            <w:r w:rsidRPr="00976183">
              <w:rPr>
                <w:rFonts w:eastAsia="Times New Roman"/>
              </w:rPr>
              <w:tab/>
              <w:t>The requirement isn’t for a full LMS with content etc.</w:t>
            </w:r>
          </w:p>
          <w:p w:rsidR="00976183" w:rsidRPr="003567F6" w:rsidRDefault="00976183" w:rsidP="00976183">
            <w:pPr>
              <w:pStyle w:val="xmsonormal"/>
              <w:rPr>
                <w:rFonts w:eastAsia="Times New Roman"/>
              </w:rPr>
            </w:pPr>
            <w:r w:rsidRPr="00976183">
              <w:rPr>
                <w:rFonts w:eastAsia="Times New Roman"/>
              </w:rPr>
              <w:t>c.</w:t>
            </w:r>
            <w:r w:rsidRPr="00976183">
              <w:rPr>
                <w:rFonts w:eastAsia="Times New Roman"/>
              </w:rPr>
              <w:tab/>
              <w:t>Ability to do appraisals in the system.</w:t>
            </w:r>
          </w:p>
        </w:tc>
      </w:tr>
      <w:tr w:rsidR="00976183" w:rsidTr="00A40EA7">
        <w:tc>
          <w:tcPr>
            <w:tcW w:w="1271" w:type="dxa"/>
          </w:tcPr>
          <w:p w:rsidR="00976183" w:rsidRDefault="00976183">
            <w:r>
              <w:lastRenderedPageBreak/>
              <w:t>CQ14</w:t>
            </w:r>
          </w:p>
        </w:tc>
        <w:tc>
          <w:tcPr>
            <w:tcW w:w="6338" w:type="dxa"/>
          </w:tcPr>
          <w:p w:rsidR="00976183" w:rsidRPr="00976183" w:rsidRDefault="00534CF4" w:rsidP="002A10F4">
            <w:pPr>
              <w:pStyle w:val="xmsonormal"/>
            </w:pPr>
            <w:r w:rsidRPr="00534CF4">
              <w:t>How many people are directly involved in HR at the moment?</w:t>
            </w:r>
          </w:p>
        </w:tc>
        <w:tc>
          <w:tcPr>
            <w:tcW w:w="6339" w:type="dxa"/>
          </w:tcPr>
          <w:p w:rsidR="00976183" w:rsidRPr="00976183" w:rsidRDefault="00534CF4" w:rsidP="00976183">
            <w:pPr>
              <w:pStyle w:val="xmsonormal"/>
              <w:rPr>
                <w:rFonts w:eastAsia="Times New Roman"/>
              </w:rPr>
            </w:pPr>
            <w:bookmarkStart w:id="0" w:name="_GoBack"/>
            <w:bookmarkEnd w:id="0"/>
            <w:r w:rsidRPr="00534CF4">
              <w:rPr>
                <w:rFonts w:eastAsia="Times New Roman"/>
              </w:rPr>
              <w:t>There are currently 13 people in HR</w:t>
            </w:r>
          </w:p>
        </w:tc>
      </w:tr>
    </w:tbl>
    <w:p w:rsidR="00A40EA7" w:rsidRDefault="00A40EA7"/>
    <w:p w:rsidR="00A40EA7" w:rsidRDefault="00A40EA7"/>
    <w:sectPr w:rsidR="00A40EA7" w:rsidSect="00A40EA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EE2D0E"/>
    <w:multiLevelType w:val="hybridMultilevel"/>
    <w:tmpl w:val="5540DC7E"/>
    <w:lvl w:ilvl="0" w:tplc="DF38EF06">
      <w:start w:val="1"/>
      <w:numFmt w:val="bullet"/>
      <w:lvlText w:val="-"/>
      <w:lvlJc w:val="left"/>
      <w:pPr>
        <w:ind w:left="1080" w:hanging="360"/>
      </w:pPr>
      <w:rPr>
        <w:rFonts w:ascii="Calibri" w:eastAsia="DengXi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50A5216C"/>
    <w:multiLevelType w:val="hybridMultilevel"/>
    <w:tmpl w:val="EE2EE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A31028"/>
    <w:multiLevelType w:val="hybridMultilevel"/>
    <w:tmpl w:val="0BB44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EA7"/>
    <w:rsid w:val="00185230"/>
    <w:rsid w:val="002A10F4"/>
    <w:rsid w:val="003567F6"/>
    <w:rsid w:val="00534CF4"/>
    <w:rsid w:val="005D2A74"/>
    <w:rsid w:val="00890FAB"/>
    <w:rsid w:val="008E2C76"/>
    <w:rsid w:val="00976183"/>
    <w:rsid w:val="00A1306A"/>
    <w:rsid w:val="00A40EA7"/>
    <w:rsid w:val="00AC52E1"/>
    <w:rsid w:val="00E35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76139-617B-4F07-97E7-C554754A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0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52E1"/>
    <w:rPr>
      <w:color w:val="0563C1" w:themeColor="hyperlink"/>
      <w:u w:val="single"/>
    </w:rPr>
  </w:style>
  <w:style w:type="paragraph" w:styleId="ListParagraph">
    <w:name w:val="List Paragraph"/>
    <w:basedOn w:val="Normal"/>
    <w:uiPriority w:val="34"/>
    <w:qFormat/>
    <w:rsid w:val="008E2C76"/>
    <w:pPr>
      <w:ind w:left="720"/>
      <w:contextualSpacing/>
    </w:pPr>
  </w:style>
  <w:style w:type="paragraph" w:customStyle="1" w:styleId="xmsonormal">
    <w:name w:val="x_msonormal"/>
    <w:basedOn w:val="Normal"/>
    <w:rsid w:val="002A10F4"/>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90605">
      <w:bodyDiv w:val="1"/>
      <w:marLeft w:val="0"/>
      <w:marRight w:val="0"/>
      <w:marTop w:val="0"/>
      <w:marBottom w:val="0"/>
      <w:divBdr>
        <w:top w:val="none" w:sz="0" w:space="0" w:color="auto"/>
        <w:left w:val="none" w:sz="0" w:space="0" w:color="auto"/>
        <w:bottom w:val="none" w:sz="0" w:space="0" w:color="auto"/>
        <w:right w:val="none" w:sz="0" w:space="0" w:color="auto"/>
      </w:divBdr>
    </w:div>
    <w:div w:id="430664561">
      <w:bodyDiv w:val="1"/>
      <w:marLeft w:val="0"/>
      <w:marRight w:val="0"/>
      <w:marTop w:val="0"/>
      <w:marBottom w:val="0"/>
      <w:divBdr>
        <w:top w:val="none" w:sz="0" w:space="0" w:color="auto"/>
        <w:left w:val="none" w:sz="0" w:space="0" w:color="auto"/>
        <w:bottom w:val="none" w:sz="0" w:space="0" w:color="auto"/>
        <w:right w:val="none" w:sz="0" w:space="0" w:color="auto"/>
      </w:divBdr>
    </w:div>
    <w:div w:id="469709606">
      <w:bodyDiv w:val="1"/>
      <w:marLeft w:val="0"/>
      <w:marRight w:val="0"/>
      <w:marTop w:val="0"/>
      <w:marBottom w:val="0"/>
      <w:divBdr>
        <w:top w:val="none" w:sz="0" w:space="0" w:color="auto"/>
        <w:left w:val="none" w:sz="0" w:space="0" w:color="auto"/>
        <w:bottom w:val="none" w:sz="0" w:space="0" w:color="auto"/>
        <w:right w:val="none" w:sz="0" w:space="0" w:color="auto"/>
      </w:divBdr>
    </w:div>
    <w:div w:id="506866869">
      <w:bodyDiv w:val="1"/>
      <w:marLeft w:val="0"/>
      <w:marRight w:val="0"/>
      <w:marTop w:val="0"/>
      <w:marBottom w:val="0"/>
      <w:divBdr>
        <w:top w:val="none" w:sz="0" w:space="0" w:color="auto"/>
        <w:left w:val="none" w:sz="0" w:space="0" w:color="auto"/>
        <w:bottom w:val="none" w:sz="0" w:space="0" w:color="auto"/>
        <w:right w:val="none" w:sz="0" w:space="0" w:color="auto"/>
      </w:divBdr>
    </w:div>
    <w:div w:id="550070205">
      <w:bodyDiv w:val="1"/>
      <w:marLeft w:val="0"/>
      <w:marRight w:val="0"/>
      <w:marTop w:val="0"/>
      <w:marBottom w:val="0"/>
      <w:divBdr>
        <w:top w:val="none" w:sz="0" w:space="0" w:color="auto"/>
        <w:left w:val="none" w:sz="0" w:space="0" w:color="auto"/>
        <w:bottom w:val="none" w:sz="0" w:space="0" w:color="auto"/>
        <w:right w:val="none" w:sz="0" w:space="0" w:color="auto"/>
      </w:divBdr>
    </w:div>
    <w:div w:id="685521446">
      <w:bodyDiv w:val="1"/>
      <w:marLeft w:val="0"/>
      <w:marRight w:val="0"/>
      <w:marTop w:val="0"/>
      <w:marBottom w:val="0"/>
      <w:divBdr>
        <w:top w:val="none" w:sz="0" w:space="0" w:color="auto"/>
        <w:left w:val="none" w:sz="0" w:space="0" w:color="auto"/>
        <w:bottom w:val="none" w:sz="0" w:space="0" w:color="auto"/>
        <w:right w:val="none" w:sz="0" w:space="0" w:color="auto"/>
      </w:divBdr>
    </w:div>
    <w:div w:id="696006306">
      <w:bodyDiv w:val="1"/>
      <w:marLeft w:val="0"/>
      <w:marRight w:val="0"/>
      <w:marTop w:val="0"/>
      <w:marBottom w:val="0"/>
      <w:divBdr>
        <w:top w:val="none" w:sz="0" w:space="0" w:color="auto"/>
        <w:left w:val="none" w:sz="0" w:space="0" w:color="auto"/>
        <w:bottom w:val="none" w:sz="0" w:space="0" w:color="auto"/>
        <w:right w:val="none" w:sz="0" w:space="0" w:color="auto"/>
      </w:divBdr>
    </w:div>
    <w:div w:id="1013191218">
      <w:bodyDiv w:val="1"/>
      <w:marLeft w:val="0"/>
      <w:marRight w:val="0"/>
      <w:marTop w:val="0"/>
      <w:marBottom w:val="0"/>
      <w:divBdr>
        <w:top w:val="none" w:sz="0" w:space="0" w:color="auto"/>
        <w:left w:val="none" w:sz="0" w:space="0" w:color="auto"/>
        <w:bottom w:val="none" w:sz="0" w:space="0" w:color="auto"/>
        <w:right w:val="none" w:sz="0" w:space="0" w:color="auto"/>
      </w:divBdr>
    </w:div>
    <w:div w:id="1092162615">
      <w:bodyDiv w:val="1"/>
      <w:marLeft w:val="0"/>
      <w:marRight w:val="0"/>
      <w:marTop w:val="0"/>
      <w:marBottom w:val="0"/>
      <w:divBdr>
        <w:top w:val="none" w:sz="0" w:space="0" w:color="auto"/>
        <w:left w:val="none" w:sz="0" w:space="0" w:color="auto"/>
        <w:bottom w:val="none" w:sz="0" w:space="0" w:color="auto"/>
        <w:right w:val="none" w:sz="0" w:space="0" w:color="auto"/>
      </w:divBdr>
    </w:div>
    <w:div w:id="1180318962">
      <w:bodyDiv w:val="1"/>
      <w:marLeft w:val="0"/>
      <w:marRight w:val="0"/>
      <w:marTop w:val="0"/>
      <w:marBottom w:val="0"/>
      <w:divBdr>
        <w:top w:val="none" w:sz="0" w:space="0" w:color="auto"/>
        <w:left w:val="none" w:sz="0" w:space="0" w:color="auto"/>
        <w:bottom w:val="none" w:sz="0" w:space="0" w:color="auto"/>
        <w:right w:val="none" w:sz="0" w:space="0" w:color="auto"/>
      </w:divBdr>
    </w:div>
    <w:div w:id="1198542154">
      <w:bodyDiv w:val="1"/>
      <w:marLeft w:val="0"/>
      <w:marRight w:val="0"/>
      <w:marTop w:val="0"/>
      <w:marBottom w:val="0"/>
      <w:divBdr>
        <w:top w:val="none" w:sz="0" w:space="0" w:color="auto"/>
        <w:left w:val="none" w:sz="0" w:space="0" w:color="auto"/>
        <w:bottom w:val="none" w:sz="0" w:space="0" w:color="auto"/>
        <w:right w:val="none" w:sz="0" w:space="0" w:color="auto"/>
      </w:divBdr>
    </w:div>
    <w:div w:id="1206916523">
      <w:bodyDiv w:val="1"/>
      <w:marLeft w:val="0"/>
      <w:marRight w:val="0"/>
      <w:marTop w:val="0"/>
      <w:marBottom w:val="0"/>
      <w:divBdr>
        <w:top w:val="none" w:sz="0" w:space="0" w:color="auto"/>
        <w:left w:val="none" w:sz="0" w:space="0" w:color="auto"/>
        <w:bottom w:val="none" w:sz="0" w:space="0" w:color="auto"/>
        <w:right w:val="none" w:sz="0" w:space="0" w:color="auto"/>
      </w:divBdr>
    </w:div>
    <w:div w:id="1454207613">
      <w:bodyDiv w:val="1"/>
      <w:marLeft w:val="0"/>
      <w:marRight w:val="0"/>
      <w:marTop w:val="0"/>
      <w:marBottom w:val="0"/>
      <w:divBdr>
        <w:top w:val="none" w:sz="0" w:space="0" w:color="auto"/>
        <w:left w:val="none" w:sz="0" w:space="0" w:color="auto"/>
        <w:bottom w:val="none" w:sz="0" w:space="0" w:color="auto"/>
        <w:right w:val="none" w:sz="0" w:space="0" w:color="auto"/>
      </w:divBdr>
    </w:div>
    <w:div w:id="1716546324">
      <w:bodyDiv w:val="1"/>
      <w:marLeft w:val="0"/>
      <w:marRight w:val="0"/>
      <w:marTop w:val="0"/>
      <w:marBottom w:val="0"/>
      <w:divBdr>
        <w:top w:val="none" w:sz="0" w:space="0" w:color="auto"/>
        <w:left w:val="none" w:sz="0" w:space="0" w:color="auto"/>
        <w:bottom w:val="none" w:sz="0" w:space="0" w:color="auto"/>
        <w:right w:val="none" w:sz="0" w:space="0" w:color="auto"/>
      </w:divBdr>
    </w:div>
    <w:div w:id="176969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curement@rcplondon.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908</TotalTime>
  <Pages>3</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Royal College of Physicians</Company>
  <LinksUpToDate>false</LinksUpToDate>
  <CharactersWithSpaces>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Janita Vara</dc:creator>
  <cp:keywords/>
  <dc:description/>
  <cp:lastModifiedBy>Janita Vara</cp:lastModifiedBy>
  <cp:revision>4</cp:revision>
  <dcterms:created xsi:type="dcterms:W3CDTF">2019-12-16T15:54:00Z</dcterms:created>
  <dcterms:modified xsi:type="dcterms:W3CDTF">2019-12-23T21:48:00Z</dcterms:modified>
</cp:coreProperties>
</file>