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9F66B" w14:textId="7B5AA07F" w:rsidR="00136409" w:rsidRPr="0099061F" w:rsidRDefault="0066791D" w:rsidP="00BC6CBC">
      <w:pPr>
        <w:spacing w:line="276" w:lineRule="auto"/>
        <w:rPr>
          <w:b/>
        </w:rPr>
      </w:pPr>
      <w:r w:rsidRPr="0099061F">
        <w:rPr>
          <w:b/>
        </w:rPr>
        <w:t>Annex A – Suggested outline for senior leadership programme, illustrating core elements to be delivered by the supplier, and business related elements to be delivered by ORR</w:t>
      </w:r>
    </w:p>
    <w:p w14:paraId="4278443B" w14:textId="77777777" w:rsidR="00B53676" w:rsidRPr="0099061F" w:rsidRDefault="00B53676" w:rsidP="00BC6CBC">
      <w:pPr>
        <w:spacing w:line="276" w:lineRule="auto"/>
      </w:pPr>
    </w:p>
    <w:tbl>
      <w:tblPr>
        <w:tblStyle w:val="TableGrid"/>
        <w:tblW w:w="140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95"/>
        <w:gridCol w:w="5613"/>
        <w:gridCol w:w="2693"/>
        <w:gridCol w:w="1559"/>
      </w:tblGrid>
      <w:tr w:rsidR="007D06C3" w:rsidRPr="0099061F" w14:paraId="4C1047D9" w14:textId="77777777" w:rsidTr="007D06C3">
        <w:trPr>
          <w:cantSplit/>
          <w:tblHeader/>
        </w:trPr>
        <w:tc>
          <w:tcPr>
            <w:tcW w:w="4195" w:type="dxa"/>
          </w:tcPr>
          <w:p w14:paraId="5F8CCF5C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Content led by ORR</w:t>
            </w:r>
          </w:p>
        </w:tc>
        <w:tc>
          <w:tcPr>
            <w:tcW w:w="5613" w:type="dxa"/>
          </w:tcPr>
          <w:p w14:paraId="37FBEFBD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Content led by supplier</w:t>
            </w:r>
          </w:p>
        </w:tc>
        <w:tc>
          <w:tcPr>
            <w:tcW w:w="2693" w:type="dxa"/>
          </w:tcPr>
          <w:p w14:paraId="5728EE0A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Attendance</w:t>
            </w:r>
          </w:p>
        </w:tc>
        <w:tc>
          <w:tcPr>
            <w:tcW w:w="1559" w:type="dxa"/>
          </w:tcPr>
          <w:p w14:paraId="5840E14E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Time required</w:t>
            </w:r>
          </w:p>
        </w:tc>
      </w:tr>
      <w:tr w:rsidR="007D06C3" w:rsidRPr="0099061F" w14:paraId="032AA12D" w14:textId="77777777" w:rsidTr="007D06C3">
        <w:trPr>
          <w:cantSplit/>
        </w:trPr>
        <w:tc>
          <w:tcPr>
            <w:tcW w:w="4195" w:type="dxa"/>
            <w:shd w:val="clear" w:color="auto" w:fill="D6E3BC" w:themeFill="accent3" w:themeFillTint="66"/>
          </w:tcPr>
          <w:p w14:paraId="27A139DB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Introductory session: </w:t>
            </w:r>
          </w:p>
          <w:p w14:paraId="6F356138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ORR’s story, </w:t>
            </w:r>
          </w:p>
          <w:p w14:paraId="6DDF994D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Significance of leadership programme, </w:t>
            </w:r>
          </w:p>
          <w:p w14:paraId="360917D5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Stories of good leaders</w:t>
            </w:r>
          </w:p>
          <w:p w14:paraId="15E41FC5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Ambitions for the participants</w:t>
            </w:r>
          </w:p>
          <w:p w14:paraId="6BA396CA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13" w:type="dxa"/>
            <w:shd w:val="clear" w:color="auto" w:fill="D6E3BC" w:themeFill="accent3" w:themeFillTint="66"/>
          </w:tcPr>
          <w:p w14:paraId="7DDCB57F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172BBB8E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Chair and chief executive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03C6F827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1 ½ hours</w:t>
            </w:r>
          </w:p>
        </w:tc>
      </w:tr>
      <w:tr w:rsidR="007D06C3" w:rsidRPr="0099061F" w14:paraId="73F48424" w14:textId="77777777" w:rsidTr="007D06C3">
        <w:trPr>
          <w:cantSplit/>
        </w:trPr>
        <w:tc>
          <w:tcPr>
            <w:tcW w:w="4195" w:type="dxa"/>
            <w:shd w:val="clear" w:color="auto" w:fill="FDE9D9" w:themeFill="accent6" w:themeFillTint="33"/>
          </w:tcPr>
          <w:p w14:paraId="1575E6E2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13" w:type="dxa"/>
            <w:shd w:val="clear" w:color="auto" w:fill="FDE9D9" w:themeFill="accent6" w:themeFillTint="33"/>
          </w:tcPr>
          <w:p w14:paraId="67273408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Session 1 – Understanding self</w:t>
            </w:r>
          </w:p>
          <w:p w14:paraId="66041622" w14:textId="77777777" w:rsidR="00B53676" w:rsidRPr="0099061F" w:rsidRDefault="00B53676" w:rsidP="00B26844">
            <w:pPr>
              <w:ind w:left="426" w:hanging="426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•</w:t>
            </w:r>
            <w:r w:rsidRPr="0099061F">
              <w:rPr>
                <w:rFonts w:asciiTheme="minorHAnsi" w:hAnsiTheme="minorHAnsi" w:cs="Arial"/>
                <w:sz w:val="22"/>
                <w:szCs w:val="22"/>
              </w:rPr>
              <w:tab/>
              <w:t xml:space="preserve">Developing self-awareness (including psychometrics, 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16pf, MBTI, coaching, 360 feedback)</w:t>
            </w:r>
          </w:p>
          <w:p w14:paraId="45D20086" w14:textId="77777777" w:rsidR="00B53676" w:rsidRPr="0099061F" w:rsidRDefault="00B53676" w:rsidP="00B26844">
            <w:pPr>
              <w:ind w:left="426" w:hanging="426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•</w:t>
            </w:r>
            <w:r w:rsidRPr="0099061F">
              <w:rPr>
                <w:rFonts w:asciiTheme="minorHAnsi" w:hAnsiTheme="minorHAnsi" w:cs="Arial"/>
                <w:sz w:val="22"/>
                <w:szCs w:val="22"/>
              </w:rPr>
              <w:tab/>
              <w:t xml:space="preserve">learning from others </w:t>
            </w:r>
          </w:p>
          <w:p w14:paraId="246AFD48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•</w:t>
            </w:r>
            <w:r w:rsidRPr="0099061F">
              <w:rPr>
                <w:rFonts w:asciiTheme="minorHAnsi" w:hAnsiTheme="minorHAnsi" w:cs="Arial"/>
                <w:sz w:val="22"/>
                <w:szCs w:val="22"/>
              </w:rPr>
              <w:tab/>
              <w:t>Acting as a role model by demonstrating the highest standards of professional behaviour and commitment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37837C83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A4C80C3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days</w:t>
            </w:r>
          </w:p>
        </w:tc>
      </w:tr>
      <w:tr w:rsidR="007D06C3" w:rsidRPr="0099061F" w14:paraId="5544D43D" w14:textId="77777777" w:rsidTr="007D06C3">
        <w:trPr>
          <w:cantSplit/>
        </w:trPr>
        <w:tc>
          <w:tcPr>
            <w:tcW w:w="4195" w:type="dxa"/>
            <w:shd w:val="clear" w:color="auto" w:fill="B6DDE8" w:themeFill="accent5" w:themeFillTint="66"/>
          </w:tcPr>
          <w:p w14:paraId="067E47FA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Workshop with cadre members to develop plans for the rest of the programme, particularly project identification, subjects for masterclasses and selection of teach in subjects and approaches</w:t>
            </w:r>
          </w:p>
        </w:tc>
        <w:tc>
          <w:tcPr>
            <w:tcW w:w="5613" w:type="dxa"/>
            <w:shd w:val="clear" w:color="auto" w:fill="B6DDE8" w:themeFill="accent5" w:themeFillTint="66"/>
          </w:tcPr>
          <w:p w14:paraId="359BEEB4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B6DDE8" w:themeFill="accent5" w:themeFillTint="66"/>
          </w:tcPr>
          <w:p w14:paraId="3A2141AA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HR and cadre members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28E0DB2B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1 ½ hours</w:t>
            </w:r>
          </w:p>
        </w:tc>
      </w:tr>
      <w:tr w:rsidR="007D06C3" w:rsidRPr="0099061F" w14:paraId="109FF0F4" w14:textId="77777777" w:rsidTr="007D06C3">
        <w:trPr>
          <w:cantSplit/>
        </w:trPr>
        <w:tc>
          <w:tcPr>
            <w:tcW w:w="4195" w:type="dxa"/>
            <w:shd w:val="clear" w:color="auto" w:fill="E5B8B7" w:themeFill="accent2" w:themeFillTint="66"/>
          </w:tcPr>
          <w:p w14:paraId="4C8F1D46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Masterclass by Executive Committee member on their experience 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of difficult choices/integrity</w:t>
            </w:r>
          </w:p>
          <w:p w14:paraId="2962DC99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Followed by discussion on values</w:t>
            </w:r>
          </w:p>
        </w:tc>
        <w:tc>
          <w:tcPr>
            <w:tcW w:w="5613" w:type="dxa"/>
            <w:shd w:val="clear" w:color="auto" w:fill="E5B8B7" w:themeFill="accent2" w:themeFillTint="66"/>
          </w:tcPr>
          <w:p w14:paraId="50B5AF13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14:paraId="650A4F68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Executive Committee member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57952B03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1 hour</w:t>
            </w:r>
          </w:p>
        </w:tc>
      </w:tr>
      <w:tr w:rsidR="007D06C3" w:rsidRPr="0099061F" w14:paraId="6F368AF1" w14:textId="77777777" w:rsidTr="007D06C3">
        <w:trPr>
          <w:cantSplit/>
        </w:trPr>
        <w:tc>
          <w:tcPr>
            <w:tcW w:w="4195" w:type="dxa"/>
            <w:shd w:val="clear" w:color="auto" w:fill="CCC0D9" w:themeFill="accent4" w:themeFillTint="66"/>
          </w:tcPr>
          <w:p w14:paraId="62EB7277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Teach in on relevant subject – 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stress management, work-life balance, mental health issues (with links to understanding and leading others)</w:t>
            </w:r>
          </w:p>
        </w:tc>
        <w:tc>
          <w:tcPr>
            <w:tcW w:w="5613" w:type="dxa"/>
            <w:shd w:val="clear" w:color="auto" w:fill="CCC0D9" w:themeFill="accent4" w:themeFillTint="66"/>
          </w:tcPr>
          <w:p w14:paraId="7D933769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13C1C4D6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Developed and led by  cadre members as part of course work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0BA90BCE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hours</w:t>
            </w:r>
          </w:p>
        </w:tc>
      </w:tr>
      <w:tr w:rsidR="007D06C3" w:rsidRPr="0099061F" w14:paraId="3DD5FB25" w14:textId="77777777" w:rsidTr="007D06C3">
        <w:trPr>
          <w:cantSplit/>
        </w:trPr>
        <w:tc>
          <w:tcPr>
            <w:tcW w:w="4195" w:type="dxa"/>
            <w:shd w:val="clear" w:color="auto" w:fill="FDE9D9" w:themeFill="accent6" w:themeFillTint="33"/>
          </w:tcPr>
          <w:p w14:paraId="1A7D26BB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13" w:type="dxa"/>
            <w:shd w:val="clear" w:color="auto" w:fill="FDE9D9" w:themeFill="accent6" w:themeFillTint="33"/>
          </w:tcPr>
          <w:p w14:paraId="4E438C0E" w14:textId="77777777" w:rsidR="00B53676" w:rsidRPr="0099061F" w:rsidRDefault="00B53676" w:rsidP="00B26844">
            <w:pPr>
              <w:ind w:left="426" w:hanging="426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Session 2 - Driving the business of ORR:</w:t>
            </w:r>
          </w:p>
          <w:p w14:paraId="1060D0CD" w14:textId="77777777" w:rsidR="00B53676" w:rsidRPr="0099061F" w:rsidRDefault="00B53676" w:rsidP="00B26844">
            <w:pPr>
              <w:ind w:left="426" w:hanging="426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•</w:t>
            </w:r>
            <w:r w:rsidRPr="0099061F">
              <w:rPr>
                <w:rFonts w:asciiTheme="minorHAnsi" w:hAnsiTheme="minorHAnsi" w:cs="Arial"/>
                <w:sz w:val="22"/>
                <w:szCs w:val="22"/>
              </w:rPr>
              <w:tab/>
              <w:t>Engaging with the organisation's vision and purpose. Developing a strong and consistent personal narrative internally and externally to support this.</w:t>
            </w:r>
          </w:p>
          <w:p w14:paraId="6D370889" w14:textId="77777777" w:rsidR="00B53676" w:rsidRPr="0099061F" w:rsidRDefault="00B53676" w:rsidP="00B26844">
            <w:pPr>
              <w:ind w:left="426" w:hanging="426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•</w:t>
            </w:r>
            <w:r w:rsidRPr="0099061F">
              <w:rPr>
                <w:rFonts w:asciiTheme="minorHAnsi" w:hAnsiTheme="minorHAnsi" w:cs="Arial"/>
                <w:sz w:val="22"/>
                <w:szCs w:val="22"/>
              </w:rPr>
              <w:tab/>
              <w:t>Understanding own and team's contribution in realising this vision</w:t>
            </w:r>
          </w:p>
          <w:p w14:paraId="5095C6C1" w14:textId="77777777" w:rsidR="008F6AE1" w:rsidRPr="0099061F" w:rsidRDefault="00B53676" w:rsidP="008F6AE1">
            <w:pPr>
              <w:ind w:left="426" w:hanging="426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•</w:t>
            </w:r>
            <w:r w:rsidRPr="0099061F">
              <w:rPr>
                <w:rFonts w:asciiTheme="minorHAnsi" w:hAnsiTheme="minorHAnsi" w:cs="Arial"/>
                <w:sz w:val="22"/>
                <w:szCs w:val="22"/>
              </w:rPr>
              <w:tab/>
              <w:t>Creating clear objectives around deliverables and behaviours that encourage collaboration across teams</w:t>
            </w:r>
          </w:p>
          <w:p w14:paraId="4585434C" w14:textId="1CF6BE72" w:rsidR="00B53676" w:rsidRPr="0099061F" w:rsidRDefault="00B53676" w:rsidP="008F6A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Recognising and developing individuals' potential and addressing performance issues at an early stage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2473A17D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Supplier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14:paraId="0306FAF3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days</w:t>
            </w:r>
          </w:p>
        </w:tc>
      </w:tr>
      <w:tr w:rsidR="007D06C3" w:rsidRPr="0099061F" w14:paraId="1FE96E95" w14:textId="77777777" w:rsidTr="007D06C3">
        <w:trPr>
          <w:cantSplit/>
        </w:trPr>
        <w:tc>
          <w:tcPr>
            <w:tcW w:w="4195" w:type="dxa"/>
            <w:shd w:val="clear" w:color="auto" w:fill="E5B8B7" w:themeFill="accent2" w:themeFillTint="66"/>
          </w:tcPr>
          <w:p w14:paraId="55107D21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Masterclass by Executive Committee member or guest speaker on their experience of 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delivery in the real world</w:t>
            </w:r>
          </w:p>
        </w:tc>
        <w:tc>
          <w:tcPr>
            <w:tcW w:w="5613" w:type="dxa"/>
            <w:shd w:val="clear" w:color="auto" w:fill="E5B8B7" w:themeFill="accent2" w:themeFillTint="66"/>
          </w:tcPr>
          <w:p w14:paraId="749D3ECA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14:paraId="4F7EC97D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Executive Committee member or guest speaker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4E048EDC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1 hour</w:t>
            </w:r>
          </w:p>
        </w:tc>
      </w:tr>
      <w:tr w:rsidR="007D06C3" w:rsidRPr="0099061F" w14:paraId="16880105" w14:textId="77777777" w:rsidTr="007D06C3">
        <w:trPr>
          <w:cantSplit/>
        </w:trPr>
        <w:tc>
          <w:tcPr>
            <w:tcW w:w="4195" w:type="dxa"/>
            <w:shd w:val="clear" w:color="auto" w:fill="CCC0D9" w:themeFill="accent4" w:themeFillTint="66"/>
          </w:tcPr>
          <w:p w14:paraId="594409BE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Teach in on relevant subject – 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setting objectives, effective assessment, managing bias, getting the best from people</w:t>
            </w:r>
          </w:p>
        </w:tc>
        <w:tc>
          <w:tcPr>
            <w:tcW w:w="5613" w:type="dxa"/>
            <w:shd w:val="clear" w:color="auto" w:fill="CCC0D9" w:themeFill="accent4" w:themeFillTint="66"/>
          </w:tcPr>
          <w:p w14:paraId="2236A008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24A61CDD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Developed and led by cadre members as part of course work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13AE087B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hours</w:t>
            </w:r>
          </w:p>
        </w:tc>
      </w:tr>
      <w:tr w:rsidR="007D06C3" w:rsidRPr="0099061F" w14:paraId="14E41886" w14:textId="77777777" w:rsidTr="007D06C3">
        <w:trPr>
          <w:cantSplit/>
        </w:trPr>
        <w:tc>
          <w:tcPr>
            <w:tcW w:w="4195" w:type="dxa"/>
            <w:shd w:val="clear" w:color="auto" w:fill="FDE9D9" w:themeFill="accent6" w:themeFillTint="33"/>
          </w:tcPr>
          <w:p w14:paraId="7A9BE857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13" w:type="dxa"/>
            <w:shd w:val="clear" w:color="auto" w:fill="FDE9D9" w:themeFill="accent6" w:themeFillTint="33"/>
          </w:tcPr>
          <w:p w14:paraId="4A2D5567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Session 3. Working effectively with stakeholders:</w:t>
            </w:r>
          </w:p>
          <w:p w14:paraId="48323DBD" w14:textId="77777777" w:rsidR="00B53676" w:rsidRPr="0099061F" w:rsidRDefault="00B53676" w:rsidP="00B26844">
            <w:pPr>
              <w:ind w:left="426" w:hanging="426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•</w:t>
            </w:r>
            <w:r w:rsidRPr="0099061F">
              <w:rPr>
                <w:rFonts w:asciiTheme="minorHAnsi" w:hAnsiTheme="minorHAnsi" w:cs="Arial"/>
                <w:sz w:val="22"/>
                <w:szCs w:val="22"/>
              </w:rPr>
              <w:tab/>
              <w:t>leveraging ORR's role and reputation as an effective regulator</w:t>
            </w:r>
          </w:p>
          <w:p w14:paraId="4A775606" w14:textId="34A23F21" w:rsidR="00B53676" w:rsidRPr="0099061F" w:rsidRDefault="008F6AE1" w:rsidP="008F6A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B53676" w:rsidRPr="0099061F">
              <w:rPr>
                <w:rFonts w:asciiTheme="minorHAnsi" w:hAnsiTheme="minorHAnsi" w:cs="Arial"/>
                <w:sz w:val="22"/>
                <w:szCs w:val="22"/>
              </w:rPr>
              <w:t>ommunicating with stakeholders clearly, consistently and with integrity</w:t>
            </w:r>
          </w:p>
        </w:tc>
        <w:tc>
          <w:tcPr>
            <w:tcW w:w="2693" w:type="dxa"/>
            <w:shd w:val="clear" w:color="auto" w:fill="FDE9D9" w:themeFill="accent6" w:themeFillTint="33"/>
          </w:tcPr>
          <w:p w14:paraId="5F2C0044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613139C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days</w:t>
            </w:r>
          </w:p>
        </w:tc>
      </w:tr>
      <w:tr w:rsidR="007D06C3" w:rsidRPr="0099061F" w14:paraId="5745D282" w14:textId="77777777" w:rsidTr="007D06C3">
        <w:trPr>
          <w:cantSplit/>
        </w:trPr>
        <w:tc>
          <w:tcPr>
            <w:tcW w:w="4195" w:type="dxa"/>
            <w:shd w:val="clear" w:color="auto" w:fill="E5B8B7" w:themeFill="accent2" w:themeFillTint="66"/>
          </w:tcPr>
          <w:p w14:paraId="0D8D7FC9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Masterclass by Executive Committee member or guest speaker on a case study of 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shifting stakeholder perceptions in the real world</w:t>
            </w:r>
          </w:p>
        </w:tc>
        <w:tc>
          <w:tcPr>
            <w:tcW w:w="5613" w:type="dxa"/>
            <w:shd w:val="clear" w:color="auto" w:fill="E5B8B7" w:themeFill="accent2" w:themeFillTint="66"/>
          </w:tcPr>
          <w:p w14:paraId="086BF0DA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14:paraId="3003A2D4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Executive Committee member or guest speaker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168A6B5F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1 hour</w:t>
            </w:r>
          </w:p>
        </w:tc>
      </w:tr>
      <w:tr w:rsidR="007D06C3" w:rsidRPr="0099061F" w14:paraId="24BAA9D5" w14:textId="77777777" w:rsidTr="007D06C3">
        <w:trPr>
          <w:cantSplit/>
        </w:trPr>
        <w:tc>
          <w:tcPr>
            <w:tcW w:w="4195" w:type="dxa"/>
            <w:shd w:val="clear" w:color="auto" w:fill="CCC0D9" w:themeFill="accent4" w:themeFillTint="66"/>
          </w:tcPr>
          <w:p w14:paraId="2CA9AB81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Teach in on relevant subject – 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eg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segmenting the audience, managing expectations, difficult messages, impact</w:t>
            </w:r>
          </w:p>
        </w:tc>
        <w:tc>
          <w:tcPr>
            <w:tcW w:w="5613" w:type="dxa"/>
            <w:shd w:val="clear" w:color="auto" w:fill="CCC0D9" w:themeFill="accent4" w:themeFillTint="66"/>
          </w:tcPr>
          <w:p w14:paraId="04254B62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CCC0D9" w:themeFill="accent4" w:themeFillTint="66"/>
          </w:tcPr>
          <w:p w14:paraId="25C9A813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Developed and led by cadre members as part of course work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14:paraId="4441A097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hours</w:t>
            </w:r>
          </w:p>
        </w:tc>
      </w:tr>
      <w:tr w:rsidR="007D06C3" w:rsidRPr="0099061F" w14:paraId="349662D4" w14:textId="77777777" w:rsidTr="007D06C3">
        <w:trPr>
          <w:cantSplit/>
        </w:trPr>
        <w:tc>
          <w:tcPr>
            <w:tcW w:w="4195" w:type="dxa"/>
            <w:shd w:val="clear" w:color="auto" w:fill="B6DDE8" w:themeFill="accent5" w:themeFillTint="66"/>
          </w:tcPr>
          <w:p w14:paraId="28121637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Workshop to review learning and feed into next programme.  </w:t>
            </w:r>
          </w:p>
          <w:p w14:paraId="58EAFA8B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613" w:type="dxa"/>
            <w:shd w:val="clear" w:color="auto" w:fill="B6DDE8" w:themeFill="accent5" w:themeFillTint="66"/>
          </w:tcPr>
          <w:p w14:paraId="499A9A09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B6DDE8" w:themeFill="accent5" w:themeFillTint="66"/>
          </w:tcPr>
          <w:p w14:paraId="4B14288E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Class with HR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14:paraId="5F64AEE5" w14:textId="77777777" w:rsidR="00B53676" w:rsidRPr="0099061F" w:rsidRDefault="00B53676" w:rsidP="00B268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hours</w:t>
            </w:r>
          </w:p>
        </w:tc>
      </w:tr>
      <w:tr w:rsidR="007D06C3" w:rsidRPr="0099061F" w14:paraId="6B224983" w14:textId="77777777" w:rsidTr="007D06C3">
        <w:trPr>
          <w:cantSplit/>
        </w:trPr>
        <w:tc>
          <w:tcPr>
            <w:tcW w:w="4195" w:type="dxa"/>
            <w:shd w:val="clear" w:color="auto" w:fill="D6E3BC" w:themeFill="accent3" w:themeFillTint="66"/>
          </w:tcPr>
          <w:p w14:paraId="085A3E7A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Presentation to Executive Committee (or NEDs) of project outcomes, and programme learning followed by informal social event to mark the end of the formal programme (</w:t>
            </w:r>
            <w:proofErr w:type="spellStart"/>
            <w:r w:rsidRPr="0099061F">
              <w:rPr>
                <w:rFonts w:asciiTheme="minorHAnsi" w:hAnsiTheme="minorHAnsi" w:cs="Arial"/>
                <w:sz w:val="22"/>
                <w:szCs w:val="22"/>
              </w:rPr>
              <w:t>ie</w:t>
            </w:r>
            <w:proofErr w:type="spellEnd"/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 assuming an ongoing relationship with the cadre members)</w:t>
            </w:r>
          </w:p>
        </w:tc>
        <w:tc>
          <w:tcPr>
            <w:tcW w:w="5613" w:type="dxa"/>
            <w:shd w:val="clear" w:color="auto" w:fill="D6E3BC" w:themeFill="accent3" w:themeFillTint="66"/>
          </w:tcPr>
          <w:p w14:paraId="091B9189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6E3BC" w:themeFill="accent3" w:themeFillTint="66"/>
          </w:tcPr>
          <w:p w14:paraId="01AAE5A0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Senior team</w:t>
            </w:r>
          </w:p>
          <w:p w14:paraId="1437EF17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 xml:space="preserve">Chief executive </w:t>
            </w:r>
          </w:p>
          <w:p w14:paraId="40DBEF2B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Chair and non-executives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0731CBC" w14:textId="77777777" w:rsidR="00B53676" w:rsidRPr="0099061F" w:rsidRDefault="00B53676" w:rsidP="00B268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9061F">
              <w:rPr>
                <w:rFonts w:asciiTheme="minorHAnsi" w:hAnsiTheme="minorHAnsi" w:cs="Arial"/>
                <w:sz w:val="22"/>
                <w:szCs w:val="22"/>
              </w:rPr>
              <w:t>2 hours</w:t>
            </w:r>
          </w:p>
        </w:tc>
      </w:tr>
    </w:tbl>
    <w:p w14:paraId="1ADE5C6F" w14:textId="77777777" w:rsidR="00B53676" w:rsidRPr="0099061F" w:rsidRDefault="00B53676" w:rsidP="00BC6CBC">
      <w:pPr>
        <w:spacing w:line="276" w:lineRule="auto"/>
      </w:pPr>
    </w:p>
    <w:sectPr w:rsidR="00B53676" w:rsidRPr="0099061F" w:rsidSect="00B536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6064"/>
    <w:multiLevelType w:val="hybridMultilevel"/>
    <w:tmpl w:val="34921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36830"/>
    <w:multiLevelType w:val="hybridMultilevel"/>
    <w:tmpl w:val="ADD8C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63DB3"/>
    <w:multiLevelType w:val="hybridMultilevel"/>
    <w:tmpl w:val="7548D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017AFC"/>
    <w:multiLevelType w:val="multilevel"/>
    <w:tmpl w:val="9168B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8611B71"/>
    <w:multiLevelType w:val="hybridMultilevel"/>
    <w:tmpl w:val="C53C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A094D"/>
    <w:multiLevelType w:val="hybridMultilevel"/>
    <w:tmpl w:val="D9BA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40BF0"/>
    <w:multiLevelType w:val="hybridMultilevel"/>
    <w:tmpl w:val="73261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8566B1"/>
    <w:multiLevelType w:val="hybridMultilevel"/>
    <w:tmpl w:val="BC9AD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E2F22"/>
    <w:multiLevelType w:val="hybridMultilevel"/>
    <w:tmpl w:val="BCDA6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FA5332"/>
    <w:multiLevelType w:val="hybridMultilevel"/>
    <w:tmpl w:val="BDF29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A6"/>
    <w:rsid w:val="000D1EF7"/>
    <w:rsid w:val="00136409"/>
    <w:rsid w:val="00197A68"/>
    <w:rsid w:val="001B79B8"/>
    <w:rsid w:val="001E3D7A"/>
    <w:rsid w:val="00220C6C"/>
    <w:rsid w:val="002662BD"/>
    <w:rsid w:val="002C204A"/>
    <w:rsid w:val="003115A6"/>
    <w:rsid w:val="0031702A"/>
    <w:rsid w:val="003272AD"/>
    <w:rsid w:val="003800ED"/>
    <w:rsid w:val="003C5441"/>
    <w:rsid w:val="00420D0E"/>
    <w:rsid w:val="00424FF1"/>
    <w:rsid w:val="00426DCB"/>
    <w:rsid w:val="004645B3"/>
    <w:rsid w:val="00574603"/>
    <w:rsid w:val="00586E46"/>
    <w:rsid w:val="005A5E13"/>
    <w:rsid w:val="005D3B5F"/>
    <w:rsid w:val="005F0B24"/>
    <w:rsid w:val="005F5E6D"/>
    <w:rsid w:val="0061021D"/>
    <w:rsid w:val="0066791D"/>
    <w:rsid w:val="0068365E"/>
    <w:rsid w:val="00731D5E"/>
    <w:rsid w:val="00733B32"/>
    <w:rsid w:val="00771E85"/>
    <w:rsid w:val="0079143F"/>
    <w:rsid w:val="007D06C3"/>
    <w:rsid w:val="00893635"/>
    <w:rsid w:val="008A711A"/>
    <w:rsid w:val="008D6C6A"/>
    <w:rsid w:val="008F3C7E"/>
    <w:rsid w:val="008F6AE1"/>
    <w:rsid w:val="0096201A"/>
    <w:rsid w:val="00987308"/>
    <w:rsid w:val="0099061F"/>
    <w:rsid w:val="009E2820"/>
    <w:rsid w:val="00A01C08"/>
    <w:rsid w:val="00A13F78"/>
    <w:rsid w:val="00A16A9F"/>
    <w:rsid w:val="00A40D57"/>
    <w:rsid w:val="00A932E1"/>
    <w:rsid w:val="00AE2F7C"/>
    <w:rsid w:val="00AE3B1B"/>
    <w:rsid w:val="00AE7DF8"/>
    <w:rsid w:val="00B046DA"/>
    <w:rsid w:val="00B53676"/>
    <w:rsid w:val="00B91A73"/>
    <w:rsid w:val="00BC6CBC"/>
    <w:rsid w:val="00C71C5A"/>
    <w:rsid w:val="00D51B83"/>
    <w:rsid w:val="00D80461"/>
    <w:rsid w:val="00DA01FD"/>
    <w:rsid w:val="00E26497"/>
    <w:rsid w:val="00E52C01"/>
    <w:rsid w:val="00EB3275"/>
    <w:rsid w:val="00ED7843"/>
    <w:rsid w:val="00EE24E2"/>
    <w:rsid w:val="00FC6EB7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5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A6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F8"/>
    <w:pPr>
      <w:ind w:left="720"/>
      <w:contextualSpacing/>
    </w:pPr>
  </w:style>
  <w:style w:type="table" w:styleId="TableGrid">
    <w:name w:val="Table Grid"/>
    <w:basedOn w:val="TableNormal"/>
    <w:uiPriority w:val="59"/>
    <w:rsid w:val="008A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6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C3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A6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F8"/>
    <w:pPr>
      <w:ind w:left="720"/>
      <w:contextualSpacing/>
    </w:pPr>
  </w:style>
  <w:style w:type="table" w:styleId="TableGrid">
    <w:name w:val="Table Grid"/>
    <w:basedOn w:val="TableNormal"/>
    <w:uiPriority w:val="59"/>
    <w:rsid w:val="008A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6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6C3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David</dc:creator>
  <cp:lastModifiedBy>Callaghan, Bevan</cp:lastModifiedBy>
  <cp:revision>18</cp:revision>
  <dcterms:created xsi:type="dcterms:W3CDTF">2016-08-17T12:50:00Z</dcterms:created>
  <dcterms:modified xsi:type="dcterms:W3CDTF">2016-09-30T14:30:00Z</dcterms:modified>
</cp:coreProperties>
</file>