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F13D81">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Provision of </w:t>
            </w:r>
            <w:r w:rsidR="00F13D81">
              <w:rPr>
                <w:rFonts w:asciiTheme="minorHAnsi" w:hAnsiTheme="minorHAnsi" w:cstheme="minorHAnsi"/>
                <w:b/>
                <w:iCs/>
                <w:color w:val="FFFFFF" w:themeColor="background1"/>
                <w:sz w:val="24"/>
              </w:rPr>
              <w:t>Support on Civil Engineering Safety Assessment for Step 3 of GDA of the UK HPR1000</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F13D81" w:rsidRPr="00F13D81" w:rsidRDefault="00F13D81" w:rsidP="00F13D81">
            <w:pPr>
              <w:pStyle w:val="TSNumberedParagraph11"/>
              <w:rPr>
                <w:rFonts w:asciiTheme="minorHAnsi" w:hAnsiTheme="minorHAnsi" w:cstheme="minorHAnsi"/>
              </w:rPr>
            </w:pPr>
            <w:r w:rsidRPr="00F13D81">
              <w:rPr>
                <w:rFonts w:asciiTheme="minorHAnsi" w:hAnsiTheme="minorHAnsi" w:cstheme="minorHAnsi"/>
              </w:rPr>
              <w:t xml:space="preserve">In January 2017 ONR formally started the Generic Design Assessment (GDA) of the UK HPR1000. The GDA process calls for a step-wise assessment of the Requesting Party's (RP) safety submissions with the assessments increasing in detail as the project progresses.  </w:t>
            </w:r>
          </w:p>
          <w:p w:rsidR="00F13D81" w:rsidRPr="00F13D81" w:rsidRDefault="00F13D81" w:rsidP="00F13D81">
            <w:pPr>
              <w:pStyle w:val="TSNumberedParagraph11"/>
              <w:rPr>
                <w:rFonts w:asciiTheme="minorHAnsi" w:hAnsiTheme="minorHAnsi" w:cstheme="minorHAnsi"/>
              </w:rPr>
            </w:pPr>
            <w:r w:rsidRPr="00F13D81">
              <w:rPr>
                <w:rFonts w:asciiTheme="minorHAnsi" w:hAnsiTheme="minorHAnsi" w:cstheme="minorHAnsi"/>
              </w:rPr>
              <w:t xml:space="preserve">General Nuclear System Ltd (GNS) has been established to act on behalf of the three joint Requesting Parties (China General Nuclear Power Corporation (CGN), </w:t>
            </w:r>
            <w:proofErr w:type="spellStart"/>
            <w:r w:rsidRPr="00F13D81">
              <w:rPr>
                <w:rFonts w:asciiTheme="minorHAnsi" w:hAnsiTheme="minorHAnsi" w:cstheme="minorHAnsi"/>
              </w:rPr>
              <w:t>Électricité</w:t>
            </w:r>
            <w:proofErr w:type="spellEnd"/>
            <w:r w:rsidRPr="00F13D81">
              <w:rPr>
                <w:rFonts w:asciiTheme="minorHAnsi" w:hAnsiTheme="minorHAnsi" w:cstheme="minorHAnsi"/>
              </w:rPr>
              <w:t xml:space="preserve"> de France (EDF) and General Nuclear International (GNI)) to implement the GDA of the UK HPR1000 reactor. For practical purposes GNS is referred to as the ‘UK HPR1000 GDA Requesting Party (RP)’ in this specification.</w:t>
            </w:r>
          </w:p>
          <w:p w:rsidR="00F13D81" w:rsidRPr="00F13D81" w:rsidRDefault="00F13D81" w:rsidP="00F13D81">
            <w:pPr>
              <w:pStyle w:val="TSNumberedParagraph11"/>
              <w:rPr>
                <w:rFonts w:asciiTheme="minorHAnsi" w:hAnsiTheme="minorHAnsi" w:cstheme="minorHAnsi"/>
              </w:rPr>
            </w:pPr>
            <w:r w:rsidRPr="00F13D81">
              <w:rPr>
                <w:rFonts w:asciiTheme="minorHAnsi" w:hAnsiTheme="minorHAnsi" w:cstheme="minorHAnsi"/>
              </w:rPr>
              <w:t>Step 1 of GDA is the preparatory part of the process where the RP established its project management and technical teams and made arrangements for the GDA of the UK HPR1000 reactor. Step 1 was completed in November 2017.</w:t>
            </w:r>
          </w:p>
          <w:p w:rsidR="00F13D81" w:rsidRPr="00F13D81" w:rsidRDefault="00F13D81" w:rsidP="00F13D81">
            <w:pPr>
              <w:pStyle w:val="TSNumberedParagraph11"/>
              <w:rPr>
                <w:rFonts w:asciiTheme="minorHAnsi" w:hAnsiTheme="minorHAnsi" w:cstheme="minorHAnsi"/>
              </w:rPr>
            </w:pPr>
            <w:r w:rsidRPr="00F13D81">
              <w:rPr>
                <w:rFonts w:asciiTheme="minorHAnsi" w:hAnsiTheme="minorHAnsi" w:cstheme="minorHAnsi"/>
              </w:rPr>
              <w:t xml:space="preserve">Step 2 of GDA commenced in November 2017. Step 2 comprises an overview of the acceptability, in accordance with the regulatory regime of Great Britain; of the design fundamentals, including review of key nuclear safety claims with the aim of identifying; any fundamental safety shortfalls that could prevent the issue of a Design Acceptance Confirmation (DAC). Step 2 </w:t>
            </w:r>
            <w:r w:rsidR="00C34D3E">
              <w:rPr>
                <w:rFonts w:asciiTheme="minorHAnsi" w:hAnsiTheme="minorHAnsi" w:cstheme="minorHAnsi"/>
              </w:rPr>
              <w:t>was</w:t>
            </w:r>
            <w:r w:rsidRPr="00F13D81">
              <w:rPr>
                <w:rFonts w:asciiTheme="minorHAnsi" w:hAnsiTheme="minorHAnsi" w:cstheme="minorHAnsi"/>
              </w:rPr>
              <w:t xml:space="preserve"> completed in November 2018 with all of ONR’s supporting reports published on the ONR website.</w:t>
            </w:r>
          </w:p>
          <w:p w:rsidR="00F13D81" w:rsidRPr="00F13D81" w:rsidRDefault="00F13D81" w:rsidP="00F13D81">
            <w:pPr>
              <w:pStyle w:val="TSNumberedParagraph11"/>
              <w:rPr>
                <w:rFonts w:asciiTheme="minorHAnsi" w:hAnsiTheme="minorHAnsi" w:cstheme="minorHAnsi"/>
              </w:rPr>
            </w:pPr>
            <w:r w:rsidRPr="00F13D81">
              <w:rPr>
                <w:rFonts w:asciiTheme="minorHAnsi" w:hAnsiTheme="minorHAnsi" w:cstheme="minorHAnsi"/>
              </w:rPr>
              <w:t>ONR commence</w:t>
            </w:r>
            <w:r w:rsidR="0052416D">
              <w:rPr>
                <w:rFonts w:asciiTheme="minorHAnsi" w:hAnsiTheme="minorHAnsi" w:cstheme="minorHAnsi"/>
              </w:rPr>
              <w:t>d</w:t>
            </w:r>
            <w:r w:rsidRPr="00F13D81">
              <w:rPr>
                <w:rFonts w:asciiTheme="minorHAnsi" w:hAnsiTheme="minorHAnsi" w:cstheme="minorHAnsi"/>
              </w:rPr>
              <w:t xml:space="preserve"> Step 3 in November 2018 and is expected to conclude in December 2019. During Step 3, ONR will assess the “safety arguments” of the Civil Engineering safety case submissions which support the “safety claims” made.</w:t>
            </w:r>
          </w:p>
          <w:p w:rsidR="00F13D81" w:rsidRPr="00F13D81" w:rsidRDefault="00F13D81" w:rsidP="00F13D81">
            <w:pPr>
              <w:pStyle w:val="TSNumberedParagraph11"/>
              <w:rPr>
                <w:rFonts w:asciiTheme="minorHAnsi" w:hAnsiTheme="minorHAnsi" w:cstheme="minorHAnsi"/>
              </w:rPr>
            </w:pPr>
            <w:r w:rsidRPr="00F13D81">
              <w:rPr>
                <w:rFonts w:asciiTheme="minorHAnsi" w:hAnsiTheme="minorHAnsi" w:cstheme="minorHAnsi"/>
              </w:rPr>
              <w:t xml:space="preserve">For Civil Engineering, a “safety claim” is interpreted as being: </w:t>
            </w:r>
          </w:p>
          <w:p w:rsidR="00F13D81" w:rsidRPr="00F13D81" w:rsidRDefault="00F13D81" w:rsidP="0025007D">
            <w:pPr>
              <w:pStyle w:val="TSBullet1Square"/>
              <w:tabs>
                <w:tab w:val="left" w:pos="-10"/>
              </w:tabs>
              <w:spacing w:after="0"/>
              <w:ind w:left="698" w:hanging="698"/>
              <w:rPr>
                <w:rFonts w:asciiTheme="minorHAnsi" w:hAnsiTheme="minorHAnsi" w:cstheme="minorHAnsi"/>
              </w:rPr>
            </w:pPr>
            <w:r w:rsidRPr="00F13D81">
              <w:rPr>
                <w:rFonts w:asciiTheme="minorHAnsi" w:hAnsiTheme="minorHAnsi" w:cstheme="minorHAnsi"/>
              </w:rPr>
              <w:t>Specific and measurable statements which show that Civil Engineering aspects of the UK HPR1000 meet the relevant Safety Assessment Principles.</w:t>
            </w:r>
          </w:p>
          <w:p w:rsidR="00F13D81" w:rsidRPr="00F13D81" w:rsidRDefault="00F13D81" w:rsidP="0025007D">
            <w:pPr>
              <w:pStyle w:val="TSBullet1Square"/>
              <w:tabs>
                <w:tab w:val="left" w:pos="-10"/>
              </w:tabs>
              <w:spacing w:after="0"/>
              <w:ind w:left="698" w:hanging="698"/>
              <w:rPr>
                <w:rFonts w:asciiTheme="minorHAnsi" w:hAnsiTheme="minorHAnsi" w:cstheme="minorHAnsi"/>
              </w:rPr>
            </w:pPr>
            <w:r w:rsidRPr="00F13D81">
              <w:rPr>
                <w:rFonts w:asciiTheme="minorHAnsi" w:hAnsiTheme="minorHAnsi" w:cstheme="minorHAnsi"/>
              </w:rPr>
              <w:t>A clearly documented basis of design for each structure – to include classification, safety functional requirements, operational requirements, structural form, load paths, loads and combinations, materials and construction/decommissioning sequence. It should be noted that:</w:t>
            </w:r>
          </w:p>
          <w:p w:rsidR="0025007D" w:rsidRPr="0025007D" w:rsidRDefault="0025007D" w:rsidP="002B6CE0">
            <w:pPr>
              <w:pStyle w:val="TSBullet1Square"/>
              <w:numPr>
                <w:ilvl w:val="1"/>
                <w:numId w:val="2"/>
              </w:numPr>
              <w:tabs>
                <w:tab w:val="left" w:pos="0"/>
              </w:tabs>
              <w:rPr>
                <w:rFonts w:asciiTheme="minorHAnsi" w:hAnsiTheme="minorHAnsi" w:cstheme="minorHAnsi"/>
              </w:rPr>
            </w:pPr>
            <w:r w:rsidRPr="0025007D">
              <w:rPr>
                <w:rFonts w:asciiTheme="minorHAnsi" w:hAnsiTheme="minorHAnsi" w:cstheme="minorHAnsi"/>
              </w:rPr>
              <w:t>Safety claims and supporting documentation must have a clear structure and hierarchy so that the design basis is set out logically.</w:t>
            </w:r>
          </w:p>
          <w:p w:rsidR="0025007D" w:rsidRPr="0025007D" w:rsidRDefault="0025007D" w:rsidP="002B6CE0">
            <w:pPr>
              <w:pStyle w:val="TSBullet1Square"/>
              <w:numPr>
                <w:ilvl w:val="1"/>
                <w:numId w:val="2"/>
              </w:numPr>
              <w:tabs>
                <w:tab w:val="left" w:pos="0"/>
              </w:tabs>
              <w:rPr>
                <w:rFonts w:asciiTheme="minorHAnsi" w:hAnsiTheme="minorHAnsi" w:cstheme="minorHAnsi"/>
              </w:rPr>
            </w:pPr>
            <w:r w:rsidRPr="0025007D">
              <w:rPr>
                <w:rFonts w:asciiTheme="minorHAnsi" w:hAnsiTheme="minorHAnsi" w:cstheme="minorHAnsi"/>
              </w:rPr>
              <w:t>The UK context should be fully recognised and addressed.</w:t>
            </w:r>
          </w:p>
          <w:p w:rsidR="0025007D" w:rsidRPr="0025007D" w:rsidRDefault="0025007D" w:rsidP="002B6CE0">
            <w:pPr>
              <w:pStyle w:val="TSBullet1Square"/>
              <w:numPr>
                <w:ilvl w:val="1"/>
                <w:numId w:val="2"/>
              </w:numPr>
              <w:tabs>
                <w:tab w:val="left" w:pos="0"/>
              </w:tabs>
              <w:rPr>
                <w:rFonts w:asciiTheme="minorHAnsi" w:hAnsiTheme="minorHAnsi" w:cstheme="minorHAnsi"/>
              </w:rPr>
            </w:pPr>
            <w:r w:rsidRPr="0025007D">
              <w:rPr>
                <w:rFonts w:asciiTheme="minorHAnsi" w:hAnsiTheme="minorHAnsi" w:cstheme="minorHAnsi"/>
              </w:rPr>
              <w:t>Internationally recognised standards and Relevant Good Practice (RGP) should be adopted.</w:t>
            </w:r>
          </w:p>
          <w:p w:rsidR="0025007D" w:rsidRPr="0025007D" w:rsidRDefault="0025007D" w:rsidP="002B6CE0">
            <w:pPr>
              <w:pStyle w:val="TSBullet1Square"/>
              <w:numPr>
                <w:ilvl w:val="1"/>
                <w:numId w:val="2"/>
              </w:numPr>
              <w:tabs>
                <w:tab w:val="left" w:pos="0"/>
              </w:tabs>
              <w:rPr>
                <w:rFonts w:asciiTheme="minorHAnsi" w:hAnsiTheme="minorHAnsi" w:cstheme="minorHAnsi"/>
              </w:rPr>
            </w:pPr>
            <w:r w:rsidRPr="0025007D">
              <w:rPr>
                <w:rFonts w:asciiTheme="minorHAnsi" w:hAnsiTheme="minorHAnsi" w:cstheme="minorHAnsi"/>
              </w:rPr>
              <w:t>The codes and standards used for each structure should link to the classification of that structure. Internationally used nuclear codes present less of a challenge than company or national codes that are not used elsewhere in the world. Where non-standard design codes are proposed, a full justification for their use and detailed explanations are needed to demonstrate that a safe design will be achieved.</w:t>
            </w:r>
          </w:p>
          <w:p w:rsidR="0025007D" w:rsidRPr="0025007D" w:rsidRDefault="0025007D" w:rsidP="0025007D">
            <w:pPr>
              <w:pStyle w:val="TSBullet1Square"/>
              <w:tabs>
                <w:tab w:val="left" w:pos="-10"/>
              </w:tabs>
              <w:spacing w:after="0"/>
              <w:ind w:left="698" w:hanging="698"/>
              <w:rPr>
                <w:rFonts w:asciiTheme="minorHAnsi" w:hAnsiTheme="minorHAnsi" w:cstheme="minorHAnsi"/>
              </w:rPr>
            </w:pPr>
            <w:r w:rsidRPr="0025007D">
              <w:rPr>
                <w:rFonts w:asciiTheme="minorHAnsi" w:hAnsiTheme="minorHAnsi" w:cstheme="minorHAnsi"/>
              </w:rPr>
              <w:t xml:space="preserve">Specific and measurable statements that demonstrate compliance with the UK Construction Design and Management (CDM) Regulations. This needs to be substantiated from concept design to construction, operation and decommissioning. </w:t>
            </w:r>
          </w:p>
          <w:p w:rsidR="0025007D" w:rsidRDefault="0025007D" w:rsidP="0025007D">
            <w:pPr>
              <w:pStyle w:val="TSBullet1Square"/>
              <w:tabs>
                <w:tab w:val="left" w:pos="-10"/>
              </w:tabs>
              <w:spacing w:after="0"/>
              <w:ind w:left="698" w:hanging="698"/>
              <w:rPr>
                <w:rFonts w:asciiTheme="minorHAnsi" w:hAnsiTheme="minorHAnsi" w:cstheme="minorHAnsi"/>
              </w:rPr>
            </w:pPr>
            <w:r w:rsidRPr="0025007D">
              <w:rPr>
                <w:rFonts w:asciiTheme="minorHAnsi" w:hAnsiTheme="minorHAnsi" w:cstheme="minorHAnsi"/>
              </w:rPr>
              <w:t>Specific and measurable statements that demonstrate that significant interfaces with other topic areas have been fully addressed.</w:t>
            </w:r>
          </w:p>
          <w:p w:rsidR="0025007D" w:rsidRPr="0025007D" w:rsidRDefault="0025007D" w:rsidP="0025007D">
            <w:pPr>
              <w:pStyle w:val="TSBullet1Square"/>
              <w:numPr>
                <w:ilvl w:val="0"/>
                <w:numId w:val="0"/>
              </w:numPr>
              <w:tabs>
                <w:tab w:val="left" w:pos="-10"/>
              </w:tabs>
              <w:spacing w:after="0"/>
              <w:ind w:left="698"/>
              <w:rPr>
                <w:rFonts w:asciiTheme="minorHAnsi" w:hAnsiTheme="minorHAnsi" w:cstheme="minorHAnsi"/>
              </w:rPr>
            </w:pPr>
          </w:p>
          <w:p w:rsidR="0025007D" w:rsidRPr="0025007D" w:rsidRDefault="0025007D" w:rsidP="0025007D">
            <w:pPr>
              <w:pStyle w:val="TSNumberedParagraph11"/>
              <w:rPr>
                <w:rFonts w:asciiTheme="minorHAnsi" w:hAnsiTheme="minorHAnsi" w:cstheme="minorHAnsi"/>
              </w:rPr>
            </w:pPr>
            <w:r w:rsidRPr="0025007D">
              <w:rPr>
                <w:rFonts w:asciiTheme="minorHAnsi" w:hAnsiTheme="minorHAnsi" w:cstheme="minorHAnsi"/>
              </w:rPr>
              <w:t xml:space="preserve">For Civil Engineering, a “safety argument” is interpreted as the structured robust justification to underpin the claims made by the RP (see also scope of the services required). The safety arguments should be coherent, sufficient and commensurate with the potential risks. They should </w:t>
            </w:r>
            <w:r w:rsidRPr="0025007D">
              <w:rPr>
                <w:rFonts w:asciiTheme="minorHAnsi" w:hAnsiTheme="minorHAnsi" w:cstheme="minorHAnsi"/>
              </w:rPr>
              <w:lastRenderedPageBreak/>
              <w:t xml:space="preserve">provide the entry points and clear links to the safety case documentation as a whole. </w:t>
            </w:r>
          </w:p>
          <w:p w:rsidR="0025007D" w:rsidRPr="0025007D" w:rsidRDefault="0025007D" w:rsidP="0025007D">
            <w:pPr>
              <w:pStyle w:val="TSNumberedParagraph11"/>
              <w:rPr>
                <w:rFonts w:asciiTheme="minorHAnsi" w:hAnsiTheme="minorHAnsi" w:cstheme="minorHAnsi"/>
              </w:rPr>
            </w:pPr>
            <w:r w:rsidRPr="0025007D">
              <w:rPr>
                <w:rFonts w:asciiTheme="minorHAnsi" w:hAnsiTheme="minorHAnsi" w:cstheme="minorHAnsi"/>
              </w:rPr>
              <w:t xml:space="preserve">A key part of Step 2 and Step 3 planning was for ONR inspectors responsible for assessing the UK HPR1000 design to identify areas where timely input from Technical Support Contactors (TSCs) is required. TSC support will enable GDA to progress to programme, and to ultimately inform ONR’s regulatory decision on the acceptability of the UK HPR1000 design, for construction in the UK. </w:t>
            </w:r>
          </w:p>
          <w:p w:rsidR="0025007D" w:rsidRPr="0025007D" w:rsidRDefault="0025007D" w:rsidP="0025007D">
            <w:pPr>
              <w:pStyle w:val="TSNumberedParagraph11"/>
              <w:rPr>
                <w:rFonts w:asciiTheme="minorHAnsi" w:hAnsiTheme="minorHAnsi" w:cstheme="minorHAnsi"/>
              </w:rPr>
            </w:pPr>
            <w:r w:rsidRPr="0025007D">
              <w:rPr>
                <w:rFonts w:asciiTheme="minorHAnsi" w:hAnsiTheme="minorHAnsi" w:cstheme="minorHAnsi"/>
              </w:rPr>
              <w:t>ONR have identified that a TSC is required to support the Civil Engineering assessment throughout Step 3.</w:t>
            </w:r>
          </w:p>
          <w:p w:rsidR="002C62C2" w:rsidRPr="0025007D" w:rsidRDefault="0025007D" w:rsidP="0025007D">
            <w:pPr>
              <w:pStyle w:val="TSNumberedParagraph11"/>
            </w:pPr>
            <w:r w:rsidRPr="0025007D">
              <w:rPr>
                <w:rFonts w:asciiTheme="minorHAnsi" w:hAnsiTheme="minorHAnsi" w:cstheme="minorHAnsi"/>
              </w:rPr>
              <w:t>Further background information can be found on the RP and ONR websites:</w:t>
            </w:r>
          </w:p>
          <w:p w:rsidR="0025007D" w:rsidRPr="0025007D" w:rsidRDefault="00D164BA" w:rsidP="0025007D">
            <w:pPr>
              <w:pStyle w:val="TSBullet1Square"/>
              <w:tabs>
                <w:tab w:val="left" w:pos="-10"/>
              </w:tabs>
              <w:spacing w:after="0"/>
              <w:ind w:left="698" w:hanging="698"/>
              <w:rPr>
                <w:rFonts w:asciiTheme="minorHAnsi" w:hAnsiTheme="minorHAnsi" w:cstheme="minorHAnsi"/>
              </w:rPr>
            </w:pPr>
            <w:hyperlink r:id="rId10" w:history="1">
              <w:r w:rsidR="0025007D" w:rsidRPr="0025007D">
                <w:rPr>
                  <w:rStyle w:val="Hyperlink"/>
                  <w:rFonts w:asciiTheme="minorHAnsi" w:hAnsiTheme="minorHAnsi" w:cstheme="minorHAnsi"/>
                </w:rPr>
                <w:t>http://www.ukhpr1000.co.uk/</w:t>
              </w:r>
            </w:hyperlink>
          </w:p>
          <w:p w:rsidR="0025007D" w:rsidRPr="0025007D" w:rsidRDefault="00D164BA" w:rsidP="0025007D">
            <w:pPr>
              <w:pStyle w:val="TSBullet1Square"/>
              <w:tabs>
                <w:tab w:val="left" w:pos="-10"/>
              </w:tabs>
              <w:spacing w:after="0"/>
              <w:ind w:left="698" w:hanging="698"/>
              <w:rPr>
                <w:rFonts w:asciiTheme="minorHAnsi" w:hAnsiTheme="minorHAnsi" w:cstheme="minorHAnsi"/>
              </w:rPr>
            </w:pPr>
            <w:hyperlink r:id="rId11" w:history="1">
              <w:r w:rsidR="0025007D" w:rsidRPr="0025007D">
                <w:rPr>
                  <w:rStyle w:val="Hyperlink"/>
                  <w:rFonts w:asciiTheme="minorHAnsi" w:hAnsiTheme="minorHAnsi" w:cstheme="minorHAnsi"/>
                </w:rPr>
                <w:t>http://www.onr.org.uk/new-reactors/uk-hpr1000/index.htm</w:t>
              </w:r>
            </w:hyperlink>
          </w:p>
          <w:p w:rsidR="0025007D" w:rsidRPr="002C62C2" w:rsidRDefault="0025007D" w:rsidP="0025007D">
            <w:pPr>
              <w:pStyle w:val="TSNumberedParagraph11"/>
              <w:numPr>
                <w:ilvl w:val="0"/>
                <w:numId w:val="0"/>
              </w:numPr>
              <w:ind w:left="720"/>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B65FBC" w:rsidRPr="00B65FBC" w:rsidRDefault="00B65FBC" w:rsidP="00B65FBC">
            <w:pPr>
              <w:pStyle w:val="TSNumberedParagraph11"/>
              <w:rPr>
                <w:rFonts w:asciiTheme="minorHAnsi" w:hAnsiTheme="minorHAnsi" w:cstheme="minorHAnsi"/>
              </w:rPr>
            </w:pPr>
            <w:r w:rsidRPr="00B65FBC">
              <w:rPr>
                <w:rFonts w:asciiTheme="minorHAnsi" w:hAnsiTheme="minorHAnsi" w:cstheme="minorHAnsi"/>
              </w:rPr>
              <w:t>In summary, the overall objective of this work is to provide technical support to ONR, during Step 3 of GDA, to review the UK HPR1000 Civil Engineering PCSR, supporting submissions and aircraft impact safety case. This will be done via:</w:t>
            </w:r>
          </w:p>
          <w:p w:rsidR="00B65FBC" w:rsidRPr="00B65FBC" w:rsidRDefault="00B65FBC" w:rsidP="00B65FBC">
            <w:pPr>
              <w:pStyle w:val="TSBullet1Square"/>
              <w:tabs>
                <w:tab w:val="left" w:pos="-10"/>
              </w:tabs>
              <w:spacing w:after="0"/>
              <w:ind w:left="698" w:hanging="698"/>
              <w:rPr>
                <w:rFonts w:asciiTheme="minorHAnsi" w:hAnsiTheme="minorHAnsi" w:cstheme="minorHAnsi"/>
              </w:rPr>
            </w:pPr>
            <w:r w:rsidRPr="00B65FBC">
              <w:rPr>
                <w:rFonts w:asciiTheme="minorHAnsi" w:hAnsiTheme="minorHAnsi" w:cstheme="minorHAnsi"/>
              </w:rPr>
              <w:t>Review the RP’s submissions (PCSR, methodologies, topic reports and supporting documents as listed in Appendix 1), against ONR’s SAPs, ONR’s TAG on Civil Engineering, and international guidance and good practice.</w:t>
            </w:r>
          </w:p>
          <w:p w:rsidR="00B65FBC" w:rsidRPr="00B65FBC" w:rsidRDefault="00B65FBC" w:rsidP="00B65FBC">
            <w:pPr>
              <w:pStyle w:val="TSBullet1Square"/>
              <w:tabs>
                <w:tab w:val="left" w:pos="-10"/>
              </w:tabs>
              <w:spacing w:after="0"/>
              <w:ind w:left="698" w:hanging="698"/>
              <w:rPr>
                <w:rFonts w:asciiTheme="minorHAnsi" w:hAnsiTheme="minorHAnsi" w:cstheme="minorHAnsi"/>
              </w:rPr>
            </w:pPr>
            <w:r w:rsidRPr="00B65FBC">
              <w:rPr>
                <w:rFonts w:asciiTheme="minorHAnsi" w:hAnsiTheme="minorHAnsi" w:cstheme="minorHAnsi"/>
              </w:rPr>
              <w:t>Support to ONR (including any required preparation) during teleconferences, videoconferences and meetings with the RP to discuss progress of the assessment of the various Civil Engineering tasks, findings from the reviews, emerging issues, etc., and / or to request additional information and / or analysis from the RP.</w:t>
            </w:r>
          </w:p>
          <w:p w:rsidR="00B65FBC" w:rsidRPr="00B65FBC" w:rsidRDefault="00B65FBC" w:rsidP="00B65FBC">
            <w:pPr>
              <w:pStyle w:val="TSBullet1Square"/>
              <w:tabs>
                <w:tab w:val="left" w:pos="-10"/>
              </w:tabs>
              <w:spacing w:after="0"/>
              <w:ind w:left="698" w:hanging="698"/>
              <w:rPr>
                <w:rFonts w:asciiTheme="minorHAnsi" w:hAnsiTheme="minorHAnsi" w:cstheme="minorHAnsi"/>
              </w:rPr>
            </w:pPr>
            <w:r w:rsidRPr="00B65FBC">
              <w:rPr>
                <w:rFonts w:asciiTheme="minorHAnsi" w:hAnsiTheme="minorHAnsi" w:cstheme="minorHAnsi"/>
              </w:rPr>
              <w:t xml:space="preserve">Draft queries and / or observations to request additional information and / or analysis from the RP (to be formally submitted by ONR) and </w:t>
            </w:r>
            <w:proofErr w:type="gramStart"/>
            <w:r w:rsidRPr="00B65FBC">
              <w:rPr>
                <w:rFonts w:asciiTheme="minorHAnsi" w:hAnsiTheme="minorHAnsi" w:cstheme="minorHAnsi"/>
              </w:rPr>
              <w:t>advise</w:t>
            </w:r>
            <w:proofErr w:type="gramEnd"/>
            <w:r w:rsidRPr="00B65FBC">
              <w:rPr>
                <w:rFonts w:asciiTheme="minorHAnsi" w:hAnsiTheme="minorHAnsi" w:cstheme="minorHAnsi"/>
              </w:rPr>
              <w:t xml:space="preserve"> ONR on the adequacy of the RP’s responses, and on the way forward if the responses are inadequate or incomplete.</w:t>
            </w:r>
          </w:p>
          <w:p w:rsidR="00B65FBC" w:rsidRPr="00B65FBC" w:rsidRDefault="00B65FBC" w:rsidP="00B65FBC">
            <w:pPr>
              <w:pStyle w:val="TSBullet1Square"/>
              <w:tabs>
                <w:tab w:val="left" w:pos="-10"/>
              </w:tabs>
              <w:spacing w:after="0"/>
              <w:ind w:left="698" w:hanging="698"/>
              <w:rPr>
                <w:rFonts w:asciiTheme="minorHAnsi" w:hAnsiTheme="minorHAnsi" w:cstheme="minorHAnsi"/>
              </w:rPr>
            </w:pPr>
            <w:r w:rsidRPr="00B65FBC">
              <w:rPr>
                <w:rFonts w:asciiTheme="minorHAnsi" w:hAnsiTheme="minorHAnsi" w:cstheme="minorHAnsi"/>
              </w:rPr>
              <w:t>Report to ONR any shortfalls identified during the review of the UK HPR1000 Civil Engineering safety case submissions and comment on their significance.</w:t>
            </w:r>
          </w:p>
          <w:p w:rsidR="00B65FBC" w:rsidRPr="00B65FBC" w:rsidRDefault="00B65FBC" w:rsidP="00B65FBC">
            <w:pPr>
              <w:pStyle w:val="TSBullet1Square"/>
              <w:tabs>
                <w:tab w:val="left" w:pos="-10"/>
              </w:tabs>
              <w:spacing w:after="0"/>
              <w:ind w:left="698" w:hanging="698"/>
              <w:rPr>
                <w:rFonts w:asciiTheme="minorHAnsi" w:hAnsiTheme="minorHAnsi" w:cstheme="minorHAnsi"/>
              </w:rPr>
            </w:pPr>
            <w:r w:rsidRPr="00B65FBC">
              <w:rPr>
                <w:rFonts w:asciiTheme="minorHAnsi" w:hAnsiTheme="minorHAnsi" w:cstheme="minorHAnsi"/>
              </w:rPr>
              <w:t>Evaluate and advise ONR on the importance of the assessment findings and their potential impact on the safety case.</w:t>
            </w:r>
          </w:p>
          <w:p w:rsidR="00B65FBC" w:rsidRPr="00B65FBC" w:rsidRDefault="00B65FBC" w:rsidP="00B65FBC">
            <w:pPr>
              <w:pStyle w:val="TSBullet1Square"/>
              <w:tabs>
                <w:tab w:val="left" w:pos="-10"/>
              </w:tabs>
              <w:spacing w:after="0"/>
              <w:ind w:left="698" w:hanging="698"/>
              <w:rPr>
                <w:rFonts w:asciiTheme="minorHAnsi" w:hAnsiTheme="minorHAnsi" w:cstheme="minorHAnsi"/>
              </w:rPr>
            </w:pPr>
            <w:r w:rsidRPr="00B65FBC">
              <w:rPr>
                <w:rFonts w:asciiTheme="minorHAnsi" w:hAnsiTheme="minorHAnsi" w:cstheme="minorHAnsi"/>
              </w:rPr>
              <w:t>Document the work done and the findings. The TSC will be required to produce approved Step 3 technical review reports, see above for details.</w:t>
            </w:r>
          </w:p>
          <w:p w:rsidR="00B65FBC" w:rsidRPr="00B65FBC" w:rsidRDefault="00B65FBC" w:rsidP="00B65FBC">
            <w:pPr>
              <w:pStyle w:val="TSBullet1Square"/>
              <w:tabs>
                <w:tab w:val="left" w:pos="-10"/>
              </w:tabs>
              <w:spacing w:after="0"/>
              <w:ind w:left="698" w:hanging="698"/>
              <w:rPr>
                <w:rFonts w:asciiTheme="minorHAnsi" w:hAnsiTheme="minorHAnsi" w:cstheme="minorHAnsi"/>
              </w:rPr>
            </w:pPr>
            <w:r w:rsidRPr="00B65FBC">
              <w:rPr>
                <w:rFonts w:asciiTheme="minorHAnsi" w:hAnsiTheme="minorHAnsi" w:cstheme="minorHAnsi"/>
              </w:rPr>
              <w:t>Project management – report monthly progress (short summary of progress and expenditure per task and team member) and coordination between the different technical disciplines, within the TSC’s team, involved in the review of the UK HPR1000 Civil Engineering safety case.</w:t>
            </w:r>
          </w:p>
          <w:p w:rsidR="00B65FBC" w:rsidRPr="00B65FBC" w:rsidRDefault="00B65FBC" w:rsidP="00B65FBC">
            <w:pPr>
              <w:pStyle w:val="TSBullet1Square"/>
              <w:tabs>
                <w:tab w:val="left" w:pos="-10"/>
              </w:tabs>
              <w:spacing w:after="0"/>
              <w:ind w:left="698" w:hanging="698"/>
              <w:rPr>
                <w:rFonts w:asciiTheme="minorHAnsi" w:hAnsiTheme="minorHAnsi" w:cstheme="minorHAnsi"/>
              </w:rPr>
            </w:pPr>
            <w:r w:rsidRPr="00B65FBC">
              <w:rPr>
                <w:rFonts w:asciiTheme="minorHAnsi" w:hAnsiTheme="minorHAnsi" w:cstheme="minorHAnsi"/>
              </w:rPr>
              <w:t>Deliver the work in accordance with the agreed scope, programme timescales and project costs.</w:t>
            </w:r>
          </w:p>
          <w:p w:rsidR="00AF4C0F" w:rsidRPr="002C62C2" w:rsidRDefault="00AF4C0F" w:rsidP="00971BA8">
            <w:pPr>
              <w:pStyle w:val="Header"/>
              <w:tabs>
                <w:tab w:val="left" w:pos="0"/>
              </w:tabs>
              <w:spacing w:before="120" w:after="120"/>
              <w:jc w:val="both"/>
              <w:rPr>
                <w:rFonts w:asciiTheme="minorHAnsi" w:hAnsiTheme="minorHAnsi" w:cstheme="minorHAnsi"/>
                <w:iCs/>
                <w:sz w:val="20"/>
                <w:szCs w:val="20"/>
              </w:rPr>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615412">
              <w:rPr>
                <w:rFonts w:asciiTheme="minorHAnsi" w:hAnsiTheme="minorHAnsi" w:cstheme="minorHAnsi"/>
              </w:rPr>
              <w:t>CONSTRAINTS</w:t>
            </w:r>
            <w:r w:rsidRPr="002C62C2">
              <w:rPr>
                <w:rFonts w:asciiTheme="minorHAnsi" w:hAnsiTheme="minorHAnsi" w:cstheme="minorHAnsi"/>
              </w:rPr>
              <w:t xml:space="preserve"> </w:t>
            </w:r>
          </w:p>
          <w:p w:rsidR="00A54E8C" w:rsidRPr="00A54E8C" w:rsidRDefault="00A54E8C" w:rsidP="00A54E8C">
            <w:pPr>
              <w:pStyle w:val="TSNumberedParagraph11"/>
              <w:rPr>
                <w:rFonts w:asciiTheme="minorHAnsi" w:hAnsiTheme="minorHAnsi" w:cstheme="minorHAnsi"/>
              </w:rPr>
            </w:pPr>
            <w:r w:rsidRPr="00A54E8C">
              <w:rPr>
                <w:rFonts w:asciiTheme="minorHAnsi" w:hAnsiTheme="minorHAnsi" w:cstheme="minorHAnsi"/>
              </w:rPr>
              <w:t xml:space="preserve">Constraints related to regulatory judgement:  Whilst the contractor will undertake the detailed technical reviews, it will be done under direction and management of ONR.  Regulatory judgement on the adequacy of the Civil Engineering safety case for the UK HPR1000 shall be made exclusively by ONR. </w:t>
            </w:r>
          </w:p>
          <w:p w:rsidR="00A54E8C" w:rsidRDefault="00A54E8C" w:rsidP="002B6CE0">
            <w:pPr>
              <w:pStyle w:val="TSNumberedParagraph11"/>
              <w:rPr>
                <w:rFonts w:asciiTheme="minorHAnsi" w:hAnsiTheme="minorHAnsi" w:cstheme="minorHAnsi"/>
              </w:rPr>
            </w:pPr>
            <w:r w:rsidRPr="00A54E8C">
              <w:rPr>
                <w:rFonts w:asciiTheme="minorHAnsi" w:hAnsiTheme="minorHAnsi" w:cstheme="minorHAnsi"/>
              </w:rPr>
              <w:t>Constraints on guidance to be used by the TSC for the review of the UK HPR1000 Civil Engineering safety case:</w:t>
            </w:r>
          </w:p>
          <w:p w:rsidR="00A54E8C" w:rsidRDefault="00A54E8C" w:rsidP="00A54E8C">
            <w:pPr>
              <w:pStyle w:val="TSBullet1Square"/>
              <w:tabs>
                <w:tab w:val="left" w:pos="-10"/>
              </w:tabs>
              <w:spacing w:after="0"/>
              <w:ind w:left="698" w:hanging="698"/>
              <w:rPr>
                <w:rFonts w:asciiTheme="minorHAnsi" w:hAnsiTheme="minorHAnsi" w:cstheme="minorHAnsi"/>
              </w:rPr>
            </w:pPr>
            <w:r w:rsidRPr="00A54E8C">
              <w:rPr>
                <w:rFonts w:asciiTheme="minorHAnsi" w:hAnsiTheme="minorHAnsi" w:cstheme="minorHAnsi"/>
              </w:rPr>
              <w:t>ONR’s Safety Assessment Principles 2014 (SAPs).</w:t>
            </w:r>
          </w:p>
          <w:p w:rsidR="00A54E8C" w:rsidRDefault="00D164BA" w:rsidP="002B6CE0">
            <w:pPr>
              <w:pStyle w:val="TSBullet1Square"/>
              <w:numPr>
                <w:ilvl w:val="1"/>
                <w:numId w:val="2"/>
              </w:numPr>
              <w:tabs>
                <w:tab w:val="left" w:pos="-10"/>
              </w:tabs>
              <w:rPr>
                <w:rFonts w:asciiTheme="minorHAnsi" w:hAnsiTheme="minorHAnsi" w:cstheme="minorHAnsi"/>
              </w:rPr>
            </w:pPr>
            <w:hyperlink r:id="rId12" w:history="1">
              <w:r w:rsidR="00A54E8C" w:rsidRPr="00A54E8C">
                <w:rPr>
                  <w:rStyle w:val="Hyperlink"/>
                  <w:rFonts w:asciiTheme="minorHAnsi" w:hAnsiTheme="minorHAnsi" w:cstheme="minorHAnsi"/>
                </w:rPr>
                <w:t>http://www.onr.org.uk/saps/index.htm</w:t>
              </w:r>
            </w:hyperlink>
          </w:p>
          <w:p w:rsidR="00A54E8C" w:rsidRDefault="00A54E8C" w:rsidP="00A54E8C">
            <w:pPr>
              <w:pStyle w:val="TSBullet1Square"/>
              <w:tabs>
                <w:tab w:val="left" w:pos="-10"/>
              </w:tabs>
              <w:spacing w:after="0"/>
              <w:ind w:left="698" w:hanging="698"/>
              <w:rPr>
                <w:rFonts w:asciiTheme="minorHAnsi" w:hAnsiTheme="minorHAnsi" w:cstheme="minorHAnsi"/>
              </w:rPr>
            </w:pPr>
            <w:r w:rsidRPr="00A54E8C">
              <w:rPr>
                <w:rFonts w:asciiTheme="minorHAnsi" w:hAnsiTheme="minorHAnsi" w:cstheme="minorHAnsi"/>
              </w:rPr>
              <w:t xml:space="preserve">ONR’s Technical Assessment Guides (TAGs) on civil engineering, civil engineering containments for </w:t>
            </w:r>
            <w:r w:rsidRPr="00A54E8C">
              <w:rPr>
                <w:rFonts w:asciiTheme="minorHAnsi" w:hAnsiTheme="minorHAnsi" w:cstheme="minorHAnsi"/>
              </w:rPr>
              <w:lastRenderedPageBreak/>
              <w:t>reactor plants and construction assurance.</w:t>
            </w:r>
          </w:p>
          <w:p w:rsidR="00A54E8C" w:rsidRDefault="00D164BA" w:rsidP="002B6CE0">
            <w:pPr>
              <w:pStyle w:val="TSBullet1Square"/>
              <w:numPr>
                <w:ilvl w:val="1"/>
                <w:numId w:val="2"/>
              </w:numPr>
              <w:tabs>
                <w:tab w:val="left" w:pos="-10"/>
              </w:tabs>
              <w:rPr>
                <w:rFonts w:asciiTheme="minorHAnsi" w:hAnsiTheme="minorHAnsi" w:cstheme="minorHAnsi"/>
              </w:rPr>
            </w:pPr>
            <w:hyperlink r:id="rId13" w:history="1">
              <w:r w:rsidR="00A54E8C" w:rsidRPr="00A54E8C">
                <w:rPr>
                  <w:rStyle w:val="Hyperlink"/>
                  <w:rFonts w:asciiTheme="minorHAnsi" w:hAnsiTheme="minorHAnsi" w:cstheme="minorHAnsi"/>
                </w:rPr>
                <w:t>http://www.onr.org.uk/operational/tech_asst_guides/index.htm</w:t>
              </w:r>
            </w:hyperlink>
          </w:p>
          <w:p w:rsidR="00414DDD" w:rsidRDefault="00414DDD" w:rsidP="002B6CE0">
            <w:pPr>
              <w:pStyle w:val="TSBullet1Square"/>
              <w:tabs>
                <w:tab w:val="left" w:pos="-10"/>
              </w:tabs>
              <w:spacing w:after="0"/>
              <w:ind w:left="698" w:hanging="698"/>
              <w:rPr>
                <w:rFonts w:asciiTheme="minorHAnsi" w:hAnsiTheme="minorHAnsi" w:cstheme="minorHAnsi"/>
              </w:rPr>
            </w:pPr>
            <w:r w:rsidRPr="00414DDD">
              <w:rPr>
                <w:rFonts w:asciiTheme="minorHAnsi" w:hAnsiTheme="minorHAnsi" w:cstheme="minorHAnsi"/>
              </w:rPr>
              <w:t>IAEA Documents:</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Fundamental Safety Principles Series No. SF-1, 2006</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Specific Safety Requirements Series No. SSR-2/1, Safety of Nuclear Power Plants: Design, Rev.1, 2016</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Safety Standards Series No. GSR Part 4 (Rev. 1), Safety Assessment for Facilities and Activities, 2016</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Nuclear Energy Series NP-T-2.5, Construction Technologies for Nuclear Power Plants, 2011</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Safety Guide Series No. NS-G-1.10, Design of Reactor Containment Systems for Nuclear Power Plants, 2004</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Safety Standards Series No. NS-G-1.6,  Seismic Design and Qualification for Nuclear Power Plants, 2003</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Safety Guide Series No. NS-G-3.6, Geotechnical Aspects of Site Evaluation and Foundations for Nuclear Power Plants, 2005</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Safety Standards Series No. NS-G-1.4 Design of Fuel Handling and Storage Systems for Nuclear Power Plants, 2003</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Safety Guide Series No. NS-G-2.12, Ageing Management for Nuclear Power Plants, 2009</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Safety Reports Series No.62, Proactive Management of Ageing for Nuclear Power Plants, 2009</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IAEA-TECDOC-1025, Assessment and Management of Ageing of Major Nuclear Power Plant Components Important to Safety: Concrete Containment Buildings, 1998</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Safety Standards Series No. NS-G-2.6, Maintenance, Surveillance and In-service Inspection in Nuclear Power Plants, 2002</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TECDOC-1657, Design Lessons Drawn from the Decommissioning of Nuclear Facilities, 2011</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OECD, NEA No. 6833 Decommissioning considerations for new nuclear power plants (Joint OECD-NEA/IAEA report), 2010</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Technical Reports Series 382, Design and Construction of Nuclear Power Plants to Facilitate Decommissioning, 1997</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Safety Standards Series No. NS-G-1.5, External Events Excluding Earthquakes in the Design of Nuclear Power Plants, 2003</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Safety Report Series No.86, Safety Aspects of Nuclear Power Plants in Human Induced External Events: General Considerations, 2017</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Safety Report Series No.87, Safety Aspects of Nuclear Power Plants in Human Induced External Events: Structural Assessment, 2018</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IAEA Safety Report Series No.88, Safety Aspects of Nuclear Power Plants in Human Induced External Events: Margin Assessment, 2017</w:t>
            </w:r>
          </w:p>
          <w:p w:rsidR="00414DDD" w:rsidRDefault="00BB2F6B" w:rsidP="00BB2F6B">
            <w:pPr>
              <w:pStyle w:val="TSBullet1Square"/>
              <w:tabs>
                <w:tab w:val="clear" w:pos="-31680"/>
                <w:tab w:val="left" w:pos="-10"/>
              </w:tabs>
              <w:spacing w:after="0"/>
              <w:ind w:left="698" w:hanging="698"/>
              <w:rPr>
                <w:rFonts w:asciiTheme="minorHAnsi" w:hAnsiTheme="minorHAnsi" w:cstheme="minorHAnsi"/>
              </w:rPr>
            </w:pPr>
            <w:r w:rsidRPr="00BB2F6B">
              <w:rPr>
                <w:rFonts w:asciiTheme="minorHAnsi" w:hAnsiTheme="minorHAnsi" w:cstheme="minorHAnsi"/>
              </w:rPr>
              <w:t>WENRA Reference Levels:</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Reactor Safety Levels for Existing Reactors (September 2014)</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Statement on Safety Objectives for New Nuclear Power Plants (March 2013) and Safety of New NPP Designs (March 2013)</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Waste and Spent Fuel Storage Safety Reference Levels (April 2014)</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Decommissioning Safety Reference Levels (April 2015)</w:t>
            </w:r>
          </w:p>
          <w:p w:rsidR="008C19A9" w:rsidRDefault="00BB2F6B" w:rsidP="008C19A9">
            <w:pPr>
              <w:pStyle w:val="TSBullet1Square"/>
              <w:tabs>
                <w:tab w:val="clear" w:pos="-31680"/>
                <w:tab w:val="left" w:pos="-10"/>
              </w:tabs>
              <w:spacing w:after="0"/>
              <w:ind w:left="698" w:hanging="698"/>
              <w:rPr>
                <w:rFonts w:asciiTheme="minorHAnsi" w:hAnsiTheme="minorHAnsi" w:cstheme="minorHAnsi"/>
              </w:rPr>
            </w:pPr>
            <w:r w:rsidRPr="00BB2F6B">
              <w:rPr>
                <w:rFonts w:asciiTheme="minorHAnsi" w:hAnsiTheme="minorHAnsi" w:cstheme="minorHAnsi"/>
              </w:rPr>
              <w:t>Other Relevant References:</w:t>
            </w:r>
          </w:p>
          <w:p w:rsidR="008C19A9" w:rsidRPr="008C19A9" w:rsidRDefault="008C19A9" w:rsidP="00E475BE">
            <w:pPr>
              <w:pStyle w:val="TSBullet1Square"/>
              <w:numPr>
                <w:ilvl w:val="1"/>
                <w:numId w:val="2"/>
              </w:numPr>
              <w:tabs>
                <w:tab w:val="left" w:pos="-10"/>
              </w:tabs>
              <w:rPr>
                <w:rFonts w:asciiTheme="minorHAnsi" w:hAnsiTheme="minorHAnsi" w:cstheme="minorHAnsi"/>
              </w:rPr>
            </w:pPr>
            <w:r>
              <w:rPr>
                <w:rFonts w:asciiTheme="minorHAnsi" w:hAnsiTheme="minorHAnsi" w:cstheme="minorHAnsi"/>
              </w:rPr>
              <w:t>Relevant UK, US and European technical design codes pertaining to nuclear safety-related civil engineering.</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Construction (Design and Management) Regulations (CDM) 2015</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NEI 07-13 [Revision 8P], Methodology for Performing Aircraft Impact Assessments for New Plant Designs, April 2011</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OECD, NEA No. 6833 Decommissioning considerations for new nuclear power plants (Joint OECD-NEA/IAEA report), 2010</w:t>
            </w:r>
          </w:p>
          <w:p w:rsidR="00BB2F6B" w:rsidRDefault="00BB2F6B" w:rsidP="00BB2F6B">
            <w:pPr>
              <w:pStyle w:val="TSBullet1Square"/>
              <w:tabs>
                <w:tab w:val="clear" w:pos="-31680"/>
                <w:tab w:val="left" w:pos="-10"/>
              </w:tabs>
              <w:spacing w:after="0"/>
              <w:ind w:left="698" w:hanging="698"/>
              <w:rPr>
                <w:rFonts w:asciiTheme="minorHAnsi" w:hAnsiTheme="minorHAnsi" w:cstheme="minorHAnsi"/>
              </w:rPr>
            </w:pPr>
            <w:r w:rsidRPr="00BB2F6B">
              <w:rPr>
                <w:rFonts w:asciiTheme="minorHAnsi" w:hAnsiTheme="minorHAnsi" w:cstheme="minorHAnsi"/>
              </w:rPr>
              <w:t xml:space="preserve">Any additional relevant national and international standards and authoritative guidance as </w:t>
            </w:r>
            <w:r w:rsidRPr="00BB2F6B">
              <w:rPr>
                <w:rFonts w:asciiTheme="minorHAnsi" w:hAnsiTheme="minorHAnsi" w:cstheme="minorHAnsi"/>
              </w:rPr>
              <w:lastRenderedPageBreak/>
              <w:t>identified by the TSC, in agreement with ONR.</w:t>
            </w:r>
          </w:p>
          <w:p w:rsidR="00BB2F6B" w:rsidRPr="00BB2F6B" w:rsidRDefault="00BB2F6B" w:rsidP="00BB2F6B">
            <w:pPr>
              <w:pStyle w:val="TSBullet1Square"/>
              <w:numPr>
                <w:ilvl w:val="0"/>
                <w:numId w:val="0"/>
              </w:numPr>
              <w:tabs>
                <w:tab w:val="left" w:pos="-10"/>
              </w:tabs>
              <w:spacing w:after="0"/>
              <w:ind w:left="698"/>
              <w:rPr>
                <w:rFonts w:asciiTheme="minorHAnsi" w:hAnsiTheme="minorHAnsi" w:cstheme="minorHAnsi"/>
              </w:rPr>
            </w:pPr>
          </w:p>
          <w:p w:rsidR="00BB2F6B" w:rsidRPr="00BB2F6B" w:rsidRDefault="00BB2F6B" w:rsidP="00BB2F6B">
            <w:pPr>
              <w:pStyle w:val="TSNumberedParagraph11"/>
              <w:rPr>
                <w:rFonts w:asciiTheme="minorHAnsi" w:hAnsiTheme="minorHAnsi" w:cstheme="minorHAnsi"/>
              </w:rPr>
            </w:pPr>
            <w:r w:rsidRPr="00BB2F6B">
              <w:rPr>
                <w:rFonts w:asciiTheme="minorHAnsi" w:hAnsiTheme="minorHAnsi" w:cstheme="minorHAnsi"/>
              </w:rPr>
              <w:t>Constraints related to the TSC’s technical capabilities:</w:t>
            </w:r>
          </w:p>
          <w:p w:rsidR="00BB2F6B" w:rsidRDefault="00BB2F6B" w:rsidP="00BB2F6B">
            <w:pPr>
              <w:pStyle w:val="TSBullet1Square"/>
              <w:tabs>
                <w:tab w:val="left" w:pos="-10"/>
              </w:tabs>
              <w:spacing w:after="0"/>
              <w:ind w:left="698" w:hanging="698"/>
              <w:rPr>
                <w:rFonts w:asciiTheme="minorHAnsi" w:hAnsiTheme="minorHAnsi" w:cstheme="minorHAnsi"/>
              </w:rPr>
            </w:pPr>
            <w:r w:rsidRPr="00BB2F6B">
              <w:rPr>
                <w:rFonts w:asciiTheme="minorHAnsi" w:hAnsiTheme="minorHAnsi" w:cstheme="minorHAnsi"/>
              </w:rPr>
              <w:t>The TSC should put forward a team with knowledge in PWR civil engineering technology.</w:t>
            </w:r>
          </w:p>
          <w:p w:rsidR="008C19A9" w:rsidRPr="00BB2F6B" w:rsidRDefault="008C19A9" w:rsidP="00BB2F6B">
            <w:pPr>
              <w:pStyle w:val="TSBullet1Square"/>
              <w:tabs>
                <w:tab w:val="left" w:pos="-10"/>
              </w:tabs>
              <w:spacing w:after="0"/>
              <w:ind w:left="698" w:hanging="698"/>
              <w:rPr>
                <w:rFonts w:asciiTheme="minorHAnsi" w:hAnsiTheme="minorHAnsi" w:cstheme="minorHAnsi"/>
              </w:rPr>
            </w:pPr>
            <w:r>
              <w:rPr>
                <w:rFonts w:asciiTheme="minorHAnsi" w:hAnsiTheme="minorHAnsi" w:cstheme="minorHAnsi"/>
              </w:rPr>
              <w:t>It is expected that the team will be led by a suitably qualified and experienced technical lead who will have overall responsibility for technical matters and who will authorise all technical deliverables on the project. The technical lead should be assigned at the mobilisation of the project and is expected to be involved throughout the project.</w:t>
            </w:r>
          </w:p>
          <w:p w:rsidR="00BB2F6B" w:rsidRPr="00BB2F6B" w:rsidRDefault="00BB2F6B" w:rsidP="00BB2F6B">
            <w:pPr>
              <w:pStyle w:val="TSBullet1Square"/>
              <w:tabs>
                <w:tab w:val="left" w:pos="-10"/>
              </w:tabs>
              <w:spacing w:after="0"/>
              <w:ind w:left="698" w:hanging="698"/>
              <w:rPr>
                <w:rFonts w:asciiTheme="minorHAnsi" w:hAnsiTheme="minorHAnsi" w:cstheme="minorHAnsi"/>
              </w:rPr>
            </w:pPr>
            <w:r w:rsidRPr="00BB2F6B">
              <w:rPr>
                <w:rFonts w:asciiTheme="minorHAnsi" w:hAnsiTheme="minorHAnsi" w:cstheme="minorHAnsi"/>
              </w:rPr>
              <w:t xml:space="preserve">The TSC should put forward a team with expert knowledge in Civil Engineering </w:t>
            </w:r>
            <w:r w:rsidR="008C19A9">
              <w:rPr>
                <w:rFonts w:asciiTheme="minorHAnsi" w:hAnsiTheme="minorHAnsi" w:cstheme="minorHAnsi"/>
              </w:rPr>
              <w:t xml:space="preserve">nuclear </w:t>
            </w:r>
            <w:r w:rsidRPr="00BB2F6B">
              <w:rPr>
                <w:rFonts w:asciiTheme="minorHAnsi" w:hAnsiTheme="minorHAnsi" w:cstheme="minorHAnsi"/>
              </w:rPr>
              <w:t>safety assessment and with good knowledge of the UK regulatory expectations regarding Civil Engineering. The RP has stated that Civil Engineering codes and standards for the UK HPR1000 will be the following:</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Adopt the most current American codes for strength design (the Ultimate Limit State).</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Adopt a combination of the most current American and European codes for serviceability design.</w:t>
            </w:r>
          </w:p>
          <w:p w:rsidR="00BB2F6B" w:rsidRPr="00BB2F6B" w:rsidRDefault="00BB2F6B" w:rsidP="002B6CE0">
            <w:pPr>
              <w:pStyle w:val="TSBullet1Square"/>
              <w:numPr>
                <w:ilvl w:val="1"/>
                <w:numId w:val="2"/>
              </w:numPr>
              <w:tabs>
                <w:tab w:val="left" w:pos="-10"/>
              </w:tabs>
              <w:rPr>
                <w:rFonts w:asciiTheme="minorHAnsi" w:hAnsiTheme="minorHAnsi" w:cstheme="minorHAnsi"/>
              </w:rPr>
            </w:pPr>
            <w:r w:rsidRPr="00BB2F6B">
              <w:rPr>
                <w:rFonts w:asciiTheme="minorHAnsi" w:hAnsiTheme="minorHAnsi" w:cstheme="minorHAnsi"/>
              </w:rPr>
              <w:t>Material specification is in accordance with European and British codes through comparison between relevant American and European codes.</w:t>
            </w:r>
          </w:p>
          <w:p w:rsidR="00BB2F6B" w:rsidRPr="00BB2F6B" w:rsidRDefault="00BB2F6B" w:rsidP="00BB2F6B">
            <w:pPr>
              <w:pStyle w:val="TSNumberedParagraph11"/>
              <w:rPr>
                <w:rFonts w:asciiTheme="minorHAnsi" w:hAnsiTheme="minorHAnsi" w:cstheme="minorHAnsi"/>
              </w:rPr>
            </w:pPr>
            <w:r w:rsidRPr="00BB2F6B">
              <w:rPr>
                <w:rFonts w:asciiTheme="minorHAnsi" w:hAnsiTheme="minorHAnsi" w:cstheme="minorHAnsi"/>
              </w:rPr>
              <w:t>Scheduling constraints – meetings with the RP: ONR anticipates that a number of meetings with the RP will require participation of TSC’s staff; for example:</w:t>
            </w:r>
          </w:p>
          <w:p w:rsidR="00BB2F6B" w:rsidRDefault="00BB2F6B" w:rsidP="00BB2F6B">
            <w:pPr>
              <w:pStyle w:val="TSBullet1Square"/>
              <w:tabs>
                <w:tab w:val="left" w:pos="-10"/>
              </w:tabs>
              <w:spacing w:after="0"/>
              <w:ind w:left="698" w:hanging="698"/>
              <w:rPr>
                <w:rFonts w:asciiTheme="minorHAnsi" w:hAnsiTheme="minorHAnsi" w:cstheme="minorHAnsi"/>
              </w:rPr>
            </w:pPr>
            <w:r w:rsidRPr="00BB2F6B">
              <w:rPr>
                <w:rFonts w:asciiTheme="minorHAnsi" w:hAnsiTheme="minorHAnsi" w:cstheme="minorHAnsi"/>
              </w:rPr>
              <w:t>The TSC should assume attendance at ten one day monthly meetings in the UK between ONR and the RP during Step 3.  In addition, allowance should be made for three four-day Technical Workshops which will be in the UK or Shenzhen, China.  For the purpose of this tender assume that two will happen in China and one in UK.</w:t>
            </w:r>
            <w:r w:rsidR="008C19A9">
              <w:rPr>
                <w:rFonts w:asciiTheme="minorHAnsi" w:hAnsiTheme="minorHAnsi" w:cstheme="minorHAnsi"/>
              </w:rPr>
              <w:t xml:space="preserve"> Allow one full day pre-meeting with </w:t>
            </w:r>
            <w:proofErr w:type="gramStart"/>
            <w:r w:rsidR="008C19A9">
              <w:rPr>
                <w:rFonts w:asciiTheme="minorHAnsi" w:hAnsiTheme="minorHAnsi" w:cstheme="minorHAnsi"/>
              </w:rPr>
              <w:t>ONR  in</w:t>
            </w:r>
            <w:proofErr w:type="gramEnd"/>
            <w:r w:rsidR="008C19A9">
              <w:rPr>
                <w:rFonts w:asciiTheme="minorHAnsi" w:hAnsiTheme="minorHAnsi" w:cstheme="minorHAnsi"/>
              </w:rPr>
              <w:t xml:space="preserve"> the UK at the TSC’s premises  for each workshop.</w:t>
            </w:r>
          </w:p>
          <w:p w:rsidR="00BB2F6B" w:rsidRPr="00BB2F6B" w:rsidRDefault="00BB2F6B" w:rsidP="00BB2F6B">
            <w:pPr>
              <w:pStyle w:val="TSBullet1Square"/>
              <w:numPr>
                <w:ilvl w:val="0"/>
                <w:numId w:val="0"/>
              </w:numPr>
              <w:tabs>
                <w:tab w:val="left" w:pos="-10"/>
              </w:tabs>
              <w:spacing w:after="0"/>
              <w:ind w:left="698"/>
              <w:rPr>
                <w:rFonts w:asciiTheme="minorHAnsi" w:hAnsiTheme="minorHAnsi" w:cstheme="minorHAnsi"/>
              </w:rPr>
            </w:pPr>
          </w:p>
          <w:p w:rsidR="00BB2F6B" w:rsidRPr="00BB2F6B" w:rsidRDefault="00BB2F6B" w:rsidP="00BB2F6B">
            <w:pPr>
              <w:pStyle w:val="TSNumberedParagraph11"/>
              <w:rPr>
                <w:rFonts w:asciiTheme="minorHAnsi" w:hAnsiTheme="minorHAnsi" w:cstheme="minorHAnsi"/>
              </w:rPr>
            </w:pPr>
            <w:r w:rsidRPr="00BB2F6B">
              <w:rPr>
                <w:rFonts w:asciiTheme="minorHAnsi" w:hAnsiTheme="minorHAnsi" w:cstheme="minorHAnsi"/>
              </w:rPr>
              <w:t>A pragmatic and flexible approach will need to be adopted by the TSC to deal with the project needs in terms of meeting dates, attendance and attendees. Note the staggered delivery dates for the proposed deliverables listed in Appendix 1.</w:t>
            </w:r>
          </w:p>
          <w:p w:rsidR="00BB2F6B" w:rsidRPr="00BB2F6B" w:rsidRDefault="00BB2F6B" w:rsidP="00BB2F6B">
            <w:pPr>
              <w:pStyle w:val="TSNumberedParagraph11"/>
              <w:rPr>
                <w:rFonts w:asciiTheme="minorHAnsi" w:hAnsiTheme="minorHAnsi" w:cstheme="minorHAnsi"/>
              </w:rPr>
            </w:pPr>
            <w:r w:rsidRPr="00BB2F6B">
              <w:rPr>
                <w:rFonts w:asciiTheme="minorHAnsi" w:hAnsiTheme="minorHAnsi" w:cstheme="minorHAnsi"/>
              </w:rPr>
              <w:t>Timing constraints:  A start date of January 2019 is initially proposed for the assessment of the Civil Engineering evidence.  The Civil Engineering work package is assumed to be approximately 10 months in duration.  This will be agreed and fixed when the contract is awarded, as will key project milestones and delivery dates for the various reports:</w:t>
            </w:r>
          </w:p>
          <w:p w:rsidR="00BB2F6B" w:rsidRPr="00BB2F6B" w:rsidRDefault="00BB2F6B" w:rsidP="00BB2F6B">
            <w:pPr>
              <w:pStyle w:val="TSBullet1Square"/>
              <w:tabs>
                <w:tab w:val="left" w:pos="-10"/>
              </w:tabs>
              <w:spacing w:after="0"/>
              <w:ind w:left="698" w:hanging="698"/>
              <w:rPr>
                <w:rFonts w:asciiTheme="minorHAnsi" w:hAnsiTheme="minorHAnsi" w:cstheme="minorHAnsi"/>
              </w:rPr>
            </w:pPr>
            <w:r w:rsidRPr="00BB2F6B">
              <w:rPr>
                <w:rFonts w:asciiTheme="minorHAnsi" w:hAnsiTheme="minorHAnsi" w:cstheme="minorHAnsi"/>
              </w:rPr>
              <w:t>Start of GDA Step 3: November 2018.</w:t>
            </w:r>
          </w:p>
          <w:p w:rsidR="00BB2F6B" w:rsidRPr="00BB2F6B" w:rsidRDefault="00BB2F6B" w:rsidP="00BB2F6B">
            <w:pPr>
              <w:pStyle w:val="TSBullet1Square"/>
              <w:tabs>
                <w:tab w:val="left" w:pos="-10"/>
              </w:tabs>
              <w:spacing w:after="0"/>
              <w:ind w:left="698" w:hanging="698"/>
              <w:rPr>
                <w:rFonts w:asciiTheme="minorHAnsi" w:hAnsiTheme="minorHAnsi" w:cstheme="minorHAnsi"/>
              </w:rPr>
            </w:pPr>
            <w:r w:rsidRPr="00BB2F6B">
              <w:rPr>
                <w:rFonts w:asciiTheme="minorHAnsi" w:hAnsiTheme="minorHAnsi" w:cstheme="minorHAnsi"/>
              </w:rPr>
              <w:t>TSC proposals received: December 2018.</w:t>
            </w:r>
          </w:p>
          <w:p w:rsidR="00BB2F6B" w:rsidRPr="00BB2F6B" w:rsidRDefault="00BB2F6B" w:rsidP="00BB2F6B">
            <w:pPr>
              <w:pStyle w:val="TSBullet1Square"/>
              <w:tabs>
                <w:tab w:val="left" w:pos="-10"/>
              </w:tabs>
              <w:spacing w:after="0"/>
              <w:ind w:left="698" w:hanging="698"/>
              <w:rPr>
                <w:rFonts w:asciiTheme="minorHAnsi" w:hAnsiTheme="minorHAnsi" w:cstheme="minorHAnsi"/>
              </w:rPr>
            </w:pPr>
            <w:r w:rsidRPr="00BB2F6B">
              <w:rPr>
                <w:rFonts w:asciiTheme="minorHAnsi" w:hAnsiTheme="minorHAnsi" w:cstheme="minorHAnsi"/>
              </w:rPr>
              <w:t>TSC selection and approvals process: December 2018 – January 2019.</w:t>
            </w:r>
          </w:p>
          <w:p w:rsidR="00BB2F6B" w:rsidRPr="00BB2F6B" w:rsidRDefault="00BB2F6B" w:rsidP="00BB2F6B">
            <w:pPr>
              <w:pStyle w:val="TSBullet1Square"/>
              <w:tabs>
                <w:tab w:val="left" w:pos="-10"/>
              </w:tabs>
              <w:spacing w:after="0"/>
              <w:ind w:left="698" w:hanging="698"/>
              <w:rPr>
                <w:rFonts w:asciiTheme="minorHAnsi" w:hAnsiTheme="minorHAnsi" w:cstheme="minorHAnsi"/>
              </w:rPr>
            </w:pPr>
            <w:r w:rsidRPr="00BB2F6B">
              <w:rPr>
                <w:rFonts w:asciiTheme="minorHAnsi" w:hAnsiTheme="minorHAnsi" w:cstheme="minorHAnsi"/>
              </w:rPr>
              <w:t>Contract awarded: January 2019.</w:t>
            </w:r>
          </w:p>
          <w:p w:rsidR="00BB2F6B" w:rsidRPr="00BB2F6B" w:rsidRDefault="00BB2F6B" w:rsidP="00BB2F6B">
            <w:pPr>
              <w:pStyle w:val="TSBullet1Square"/>
              <w:tabs>
                <w:tab w:val="left" w:pos="-10"/>
              </w:tabs>
              <w:spacing w:after="0"/>
              <w:ind w:left="698" w:hanging="698"/>
              <w:rPr>
                <w:rFonts w:asciiTheme="minorHAnsi" w:hAnsiTheme="minorHAnsi" w:cstheme="minorHAnsi"/>
              </w:rPr>
            </w:pPr>
            <w:r w:rsidRPr="00BB2F6B">
              <w:rPr>
                <w:rFonts w:asciiTheme="minorHAnsi" w:hAnsiTheme="minorHAnsi" w:cstheme="minorHAnsi"/>
              </w:rPr>
              <w:t>Kick-off meeting between ONR and TSC: within 10 working days of award of contract.</w:t>
            </w:r>
          </w:p>
          <w:p w:rsidR="00BB2F6B" w:rsidRPr="00BB2F6B" w:rsidRDefault="00BB2F6B" w:rsidP="00BB2F6B">
            <w:pPr>
              <w:pStyle w:val="TSBullet1Square"/>
              <w:tabs>
                <w:tab w:val="left" w:pos="-10"/>
              </w:tabs>
              <w:spacing w:after="0"/>
              <w:ind w:left="698" w:hanging="698"/>
              <w:rPr>
                <w:rFonts w:asciiTheme="minorHAnsi" w:hAnsiTheme="minorHAnsi" w:cstheme="minorHAnsi"/>
              </w:rPr>
            </w:pPr>
            <w:r w:rsidRPr="00BB2F6B">
              <w:rPr>
                <w:rFonts w:asciiTheme="minorHAnsi" w:hAnsiTheme="minorHAnsi" w:cstheme="minorHAnsi"/>
              </w:rPr>
              <w:t>TSC’s Step 3 draft reports are required before 16th August 2019 (this is to inform authoring of ONR reports which are required by 27th September 2019).</w:t>
            </w:r>
          </w:p>
          <w:p w:rsidR="00BB2F6B" w:rsidRDefault="00BB2F6B" w:rsidP="00BB2F6B">
            <w:pPr>
              <w:pStyle w:val="TSBullet1Square"/>
              <w:tabs>
                <w:tab w:val="left" w:pos="-10"/>
              </w:tabs>
              <w:spacing w:after="0"/>
              <w:ind w:left="698" w:hanging="698"/>
              <w:rPr>
                <w:rFonts w:asciiTheme="minorHAnsi" w:hAnsiTheme="minorHAnsi" w:cstheme="minorHAnsi"/>
              </w:rPr>
            </w:pPr>
            <w:r w:rsidRPr="00BB2F6B">
              <w:rPr>
                <w:rFonts w:asciiTheme="minorHAnsi" w:hAnsiTheme="minorHAnsi" w:cstheme="minorHAnsi"/>
              </w:rPr>
              <w:t>End of the GDA Step 3: December 2019.</w:t>
            </w:r>
          </w:p>
          <w:p w:rsidR="00BB2F6B" w:rsidRDefault="00BB2F6B" w:rsidP="00BB2F6B">
            <w:pPr>
              <w:pStyle w:val="TSBullet1Square"/>
              <w:numPr>
                <w:ilvl w:val="0"/>
                <w:numId w:val="0"/>
              </w:numPr>
              <w:tabs>
                <w:tab w:val="left" w:pos="-10"/>
              </w:tabs>
              <w:spacing w:after="0"/>
              <w:ind w:left="698"/>
              <w:rPr>
                <w:rFonts w:asciiTheme="minorHAnsi" w:hAnsiTheme="minorHAnsi" w:cstheme="minorHAnsi"/>
              </w:rPr>
            </w:pPr>
          </w:p>
          <w:p w:rsidR="006C3447" w:rsidRDefault="006C3447" w:rsidP="00BB2F6B">
            <w:pPr>
              <w:pStyle w:val="TSBullet1Square"/>
              <w:numPr>
                <w:ilvl w:val="0"/>
                <w:numId w:val="0"/>
              </w:numPr>
              <w:tabs>
                <w:tab w:val="left" w:pos="-10"/>
              </w:tabs>
              <w:spacing w:after="0"/>
              <w:ind w:left="698"/>
              <w:rPr>
                <w:rFonts w:asciiTheme="minorHAnsi" w:hAnsiTheme="minorHAnsi" w:cstheme="minorHAnsi"/>
              </w:rPr>
            </w:pPr>
            <w:r>
              <w:rPr>
                <w:rFonts w:asciiTheme="minorHAnsi" w:hAnsiTheme="minorHAnsi" w:cstheme="minorHAnsi"/>
              </w:rPr>
              <w:t xml:space="preserve">The </w:t>
            </w:r>
            <w:r w:rsidRPr="006C3447">
              <w:rPr>
                <w:rFonts w:asciiTheme="minorHAnsi" w:hAnsiTheme="minorHAnsi" w:cstheme="minorHAnsi"/>
              </w:rPr>
              <w:t>work is expected to start and conclude in accordance with the overall timescales given above, and a project programme will be agreed with the contractor upon contract award.</w:t>
            </w:r>
          </w:p>
          <w:p w:rsidR="006C3447" w:rsidRPr="00BB2F6B" w:rsidRDefault="006C3447" w:rsidP="00BB2F6B">
            <w:pPr>
              <w:pStyle w:val="TSBullet1Square"/>
              <w:numPr>
                <w:ilvl w:val="0"/>
                <w:numId w:val="0"/>
              </w:numPr>
              <w:tabs>
                <w:tab w:val="left" w:pos="-10"/>
              </w:tabs>
              <w:spacing w:after="0"/>
              <w:ind w:left="698"/>
              <w:rPr>
                <w:rFonts w:asciiTheme="minorHAnsi" w:hAnsiTheme="minorHAnsi" w:cstheme="minorHAnsi"/>
              </w:rPr>
            </w:pPr>
          </w:p>
          <w:p w:rsidR="00BB2F6B" w:rsidRPr="00BB2F6B" w:rsidRDefault="00BB2F6B" w:rsidP="00BB2F6B">
            <w:pPr>
              <w:pStyle w:val="TSNumberedParagraph11"/>
              <w:rPr>
                <w:rFonts w:asciiTheme="minorHAnsi" w:hAnsiTheme="minorHAnsi" w:cstheme="minorHAnsi"/>
              </w:rPr>
            </w:pPr>
            <w:r w:rsidRPr="00BB2F6B">
              <w:rPr>
                <w:rFonts w:asciiTheme="minorHAnsi" w:hAnsiTheme="minorHAnsi" w:cstheme="minorHAnsi"/>
              </w:rPr>
              <w:t>Security constraints:</w:t>
            </w:r>
          </w:p>
          <w:p w:rsidR="00BB2F6B" w:rsidRPr="00BB2F6B" w:rsidRDefault="00BB2F6B" w:rsidP="00BB2F6B">
            <w:pPr>
              <w:pStyle w:val="TSBullet1Square"/>
              <w:tabs>
                <w:tab w:val="left" w:pos="-10"/>
              </w:tabs>
              <w:spacing w:after="0"/>
              <w:ind w:left="698" w:hanging="698"/>
              <w:rPr>
                <w:rFonts w:asciiTheme="minorHAnsi" w:hAnsiTheme="minorHAnsi" w:cstheme="minorHAnsi"/>
              </w:rPr>
            </w:pPr>
            <w:r w:rsidRPr="00BB2F6B">
              <w:rPr>
                <w:rFonts w:asciiTheme="minorHAnsi" w:hAnsiTheme="minorHAnsi" w:cstheme="minorHAnsi"/>
              </w:rPr>
              <w:t>It is expected that security constraints will only apply to select documents in the Aircraft Impact Safety Case.</w:t>
            </w:r>
          </w:p>
          <w:p w:rsidR="00BB2F6B" w:rsidRPr="006C3447" w:rsidRDefault="00BB2F6B" w:rsidP="006C3447">
            <w:pPr>
              <w:pStyle w:val="TSBullet1Square"/>
              <w:tabs>
                <w:tab w:val="left" w:pos="-10"/>
              </w:tabs>
              <w:spacing w:after="0"/>
              <w:ind w:left="698" w:hanging="698"/>
              <w:rPr>
                <w:rFonts w:asciiTheme="minorHAnsi" w:hAnsiTheme="minorHAnsi" w:cstheme="minorHAnsi"/>
              </w:rPr>
            </w:pPr>
            <w:r w:rsidRPr="006C3447">
              <w:rPr>
                <w:rFonts w:asciiTheme="minorHAnsi" w:hAnsiTheme="minorHAnsi" w:cstheme="minorHAnsi"/>
              </w:rPr>
              <w:t>It is expected that some of the RP’s material and, as a consequence, the TSC’s review reports may include information of a sensitive nature and attract the UK protective marking OFFICIAL – SENSITIVE.  This material will therefore need to be handled appropriately</w:t>
            </w:r>
            <w:r w:rsidR="006C3447">
              <w:rPr>
                <w:rFonts w:asciiTheme="minorHAnsi" w:hAnsiTheme="minorHAnsi" w:cstheme="minorHAnsi"/>
              </w:rPr>
              <w:t xml:space="preserve"> and</w:t>
            </w:r>
            <w:r w:rsidR="006C3447" w:rsidRPr="006C3447">
              <w:rPr>
                <w:rFonts w:asciiTheme="minorHAnsi" w:hAnsiTheme="minorHAnsi" w:cstheme="minorHAnsi"/>
              </w:rPr>
              <w:t xml:space="preserve"> arrangements for security vetting and IT security established in the Technical Support Contract framework </w:t>
            </w:r>
            <w:r w:rsidR="006C3447" w:rsidRPr="006C3447">
              <w:rPr>
                <w:rFonts w:asciiTheme="minorHAnsi" w:hAnsiTheme="minorHAnsi" w:cstheme="minorHAnsi"/>
              </w:rPr>
              <w:lastRenderedPageBreak/>
              <w:t>agreement will need to be followed</w:t>
            </w:r>
            <w:r w:rsidR="006C3447">
              <w:rPr>
                <w:rFonts w:asciiTheme="minorHAnsi" w:hAnsiTheme="minorHAnsi" w:cstheme="minorHAnsi"/>
              </w:rPr>
              <w:t>.</w:t>
            </w:r>
          </w:p>
          <w:p w:rsidR="00BB2F6B" w:rsidRDefault="00BB2F6B" w:rsidP="00BB2F6B">
            <w:pPr>
              <w:pStyle w:val="TSBullet1Square"/>
              <w:tabs>
                <w:tab w:val="left" w:pos="-10"/>
              </w:tabs>
              <w:spacing w:after="0"/>
              <w:ind w:left="698" w:hanging="698"/>
              <w:rPr>
                <w:rFonts w:asciiTheme="minorHAnsi" w:hAnsiTheme="minorHAnsi" w:cstheme="minorHAnsi"/>
              </w:rPr>
            </w:pPr>
            <w:r w:rsidRPr="00BB2F6B">
              <w:rPr>
                <w:rFonts w:asciiTheme="minorHAnsi" w:hAnsiTheme="minorHAnsi" w:cstheme="minorHAnsi"/>
              </w:rPr>
              <w:t>Work cannot commence on any OFFICIAL – SENSITIVE marked documents until the required security clearances of individuals working on the project have been established and the TSC’s IT systems have been demonstrated to be suitable for the protective marking applied to the information.</w:t>
            </w:r>
          </w:p>
          <w:p w:rsidR="00BB2F6B" w:rsidRPr="00BB2F6B" w:rsidRDefault="00BB2F6B" w:rsidP="00BB2F6B">
            <w:pPr>
              <w:pStyle w:val="TSBullet1Square"/>
              <w:numPr>
                <w:ilvl w:val="0"/>
                <w:numId w:val="0"/>
              </w:numPr>
              <w:tabs>
                <w:tab w:val="left" w:pos="-10"/>
              </w:tabs>
              <w:spacing w:after="0"/>
              <w:ind w:left="698"/>
              <w:rPr>
                <w:rFonts w:asciiTheme="minorHAnsi" w:hAnsiTheme="minorHAnsi" w:cstheme="minorHAnsi"/>
              </w:rPr>
            </w:pPr>
          </w:p>
          <w:p w:rsidR="006C3447" w:rsidRDefault="006C3447" w:rsidP="006C3447">
            <w:pPr>
              <w:pStyle w:val="TSNumberedParagraph11"/>
              <w:rPr>
                <w:rFonts w:asciiTheme="minorHAnsi" w:hAnsiTheme="minorHAnsi" w:cstheme="minorHAnsi"/>
              </w:rPr>
            </w:pPr>
            <w:r w:rsidRPr="006C3447">
              <w:rPr>
                <w:rFonts w:asciiTheme="minorHAnsi" w:hAnsiTheme="minorHAnsi" w:cstheme="minorHAnsi"/>
              </w:rPr>
              <w:t>All information received from the RP will need to be treated in accordance with the ONR Technical Support Contact Framework agreement and non-disclosure agreement. The information or a certificate of destruction will need to be returned to ONR at the end of the contract.</w:t>
            </w:r>
          </w:p>
          <w:p w:rsidR="006C3447" w:rsidRDefault="006C3447" w:rsidP="006C3447">
            <w:pPr>
              <w:pStyle w:val="TSNumberedParagraph11"/>
              <w:rPr>
                <w:rFonts w:asciiTheme="minorHAnsi" w:hAnsiTheme="minorHAnsi" w:cstheme="minorHAnsi"/>
              </w:rPr>
            </w:pPr>
            <w:r w:rsidRPr="006C3447">
              <w:rPr>
                <w:rFonts w:asciiTheme="minorHAnsi" w:hAnsiTheme="minorHAnsi" w:cstheme="minorHAnsi"/>
              </w:rPr>
              <w:t>The contractor and where applicable, its sub-contractors, will need to provide assurances that it has, or is able to obtain, all necessary export control licenses, where required to transfer relevant information out of the UK and return it.</w:t>
            </w:r>
          </w:p>
          <w:p w:rsidR="006C3447" w:rsidRDefault="006C3447" w:rsidP="006C3447">
            <w:pPr>
              <w:pStyle w:val="TSNumberedParagraph11"/>
              <w:rPr>
                <w:rFonts w:asciiTheme="minorHAnsi" w:hAnsiTheme="minorHAnsi" w:cstheme="minorHAnsi"/>
              </w:rPr>
            </w:pPr>
            <w:r w:rsidRPr="006C3447">
              <w:rPr>
                <w:rFonts w:asciiTheme="minorHAnsi" w:hAnsiTheme="minorHAnsi" w:cstheme="minorHAnsi"/>
              </w:rPr>
              <w:t>The transmittal of all documents between ONR and the contractor will be through ONR's Joint Programme Office (JPO). This will be through encrypted DVDs, regardless of the security marking (unless the documents are publically available on the internet).</w:t>
            </w:r>
          </w:p>
          <w:p w:rsidR="00BB2F6B" w:rsidRPr="00BB2F6B" w:rsidRDefault="00BB2F6B" w:rsidP="00BB2F6B">
            <w:pPr>
              <w:pStyle w:val="TSNumberedParagraph11"/>
              <w:rPr>
                <w:rFonts w:asciiTheme="minorHAnsi" w:hAnsiTheme="minorHAnsi" w:cstheme="minorHAnsi"/>
              </w:rPr>
            </w:pPr>
            <w:r w:rsidRPr="00BB2F6B">
              <w:rPr>
                <w:rFonts w:asciiTheme="minorHAnsi" w:hAnsiTheme="minorHAnsi" w:cstheme="minorHAnsi"/>
              </w:rPr>
              <w:t>Conflict of interest constraints: The TSC should not have previously supported the RP (directly or indirectly), in developing or reviewing the UK HPR1000 or HPR1000 Civil Engineering safety case.</w:t>
            </w:r>
          </w:p>
          <w:p w:rsidR="00BB2F6B" w:rsidRPr="00BB2F6B" w:rsidRDefault="00BB2F6B" w:rsidP="00BB2F6B">
            <w:pPr>
              <w:pStyle w:val="TSNumberedParagraph11"/>
              <w:rPr>
                <w:rFonts w:asciiTheme="minorHAnsi" w:hAnsiTheme="minorHAnsi" w:cstheme="minorHAnsi"/>
              </w:rPr>
            </w:pPr>
            <w:r w:rsidRPr="00BB2F6B">
              <w:rPr>
                <w:rFonts w:asciiTheme="minorHAnsi" w:hAnsiTheme="minorHAnsi" w:cstheme="minorHAnsi"/>
              </w:rPr>
              <w:t>Other constraints – distribution of the TSC’s reports and usage of the TSC’s information included in the UK HPR1000 review reports:</w:t>
            </w:r>
          </w:p>
          <w:p w:rsidR="00BB2F6B" w:rsidRPr="00BB2F6B" w:rsidRDefault="00BB2F6B" w:rsidP="00BB2F6B">
            <w:pPr>
              <w:pStyle w:val="TSBullet1Square"/>
              <w:tabs>
                <w:tab w:val="clear" w:pos="-31680"/>
                <w:tab w:val="left" w:pos="-10"/>
              </w:tabs>
              <w:spacing w:after="0"/>
              <w:ind w:left="698" w:hanging="698"/>
              <w:rPr>
                <w:rFonts w:asciiTheme="minorHAnsi" w:hAnsiTheme="minorHAnsi" w:cstheme="minorHAnsi"/>
              </w:rPr>
            </w:pPr>
            <w:r w:rsidRPr="00BB2F6B">
              <w:rPr>
                <w:rFonts w:asciiTheme="minorHAnsi" w:hAnsiTheme="minorHAnsi" w:cstheme="minorHAnsi"/>
              </w:rPr>
              <w:t>It is ONR’s intention to provide the TSC’s reports to the RP for confirmation of factual accuracy.</w:t>
            </w:r>
            <w:r w:rsidR="008C19A9">
              <w:rPr>
                <w:rFonts w:asciiTheme="minorHAnsi" w:hAnsiTheme="minorHAnsi" w:cstheme="minorHAnsi"/>
              </w:rPr>
              <w:t xml:space="preserve"> Once approved, the TSC’s reports will become the intellectual property of ONR and may not be used for any other purpose, or distributed by the TSC to any third party.</w:t>
            </w:r>
          </w:p>
          <w:p w:rsidR="00BB2F6B" w:rsidRDefault="00BB2F6B" w:rsidP="00BB2F6B">
            <w:pPr>
              <w:pStyle w:val="TSBullet1Square"/>
              <w:tabs>
                <w:tab w:val="clear" w:pos="-31680"/>
                <w:tab w:val="left" w:pos="-10"/>
              </w:tabs>
              <w:spacing w:after="0"/>
              <w:ind w:left="698" w:hanging="698"/>
              <w:rPr>
                <w:rFonts w:asciiTheme="minorHAnsi" w:hAnsiTheme="minorHAnsi" w:cstheme="minorHAnsi"/>
              </w:rPr>
            </w:pPr>
            <w:r w:rsidRPr="00BB2F6B">
              <w:rPr>
                <w:rFonts w:asciiTheme="minorHAnsi" w:hAnsiTheme="minorHAnsi" w:cstheme="minorHAnsi"/>
              </w:rPr>
              <w:t>Interim outcomes of the TSC’s review will be used by ONR, if appropriate, to inform the preparation of Regulatory Queries, Regulatory Observations and / or Regulatory Issues requesting the RP to make improvements to the UK HPR1000 Civil Engineering safety case during GDA.  The final outcome of the TSC’s review will be used by ONR to inform the ONR Civil Engineering Step 3 Assessment Report which is expected to be published.</w:t>
            </w:r>
          </w:p>
          <w:p w:rsidR="00735AC2" w:rsidRPr="00BB2F6B" w:rsidRDefault="00735AC2" w:rsidP="00735AC2">
            <w:pPr>
              <w:pStyle w:val="TSBullet1Square"/>
              <w:tabs>
                <w:tab w:val="clear" w:pos="-31680"/>
                <w:tab w:val="left" w:pos="-10"/>
              </w:tabs>
              <w:spacing w:after="0"/>
              <w:ind w:left="698" w:hanging="698"/>
              <w:rPr>
                <w:rFonts w:asciiTheme="minorHAnsi" w:hAnsiTheme="minorHAnsi" w:cstheme="minorHAnsi"/>
              </w:rPr>
            </w:pPr>
            <w:r w:rsidRPr="00735AC2">
              <w:rPr>
                <w:rFonts w:asciiTheme="minorHAnsi" w:hAnsiTheme="minorHAnsi" w:cstheme="minorHAnsi"/>
              </w:rPr>
              <w:t>It is not ONR’s intention to publish the reports produced through this contract. However, it is likely they will be referenced in publically available reports and therefore subject to freedom of information requests. This should not constrain or limit the produced reports but should be taken into account with the style and format.</w:t>
            </w:r>
          </w:p>
          <w:p w:rsidR="00AF4C0F" w:rsidRPr="002C62C2" w:rsidRDefault="00AF4C0F" w:rsidP="002B6CE0">
            <w:pPr>
              <w:pStyle w:val="TSBullet1Square"/>
              <w:numPr>
                <w:ilvl w:val="0"/>
                <w:numId w:val="0"/>
              </w:numPr>
              <w:tabs>
                <w:tab w:val="left" w:pos="0"/>
              </w:tabs>
              <w:spacing w:after="0"/>
              <w:rPr>
                <w:rFonts w:asciiTheme="minorHAnsi" w:hAnsiTheme="minorHAnsi" w:cstheme="minorHAnsi"/>
                <w:iCs/>
                <w:sz w:val="20"/>
                <w:szCs w:val="20"/>
              </w:rPr>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rsidR="00AF4C0F" w:rsidRDefault="00AF4C0F" w:rsidP="006C3447">
            <w:pPr>
              <w:pStyle w:val="TSNumberedParagraph11"/>
              <w:tabs>
                <w:tab w:val="left" w:pos="0"/>
              </w:tabs>
              <w:ind w:left="0" w:firstLine="0"/>
              <w:jc w:val="both"/>
              <w:rPr>
                <w:rFonts w:asciiTheme="minorHAnsi" w:hAnsiTheme="minorHAnsi" w:cstheme="minorHAnsi"/>
              </w:rPr>
            </w:pPr>
            <w:r w:rsidRPr="002C62C2">
              <w:rPr>
                <w:rFonts w:asciiTheme="minorHAnsi" w:hAnsiTheme="minorHAnsi" w:cstheme="minorHAnsi"/>
              </w:rPr>
              <w:t>ONR will require to be kept updated about progress and delivery of the required work via monthly meetings, to include a contract start-up meeting at ONR’s offices at Bootle. Subsequent progress meeting should be arranged with the ONR Project Office and can be held at ONR’s office in Bootle, or the contractor’s premises.</w:t>
            </w:r>
          </w:p>
          <w:p w:rsidR="00735AC2" w:rsidRDefault="00735AC2" w:rsidP="00735AC2">
            <w:pPr>
              <w:pStyle w:val="TSHeadingNumbered1"/>
              <w:numPr>
                <w:ilvl w:val="0"/>
                <w:numId w:val="0"/>
              </w:numPr>
              <w:ind w:left="862" w:hanging="720"/>
            </w:pPr>
          </w:p>
          <w:p w:rsidR="00735AC2" w:rsidRDefault="00735AC2" w:rsidP="00735AC2">
            <w:pPr>
              <w:pStyle w:val="TSHeadingNumbered1"/>
              <w:numPr>
                <w:ilvl w:val="0"/>
                <w:numId w:val="0"/>
              </w:numPr>
              <w:ind w:left="862" w:hanging="720"/>
            </w:pPr>
          </w:p>
          <w:p w:rsidR="00735AC2" w:rsidRDefault="00735AC2" w:rsidP="00735AC2">
            <w:pPr>
              <w:pStyle w:val="TSHeadingNumbered1"/>
              <w:numPr>
                <w:ilvl w:val="0"/>
                <w:numId w:val="0"/>
              </w:numPr>
              <w:ind w:left="862" w:hanging="720"/>
            </w:pPr>
          </w:p>
          <w:p w:rsidR="00735AC2" w:rsidRDefault="00735AC2" w:rsidP="00735AC2">
            <w:pPr>
              <w:pStyle w:val="TSHeadingNumbered1"/>
              <w:numPr>
                <w:ilvl w:val="0"/>
                <w:numId w:val="0"/>
              </w:numPr>
              <w:ind w:left="862" w:hanging="720"/>
            </w:pPr>
          </w:p>
          <w:p w:rsidR="00735AC2" w:rsidRDefault="00735AC2" w:rsidP="00735AC2">
            <w:pPr>
              <w:pStyle w:val="TSHeadingNumbered1"/>
              <w:numPr>
                <w:ilvl w:val="0"/>
                <w:numId w:val="0"/>
              </w:numPr>
              <w:ind w:left="862" w:hanging="720"/>
            </w:pPr>
          </w:p>
          <w:p w:rsidR="00735AC2" w:rsidRDefault="00735AC2" w:rsidP="00735AC2">
            <w:pPr>
              <w:pStyle w:val="TSHeadingNumbered1"/>
              <w:numPr>
                <w:ilvl w:val="0"/>
                <w:numId w:val="0"/>
              </w:numPr>
              <w:ind w:left="862" w:hanging="720"/>
            </w:pPr>
          </w:p>
          <w:p w:rsidR="00735AC2" w:rsidRPr="006C3447" w:rsidRDefault="00735AC2" w:rsidP="00735AC2">
            <w:pPr>
              <w:pStyle w:val="TSNumberedParagraph11"/>
              <w:numPr>
                <w:ilvl w:val="0"/>
                <w:numId w:val="0"/>
              </w:numPr>
              <w:tabs>
                <w:tab w:val="left" w:pos="0"/>
              </w:tabs>
              <w:jc w:val="both"/>
              <w:rPr>
                <w:rFonts w:asciiTheme="minorHAnsi" w:hAnsiTheme="minorHAnsi" w:cstheme="minorHAnsi"/>
              </w:rPr>
            </w:pP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lastRenderedPageBreak/>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r w:rsidR="00A41E9C">
              <w:rPr>
                <w:rFonts w:asciiTheme="minorHAnsi" w:hAnsiTheme="minorHAnsi" w:cstheme="minorHAnsi"/>
              </w:rPr>
              <w:t xml:space="preserve"> and address all aspects of this specification</w:t>
            </w:r>
            <w:r>
              <w:rPr>
                <w:rFonts w:asciiTheme="minorHAnsi" w:hAnsiTheme="minorHAnsi" w:cstheme="minorHAnsi"/>
              </w:rPr>
              <w:t>.</w:t>
            </w:r>
          </w:p>
          <w:p w:rsidR="002B6CE0" w:rsidRPr="002B6CE0" w:rsidRDefault="002B6CE0" w:rsidP="002B6CE0">
            <w:pPr>
              <w:pStyle w:val="TSNumberedParagraph11"/>
              <w:rPr>
                <w:rFonts w:asciiTheme="minorHAnsi" w:hAnsiTheme="minorHAnsi" w:cstheme="minorHAnsi"/>
              </w:rPr>
            </w:pPr>
            <w:r w:rsidRPr="002B6CE0">
              <w:rPr>
                <w:rFonts w:asciiTheme="minorHAnsi" w:hAnsiTheme="minorHAnsi" w:cstheme="minorHAnsi"/>
              </w:rPr>
              <w:t>Any proposal in response to this specification should:</w:t>
            </w:r>
          </w:p>
          <w:p w:rsidR="00A41E9C" w:rsidRDefault="00A41E9C" w:rsidP="002B6CE0">
            <w:pPr>
              <w:pStyle w:val="TSBullet1Square"/>
              <w:tabs>
                <w:tab w:val="clear" w:pos="-31680"/>
                <w:tab w:val="left" w:pos="0"/>
              </w:tabs>
              <w:spacing w:after="0"/>
              <w:ind w:left="698" w:hanging="698"/>
              <w:rPr>
                <w:rFonts w:asciiTheme="minorHAnsi" w:hAnsiTheme="minorHAnsi" w:cstheme="minorHAnsi"/>
              </w:rPr>
            </w:pPr>
            <w:r>
              <w:rPr>
                <w:rFonts w:asciiTheme="minorHAnsi" w:hAnsiTheme="minorHAnsi" w:cstheme="minorHAnsi"/>
              </w:rPr>
              <w:t xml:space="preserve">Identify relevant sections within your Capability Prospectus where appropriate/relevant experience is shown; notably </w:t>
            </w:r>
            <w:r w:rsidR="00BA0F54">
              <w:rPr>
                <w:rFonts w:asciiTheme="minorHAnsi" w:hAnsiTheme="minorHAnsi" w:cstheme="minorHAnsi"/>
              </w:rPr>
              <w:t xml:space="preserve">civil engineering </w:t>
            </w:r>
            <w:r>
              <w:rPr>
                <w:rFonts w:asciiTheme="minorHAnsi" w:hAnsiTheme="minorHAnsi" w:cstheme="minorHAnsi"/>
              </w:rPr>
              <w:t>safety analysis for PWR technology.</w:t>
            </w:r>
          </w:p>
          <w:p w:rsidR="00A41E9C" w:rsidRDefault="00A41E9C" w:rsidP="002B6CE0">
            <w:pPr>
              <w:pStyle w:val="TSBullet1Square"/>
              <w:tabs>
                <w:tab w:val="clear" w:pos="-31680"/>
                <w:tab w:val="left" w:pos="0"/>
              </w:tabs>
              <w:spacing w:after="0"/>
              <w:ind w:left="698" w:hanging="698"/>
              <w:rPr>
                <w:rFonts w:asciiTheme="minorHAnsi" w:hAnsiTheme="minorHAnsi" w:cstheme="minorHAnsi"/>
              </w:rPr>
            </w:pPr>
            <w:r>
              <w:rPr>
                <w:rFonts w:asciiTheme="minorHAnsi" w:hAnsiTheme="minorHAnsi" w:cstheme="minorHAnsi"/>
              </w:rPr>
              <w:t>Describe</w:t>
            </w:r>
            <w:r w:rsidR="00971BA8" w:rsidRPr="002C62C2">
              <w:rPr>
                <w:rFonts w:asciiTheme="minorHAnsi" w:hAnsiTheme="minorHAnsi" w:cstheme="minorHAnsi"/>
              </w:rPr>
              <w:t xml:space="preserve"> how you will deliver the </w:t>
            </w:r>
            <w:r w:rsidR="00971BA8">
              <w:rPr>
                <w:rFonts w:asciiTheme="minorHAnsi" w:hAnsiTheme="minorHAnsi" w:cstheme="minorHAnsi"/>
              </w:rPr>
              <w:t xml:space="preserve">scope of </w:t>
            </w:r>
            <w:r w:rsidR="00971BA8" w:rsidRPr="002C62C2">
              <w:rPr>
                <w:rFonts w:asciiTheme="minorHAnsi" w:hAnsiTheme="minorHAnsi" w:cstheme="minorHAnsi"/>
              </w:rPr>
              <w:t xml:space="preserve">work </w:t>
            </w:r>
            <w:r w:rsidR="00971BA8">
              <w:rPr>
                <w:rFonts w:asciiTheme="minorHAnsi" w:hAnsiTheme="minorHAnsi" w:cstheme="minorHAnsi"/>
              </w:rPr>
              <w:t xml:space="preserve">(methodology) </w:t>
            </w:r>
            <w:r w:rsidR="00971BA8" w:rsidRPr="002C62C2">
              <w:rPr>
                <w:rFonts w:asciiTheme="minorHAnsi" w:hAnsiTheme="minorHAnsi" w:cstheme="minorHAnsi"/>
              </w:rPr>
              <w:t xml:space="preserve">and the </w:t>
            </w:r>
            <w:r w:rsidR="00971BA8">
              <w:rPr>
                <w:rFonts w:asciiTheme="minorHAnsi" w:hAnsiTheme="minorHAnsi" w:cstheme="minorHAnsi"/>
              </w:rPr>
              <w:t>proposed delivery team</w:t>
            </w:r>
            <w:r>
              <w:rPr>
                <w:rFonts w:asciiTheme="minorHAnsi" w:hAnsiTheme="minorHAnsi" w:cstheme="minorHAnsi"/>
              </w:rPr>
              <w:t xml:space="preserve"> you will use. This should include:</w:t>
            </w:r>
          </w:p>
          <w:p w:rsidR="00A41E9C" w:rsidRPr="00A41E9C" w:rsidRDefault="00A41E9C" w:rsidP="00A41E9C">
            <w:pPr>
              <w:pStyle w:val="TSBullet1Square"/>
              <w:numPr>
                <w:ilvl w:val="1"/>
                <w:numId w:val="2"/>
              </w:numPr>
              <w:tabs>
                <w:tab w:val="left" w:pos="-10"/>
              </w:tabs>
              <w:rPr>
                <w:rFonts w:asciiTheme="minorHAnsi" w:hAnsiTheme="minorHAnsi" w:cstheme="minorHAnsi"/>
              </w:rPr>
            </w:pPr>
            <w:r w:rsidRPr="00A41E9C">
              <w:rPr>
                <w:rFonts w:asciiTheme="minorHAnsi" w:hAnsiTheme="minorHAnsi" w:cstheme="minorHAnsi"/>
              </w:rPr>
              <w:t>Identification of the required tasks with the number of days required for each task and timescales, including details of who will undertake each of the tasks.</w:t>
            </w:r>
          </w:p>
          <w:p w:rsidR="00A41E9C" w:rsidRDefault="00A41E9C" w:rsidP="00A41E9C">
            <w:pPr>
              <w:pStyle w:val="TSBullet1Square"/>
              <w:numPr>
                <w:ilvl w:val="1"/>
                <w:numId w:val="2"/>
              </w:numPr>
              <w:tabs>
                <w:tab w:val="left" w:pos="-10"/>
              </w:tabs>
              <w:rPr>
                <w:rFonts w:asciiTheme="minorHAnsi" w:hAnsiTheme="minorHAnsi" w:cstheme="minorHAnsi"/>
              </w:rPr>
            </w:pPr>
            <w:r w:rsidRPr="00A41E9C">
              <w:rPr>
                <w:rFonts w:asciiTheme="minorHAnsi" w:hAnsiTheme="minorHAnsi" w:cstheme="minorHAnsi"/>
              </w:rPr>
              <w:t>Experience of the project team relevant to each of the tasks. This should include a brief description of examples of the work undertaken by the individual that provides evidence of adequate experience to undertake the assigned task.</w:t>
            </w:r>
          </w:p>
          <w:p w:rsidR="008C19A9" w:rsidRPr="00A41E9C" w:rsidRDefault="008C19A9" w:rsidP="00A41E9C">
            <w:pPr>
              <w:pStyle w:val="TSBullet1Square"/>
              <w:numPr>
                <w:ilvl w:val="1"/>
                <w:numId w:val="2"/>
              </w:numPr>
              <w:tabs>
                <w:tab w:val="left" w:pos="-10"/>
              </w:tabs>
              <w:rPr>
                <w:rFonts w:asciiTheme="minorHAnsi" w:hAnsiTheme="minorHAnsi" w:cstheme="minorHAnsi"/>
              </w:rPr>
            </w:pPr>
            <w:r>
              <w:rPr>
                <w:rFonts w:asciiTheme="minorHAnsi" w:hAnsiTheme="minorHAnsi" w:cstheme="minorHAnsi"/>
              </w:rPr>
              <w:t>Qualifications and experience of the technical lead</w:t>
            </w:r>
            <w:r w:rsidR="000956B7">
              <w:rPr>
                <w:rFonts w:asciiTheme="minorHAnsi" w:hAnsiTheme="minorHAnsi" w:cstheme="minorHAnsi"/>
              </w:rPr>
              <w:t>, together with their proposed responsibility on the project and an explanation of how consistent technical quality of the deliverables will be assured.</w:t>
            </w:r>
          </w:p>
          <w:p w:rsidR="00A41E9C" w:rsidRDefault="00A41E9C" w:rsidP="00A41E9C">
            <w:pPr>
              <w:pStyle w:val="TSBullet1Square"/>
              <w:tabs>
                <w:tab w:val="clear" w:pos="-31680"/>
                <w:tab w:val="left" w:pos="0"/>
              </w:tabs>
              <w:spacing w:after="0"/>
              <w:ind w:left="698" w:hanging="698"/>
              <w:rPr>
                <w:rFonts w:asciiTheme="minorHAnsi" w:hAnsiTheme="minorHAnsi" w:cstheme="minorHAnsi"/>
              </w:rPr>
            </w:pPr>
            <w:r>
              <w:rPr>
                <w:rFonts w:asciiTheme="minorHAnsi" w:hAnsiTheme="minorHAnsi" w:cstheme="minorHAnsi"/>
              </w:rPr>
              <w:t>Provide an outline of anticipated engagement (project meetings &amp; management)</w:t>
            </w:r>
          </w:p>
          <w:p w:rsidR="00A41E9C" w:rsidRDefault="00A41E9C" w:rsidP="00A41E9C">
            <w:pPr>
              <w:pStyle w:val="TSBullet1Square"/>
              <w:tabs>
                <w:tab w:val="clear" w:pos="-31680"/>
                <w:tab w:val="left" w:pos="0"/>
              </w:tabs>
              <w:spacing w:after="0"/>
              <w:ind w:left="698" w:hanging="698"/>
              <w:rPr>
                <w:rFonts w:asciiTheme="minorHAnsi" w:hAnsiTheme="minorHAnsi" w:cstheme="minorHAnsi"/>
              </w:rPr>
            </w:pPr>
            <w:r>
              <w:rPr>
                <w:rFonts w:asciiTheme="minorHAnsi" w:hAnsiTheme="minorHAnsi" w:cstheme="minorHAnsi"/>
              </w:rPr>
              <w:t xml:space="preserve">Include a project delivery plan showing activities and milestones </w:t>
            </w:r>
          </w:p>
          <w:p w:rsidR="00482C50" w:rsidRDefault="00482C50" w:rsidP="00482C50">
            <w:pPr>
              <w:pStyle w:val="TSBullet1Square"/>
              <w:tabs>
                <w:tab w:val="clear" w:pos="-31680"/>
                <w:tab w:val="left" w:pos="0"/>
              </w:tabs>
              <w:spacing w:after="0"/>
              <w:ind w:left="698" w:hanging="698"/>
              <w:rPr>
                <w:rFonts w:asciiTheme="minorHAnsi" w:hAnsiTheme="minorHAnsi" w:cstheme="minorHAnsi"/>
              </w:rPr>
            </w:pPr>
            <w:r>
              <w:rPr>
                <w:rFonts w:asciiTheme="minorHAnsi" w:hAnsiTheme="minorHAnsi" w:cstheme="minorHAnsi"/>
              </w:rPr>
              <w:t>Provide a description of proposed deliverables and/or outputs</w:t>
            </w:r>
          </w:p>
          <w:p w:rsidR="00A41E9C" w:rsidRDefault="00A41E9C" w:rsidP="002B6CE0">
            <w:pPr>
              <w:pStyle w:val="TSBullet1Square"/>
              <w:tabs>
                <w:tab w:val="clear" w:pos="-31680"/>
                <w:tab w:val="left" w:pos="0"/>
              </w:tabs>
              <w:spacing w:after="0"/>
              <w:ind w:left="698" w:hanging="698"/>
              <w:rPr>
                <w:rFonts w:asciiTheme="minorHAnsi" w:hAnsiTheme="minorHAnsi" w:cstheme="minorHAnsi"/>
              </w:rPr>
            </w:pPr>
            <w:r>
              <w:rPr>
                <w:rFonts w:asciiTheme="minorHAnsi" w:hAnsiTheme="minorHAnsi" w:cstheme="minorHAnsi"/>
              </w:rPr>
              <w:t>Provide details of proposed cost and associated effort assumptions</w:t>
            </w:r>
          </w:p>
          <w:p w:rsidR="00A41E9C" w:rsidRDefault="00A41E9C" w:rsidP="00A41E9C">
            <w:pPr>
              <w:pStyle w:val="TSBullet1Square"/>
              <w:tabs>
                <w:tab w:val="clear" w:pos="-31680"/>
                <w:tab w:val="left" w:pos="0"/>
              </w:tabs>
              <w:spacing w:after="0"/>
              <w:ind w:left="698" w:hanging="698"/>
              <w:rPr>
                <w:rFonts w:asciiTheme="minorHAnsi" w:hAnsiTheme="minorHAnsi" w:cstheme="minorHAnsi"/>
              </w:rPr>
            </w:pPr>
            <w:r w:rsidRPr="00A41E9C">
              <w:rPr>
                <w:rFonts w:asciiTheme="minorHAnsi" w:hAnsiTheme="minorHAnsi" w:cstheme="minorHAnsi"/>
              </w:rPr>
              <w:t>Provide a schedule of invoices and forecast of invoice values</w:t>
            </w:r>
          </w:p>
          <w:p w:rsidR="00971BA8" w:rsidRPr="002C62C2" w:rsidRDefault="00482C50" w:rsidP="002B6CE0">
            <w:pPr>
              <w:pStyle w:val="TSBullet1Square"/>
              <w:tabs>
                <w:tab w:val="clear" w:pos="-31680"/>
                <w:tab w:val="left" w:pos="0"/>
              </w:tabs>
              <w:spacing w:after="0"/>
              <w:ind w:left="698" w:hanging="698"/>
              <w:rPr>
                <w:rFonts w:asciiTheme="minorHAnsi" w:hAnsiTheme="minorHAnsi" w:cstheme="minorHAnsi"/>
              </w:rPr>
            </w:pPr>
            <w:r>
              <w:rPr>
                <w:rFonts w:asciiTheme="minorHAnsi" w:hAnsiTheme="minorHAnsi" w:cstheme="minorHAnsi"/>
              </w:rPr>
              <w:t xml:space="preserve">Include </w:t>
            </w:r>
            <w:r w:rsidR="00971BA8">
              <w:rPr>
                <w:rFonts w:asciiTheme="minorHAnsi" w:hAnsiTheme="minorHAnsi" w:cstheme="minorHAnsi"/>
              </w:rPr>
              <w:t>details of any assumptions or constraints</w:t>
            </w:r>
          </w:p>
          <w:p w:rsidR="00971BA8" w:rsidRDefault="00971BA8" w:rsidP="00971BA8">
            <w:pPr>
              <w:pStyle w:val="Header"/>
              <w:tabs>
                <w:tab w:val="left" w:pos="0"/>
              </w:tabs>
              <w:spacing w:before="120" w:after="120"/>
              <w:jc w:val="both"/>
              <w:rPr>
                <w:rFonts w:asciiTheme="minorHAnsi" w:hAnsiTheme="minorHAnsi" w:cstheme="minorHAnsi"/>
                <w:b/>
                <w:iCs/>
                <w:color w:val="FFFFFF" w:themeColor="background1"/>
                <w:sz w:val="24"/>
              </w:rPr>
            </w:pPr>
          </w:p>
        </w:tc>
      </w:tr>
    </w:tbl>
    <w:p w:rsidR="002B6CE0" w:rsidRDefault="002B6CE0" w:rsidP="00457068">
      <w:pPr>
        <w:ind w:left="567" w:hanging="567"/>
        <w:rPr>
          <w:rFonts w:asciiTheme="minorHAnsi" w:hAnsiTheme="minorHAnsi" w:cstheme="minorHAnsi"/>
        </w:rPr>
        <w:sectPr w:rsidR="002B6CE0" w:rsidSect="00457068">
          <w:headerReference w:type="default" r:id="rId14"/>
          <w:footerReference w:type="default" r:id="rId15"/>
          <w:headerReference w:type="first" r:id="rId16"/>
          <w:footerReference w:type="first" r:id="rId17"/>
          <w:type w:val="continuous"/>
          <w:pgSz w:w="11906" w:h="16838" w:code="9"/>
          <w:pgMar w:top="709" w:right="720" w:bottom="720" w:left="720" w:header="431" w:footer="567" w:gutter="0"/>
          <w:cols w:space="708"/>
          <w:titlePg/>
          <w:docGrid w:linePitch="360"/>
        </w:sectPr>
      </w:pPr>
    </w:p>
    <w:p w:rsidR="00F51481" w:rsidRDefault="00F51481" w:rsidP="002B6CE0">
      <w:pPr>
        <w:ind w:firstLine="720"/>
        <w:rPr>
          <w:b/>
          <w:noProof/>
          <w:lang w:eastAsia="en-GB"/>
        </w:rPr>
      </w:pPr>
    </w:p>
    <w:p w:rsidR="00F51481" w:rsidRDefault="00F51481" w:rsidP="002B6CE0">
      <w:pPr>
        <w:ind w:firstLine="720"/>
        <w:rPr>
          <w:b/>
          <w:noProof/>
          <w:lang w:eastAsia="en-GB"/>
        </w:rPr>
      </w:pPr>
    </w:p>
    <w:p w:rsidR="002B6CE0" w:rsidRDefault="002B6CE0" w:rsidP="002B6CE0">
      <w:pPr>
        <w:ind w:firstLine="720"/>
        <w:rPr>
          <w:b/>
          <w:noProof/>
          <w:lang w:eastAsia="en-GB"/>
        </w:rPr>
      </w:pPr>
      <w:r w:rsidRPr="003E1090">
        <w:rPr>
          <w:b/>
          <w:noProof/>
          <w:lang w:eastAsia="en-GB"/>
        </w:rPr>
        <w:t xml:space="preserve">APPENDIX </w:t>
      </w:r>
      <w:r>
        <w:rPr>
          <w:b/>
          <w:noProof/>
          <w:lang w:eastAsia="en-GB"/>
        </w:rPr>
        <w:t>1</w:t>
      </w:r>
      <w:r w:rsidRPr="003E1090">
        <w:rPr>
          <w:b/>
          <w:noProof/>
          <w:lang w:eastAsia="en-GB"/>
        </w:rPr>
        <w:t xml:space="preserve">:  </w:t>
      </w:r>
      <w:r>
        <w:rPr>
          <w:b/>
          <w:noProof/>
          <w:lang w:eastAsia="en-GB"/>
        </w:rPr>
        <w:t>Step 3 – Submissions for Assessment</w:t>
      </w:r>
    </w:p>
    <w:p w:rsidR="002B6CE0" w:rsidRDefault="002B6CE0" w:rsidP="002B6CE0">
      <w:pPr>
        <w:rPr>
          <w:b/>
          <w:noProof/>
          <w:lang w:eastAsia="en-GB"/>
        </w:rPr>
      </w:pPr>
    </w:p>
    <w:tbl>
      <w:tblPr>
        <w:tblW w:w="146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6583"/>
        <w:gridCol w:w="3263"/>
        <w:gridCol w:w="1871"/>
        <w:gridCol w:w="1467"/>
      </w:tblGrid>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b/>
                <w:color w:val="000000"/>
                <w:szCs w:val="22"/>
                <w:lang w:eastAsia="en-GB"/>
              </w:rPr>
            </w:pPr>
            <w:r w:rsidRPr="00707B45">
              <w:rPr>
                <w:rFonts w:cs="Arial"/>
                <w:b/>
                <w:color w:val="000000"/>
                <w:szCs w:val="22"/>
                <w:lang w:eastAsia="en-GB"/>
              </w:rPr>
              <w:t xml:space="preserve">Doc. No. </w:t>
            </w:r>
          </w:p>
        </w:tc>
        <w:tc>
          <w:tcPr>
            <w:tcW w:w="6583" w:type="dxa"/>
            <w:shd w:val="clear" w:color="auto" w:fill="auto"/>
            <w:noWrap/>
            <w:vAlign w:val="bottom"/>
            <w:hideMark/>
          </w:tcPr>
          <w:p w:rsidR="002B6CE0" w:rsidRPr="00707B45" w:rsidRDefault="002B6CE0" w:rsidP="00A06F12">
            <w:pPr>
              <w:rPr>
                <w:rFonts w:cs="Arial"/>
                <w:b/>
                <w:color w:val="000000"/>
                <w:szCs w:val="22"/>
                <w:lang w:eastAsia="en-GB"/>
              </w:rPr>
            </w:pPr>
            <w:r w:rsidRPr="00707B45">
              <w:rPr>
                <w:rFonts w:cs="Arial"/>
                <w:b/>
                <w:color w:val="000000"/>
                <w:szCs w:val="22"/>
                <w:lang w:eastAsia="en-GB"/>
              </w:rPr>
              <w:t>Document Title</w:t>
            </w:r>
          </w:p>
        </w:tc>
        <w:tc>
          <w:tcPr>
            <w:tcW w:w="3263" w:type="dxa"/>
            <w:shd w:val="clear" w:color="auto" w:fill="auto"/>
            <w:noWrap/>
            <w:vAlign w:val="bottom"/>
            <w:hideMark/>
          </w:tcPr>
          <w:p w:rsidR="002B6CE0" w:rsidRPr="00707B45" w:rsidRDefault="002B6CE0" w:rsidP="00A06F12">
            <w:pPr>
              <w:rPr>
                <w:rFonts w:cs="Arial"/>
                <w:b/>
                <w:color w:val="000000"/>
                <w:szCs w:val="22"/>
                <w:lang w:eastAsia="en-GB"/>
              </w:rPr>
            </w:pPr>
            <w:r w:rsidRPr="00707B45">
              <w:rPr>
                <w:rFonts w:cs="Arial"/>
                <w:b/>
                <w:color w:val="000000"/>
                <w:szCs w:val="22"/>
                <w:lang w:eastAsia="en-GB"/>
              </w:rPr>
              <w:t>Document ID</w:t>
            </w:r>
          </w:p>
        </w:tc>
        <w:tc>
          <w:tcPr>
            <w:tcW w:w="1871" w:type="dxa"/>
            <w:shd w:val="clear" w:color="auto" w:fill="auto"/>
            <w:noWrap/>
            <w:vAlign w:val="bottom"/>
            <w:hideMark/>
          </w:tcPr>
          <w:p w:rsidR="002B6CE0" w:rsidRPr="00707B45" w:rsidRDefault="002B6CE0" w:rsidP="00A06F12">
            <w:pPr>
              <w:rPr>
                <w:rFonts w:cs="Arial"/>
                <w:b/>
                <w:color w:val="000000"/>
                <w:szCs w:val="22"/>
                <w:lang w:eastAsia="en-GB"/>
              </w:rPr>
            </w:pPr>
            <w:r w:rsidRPr="00707B45">
              <w:rPr>
                <w:rFonts w:cs="Arial"/>
                <w:b/>
                <w:color w:val="000000"/>
                <w:szCs w:val="22"/>
                <w:lang w:eastAsia="en-GB"/>
              </w:rPr>
              <w:t>Submission Date</w:t>
            </w:r>
          </w:p>
        </w:tc>
        <w:tc>
          <w:tcPr>
            <w:tcW w:w="1467" w:type="dxa"/>
            <w:shd w:val="clear" w:color="auto" w:fill="auto"/>
            <w:noWrap/>
            <w:vAlign w:val="bottom"/>
            <w:hideMark/>
          </w:tcPr>
          <w:p w:rsidR="002B6CE0" w:rsidRPr="00707B45" w:rsidRDefault="002B6CE0" w:rsidP="00A06F12">
            <w:pPr>
              <w:rPr>
                <w:rFonts w:cs="Arial"/>
                <w:b/>
                <w:color w:val="000000"/>
                <w:szCs w:val="22"/>
                <w:lang w:eastAsia="en-GB"/>
              </w:rPr>
            </w:pPr>
            <w:r w:rsidRPr="00707B45">
              <w:rPr>
                <w:rFonts w:cs="Arial"/>
                <w:b/>
                <w:color w:val="000000"/>
                <w:szCs w:val="22"/>
                <w:lang w:eastAsia="en-GB"/>
              </w:rPr>
              <w:t>Estimate Number of Pages</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w:t>
            </w:r>
            <w:r>
              <w:rPr>
                <w:rFonts w:cs="Arial"/>
                <w:color w:val="000000"/>
                <w:szCs w:val="22"/>
                <w:lang w:eastAsia="en-GB"/>
              </w:rPr>
              <w:t>*</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Approach to codes and standards on civil engineering</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GHXNIX10010DWJG42GN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30/05/2018</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24</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PCSR Chapter16 v0  - Civil Works and Structures</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GHX00620016KPGB02GN </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28/09/2018</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68</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PCSR Production Strategy (Civil Engineering - Chapter 16)</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GHX00100029KPGB03GN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28/09/2018</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14</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4</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Overview of the UK HPR1000 civil structures </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GHXNIX10004DWJG42GN </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28/09/2018</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31</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5</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Structural analysis and design method statement </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GHXNIX10001DWJG42GN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28/09/2018</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26</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6</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Raft foundation analysis and design method statement </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GHXNIX10002DWJG42GN </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28/09/2018</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19</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7</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Basis of safety case for Safeguard Buildings </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GHXSXX10001DWJG42GN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28/09/2018</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32</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8</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Basis of safety case for BFX </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GHXFXX10001DWJG42GN </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28/09/2018</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24</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9</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Basis of safety case for BRX internal structures </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GHXREX10001DWJG42GN </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28/09/2018</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26</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10</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Internal containment analysis and design method statement </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GHXRXX10010DWJG42GN </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28/09/2018</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27</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11</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Basis of safety case for internal and external containment</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GHXRXX10001DWJG42GN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28/09/2018</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26</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12</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Overall seismic analysis method statement </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GHXNIX10003DWJG42GN </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28/09/2018</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23</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13</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Level 2 PSA Chapter 7 Containment Performance Analysis </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N/A</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19/11/2018</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18</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14</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Basis of safety case for Diesel Generator Buildings </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GHXDXX10001DWJG42GN </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18/03/2019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40</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15</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Basis of safety case for BNX</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GHXNXX10001DWJG42GN </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18/03/2019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25</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16</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Basis of safety case for BWX </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GHXWXX10001DWJG42GN </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18/03/2019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25</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17</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Basis of safety case for BEJ </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GHXEJX10001DWSJ42GN </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18/03/2019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20</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18</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Basis of safety case for BEX</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GHXEXX10001DWJG42GN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18/03/2019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20</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19</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Basis of safety case for BPX</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GHXPXX10001DWJG42GN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18/03/2019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25</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20</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Basis of design for Safeguard Buildings</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GHXSXX10002DWJG42GN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18/03/2019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21</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Basis of design for BFX</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GHXFXX10002DWJG42GN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18/03/2019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w:t>
            </w:r>
          </w:p>
        </w:tc>
      </w:tr>
      <w:tr w:rsidR="002B6CE0" w:rsidRPr="00707B45" w:rsidTr="002B6CE0">
        <w:trPr>
          <w:trHeight w:val="300"/>
        </w:trPr>
        <w:tc>
          <w:tcPr>
            <w:tcW w:w="1509" w:type="dxa"/>
            <w:shd w:val="clear" w:color="auto" w:fill="auto"/>
            <w:noWrap/>
            <w:vAlign w:val="bottom"/>
          </w:tcPr>
          <w:p w:rsidR="002B6CE0" w:rsidRPr="00707B45" w:rsidRDefault="002B6CE0" w:rsidP="00A06F12">
            <w:pPr>
              <w:jc w:val="right"/>
              <w:rPr>
                <w:rFonts w:cs="Arial"/>
                <w:color w:val="000000"/>
                <w:szCs w:val="22"/>
                <w:lang w:eastAsia="en-GB"/>
              </w:rPr>
            </w:pPr>
            <w:r w:rsidRPr="00A22181">
              <w:rPr>
                <w:rFonts w:cs="Arial"/>
                <w:color w:val="000000"/>
                <w:szCs w:val="22"/>
                <w:lang w:eastAsia="en-GB"/>
              </w:rPr>
              <w:t>ExtHaz.</w:t>
            </w:r>
            <w:r>
              <w:rPr>
                <w:rFonts w:cs="Arial"/>
                <w:color w:val="000000"/>
                <w:szCs w:val="22"/>
                <w:lang w:eastAsia="en-GB"/>
              </w:rPr>
              <w:t>1**</w:t>
            </w:r>
          </w:p>
        </w:tc>
        <w:tc>
          <w:tcPr>
            <w:tcW w:w="6583" w:type="dxa"/>
            <w:shd w:val="clear" w:color="auto" w:fill="auto"/>
            <w:noWrap/>
            <w:vAlign w:val="bottom"/>
          </w:tcPr>
          <w:p w:rsidR="002B6CE0" w:rsidRPr="00707B45" w:rsidRDefault="002B6CE0" w:rsidP="00A06F12">
            <w:pPr>
              <w:rPr>
                <w:rFonts w:cs="Arial"/>
                <w:color w:val="000000"/>
                <w:szCs w:val="22"/>
                <w:lang w:eastAsia="en-GB"/>
              </w:rPr>
            </w:pPr>
            <w:r w:rsidRPr="00831EF7">
              <w:rPr>
                <w:rFonts w:cs="Arial"/>
                <w:color w:val="000000"/>
                <w:szCs w:val="22"/>
                <w:lang w:eastAsia="en-GB"/>
              </w:rPr>
              <w:t>Seismic Analysis Report for Structure</w:t>
            </w:r>
          </w:p>
        </w:tc>
        <w:tc>
          <w:tcPr>
            <w:tcW w:w="3263" w:type="dxa"/>
            <w:shd w:val="clear" w:color="auto" w:fill="auto"/>
            <w:noWrap/>
            <w:vAlign w:val="bottom"/>
          </w:tcPr>
          <w:p w:rsidR="002B6CE0" w:rsidRPr="00707B45" w:rsidRDefault="002B6CE0" w:rsidP="00A06F12">
            <w:pPr>
              <w:rPr>
                <w:rFonts w:cs="Arial"/>
                <w:color w:val="000000"/>
                <w:szCs w:val="22"/>
                <w:lang w:eastAsia="en-GB"/>
              </w:rPr>
            </w:pPr>
            <w:r w:rsidRPr="00831EF7">
              <w:rPr>
                <w:rFonts w:cs="Arial"/>
                <w:color w:val="000000"/>
                <w:szCs w:val="22"/>
                <w:lang w:eastAsia="en-GB"/>
              </w:rPr>
              <w:t>GHXNIX10014DWJG42GN</w:t>
            </w:r>
          </w:p>
        </w:tc>
        <w:tc>
          <w:tcPr>
            <w:tcW w:w="1871" w:type="dxa"/>
            <w:shd w:val="clear" w:color="auto" w:fill="auto"/>
            <w:noWrap/>
            <w:vAlign w:val="bottom"/>
          </w:tcPr>
          <w:p w:rsidR="002B6CE0" w:rsidRPr="00707B45" w:rsidRDefault="002B6CE0" w:rsidP="00A06F12">
            <w:pPr>
              <w:jc w:val="right"/>
              <w:rPr>
                <w:rFonts w:cs="Arial"/>
                <w:color w:val="000000"/>
                <w:szCs w:val="22"/>
                <w:lang w:eastAsia="en-GB"/>
              </w:rPr>
            </w:pPr>
            <w:r>
              <w:rPr>
                <w:rFonts w:cs="Arial"/>
                <w:color w:val="000000"/>
                <w:szCs w:val="22"/>
                <w:lang w:eastAsia="en-GB"/>
              </w:rPr>
              <w:t>30/04/2019</w:t>
            </w:r>
          </w:p>
        </w:tc>
        <w:tc>
          <w:tcPr>
            <w:tcW w:w="1467" w:type="dxa"/>
            <w:shd w:val="clear" w:color="auto" w:fill="auto"/>
            <w:noWrap/>
            <w:vAlign w:val="bottom"/>
          </w:tcPr>
          <w:p w:rsidR="002B6CE0" w:rsidRPr="00707B45" w:rsidRDefault="002B6CE0" w:rsidP="00A06F12">
            <w:pPr>
              <w:jc w:val="right"/>
              <w:rPr>
                <w:rFonts w:cs="Arial"/>
                <w:color w:val="000000"/>
                <w:szCs w:val="22"/>
                <w:lang w:eastAsia="en-GB"/>
              </w:rPr>
            </w:pPr>
            <w:r>
              <w:rPr>
                <w:rFonts w:cs="Arial"/>
                <w:color w:val="000000"/>
                <w:szCs w:val="22"/>
                <w:lang w:eastAsia="en-GB"/>
              </w:rPr>
              <w:t>30</w:t>
            </w:r>
          </w:p>
        </w:tc>
      </w:tr>
      <w:tr w:rsidR="002B6CE0" w:rsidRPr="00707B45" w:rsidTr="002B6CE0">
        <w:trPr>
          <w:trHeight w:val="300"/>
        </w:trPr>
        <w:tc>
          <w:tcPr>
            <w:tcW w:w="1509" w:type="dxa"/>
            <w:shd w:val="clear" w:color="auto" w:fill="auto"/>
            <w:noWrap/>
            <w:vAlign w:val="bottom"/>
          </w:tcPr>
          <w:p w:rsidR="002B6CE0" w:rsidRPr="00707B45" w:rsidRDefault="002B6CE0" w:rsidP="00A06F12">
            <w:pPr>
              <w:jc w:val="right"/>
              <w:rPr>
                <w:rFonts w:cs="Arial"/>
                <w:color w:val="000000"/>
                <w:szCs w:val="22"/>
                <w:lang w:eastAsia="en-GB"/>
              </w:rPr>
            </w:pPr>
            <w:r w:rsidRPr="00A22181">
              <w:rPr>
                <w:rFonts w:cs="Arial"/>
                <w:color w:val="000000"/>
                <w:szCs w:val="22"/>
                <w:lang w:eastAsia="en-GB"/>
              </w:rPr>
              <w:t>ExtHaz.</w:t>
            </w:r>
            <w:r>
              <w:rPr>
                <w:rFonts w:cs="Arial"/>
                <w:color w:val="000000"/>
                <w:szCs w:val="22"/>
                <w:lang w:eastAsia="en-GB"/>
              </w:rPr>
              <w:t>2**</w:t>
            </w:r>
          </w:p>
        </w:tc>
        <w:tc>
          <w:tcPr>
            <w:tcW w:w="6583" w:type="dxa"/>
            <w:shd w:val="clear" w:color="auto" w:fill="auto"/>
            <w:noWrap/>
            <w:vAlign w:val="bottom"/>
          </w:tcPr>
          <w:p w:rsidR="002B6CE0" w:rsidRPr="00707B45" w:rsidRDefault="002B6CE0" w:rsidP="00A06F12">
            <w:pPr>
              <w:rPr>
                <w:rFonts w:cs="Arial"/>
                <w:color w:val="000000"/>
                <w:szCs w:val="22"/>
                <w:lang w:eastAsia="en-GB"/>
              </w:rPr>
            </w:pPr>
            <w:r w:rsidRPr="00831EF7">
              <w:rPr>
                <w:rFonts w:cs="Arial"/>
                <w:color w:val="000000"/>
                <w:szCs w:val="22"/>
                <w:lang w:eastAsia="en-GB"/>
              </w:rPr>
              <w:t>Structural Analysis and Design Report</w:t>
            </w:r>
          </w:p>
        </w:tc>
        <w:tc>
          <w:tcPr>
            <w:tcW w:w="3263" w:type="dxa"/>
            <w:shd w:val="clear" w:color="auto" w:fill="auto"/>
            <w:noWrap/>
            <w:vAlign w:val="bottom"/>
          </w:tcPr>
          <w:p w:rsidR="002B6CE0" w:rsidRPr="00707B45" w:rsidRDefault="002B6CE0" w:rsidP="00A06F12">
            <w:pPr>
              <w:rPr>
                <w:rFonts w:cs="Arial"/>
                <w:color w:val="000000"/>
                <w:szCs w:val="22"/>
                <w:lang w:eastAsia="en-GB"/>
              </w:rPr>
            </w:pPr>
            <w:r w:rsidRPr="00831EF7">
              <w:rPr>
                <w:rFonts w:cs="Arial"/>
                <w:color w:val="000000"/>
                <w:szCs w:val="22"/>
                <w:lang w:eastAsia="en-GB"/>
              </w:rPr>
              <w:t>GHXNIX10015DWJG42GN</w:t>
            </w:r>
          </w:p>
        </w:tc>
        <w:tc>
          <w:tcPr>
            <w:tcW w:w="1871" w:type="dxa"/>
            <w:shd w:val="clear" w:color="auto" w:fill="auto"/>
            <w:noWrap/>
            <w:vAlign w:val="bottom"/>
          </w:tcPr>
          <w:p w:rsidR="002B6CE0" w:rsidRPr="00707B45" w:rsidRDefault="002B6CE0" w:rsidP="00A06F12">
            <w:pPr>
              <w:jc w:val="right"/>
              <w:rPr>
                <w:rFonts w:cs="Arial"/>
                <w:color w:val="000000"/>
                <w:szCs w:val="22"/>
                <w:lang w:eastAsia="en-GB"/>
              </w:rPr>
            </w:pPr>
            <w:r>
              <w:rPr>
                <w:rFonts w:cs="Arial"/>
                <w:color w:val="000000"/>
                <w:szCs w:val="22"/>
                <w:lang w:eastAsia="en-GB"/>
              </w:rPr>
              <w:t>30/04/2019</w:t>
            </w:r>
          </w:p>
        </w:tc>
        <w:tc>
          <w:tcPr>
            <w:tcW w:w="1467" w:type="dxa"/>
            <w:shd w:val="clear" w:color="auto" w:fill="auto"/>
            <w:noWrap/>
            <w:vAlign w:val="bottom"/>
          </w:tcPr>
          <w:p w:rsidR="002B6CE0" w:rsidRPr="00707B45" w:rsidRDefault="002B6CE0" w:rsidP="00A06F12">
            <w:pPr>
              <w:jc w:val="right"/>
              <w:rPr>
                <w:rFonts w:cs="Arial"/>
                <w:color w:val="000000"/>
                <w:szCs w:val="22"/>
                <w:lang w:eastAsia="en-GB"/>
              </w:rPr>
            </w:pPr>
            <w:r>
              <w:rPr>
                <w:rFonts w:cs="Arial"/>
                <w:color w:val="000000"/>
                <w:szCs w:val="22"/>
                <w:lang w:eastAsia="en-GB"/>
              </w:rPr>
              <w:t>15</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22</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Basis of design for BRX internal structures</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GHXREX10002DWJG42GN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30/06/2019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23</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Basis of design for common raft foundation</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GHXNIX10008DWJG42GN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30/06/2019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15</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24</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Basis of design for Diesel Generator Buildings</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GHXDXX10002DWJG42GN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30/06/2019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25</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Basis of design for BNX</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GHXNXX10002DWJG42GN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30/06/2019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lastRenderedPageBreak/>
              <w:t>26</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Basis of design for BWX</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GHXWXX10002DWJG42GN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30/06/2019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15</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27</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Basis of design for BEJ</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GHXEJX10002DWSJ42GN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30/06/2019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15</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28</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Basis of design for internal containment</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GHXRIX10002DWJG42GN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30/06/2019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15</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29</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Basis of design for external containment</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GHXRDX10002DWJG42GN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30/06/2019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15</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Pr>
                <w:rFonts w:cs="Arial"/>
                <w:color w:val="000000"/>
                <w:szCs w:val="22"/>
                <w:lang w:eastAsia="en-GB"/>
              </w:rPr>
              <w:t>Aircraft I</w:t>
            </w:r>
            <w:r w:rsidRPr="00707B45">
              <w:rPr>
                <w:rFonts w:cs="Arial"/>
                <w:color w:val="000000"/>
                <w:szCs w:val="22"/>
                <w:lang w:eastAsia="en-GB"/>
              </w:rPr>
              <w:t xml:space="preserve">mpact </w:t>
            </w:r>
            <w:r>
              <w:rPr>
                <w:rFonts w:cs="Arial"/>
                <w:color w:val="000000"/>
                <w:szCs w:val="22"/>
                <w:lang w:eastAsia="en-GB"/>
              </w:rPr>
              <w:t>- E</w:t>
            </w:r>
            <w:r w:rsidRPr="00707B45">
              <w:rPr>
                <w:rFonts w:cs="Arial"/>
                <w:color w:val="000000"/>
                <w:szCs w:val="22"/>
                <w:lang w:eastAsia="en-GB"/>
              </w:rPr>
              <w:t>valuation method statement</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GHXNIX10020DWJG42GN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2019/6/30(TBC)</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18</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31</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Pr>
                <w:rFonts w:cs="Arial"/>
                <w:color w:val="000000"/>
                <w:szCs w:val="22"/>
                <w:lang w:eastAsia="en-GB"/>
              </w:rPr>
              <w:t>Aircraft I</w:t>
            </w:r>
            <w:r w:rsidRPr="00707B45">
              <w:rPr>
                <w:rFonts w:cs="Arial"/>
                <w:color w:val="000000"/>
                <w:szCs w:val="22"/>
                <w:lang w:eastAsia="en-GB"/>
              </w:rPr>
              <w:t xml:space="preserve">mpact </w:t>
            </w:r>
            <w:r>
              <w:rPr>
                <w:rFonts w:cs="Arial"/>
                <w:color w:val="000000"/>
                <w:szCs w:val="22"/>
                <w:lang w:eastAsia="en-GB"/>
              </w:rPr>
              <w:t xml:space="preserve">- </w:t>
            </w:r>
            <w:r w:rsidRPr="00707B45">
              <w:rPr>
                <w:rFonts w:cs="Arial"/>
                <w:color w:val="000000"/>
                <w:szCs w:val="22"/>
                <w:lang w:eastAsia="en-GB"/>
              </w:rPr>
              <w:t>Basis of safety case</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GHXNIX10021DWJG42GN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2019/6/30(TBC)</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17</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32</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Pr>
                <w:rFonts w:cs="Arial"/>
                <w:color w:val="000000"/>
                <w:szCs w:val="22"/>
                <w:lang w:eastAsia="en-GB"/>
              </w:rPr>
              <w:t>A</w:t>
            </w:r>
            <w:r w:rsidRPr="00707B45">
              <w:rPr>
                <w:rFonts w:cs="Arial"/>
                <w:color w:val="000000"/>
                <w:szCs w:val="22"/>
                <w:lang w:eastAsia="en-GB"/>
              </w:rPr>
              <w:t xml:space="preserve">ircraft </w:t>
            </w:r>
            <w:r>
              <w:rPr>
                <w:rFonts w:cs="Arial"/>
                <w:color w:val="000000"/>
                <w:szCs w:val="22"/>
                <w:lang w:eastAsia="en-GB"/>
              </w:rPr>
              <w:t>I</w:t>
            </w:r>
            <w:r w:rsidRPr="00707B45">
              <w:rPr>
                <w:rFonts w:cs="Arial"/>
                <w:color w:val="000000"/>
                <w:szCs w:val="22"/>
                <w:lang w:eastAsia="en-GB"/>
              </w:rPr>
              <w:t xml:space="preserve">mpact </w:t>
            </w:r>
            <w:r>
              <w:rPr>
                <w:rFonts w:cs="Arial"/>
                <w:color w:val="000000"/>
                <w:szCs w:val="22"/>
                <w:lang w:eastAsia="en-GB"/>
              </w:rPr>
              <w:t xml:space="preserve">- </w:t>
            </w:r>
            <w:r w:rsidRPr="00707B45">
              <w:rPr>
                <w:rFonts w:cs="Arial"/>
                <w:color w:val="000000"/>
                <w:szCs w:val="22"/>
                <w:lang w:eastAsia="en-GB"/>
              </w:rPr>
              <w:t>Basis of design</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GHXNIX10022DWJG42GN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2019/6/30(TBC)</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15</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33</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Applicability of codes and standards for UK HPR1000</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GHXNIX10011DWJG42GN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30/06/2019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150</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34</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Verification and validation for software used in civil engineering</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GHXNIX10033DWJG42GN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30/06/2019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50</w:t>
            </w:r>
          </w:p>
        </w:tc>
      </w:tr>
      <w:tr w:rsidR="002B6CE0" w:rsidRPr="00707B45" w:rsidTr="002B6CE0">
        <w:trPr>
          <w:trHeight w:val="300"/>
        </w:trPr>
        <w:tc>
          <w:tcPr>
            <w:tcW w:w="1509"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35</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Modelling report of </w:t>
            </w:r>
            <w:proofErr w:type="spellStart"/>
            <w:r w:rsidRPr="00707B45">
              <w:rPr>
                <w:rFonts w:cs="Arial"/>
                <w:color w:val="000000"/>
                <w:szCs w:val="22"/>
                <w:lang w:eastAsia="en-GB"/>
              </w:rPr>
              <w:t>prestressing</w:t>
            </w:r>
            <w:proofErr w:type="spellEnd"/>
            <w:r w:rsidRPr="00707B45">
              <w:rPr>
                <w:rFonts w:cs="Arial"/>
                <w:color w:val="000000"/>
                <w:szCs w:val="22"/>
                <w:lang w:eastAsia="en-GB"/>
              </w:rPr>
              <w:t xml:space="preserve"> system</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GHXRIX10005DWJG42GN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30/06/2019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11</w:t>
            </w:r>
          </w:p>
        </w:tc>
      </w:tr>
      <w:tr w:rsidR="002B6CE0" w:rsidRPr="00707B45" w:rsidTr="002B6CE0">
        <w:trPr>
          <w:trHeight w:val="300"/>
        </w:trPr>
        <w:tc>
          <w:tcPr>
            <w:tcW w:w="1509" w:type="dxa"/>
            <w:shd w:val="clear" w:color="auto" w:fill="auto"/>
            <w:noWrap/>
            <w:vAlign w:val="bottom"/>
            <w:hideMark/>
          </w:tcPr>
          <w:p w:rsidR="002B6CE0" w:rsidRPr="00A06F12" w:rsidRDefault="002B6CE0" w:rsidP="00A06F12">
            <w:pPr>
              <w:jc w:val="right"/>
              <w:rPr>
                <w:rFonts w:cs="Arial"/>
                <w:color w:val="000000"/>
                <w:szCs w:val="22"/>
                <w:vertAlign w:val="superscript"/>
                <w:lang w:eastAsia="en-GB"/>
              </w:rPr>
            </w:pPr>
            <w:r w:rsidRPr="00707B45">
              <w:rPr>
                <w:rFonts w:cs="Arial"/>
                <w:color w:val="000000"/>
                <w:szCs w:val="22"/>
                <w:lang w:eastAsia="en-GB"/>
              </w:rPr>
              <w:t>36</w:t>
            </w:r>
          </w:p>
        </w:tc>
        <w:tc>
          <w:tcPr>
            <w:tcW w:w="658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 xml:space="preserve">Justification of </w:t>
            </w:r>
            <w:proofErr w:type="spellStart"/>
            <w:r w:rsidRPr="00707B45">
              <w:rPr>
                <w:rFonts w:cs="Arial"/>
                <w:color w:val="000000"/>
                <w:szCs w:val="22"/>
                <w:lang w:eastAsia="en-GB"/>
              </w:rPr>
              <w:t>prestressing</w:t>
            </w:r>
            <w:proofErr w:type="spellEnd"/>
            <w:r w:rsidRPr="00707B45">
              <w:rPr>
                <w:rFonts w:cs="Arial"/>
                <w:color w:val="000000"/>
                <w:szCs w:val="22"/>
                <w:lang w:eastAsia="en-GB"/>
              </w:rPr>
              <w:t xml:space="preserve"> system</w:t>
            </w:r>
          </w:p>
        </w:tc>
        <w:tc>
          <w:tcPr>
            <w:tcW w:w="3263" w:type="dxa"/>
            <w:shd w:val="clear" w:color="auto" w:fill="auto"/>
            <w:noWrap/>
            <w:vAlign w:val="bottom"/>
            <w:hideMark/>
          </w:tcPr>
          <w:p w:rsidR="002B6CE0" w:rsidRPr="00707B45" w:rsidRDefault="002B6CE0" w:rsidP="00A06F12">
            <w:pPr>
              <w:rPr>
                <w:rFonts w:cs="Arial"/>
                <w:color w:val="000000"/>
                <w:szCs w:val="22"/>
                <w:lang w:eastAsia="en-GB"/>
              </w:rPr>
            </w:pPr>
            <w:r w:rsidRPr="00707B45">
              <w:rPr>
                <w:rFonts w:cs="Arial"/>
                <w:color w:val="000000"/>
                <w:szCs w:val="22"/>
                <w:lang w:eastAsia="en-GB"/>
              </w:rPr>
              <w:t>GHXRIX10006DWJG42GN</w:t>
            </w:r>
          </w:p>
        </w:tc>
        <w:tc>
          <w:tcPr>
            <w:tcW w:w="1871"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30/06/2019</w:t>
            </w:r>
          </w:p>
        </w:tc>
        <w:tc>
          <w:tcPr>
            <w:tcW w:w="1467" w:type="dxa"/>
            <w:shd w:val="clear" w:color="auto" w:fill="auto"/>
            <w:noWrap/>
            <w:vAlign w:val="bottom"/>
            <w:hideMark/>
          </w:tcPr>
          <w:p w:rsidR="002B6CE0" w:rsidRPr="00707B45" w:rsidRDefault="002B6CE0" w:rsidP="00A06F12">
            <w:pPr>
              <w:jc w:val="right"/>
              <w:rPr>
                <w:rFonts w:cs="Arial"/>
                <w:color w:val="000000"/>
                <w:szCs w:val="22"/>
                <w:lang w:eastAsia="en-GB"/>
              </w:rPr>
            </w:pPr>
            <w:r w:rsidRPr="00707B45">
              <w:rPr>
                <w:rFonts w:cs="Arial"/>
                <w:color w:val="000000"/>
                <w:szCs w:val="22"/>
                <w:lang w:eastAsia="en-GB"/>
              </w:rPr>
              <w:t>25</w:t>
            </w:r>
          </w:p>
        </w:tc>
      </w:tr>
      <w:tr w:rsidR="002B6CE0" w:rsidRPr="00707B45" w:rsidTr="002B6CE0">
        <w:trPr>
          <w:trHeight w:val="300"/>
        </w:trPr>
        <w:tc>
          <w:tcPr>
            <w:tcW w:w="1509" w:type="dxa"/>
            <w:shd w:val="clear" w:color="auto" w:fill="auto"/>
            <w:noWrap/>
            <w:vAlign w:val="bottom"/>
          </w:tcPr>
          <w:p w:rsidR="002B6CE0" w:rsidRPr="00707B45" w:rsidRDefault="002B6CE0" w:rsidP="00A06F12">
            <w:pPr>
              <w:jc w:val="right"/>
              <w:rPr>
                <w:rFonts w:cs="Arial"/>
                <w:color w:val="000000"/>
                <w:szCs w:val="22"/>
                <w:lang w:eastAsia="en-GB"/>
              </w:rPr>
            </w:pPr>
          </w:p>
        </w:tc>
        <w:tc>
          <w:tcPr>
            <w:tcW w:w="6583" w:type="dxa"/>
            <w:shd w:val="clear" w:color="auto" w:fill="auto"/>
            <w:noWrap/>
            <w:vAlign w:val="bottom"/>
          </w:tcPr>
          <w:p w:rsidR="002B6CE0" w:rsidRPr="00707B45" w:rsidRDefault="002B6CE0" w:rsidP="00A06F12">
            <w:pPr>
              <w:rPr>
                <w:rFonts w:cs="Arial"/>
                <w:color w:val="000000"/>
                <w:szCs w:val="22"/>
                <w:lang w:eastAsia="en-GB"/>
              </w:rPr>
            </w:pPr>
          </w:p>
        </w:tc>
        <w:tc>
          <w:tcPr>
            <w:tcW w:w="3263" w:type="dxa"/>
            <w:shd w:val="clear" w:color="auto" w:fill="auto"/>
            <w:noWrap/>
            <w:vAlign w:val="bottom"/>
          </w:tcPr>
          <w:p w:rsidR="002B6CE0" w:rsidRPr="00707B45" w:rsidRDefault="002B6CE0" w:rsidP="00A06F12">
            <w:pPr>
              <w:rPr>
                <w:rFonts w:cs="Arial"/>
                <w:color w:val="000000"/>
                <w:szCs w:val="22"/>
                <w:lang w:eastAsia="en-GB"/>
              </w:rPr>
            </w:pPr>
          </w:p>
        </w:tc>
        <w:tc>
          <w:tcPr>
            <w:tcW w:w="1871" w:type="dxa"/>
            <w:shd w:val="clear" w:color="auto" w:fill="auto"/>
            <w:noWrap/>
            <w:vAlign w:val="bottom"/>
          </w:tcPr>
          <w:p w:rsidR="002B6CE0" w:rsidRPr="00707B45" w:rsidRDefault="002B6CE0" w:rsidP="00A06F12">
            <w:pPr>
              <w:jc w:val="right"/>
              <w:rPr>
                <w:rFonts w:cs="Arial"/>
                <w:color w:val="000000"/>
                <w:szCs w:val="22"/>
                <w:lang w:eastAsia="en-GB"/>
              </w:rPr>
            </w:pPr>
          </w:p>
        </w:tc>
        <w:tc>
          <w:tcPr>
            <w:tcW w:w="1467" w:type="dxa"/>
            <w:shd w:val="clear" w:color="auto" w:fill="auto"/>
            <w:noWrap/>
            <w:vAlign w:val="bottom"/>
          </w:tcPr>
          <w:p w:rsidR="002B6CE0" w:rsidRPr="00707B45" w:rsidRDefault="002B6CE0" w:rsidP="00A06F12">
            <w:pPr>
              <w:jc w:val="right"/>
              <w:rPr>
                <w:rFonts w:cs="Arial"/>
                <w:color w:val="000000"/>
                <w:szCs w:val="22"/>
                <w:lang w:eastAsia="en-GB"/>
              </w:rPr>
            </w:pPr>
          </w:p>
        </w:tc>
      </w:tr>
      <w:tr w:rsidR="002B6CE0" w:rsidRPr="00707B45" w:rsidTr="002B6CE0">
        <w:trPr>
          <w:trHeight w:val="300"/>
        </w:trPr>
        <w:tc>
          <w:tcPr>
            <w:tcW w:w="1509" w:type="dxa"/>
            <w:tcBorders>
              <w:bottom w:val="single" w:sz="4" w:space="0" w:color="auto"/>
            </w:tcBorders>
            <w:shd w:val="clear" w:color="auto" w:fill="auto"/>
            <w:noWrap/>
            <w:vAlign w:val="bottom"/>
          </w:tcPr>
          <w:p w:rsidR="002B6CE0" w:rsidRPr="00707B45" w:rsidRDefault="002B6CE0" w:rsidP="00A06F12">
            <w:pPr>
              <w:jc w:val="right"/>
              <w:rPr>
                <w:rFonts w:cs="Arial"/>
                <w:color w:val="000000"/>
                <w:szCs w:val="22"/>
                <w:lang w:eastAsia="en-GB"/>
              </w:rPr>
            </w:pPr>
            <w:r w:rsidRPr="00A22181">
              <w:rPr>
                <w:rFonts w:cs="Arial"/>
                <w:color w:val="000000"/>
                <w:szCs w:val="22"/>
                <w:lang w:eastAsia="en-GB"/>
              </w:rPr>
              <w:t>ExtHaz.</w:t>
            </w:r>
            <w:r>
              <w:rPr>
                <w:rFonts w:cs="Arial"/>
                <w:color w:val="000000"/>
                <w:szCs w:val="22"/>
                <w:lang w:eastAsia="en-GB"/>
              </w:rPr>
              <w:t>3***</w:t>
            </w:r>
          </w:p>
        </w:tc>
        <w:tc>
          <w:tcPr>
            <w:tcW w:w="6583" w:type="dxa"/>
            <w:tcBorders>
              <w:bottom w:val="single" w:sz="4" w:space="0" w:color="auto"/>
            </w:tcBorders>
            <w:shd w:val="clear" w:color="auto" w:fill="auto"/>
            <w:noWrap/>
            <w:vAlign w:val="bottom"/>
          </w:tcPr>
          <w:p w:rsidR="002B6CE0" w:rsidRPr="00A22181" w:rsidRDefault="002B6CE0" w:rsidP="00A06F12">
            <w:pPr>
              <w:rPr>
                <w:rFonts w:cs="Arial"/>
                <w:color w:val="000000"/>
                <w:szCs w:val="22"/>
                <w:lang w:eastAsia="en-GB"/>
              </w:rPr>
            </w:pPr>
            <w:r w:rsidRPr="00A22181">
              <w:rPr>
                <w:rFonts w:cs="Arial"/>
                <w:color w:val="000000"/>
                <w:szCs w:val="22"/>
                <w:lang w:eastAsia="en-GB"/>
              </w:rPr>
              <w:t>Aircraft Load Case Gap Analysis</w:t>
            </w:r>
          </w:p>
        </w:tc>
        <w:tc>
          <w:tcPr>
            <w:tcW w:w="3263" w:type="dxa"/>
            <w:tcBorders>
              <w:bottom w:val="single" w:sz="4" w:space="0" w:color="auto"/>
            </w:tcBorders>
            <w:shd w:val="clear" w:color="auto" w:fill="auto"/>
            <w:noWrap/>
            <w:vAlign w:val="bottom"/>
          </w:tcPr>
          <w:p w:rsidR="002B6CE0" w:rsidRPr="00707B45" w:rsidRDefault="002B6CE0" w:rsidP="00A06F12">
            <w:pPr>
              <w:rPr>
                <w:rFonts w:cs="Arial"/>
                <w:color w:val="000000"/>
                <w:szCs w:val="22"/>
                <w:lang w:eastAsia="en-GB"/>
              </w:rPr>
            </w:pPr>
            <w:r>
              <w:rPr>
                <w:rFonts w:cs="Arial"/>
                <w:color w:val="000000"/>
                <w:szCs w:val="22"/>
                <w:lang w:eastAsia="en-GB"/>
              </w:rPr>
              <w:t>TBC</w:t>
            </w:r>
          </w:p>
        </w:tc>
        <w:tc>
          <w:tcPr>
            <w:tcW w:w="1871" w:type="dxa"/>
            <w:tcBorders>
              <w:bottom w:val="single" w:sz="4" w:space="0" w:color="auto"/>
            </w:tcBorders>
            <w:shd w:val="clear" w:color="auto" w:fill="auto"/>
            <w:noWrap/>
            <w:vAlign w:val="bottom"/>
          </w:tcPr>
          <w:p w:rsidR="002B6CE0" w:rsidRPr="00707B45" w:rsidRDefault="002B6CE0" w:rsidP="00A06F12">
            <w:pPr>
              <w:jc w:val="right"/>
              <w:rPr>
                <w:rFonts w:cs="Arial"/>
                <w:color w:val="000000"/>
                <w:szCs w:val="22"/>
                <w:lang w:eastAsia="en-GB"/>
              </w:rPr>
            </w:pPr>
            <w:r>
              <w:rPr>
                <w:rFonts w:cs="Arial"/>
                <w:color w:val="000000"/>
                <w:szCs w:val="22"/>
                <w:lang w:eastAsia="en-GB"/>
              </w:rPr>
              <w:t>Q1 2019</w:t>
            </w:r>
          </w:p>
        </w:tc>
        <w:tc>
          <w:tcPr>
            <w:tcW w:w="1467" w:type="dxa"/>
            <w:tcBorders>
              <w:bottom w:val="single" w:sz="4" w:space="0" w:color="auto"/>
            </w:tcBorders>
            <w:shd w:val="clear" w:color="auto" w:fill="auto"/>
            <w:noWrap/>
            <w:vAlign w:val="bottom"/>
          </w:tcPr>
          <w:p w:rsidR="002B6CE0" w:rsidRPr="00707B45" w:rsidRDefault="002B6CE0" w:rsidP="00A06F12">
            <w:pPr>
              <w:jc w:val="right"/>
              <w:rPr>
                <w:rFonts w:cs="Arial"/>
                <w:color w:val="000000"/>
                <w:szCs w:val="22"/>
                <w:lang w:eastAsia="en-GB"/>
              </w:rPr>
            </w:pPr>
            <w:r>
              <w:rPr>
                <w:rFonts w:cs="Arial"/>
                <w:color w:val="000000"/>
                <w:szCs w:val="22"/>
                <w:lang w:eastAsia="en-GB"/>
              </w:rPr>
              <w:t>TBC – Assume 80</w:t>
            </w:r>
          </w:p>
        </w:tc>
      </w:tr>
      <w:tr w:rsidR="002B6CE0" w:rsidRPr="00707B45" w:rsidTr="002B6CE0">
        <w:trPr>
          <w:trHeight w:val="300"/>
        </w:trPr>
        <w:tc>
          <w:tcPr>
            <w:tcW w:w="1509" w:type="dxa"/>
            <w:tcBorders>
              <w:bottom w:val="single" w:sz="4" w:space="0" w:color="auto"/>
            </w:tcBorders>
            <w:shd w:val="clear" w:color="auto" w:fill="auto"/>
            <w:noWrap/>
            <w:vAlign w:val="bottom"/>
          </w:tcPr>
          <w:p w:rsidR="002B6CE0" w:rsidRPr="00A22181" w:rsidRDefault="002B6CE0" w:rsidP="00A06F12">
            <w:pPr>
              <w:jc w:val="right"/>
              <w:rPr>
                <w:rFonts w:cs="Arial"/>
                <w:color w:val="000000"/>
                <w:szCs w:val="22"/>
                <w:lang w:eastAsia="en-GB"/>
              </w:rPr>
            </w:pPr>
            <w:r>
              <w:rPr>
                <w:rFonts w:cs="Arial"/>
                <w:color w:val="000000"/>
                <w:szCs w:val="22"/>
                <w:lang w:eastAsia="en-GB"/>
              </w:rPr>
              <w:t>ExtHaz.4</w:t>
            </w:r>
          </w:p>
        </w:tc>
        <w:tc>
          <w:tcPr>
            <w:tcW w:w="6583" w:type="dxa"/>
            <w:tcBorders>
              <w:bottom w:val="single" w:sz="4" w:space="0" w:color="auto"/>
            </w:tcBorders>
            <w:shd w:val="clear" w:color="auto" w:fill="auto"/>
            <w:noWrap/>
            <w:vAlign w:val="bottom"/>
          </w:tcPr>
          <w:p w:rsidR="002B6CE0" w:rsidRPr="00A22181" w:rsidRDefault="002B6CE0" w:rsidP="00A06F12">
            <w:pPr>
              <w:rPr>
                <w:rFonts w:cs="Arial"/>
                <w:color w:val="000000"/>
                <w:szCs w:val="22"/>
                <w:lang w:eastAsia="en-GB"/>
              </w:rPr>
            </w:pPr>
            <w:r w:rsidRPr="009903B6">
              <w:rPr>
                <w:rFonts w:cs="Arial"/>
                <w:color w:val="000000"/>
                <w:szCs w:val="22"/>
                <w:lang w:eastAsia="en-GB"/>
              </w:rPr>
              <w:t>UK HPR1000 Generic Site Report (</w:t>
            </w:r>
            <w:r>
              <w:rPr>
                <w:rFonts w:cs="Arial"/>
                <w:color w:val="000000"/>
                <w:szCs w:val="22"/>
                <w:lang w:eastAsia="en-GB"/>
              </w:rPr>
              <w:t>Soil properties</w:t>
            </w:r>
            <w:r w:rsidRPr="009903B6">
              <w:rPr>
                <w:rFonts w:cs="Arial"/>
                <w:color w:val="000000"/>
                <w:szCs w:val="22"/>
                <w:lang w:eastAsia="en-GB"/>
              </w:rPr>
              <w:t xml:space="preserve"> only)</w:t>
            </w:r>
          </w:p>
        </w:tc>
        <w:tc>
          <w:tcPr>
            <w:tcW w:w="3263" w:type="dxa"/>
            <w:tcBorders>
              <w:bottom w:val="single" w:sz="4" w:space="0" w:color="auto"/>
            </w:tcBorders>
            <w:shd w:val="clear" w:color="auto" w:fill="auto"/>
            <w:noWrap/>
            <w:vAlign w:val="bottom"/>
          </w:tcPr>
          <w:p w:rsidR="002B6CE0" w:rsidRDefault="002B6CE0" w:rsidP="00A06F12">
            <w:pPr>
              <w:rPr>
                <w:rFonts w:cs="Arial"/>
                <w:color w:val="000000"/>
                <w:szCs w:val="22"/>
                <w:lang w:eastAsia="en-GB"/>
              </w:rPr>
            </w:pPr>
            <w:r w:rsidRPr="00711246">
              <w:rPr>
                <w:rFonts w:cs="Arial"/>
                <w:color w:val="000000"/>
                <w:szCs w:val="22"/>
                <w:lang w:eastAsia="en-GB"/>
              </w:rPr>
              <w:t>HPR/GDA/REPO/0015</w:t>
            </w:r>
          </w:p>
        </w:tc>
        <w:tc>
          <w:tcPr>
            <w:tcW w:w="1871" w:type="dxa"/>
            <w:tcBorders>
              <w:bottom w:val="single" w:sz="4" w:space="0" w:color="auto"/>
            </w:tcBorders>
            <w:shd w:val="clear" w:color="auto" w:fill="auto"/>
            <w:noWrap/>
            <w:vAlign w:val="bottom"/>
          </w:tcPr>
          <w:p w:rsidR="002B6CE0" w:rsidRDefault="002B6CE0" w:rsidP="00A06F12">
            <w:pPr>
              <w:jc w:val="right"/>
              <w:rPr>
                <w:rFonts w:cs="Arial"/>
                <w:color w:val="000000"/>
                <w:szCs w:val="22"/>
                <w:lang w:eastAsia="en-GB"/>
              </w:rPr>
            </w:pPr>
            <w:r w:rsidRPr="00707B45">
              <w:rPr>
                <w:rFonts w:cs="Arial"/>
                <w:color w:val="000000"/>
                <w:szCs w:val="22"/>
                <w:lang w:eastAsia="en-GB"/>
              </w:rPr>
              <w:t>28/09/2018</w:t>
            </w:r>
          </w:p>
        </w:tc>
        <w:tc>
          <w:tcPr>
            <w:tcW w:w="1467" w:type="dxa"/>
            <w:tcBorders>
              <w:bottom w:val="single" w:sz="4" w:space="0" w:color="auto"/>
            </w:tcBorders>
            <w:shd w:val="clear" w:color="auto" w:fill="auto"/>
            <w:noWrap/>
            <w:vAlign w:val="bottom"/>
          </w:tcPr>
          <w:p w:rsidR="002B6CE0" w:rsidRDefault="002B6CE0" w:rsidP="00A06F12">
            <w:pPr>
              <w:jc w:val="right"/>
              <w:rPr>
                <w:rFonts w:cs="Arial"/>
                <w:color w:val="000000"/>
                <w:szCs w:val="22"/>
                <w:lang w:eastAsia="en-GB"/>
              </w:rPr>
            </w:pPr>
            <w:r>
              <w:rPr>
                <w:rFonts w:cs="Arial"/>
                <w:color w:val="000000"/>
                <w:szCs w:val="22"/>
                <w:lang w:eastAsia="en-GB"/>
              </w:rPr>
              <w:t>86</w:t>
            </w:r>
          </w:p>
        </w:tc>
      </w:tr>
      <w:tr w:rsidR="002B6CE0" w:rsidRPr="00707B45" w:rsidTr="002B6CE0">
        <w:trPr>
          <w:trHeight w:val="300"/>
        </w:trPr>
        <w:tc>
          <w:tcPr>
            <w:tcW w:w="14693" w:type="dxa"/>
            <w:gridSpan w:val="5"/>
            <w:tcBorders>
              <w:top w:val="single" w:sz="4" w:space="0" w:color="auto"/>
              <w:left w:val="nil"/>
              <w:bottom w:val="nil"/>
              <w:right w:val="nil"/>
            </w:tcBorders>
            <w:shd w:val="clear" w:color="auto" w:fill="auto"/>
            <w:noWrap/>
            <w:vAlign w:val="bottom"/>
          </w:tcPr>
          <w:p w:rsidR="002B6CE0" w:rsidRPr="00831EF7" w:rsidRDefault="002B6CE0" w:rsidP="00A06F12">
            <w:pPr>
              <w:rPr>
                <w:rFonts w:cs="Arial"/>
                <w:color w:val="000000"/>
                <w:sz w:val="18"/>
                <w:szCs w:val="18"/>
                <w:lang w:eastAsia="en-GB"/>
              </w:rPr>
            </w:pPr>
            <w:r w:rsidRPr="00A06F12">
              <w:rPr>
                <w:rFonts w:cs="Arial"/>
                <w:color w:val="000000"/>
                <w:sz w:val="18"/>
                <w:szCs w:val="18"/>
                <w:lang w:eastAsia="en-GB"/>
              </w:rPr>
              <w:t>*</w:t>
            </w:r>
            <w:r w:rsidRPr="00831EF7">
              <w:rPr>
                <w:rFonts w:cs="Arial"/>
                <w:color w:val="000000"/>
                <w:sz w:val="18"/>
                <w:szCs w:val="18"/>
                <w:lang w:eastAsia="en-GB"/>
              </w:rPr>
              <w:t>Step 2 submission – provided for information as assessment not required</w:t>
            </w:r>
          </w:p>
          <w:p w:rsidR="002B6CE0" w:rsidRPr="00A06F12" w:rsidRDefault="002B6CE0" w:rsidP="00A06F12">
            <w:pPr>
              <w:rPr>
                <w:rFonts w:cs="Arial"/>
                <w:color w:val="000000"/>
                <w:sz w:val="18"/>
                <w:szCs w:val="18"/>
                <w:lang w:eastAsia="en-GB"/>
              </w:rPr>
            </w:pPr>
          </w:p>
          <w:p w:rsidR="002B6CE0" w:rsidRPr="00831EF7" w:rsidRDefault="002B6CE0" w:rsidP="00A06F12">
            <w:pPr>
              <w:rPr>
                <w:rFonts w:cs="Arial"/>
                <w:color w:val="000000"/>
                <w:sz w:val="18"/>
                <w:szCs w:val="18"/>
                <w:lang w:eastAsia="en-GB"/>
              </w:rPr>
            </w:pPr>
            <w:r w:rsidRPr="00A06F12">
              <w:rPr>
                <w:rFonts w:cs="Arial"/>
                <w:color w:val="000000"/>
                <w:sz w:val="18"/>
                <w:szCs w:val="18"/>
                <w:lang w:eastAsia="en-GB"/>
              </w:rPr>
              <w:t>**</w:t>
            </w:r>
            <w:r w:rsidRPr="00831EF7">
              <w:rPr>
                <w:rFonts w:cs="Arial"/>
                <w:color w:val="000000"/>
                <w:sz w:val="18"/>
                <w:szCs w:val="18"/>
                <w:lang w:eastAsia="en-GB"/>
              </w:rPr>
              <w:t xml:space="preserve"> RP statement on content:</w:t>
            </w:r>
          </w:p>
          <w:p w:rsidR="002B6CE0" w:rsidRDefault="002B6CE0" w:rsidP="002B6CE0">
            <w:pPr>
              <w:pStyle w:val="ListParagraph"/>
              <w:numPr>
                <w:ilvl w:val="0"/>
                <w:numId w:val="5"/>
              </w:numPr>
              <w:rPr>
                <w:rFonts w:cs="Arial"/>
                <w:color w:val="000000"/>
                <w:sz w:val="18"/>
                <w:szCs w:val="18"/>
                <w:lang w:eastAsia="en-GB"/>
              </w:rPr>
            </w:pPr>
            <w:r w:rsidRPr="00A06F12">
              <w:rPr>
                <w:rFonts w:cs="Arial"/>
                <w:color w:val="000000"/>
                <w:sz w:val="18"/>
                <w:szCs w:val="18"/>
                <w:lang w:eastAsia="en-GB"/>
              </w:rPr>
              <w:t>Seismic Analysis Report will cover the seismic analysis for structures based on the generic site condition.</w:t>
            </w:r>
          </w:p>
          <w:p w:rsidR="002B6CE0" w:rsidRPr="00A06F12" w:rsidRDefault="002B6CE0" w:rsidP="002B6CE0">
            <w:pPr>
              <w:pStyle w:val="ListParagraph"/>
              <w:numPr>
                <w:ilvl w:val="0"/>
                <w:numId w:val="5"/>
              </w:numPr>
              <w:rPr>
                <w:rFonts w:cs="Arial"/>
                <w:color w:val="000000"/>
                <w:sz w:val="18"/>
                <w:szCs w:val="18"/>
                <w:lang w:eastAsia="en-GB"/>
              </w:rPr>
            </w:pPr>
            <w:r w:rsidRPr="00831EF7">
              <w:rPr>
                <w:rFonts w:cs="Arial"/>
                <w:color w:val="000000"/>
                <w:sz w:val="18"/>
                <w:szCs w:val="18"/>
                <w:lang w:eastAsia="en-GB"/>
              </w:rPr>
              <w:t xml:space="preserve">Structural Analysis </w:t>
            </w:r>
            <w:r>
              <w:rPr>
                <w:rFonts w:cs="Arial"/>
                <w:color w:val="000000"/>
                <w:sz w:val="18"/>
                <w:szCs w:val="18"/>
                <w:lang w:eastAsia="en-GB"/>
              </w:rPr>
              <w:t xml:space="preserve">and Design Report </w:t>
            </w:r>
            <w:r w:rsidRPr="00831EF7">
              <w:rPr>
                <w:rFonts w:cs="Arial"/>
                <w:color w:val="000000"/>
                <w:sz w:val="18"/>
                <w:szCs w:val="18"/>
                <w:lang w:eastAsia="en-GB"/>
              </w:rPr>
              <w:t>will cover the snow and ice load case analysis.</w:t>
            </w:r>
          </w:p>
          <w:p w:rsidR="002B6CE0" w:rsidRPr="00A06F12" w:rsidRDefault="002B6CE0" w:rsidP="00A06F12">
            <w:pPr>
              <w:rPr>
                <w:rFonts w:cs="Arial"/>
                <w:color w:val="000000"/>
                <w:sz w:val="18"/>
                <w:szCs w:val="18"/>
                <w:lang w:eastAsia="en-GB"/>
              </w:rPr>
            </w:pPr>
          </w:p>
          <w:p w:rsidR="002B6CE0" w:rsidRPr="00831EF7" w:rsidRDefault="002B6CE0" w:rsidP="00A06F12">
            <w:pPr>
              <w:rPr>
                <w:rFonts w:cs="Arial"/>
                <w:color w:val="000000"/>
                <w:sz w:val="18"/>
                <w:szCs w:val="18"/>
                <w:lang w:eastAsia="en-GB"/>
              </w:rPr>
            </w:pPr>
            <w:r w:rsidRPr="00A06F12">
              <w:rPr>
                <w:rFonts w:cs="Arial"/>
                <w:color w:val="000000"/>
                <w:sz w:val="18"/>
                <w:szCs w:val="18"/>
                <w:lang w:eastAsia="en-GB"/>
              </w:rPr>
              <w:t>*</w:t>
            </w:r>
            <w:r w:rsidRPr="00831EF7">
              <w:rPr>
                <w:rFonts w:cs="Arial"/>
                <w:color w:val="000000"/>
                <w:sz w:val="18"/>
                <w:szCs w:val="18"/>
                <w:lang w:eastAsia="en-GB"/>
              </w:rPr>
              <w:t>*</w:t>
            </w:r>
            <w:r w:rsidRPr="00A06F12">
              <w:rPr>
                <w:rFonts w:cs="Arial"/>
                <w:color w:val="000000"/>
                <w:sz w:val="18"/>
                <w:szCs w:val="18"/>
                <w:lang w:eastAsia="en-GB"/>
              </w:rPr>
              <w:t>*</w:t>
            </w:r>
            <w:r w:rsidRPr="00831EF7">
              <w:rPr>
                <w:rFonts w:cs="Arial"/>
                <w:color w:val="000000"/>
                <w:sz w:val="18"/>
                <w:szCs w:val="18"/>
                <w:lang w:eastAsia="en-GB"/>
              </w:rPr>
              <w:t>RP statement on content:</w:t>
            </w:r>
          </w:p>
          <w:p w:rsidR="002B6CE0" w:rsidRPr="00831EF7" w:rsidRDefault="002B6CE0" w:rsidP="002B6CE0">
            <w:pPr>
              <w:pStyle w:val="ListParagraph"/>
              <w:numPr>
                <w:ilvl w:val="0"/>
                <w:numId w:val="5"/>
              </w:numPr>
              <w:rPr>
                <w:rFonts w:cs="Arial"/>
                <w:color w:val="000000"/>
                <w:sz w:val="18"/>
                <w:szCs w:val="18"/>
                <w:lang w:eastAsia="en-GB"/>
              </w:rPr>
            </w:pPr>
            <w:r w:rsidRPr="00831EF7">
              <w:rPr>
                <w:rFonts w:cs="Arial"/>
                <w:color w:val="000000"/>
                <w:sz w:val="18"/>
                <w:szCs w:val="18"/>
                <w:lang w:eastAsia="en-GB"/>
              </w:rPr>
              <w:t>Present the basis for the gap analysis between RGP load case for malicious aircraft case and ONR expectation.</w:t>
            </w:r>
          </w:p>
          <w:p w:rsidR="002B6CE0" w:rsidRPr="00A7213E" w:rsidRDefault="002B6CE0" w:rsidP="002B6CE0">
            <w:pPr>
              <w:pStyle w:val="ListParagraph"/>
              <w:numPr>
                <w:ilvl w:val="0"/>
                <w:numId w:val="4"/>
              </w:numPr>
              <w:rPr>
                <w:rFonts w:cs="Arial"/>
                <w:color w:val="000000"/>
                <w:sz w:val="18"/>
                <w:szCs w:val="18"/>
                <w:lang w:eastAsia="en-GB"/>
              </w:rPr>
            </w:pPr>
            <w:r w:rsidRPr="00831EF7">
              <w:rPr>
                <w:rFonts w:cs="Arial"/>
                <w:color w:val="000000"/>
                <w:sz w:val="18"/>
                <w:szCs w:val="18"/>
                <w:lang w:eastAsia="en-GB"/>
              </w:rPr>
              <w:t>Present the output of the gap analysis with a recommendation for load cases to be adopted for UK HPR1000 accidental and malicious aircraft crash analysis and substantiation.</w:t>
            </w:r>
          </w:p>
        </w:tc>
      </w:tr>
    </w:tbl>
    <w:p w:rsidR="002B6CE0" w:rsidRDefault="002B6CE0" w:rsidP="002B6CE0">
      <w:pPr>
        <w:rPr>
          <w:b/>
          <w:noProof/>
          <w:lang w:eastAsia="en-GB"/>
        </w:rPr>
      </w:pPr>
    </w:p>
    <w:p w:rsidR="002B6CE0" w:rsidRDefault="002B6CE0" w:rsidP="002B6CE0">
      <w:pPr>
        <w:rPr>
          <w:noProof/>
          <w:lang w:eastAsia="en-GB"/>
        </w:rPr>
      </w:pPr>
    </w:p>
    <w:p w:rsidR="002B6CE0" w:rsidRDefault="002B6CE0" w:rsidP="00457068">
      <w:pPr>
        <w:ind w:left="567" w:hanging="567"/>
        <w:rPr>
          <w:rFonts w:asciiTheme="minorHAnsi" w:hAnsiTheme="minorHAnsi" w:cstheme="minorHAnsi"/>
        </w:rPr>
      </w:pPr>
    </w:p>
    <w:p w:rsidR="002B6CE0" w:rsidRDefault="002B6CE0" w:rsidP="00457068">
      <w:pPr>
        <w:ind w:left="567" w:hanging="567"/>
        <w:rPr>
          <w:rFonts w:asciiTheme="minorHAnsi" w:hAnsiTheme="minorHAnsi" w:cstheme="minorHAnsi"/>
        </w:rPr>
      </w:pPr>
    </w:p>
    <w:p w:rsidR="002B6CE0" w:rsidRDefault="002B6CE0" w:rsidP="00457068">
      <w:pPr>
        <w:ind w:left="567" w:hanging="567"/>
        <w:rPr>
          <w:rFonts w:asciiTheme="minorHAnsi" w:hAnsiTheme="minorHAnsi" w:cstheme="minorHAnsi"/>
        </w:rPr>
        <w:sectPr w:rsidR="002B6CE0" w:rsidSect="002B6CE0">
          <w:pgSz w:w="16838" w:h="11906" w:orient="landscape" w:code="9"/>
          <w:pgMar w:top="720" w:right="709" w:bottom="720" w:left="720" w:header="431" w:footer="567" w:gutter="0"/>
          <w:cols w:space="708"/>
          <w:titlePg/>
          <w:docGrid w:linePitch="360"/>
        </w:sectPr>
      </w:pPr>
    </w:p>
    <w:p w:rsidR="00F51481" w:rsidRDefault="00F51481" w:rsidP="002B6CE0">
      <w:pPr>
        <w:ind w:firstLine="720"/>
        <w:rPr>
          <w:b/>
          <w:noProof/>
          <w:lang w:eastAsia="en-GB"/>
        </w:rPr>
      </w:pPr>
    </w:p>
    <w:p w:rsidR="00F51481" w:rsidRDefault="00F51481" w:rsidP="002B6CE0">
      <w:pPr>
        <w:ind w:firstLine="720"/>
        <w:rPr>
          <w:b/>
          <w:noProof/>
          <w:lang w:eastAsia="en-GB"/>
        </w:rPr>
      </w:pPr>
      <w:bookmarkStart w:id="0" w:name="_GoBack"/>
      <w:bookmarkEnd w:id="0"/>
    </w:p>
    <w:sectPr w:rsidR="00F51481" w:rsidSect="002B6CE0">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E1A" w:rsidRDefault="005A2E1A">
      <w:r>
        <w:separator/>
      </w:r>
    </w:p>
  </w:endnote>
  <w:endnote w:type="continuationSeparator" w:id="0">
    <w:p w:rsidR="005A2E1A" w:rsidRDefault="005A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D164BA">
      <w:rPr>
        <w:b/>
        <w:noProof/>
        <w:color w:val="006D68"/>
        <w:sz w:val="14"/>
        <w:szCs w:val="14"/>
      </w:rPr>
      <w:t>8</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D164BA">
      <w:rPr>
        <w:b/>
        <w:noProof/>
        <w:color w:val="006D68"/>
        <w:sz w:val="14"/>
        <w:szCs w:val="14"/>
      </w:rPr>
      <w:t>9</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D164BA">
      <w:rPr>
        <w:b/>
        <w:noProof/>
        <w:color w:val="006D68"/>
        <w:sz w:val="14"/>
        <w:szCs w:val="14"/>
      </w:rPr>
      <w:t>9</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D164BA">
      <w:rPr>
        <w:b/>
        <w:noProof/>
        <w:color w:val="006D68"/>
        <w:sz w:val="14"/>
        <w:szCs w:val="14"/>
      </w:rPr>
      <w:t>9</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E1A" w:rsidRDefault="005A2E1A">
      <w:r>
        <w:separator/>
      </w:r>
    </w:p>
  </w:footnote>
  <w:footnote w:type="continuationSeparator" w:id="0">
    <w:p w:rsidR="005A2E1A" w:rsidRDefault="005A2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A25EB0">
    <w:pPr>
      <w:pStyle w:val="Header"/>
      <w:rPr>
        <w:b/>
        <w:color w:val="006D68"/>
        <w:sz w:val="14"/>
        <w:szCs w:val="14"/>
      </w:rPr>
    </w:pPr>
    <w:r w:rsidRPr="00487A22">
      <w:rPr>
        <w:color w:val="006D68"/>
        <w:sz w:val="14"/>
        <w:szCs w:val="14"/>
      </w:rPr>
      <w:t>Office for Nuclear Regulation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CE0" w:rsidRPr="00BA7108" w:rsidRDefault="002B6CE0" w:rsidP="00BA7108">
    <w:pPr>
      <w:pStyle w:val="Header"/>
      <w:tabs>
        <w:tab w:val="clear" w:pos="8306"/>
        <w:tab w:val="right" w:pos="10065"/>
      </w:tabs>
      <w:rPr>
        <w:b/>
        <w:color w:val="000000" w:themeColor="text1"/>
        <w:sz w:val="14"/>
        <w:szCs w:val="14"/>
      </w:rPr>
    </w:pPr>
    <w:r w:rsidRPr="00487A22">
      <w:rPr>
        <w:color w:val="006D68"/>
        <w:sz w:val="14"/>
        <w:szCs w:val="14"/>
      </w:rPr>
      <w:t>Office for Nuclear Regulation</w:t>
    </w:r>
    <w:r w:rsidR="00BA7108">
      <w:rPr>
        <w:color w:val="006D68"/>
        <w:sz w:val="14"/>
        <w:szCs w:val="14"/>
      </w:rPr>
      <w:tab/>
      <w:t xml:space="preserve">                       </w:t>
    </w:r>
    <w:r w:rsidR="00BA7108">
      <w:rPr>
        <w:color w:val="006D68"/>
        <w:sz w:val="14"/>
        <w:szCs w:val="14"/>
      </w:rPr>
      <w:tab/>
    </w:r>
    <w:r w:rsidR="00BA7108" w:rsidRPr="00BA7108">
      <w:rPr>
        <w:b/>
        <w:color w:val="000000" w:themeColor="text1"/>
        <w:sz w:val="14"/>
        <w:szCs w:val="14"/>
      </w:rPr>
      <w:t xml:space="preserve">      ONR/T3355</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33B72E7F"/>
    <w:multiLevelType w:val="hybridMultilevel"/>
    <w:tmpl w:val="0C8E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3A303D"/>
    <w:multiLevelType w:val="hybridMultilevel"/>
    <w:tmpl w:val="95FE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C2195C"/>
    <w:multiLevelType w:val="hybridMultilevel"/>
    <w:tmpl w:val="D1B24E1A"/>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4"/>
  </w:num>
  <w:num w:numId="7">
    <w:abstractNumId w:val="4"/>
  </w:num>
  <w:num w:numId="8">
    <w:abstractNumId w:val="4"/>
  </w:num>
  <w:num w:numId="9">
    <w:abstractNumId w:val="4"/>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22D2F"/>
    <w:rsid w:val="00030D3C"/>
    <w:rsid w:val="000312D3"/>
    <w:rsid w:val="000375D1"/>
    <w:rsid w:val="000715BD"/>
    <w:rsid w:val="000956B7"/>
    <w:rsid w:val="00096F71"/>
    <w:rsid w:val="000B1830"/>
    <w:rsid w:val="000B4E40"/>
    <w:rsid w:val="000D6244"/>
    <w:rsid w:val="00121C8F"/>
    <w:rsid w:val="00131ECC"/>
    <w:rsid w:val="00144CEA"/>
    <w:rsid w:val="00164F4F"/>
    <w:rsid w:val="00193C9A"/>
    <w:rsid w:val="001A58B1"/>
    <w:rsid w:val="001C3DB8"/>
    <w:rsid w:val="001D78A1"/>
    <w:rsid w:val="00200CB7"/>
    <w:rsid w:val="0021074A"/>
    <w:rsid w:val="00216018"/>
    <w:rsid w:val="0025007D"/>
    <w:rsid w:val="0028011F"/>
    <w:rsid w:val="0028356A"/>
    <w:rsid w:val="00297401"/>
    <w:rsid w:val="002B6CE0"/>
    <w:rsid w:val="002C62C2"/>
    <w:rsid w:val="0031706E"/>
    <w:rsid w:val="003B4AA2"/>
    <w:rsid w:val="003D005E"/>
    <w:rsid w:val="003E2CA6"/>
    <w:rsid w:val="003E452E"/>
    <w:rsid w:val="00413030"/>
    <w:rsid w:val="00414DDD"/>
    <w:rsid w:val="00457068"/>
    <w:rsid w:val="004750A2"/>
    <w:rsid w:val="00482C50"/>
    <w:rsid w:val="00487A22"/>
    <w:rsid w:val="004A7B1B"/>
    <w:rsid w:val="004F24BC"/>
    <w:rsid w:val="00505F6E"/>
    <w:rsid w:val="0052416D"/>
    <w:rsid w:val="005322E6"/>
    <w:rsid w:val="005556C6"/>
    <w:rsid w:val="00562F2F"/>
    <w:rsid w:val="005A1570"/>
    <w:rsid w:val="005A2E1A"/>
    <w:rsid w:val="005A5A87"/>
    <w:rsid w:val="005F0722"/>
    <w:rsid w:val="00604F23"/>
    <w:rsid w:val="00615412"/>
    <w:rsid w:val="006A667F"/>
    <w:rsid w:val="006B2DA6"/>
    <w:rsid w:val="006C3447"/>
    <w:rsid w:val="006C519A"/>
    <w:rsid w:val="006F1199"/>
    <w:rsid w:val="006F5420"/>
    <w:rsid w:val="00715C62"/>
    <w:rsid w:val="0072164C"/>
    <w:rsid w:val="00735AC2"/>
    <w:rsid w:val="007B4EE0"/>
    <w:rsid w:val="007D545C"/>
    <w:rsid w:val="007F0CA5"/>
    <w:rsid w:val="007F7246"/>
    <w:rsid w:val="00842FD6"/>
    <w:rsid w:val="00863CDC"/>
    <w:rsid w:val="00891423"/>
    <w:rsid w:val="008A7BDD"/>
    <w:rsid w:val="008C19A9"/>
    <w:rsid w:val="008D71E9"/>
    <w:rsid w:val="008E67CB"/>
    <w:rsid w:val="0091041C"/>
    <w:rsid w:val="00910B1A"/>
    <w:rsid w:val="00932851"/>
    <w:rsid w:val="009678DE"/>
    <w:rsid w:val="00971BA8"/>
    <w:rsid w:val="009765DB"/>
    <w:rsid w:val="00987AA6"/>
    <w:rsid w:val="009962B1"/>
    <w:rsid w:val="009B5159"/>
    <w:rsid w:val="009D3CD0"/>
    <w:rsid w:val="009F1B6F"/>
    <w:rsid w:val="00A25EB0"/>
    <w:rsid w:val="00A41E9C"/>
    <w:rsid w:val="00A41FDA"/>
    <w:rsid w:val="00A442D1"/>
    <w:rsid w:val="00A54E8C"/>
    <w:rsid w:val="00A67A80"/>
    <w:rsid w:val="00A919D0"/>
    <w:rsid w:val="00AB2BB0"/>
    <w:rsid w:val="00AB7147"/>
    <w:rsid w:val="00AD5635"/>
    <w:rsid w:val="00AE199F"/>
    <w:rsid w:val="00AF4C0F"/>
    <w:rsid w:val="00B255B3"/>
    <w:rsid w:val="00B43C54"/>
    <w:rsid w:val="00B504F7"/>
    <w:rsid w:val="00B56CCE"/>
    <w:rsid w:val="00B65FBC"/>
    <w:rsid w:val="00B81B18"/>
    <w:rsid w:val="00BA0F54"/>
    <w:rsid w:val="00BA7108"/>
    <w:rsid w:val="00BB2F6B"/>
    <w:rsid w:val="00BC24ED"/>
    <w:rsid w:val="00BC5FC8"/>
    <w:rsid w:val="00BD50E9"/>
    <w:rsid w:val="00C25583"/>
    <w:rsid w:val="00C34D3E"/>
    <w:rsid w:val="00C75298"/>
    <w:rsid w:val="00C75A1C"/>
    <w:rsid w:val="00CA3B14"/>
    <w:rsid w:val="00CD7B5F"/>
    <w:rsid w:val="00CE5958"/>
    <w:rsid w:val="00CE6571"/>
    <w:rsid w:val="00D164BA"/>
    <w:rsid w:val="00D3061A"/>
    <w:rsid w:val="00D55197"/>
    <w:rsid w:val="00D55FE7"/>
    <w:rsid w:val="00D75DA2"/>
    <w:rsid w:val="00D7747E"/>
    <w:rsid w:val="00DC6611"/>
    <w:rsid w:val="00DE4417"/>
    <w:rsid w:val="00DF3697"/>
    <w:rsid w:val="00E12A39"/>
    <w:rsid w:val="00E32F3B"/>
    <w:rsid w:val="00E475BE"/>
    <w:rsid w:val="00E71B0C"/>
    <w:rsid w:val="00E87C8C"/>
    <w:rsid w:val="00E9478E"/>
    <w:rsid w:val="00E97293"/>
    <w:rsid w:val="00EA5EB4"/>
    <w:rsid w:val="00ED5F2B"/>
    <w:rsid w:val="00F13D81"/>
    <w:rsid w:val="00F51481"/>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character" w:styleId="FollowedHyperlink">
    <w:name w:val="FollowedHyperlink"/>
    <w:basedOn w:val="DefaultParagraphFont"/>
    <w:rsid w:val="00A54E8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character" w:styleId="FollowedHyperlink">
    <w:name w:val="FollowedHyperlink"/>
    <w:basedOn w:val="DefaultParagraphFont"/>
    <w:rsid w:val="00A54E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nr.org.uk/operational/tech_asst_guides/index.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onr.org.uk/saps/index.ht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onr.org.uk/new-reactors/uk-hpr1000/index.ht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ukhpr1000.co.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2892C-5701-4FDB-AC5A-88693F02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3249</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21708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3</cp:revision>
  <cp:lastPrinted>2018-11-22T13:30:00Z</cp:lastPrinted>
  <dcterms:created xsi:type="dcterms:W3CDTF">2019-03-26T10:24:00Z</dcterms:created>
  <dcterms:modified xsi:type="dcterms:W3CDTF">2019-03-26T10:25:00Z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