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02352" w14:textId="77777777" w:rsidR="0088219E" w:rsidRDefault="0088219E">
      <w:pPr>
        <w:pStyle w:val="Standard"/>
        <w:keepNext/>
        <w:ind w:left="0"/>
        <w:jc w:val="left"/>
        <w:rPr>
          <w:rFonts w:eastAsia="Arial"/>
          <w:b/>
          <w:color w:val="000000"/>
          <w:sz w:val="32"/>
          <w:szCs w:val="32"/>
        </w:rPr>
      </w:pPr>
    </w:p>
    <w:p w14:paraId="4FB02353" w14:textId="77777777" w:rsidR="0088219E" w:rsidRDefault="008458A1">
      <w:pPr>
        <w:pStyle w:val="Standard"/>
        <w:keepNext/>
        <w:ind w:left="0"/>
        <w:jc w:val="left"/>
      </w:pPr>
      <w:r>
        <w:rPr>
          <w:rFonts w:eastAsia="Arial"/>
          <w:b/>
          <w:color w:val="000000"/>
          <w:sz w:val="36"/>
          <w:szCs w:val="36"/>
        </w:rPr>
        <w:t>Call-Off Schedule 8 (Business Continuity and Disaster Recovery)</w:t>
      </w:r>
    </w:p>
    <w:p w14:paraId="4FB02354" w14:textId="77777777" w:rsidR="0088219E" w:rsidRDefault="008458A1">
      <w:pPr>
        <w:pStyle w:val="Standard"/>
        <w:keepNext/>
        <w:numPr>
          <w:ilvl w:val="0"/>
          <w:numId w:val="4"/>
        </w:numPr>
        <w:tabs>
          <w:tab w:val="left" w:pos="1418"/>
        </w:tabs>
        <w:spacing w:before="240"/>
        <w:jc w:val="left"/>
      </w:pPr>
      <w:bookmarkStart w:id="0" w:name="_heading=h.gjdgxs"/>
      <w:bookmarkEnd w:id="0"/>
      <w:r>
        <w:rPr>
          <w:rFonts w:eastAsia="Arial"/>
          <w:b/>
          <w:smallCaps/>
          <w:color w:val="000000"/>
          <w:sz w:val="24"/>
          <w:szCs w:val="24"/>
        </w:rPr>
        <w:t>D</w:t>
      </w:r>
      <w:r>
        <w:rPr>
          <w:rFonts w:ascii="Arial Bold" w:eastAsia="Arial Bold" w:hAnsi="Arial Bold" w:cs="Arial Bold"/>
          <w:b/>
          <w:color w:val="000000"/>
          <w:sz w:val="24"/>
          <w:szCs w:val="24"/>
        </w:rPr>
        <w:t>efinitions</w:t>
      </w:r>
    </w:p>
    <w:p w14:paraId="4FB02355" w14:textId="77777777" w:rsidR="0088219E" w:rsidRDefault="008458A1">
      <w:pPr>
        <w:pStyle w:val="Standard"/>
        <w:keepNext/>
        <w:numPr>
          <w:ilvl w:val="1"/>
          <w:numId w:val="2"/>
        </w:numPr>
        <w:spacing w:before="120" w:after="120"/>
        <w:jc w:val="left"/>
      </w:pPr>
      <w:r>
        <w:rPr>
          <w:rFonts w:eastAsia="Arial"/>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88219E" w14:paraId="4FB02358" w14:textId="77777777">
        <w:tc>
          <w:tcPr>
            <w:tcW w:w="3097" w:type="dxa"/>
            <w:shd w:val="clear" w:color="auto" w:fill="auto"/>
            <w:tcMar>
              <w:top w:w="0" w:type="dxa"/>
              <w:left w:w="108" w:type="dxa"/>
              <w:bottom w:w="0" w:type="dxa"/>
              <w:right w:w="108" w:type="dxa"/>
            </w:tcMar>
          </w:tcPr>
          <w:p w14:paraId="4FB02356" w14:textId="77777777" w:rsidR="0088219E" w:rsidRDefault="008458A1">
            <w:pPr>
              <w:pStyle w:val="Standard"/>
              <w:spacing w:after="120"/>
              <w:ind w:left="-108"/>
              <w:jc w:val="left"/>
            </w:pPr>
            <w:r>
              <w:rPr>
                <w:rFonts w:eastAsia="Arial"/>
                <w:b/>
                <w:color w:val="000000"/>
                <w:sz w:val="24"/>
                <w:szCs w:val="24"/>
              </w:rPr>
              <w:t>"BCDR Plan"</w:t>
            </w:r>
          </w:p>
        </w:tc>
        <w:tc>
          <w:tcPr>
            <w:tcW w:w="5075" w:type="dxa"/>
            <w:shd w:val="clear" w:color="auto" w:fill="auto"/>
            <w:tcMar>
              <w:top w:w="0" w:type="dxa"/>
              <w:left w:w="108" w:type="dxa"/>
              <w:bottom w:w="0" w:type="dxa"/>
              <w:right w:w="108" w:type="dxa"/>
            </w:tcMar>
          </w:tcPr>
          <w:p w14:paraId="4FB02357" w14:textId="77777777" w:rsidR="0088219E" w:rsidRDefault="008458A1">
            <w:pPr>
              <w:pStyle w:val="Standard"/>
              <w:numPr>
                <w:ilvl w:val="0"/>
                <w:numId w:val="3"/>
              </w:numPr>
              <w:tabs>
                <w:tab w:val="left" w:pos="1409"/>
              </w:tabs>
              <w:spacing w:after="120"/>
              <w:jc w:val="left"/>
            </w:pPr>
            <w:r>
              <w:rPr>
                <w:rFonts w:eastAsia="Arial"/>
                <w:color w:val="000000"/>
                <w:sz w:val="24"/>
                <w:szCs w:val="24"/>
              </w:rPr>
              <w:t>has the meaning given to it in Paragraph 2.2 of this Schedule;</w:t>
            </w:r>
          </w:p>
        </w:tc>
      </w:tr>
      <w:tr w:rsidR="0088219E" w14:paraId="4FB0235B" w14:textId="77777777">
        <w:tc>
          <w:tcPr>
            <w:tcW w:w="3097" w:type="dxa"/>
            <w:shd w:val="clear" w:color="auto" w:fill="auto"/>
            <w:tcMar>
              <w:top w:w="0" w:type="dxa"/>
              <w:left w:w="108" w:type="dxa"/>
              <w:bottom w:w="0" w:type="dxa"/>
              <w:right w:w="108" w:type="dxa"/>
            </w:tcMar>
          </w:tcPr>
          <w:p w14:paraId="4FB02359" w14:textId="77777777" w:rsidR="0088219E" w:rsidRDefault="008458A1">
            <w:pPr>
              <w:pStyle w:val="Standard"/>
              <w:spacing w:after="120"/>
              <w:ind w:left="-108"/>
              <w:jc w:val="left"/>
            </w:pPr>
            <w:r>
              <w:rPr>
                <w:rFonts w:eastAsia="Arial"/>
                <w:b/>
                <w:color w:val="000000"/>
                <w:sz w:val="24"/>
                <w:szCs w:val="24"/>
              </w:rPr>
              <w:t>"Business Continuity Plan"</w:t>
            </w:r>
          </w:p>
        </w:tc>
        <w:tc>
          <w:tcPr>
            <w:tcW w:w="5075" w:type="dxa"/>
            <w:shd w:val="clear" w:color="auto" w:fill="auto"/>
            <w:tcMar>
              <w:top w:w="0" w:type="dxa"/>
              <w:left w:w="108" w:type="dxa"/>
              <w:bottom w:w="0" w:type="dxa"/>
              <w:right w:w="108" w:type="dxa"/>
            </w:tcMar>
          </w:tcPr>
          <w:p w14:paraId="4FB0235A" w14:textId="77777777" w:rsidR="0088219E" w:rsidRDefault="008458A1">
            <w:pPr>
              <w:pStyle w:val="Standard"/>
              <w:numPr>
                <w:ilvl w:val="0"/>
                <w:numId w:val="3"/>
              </w:numPr>
              <w:tabs>
                <w:tab w:val="left" w:pos="1409"/>
              </w:tabs>
              <w:spacing w:after="120"/>
              <w:jc w:val="left"/>
            </w:pPr>
            <w:r>
              <w:rPr>
                <w:rFonts w:eastAsia="Arial"/>
                <w:color w:val="000000"/>
                <w:sz w:val="24"/>
                <w:szCs w:val="24"/>
              </w:rPr>
              <w:t>has the meaning given to it in Paragraph 2.3.2 of this Schedule;</w:t>
            </w:r>
          </w:p>
        </w:tc>
      </w:tr>
      <w:tr w:rsidR="0088219E" w14:paraId="4FB0235E" w14:textId="77777777">
        <w:tc>
          <w:tcPr>
            <w:tcW w:w="3097" w:type="dxa"/>
            <w:shd w:val="clear" w:color="auto" w:fill="auto"/>
            <w:tcMar>
              <w:top w:w="0" w:type="dxa"/>
              <w:left w:w="108" w:type="dxa"/>
              <w:bottom w:w="0" w:type="dxa"/>
              <w:right w:w="108" w:type="dxa"/>
            </w:tcMar>
          </w:tcPr>
          <w:p w14:paraId="4FB0235C" w14:textId="77777777" w:rsidR="0088219E" w:rsidRDefault="008458A1">
            <w:pPr>
              <w:pStyle w:val="Standard"/>
              <w:spacing w:after="120"/>
              <w:ind w:left="-108"/>
              <w:jc w:val="left"/>
            </w:pPr>
            <w:r>
              <w:rPr>
                <w:rFonts w:eastAsia="Arial"/>
                <w:b/>
                <w:color w:val="000000"/>
                <w:sz w:val="24"/>
                <w:szCs w:val="24"/>
              </w:rPr>
              <w:t>"Disaster Recovery Deliverables"</w:t>
            </w:r>
          </w:p>
        </w:tc>
        <w:tc>
          <w:tcPr>
            <w:tcW w:w="5075" w:type="dxa"/>
            <w:shd w:val="clear" w:color="auto" w:fill="auto"/>
            <w:tcMar>
              <w:top w:w="0" w:type="dxa"/>
              <w:left w:w="108" w:type="dxa"/>
              <w:bottom w:w="0" w:type="dxa"/>
              <w:right w:w="108" w:type="dxa"/>
            </w:tcMar>
          </w:tcPr>
          <w:p w14:paraId="4FB0235D" w14:textId="77777777" w:rsidR="0088219E" w:rsidRDefault="008458A1">
            <w:pPr>
              <w:pStyle w:val="Standard"/>
              <w:numPr>
                <w:ilvl w:val="0"/>
                <w:numId w:val="3"/>
              </w:numPr>
              <w:tabs>
                <w:tab w:val="left" w:pos="1239"/>
                <w:tab w:val="left" w:pos="1409"/>
              </w:tabs>
              <w:spacing w:after="120"/>
              <w:jc w:val="left"/>
            </w:pPr>
            <w:r>
              <w:rPr>
                <w:rFonts w:eastAsia="Arial"/>
                <w:color w:val="000000"/>
                <w:sz w:val="24"/>
                <w:szCs w:val="24"/>
              </w:rPr>
              <w:t>the Deliverables embodied in the processes and procedures for restoring the provision of Deliverables following the occurrence of a Disaster;</w:t>
            </w:r>
          </w:p>
        </w:tc>
      </w:tr>
      <w:tr w:rsidR="0088219E" w14:paraId="4FB02361" w14:textId="77777777">
        <w:tc>
          <w:tcPr>
            <w:tcW w:w="3097" w:type="dxa"/>
            <w:shd w:val="clear" w:color="auto" w:fill="auto"/>
            <w:tcMar>
              <w:top w:w="0" w:type="dxa"/>
              <w:left w:w="108" w:type="dxa"/>
              <w:bottom w:w="0" w:type="dxa"/>
              <w:right w:w="108" w:type="dxa"/>
            </w:tcMar>
          </w:tcPr>
          <w:p w14:paraId="4FB0235F" w14:textId="77777777" w:rsidR="0088219E" w:rsidRDefault="008458A1">
            <w:pPr>
              <w:pStyle w:val="Standard"/>
              <w:spacing w:after="120"/>
              <w:ind w:left="-108"/>
              <w:jc w:val="left"/>
            </w:pPr>
            <w:r>
              <w:rPr>
                <w:rFonts w:eastAsia="Arial"/>
                <w:b/>
                <w:color w:val="000000"/>
                <w:sz w:val="24"/>
                <w:szCs w:val="24"/>
              </w:rPr>
              <w:t>"Disaster Recovery Plan"</w:t>
            </w:r>
          </w:p>
        </w:tc>
        <w:tc>
          <w:tcPr>
            <w:tcW w:w="5075" w:type="dxa"/>
            <w:shd w:val="clear" w:color="auto" w:fill="auto"/>
            <w:tcMar>
              <w:top w:w="0" w:type="dxa"/>
              <w:left w:w="108" w:type="dxa"/>
              <w:bottom w:w="0" w:type="dxa"/>
              <w:right w:w="108" w:type="dxa"/>
            </w:tcMar>
          </w:tcPr>
          <w:p w14:paraId="4FB02360" w14:textId="77777777" w:rsidR="0088219E" w:rsidRDefault="008458A1">
            <w:pPr>
              <w:pStyle w:val="Standard"/>
              <w:numPr>
                <w:ilvl w:val="0"/>
                <w:numId w:val="3"/>
              </w:numPr>
              <w:tabs>
                <w:tab w:val="left" w:pos="1409"/>
              </w:tabs>
              <w:spacing w:after="120"/>
              <w:jc w:val="left"/>
            </w:pPr>
            <w:r>
              <w:rPr>
                <w:rFonts w:eastAsia="Arial"/>
                <w:color w:val="000000"/>
                <w:sz w:val="24"/>
                <w:szCs w:val="24"/>
              </w:rPr>
              <w:t>has the meaning given to it in Paragraph 2.3.3 of this Schedule;</w:t>
            </w:r>
          </w:p>
        </w:tc>
      </w:tr>
      <w:tr w:rsidR="0088219E" w14:paraId="4FB02364" w14:textId="77777777">
        <w:tc>
          <w:tcPr>
            <w:tcW w:w="3097" w:type="dxa"/>
            <w:shd w:val="clear" w:color="auto" w:fill="auto"/>
            <w:tcMar>
              <w:top w:w="0" w:type="dxa"/>
              <w:left w:w="108" w:type="dxa"/>
              <w:bottom w:w="0" w:type="dxa"/>
              <w:right w:w="108" w:type="dxa"/>
            </w:tcMar>
          </w:tcPr>
          <w:p w14:paraId="4FB02362" w14:textId="77777777" w:rsidR="0088219E" w:rsidRDefault="008458A1">
            <w:pPr>
              <w:pStyle w:val="Standard"/>
              <w:spacing w:after="120"/>
              <w:ind w:left="-108"/>
              <w:jc w:val="left"/>
            </w:pPr>
            <w:r>
              <w:rPr>
                <w:rFonts w:eastAsia="Arial"/>
                <w:b/>
                <w:color w:val="000000"/>
                <w:sz w:val="24"/>
                <w:szCs w:val="24"/>
              </w:rPr>
              <w:t>"Disaster Recovery System"</w:t>
            </w:r>
          </w:p>
        </w:tc>
        <w:tc>
          <w:tcPr>
            <w:tcW w:w="5075" w:type="dxa"/>
            <w:shd w:val="clear" w:color="auto" w:fill="auto"/>
            <w:tcMar>
              <w:top w:w="0" w:type="dxa"/>
              <w:left w:w="108" w:type="dxa"/>
              <w:bottom w:w="0" w:type="dxa"/>
              <w:right w:w="108" w:type="dxa"/>
            </w:tcMar>
          </w:tcPr>
          <w:p w14:paraId="4FB02363" w14:textId="77777777" w:rsidR="0088219E" w:rsidRDefault="008458A1">
            <w:pPr>
              <w:pStyle w:val="Standard"/>
              <w:numPr>
                <w:ilvl w:val="0"/>
                <w:numId w:val="3"/>
              </w:numPr>
              <w:tabs>
                <w:tab w:val="left" w:pos="1409"/>
              </w:tabs>
              <w:spacing w:after="120"/>
              <w:jc w:val="left"/>
            </w:pPr>
            <w:r>
              <w:rPr>
                <w:rFonts w:eastAsia="Arial"/>
                <w:color w:val="000000"/>
                <w:sz w:val="24"/>
                <w:szCs w:val="24"/>
              </w:rPr>
              <w:t>the system embodied in the processes and procedures for restoring the provision of Deliverables following the occurrence of a Disaster;</w:t>
            </w:r>
          </w:p>
        </w:tc>
      </w:tr>
      <w:tr w:rsidR="0088219E" w14:paraId="4FB02367" w14:textId="77777777">
        <w:trPr>
          <w:trHeight w:val="567"/>
        </w:trPr>
        <w:tc>
          <w:tcPr>
            <w:tcW w:w="3097" w:type="dxa"/>
            <w:shd w:val="clear" w:color="auto" w:fill="auto"/>
            <w:tcMar>
              <w:top w:w="0" w:type="dxa"/>
              <w:left w:w="108" w:type="dxa"/>
              <w:bottom w:w="0" w:type="dxa"/>
              <w:right w:w="108" w:type="dxa"/>
            </w:tcMar>
          </w:tcPr>
          <w:p w14:paraId="4FB02365" w14:textId="77777777" w:rsidR="0088219E" w:rsidRDefault="008458A1">
            <w:pPr>
              <w:pStyle w:val="Standard"/>
              <w:spacing w:after="120"/>
              <w:ind w:left="-108"/>
              <w:jc w:val="left"/>
            </w:pPr>
            <w:r>
              <w:rPr>
                <w:rFonts w:eastAsia="Arial"/>
                <w:b/>
                <w:color w:val="000000"/>
                <w:sz w:val="24"/>
                <w:szCs w:val="24"/>
              </w:rPr>
              <w:t>"Related Supplier"</w:t>
            </w:r>
          </w:p>
        </w:tc>
        <w:tc>
          <w:tcPr>
            <w:tcW w:w="5075" w:type="dxa"/>
            <w:shd w:val="clear" w:color="auto" w:fill="auto"/>
            <w:tcMar>
              <w:top w:w="0" w:type="dxa"/>
              <w:left w:w="108" w:type="dxa"/>
              <w:bottom w:w="0" w:type="dxa"/>
              <w:right w:w="108" w:type="dxa"/>
            </w:tcMar>
          </w:tcPr>
          <w:p w14:paraId="4FB02366" w14:textId="77777777" w:rsidR="0088219E" w:rsidRDefault="008458A1">
            <w:pPr>
              <w:pStyle w:val="Standard"/>
              <w:numPr>
                <w:ilvl w:val="0"/>
                <w:numId w:val="3"/>
              </w:numPr>
              <w:tabs>
                <w:tab w:val="left" w:pos="1409"/>
              </w:tabs>
              <w:spacing w:after="120"/>
              <w:jc w:val="left"/>
            </w:pPr>
            <w:r>
              <w:rPr>
                <w:rFonts w:eastAsia="Arial"/>
                <w:color w:val="000000"/>
                <w:sz w:val="24"/>
                <w:szCs w:val="24"/>
              </w:rPr>
              <w:t>any person who provides Deliverables to the Buyer which are related to the Deliverables from time to time;</w:t>
            </w:r>
          </w:p>
        </w:tc>
      </w:tr>
      <w:tr w:rsidR="0088219E" w14:paraId="4FB0236A" w14:textId="77777777">
        <w:trPr>
          <w:trHeight w:val="567"/>
        </w:trPr>
        <w:tc>
          <w:tcPr>
            <w:tcW w:w="3097" w:type="dxa"/>
            <w:shd w:val="clear" w:color="auto" w:fill="auto"/>
            <w:tcMar>
              <w:top w:w="0" w:type="dxa"/>
              <w:left w:w="108" w:type="dxa"/>
              <w:bottom w:w="0" w:type="dxa"/>
              <w:right w:w="108" w:type="dxa"/>
            </w:tcMar>
          </w:tcPr>
          <w:p w14:paraId="4FB02368" w14:textId="77777777" w:rsidR="0088219E" w:rsidRDefault="008458A1">
            <w:pPr>
              <w:pStyle w:val="Standard"/>
              <w:spacing w:after="120"/>
              <w:ind w:left="-108"/>
              <w:jc w:val="left"/>
            </w:pPr>
            <w:r>
              <w:rPr>
                <w:rFonts w:eastAsia="Arial"/>
                <w:b/>
                <w:color w:val="000000"/>
                <w:sz w:val="24"/>
                <w:szCs w:val="24"/>
              </w:rPr>
              <w:t>"Review Report"</w:t>
            </w:r>
          </w:p>
        </w:tc>
        <w:tc>
          <w:tcPr>
            <w:tcW w:w="5075" w:type="dxa"/>
            <w:shd w:val="clear" w:color="auto" w:fill="auto"/>
            <w:tcMar>
              <w:top w:w="0" w:type="dxa"/>
              <w:left w:w="108" w:type="dxa"/>
              <w:bottom w:w="0" w:type="dxa"/>
              <w:right w:w="108" w:type="dxa"/>
            </w:tcMar>
          </w:tcPr>
          <w:p w14:paraId="4FB02369" w14:textId="77777777" w:rsidR="0088219E" w:rsidRDefault="008458A1">
            <w:pPr>
              <w:pStyle w:val="Standard"/>
              <w:numPr>
                <w:ilvl w:val="0"/>
                <w:numId w:val="3"/>
              </w:numPr>
              <w:tabs>
                <w:tab w:val="left" w:pos="1409"/>
              </w:tabs>
              <w:spacing w:after="120"/>
              <w:jc w:val="left"/>
            </w:pPr>
            <w:r>
              <w:rPr>
                <w:rFonts w:eastAsia="Arial"/>
                <w:color w:val="000000"/>
                <w:sz w:val="24"/>
                <w:szCs w:val="24"/>
              </w:rPr>
              <w:t>has the meaning given to it in Paragraph 6.3 of this Schedule; and</w:t>
            </w:r>
          </w:p>
        </w:tc>
      </w:tr>
      <w:tr w:rsidR="0088219E" w14:paraId="4FB0236D" w14:textId="77777777">
        <w:tc>
          <w:tcPr>
            <w:tcW w:w="3097" w:type="dxa"/>
            <w:shd w:val="clear" w:color="auto" w:fill="auto"/>
            <w:tcMar>
              <w:top w:w="0" w:type="dxa"/>
              <w:left w:w="108" w:type="dxa"/>
              <w:bottom w:w="0" w:type="dxa"/>
              <w:right w:w="108" w:type="dxa"/>
            </w:tcMar>
          </w:tcPr>
          <w:p w14:paraId="4FB0236B" w14:textId="77777777" w:rsidR="0088219E" w:rsidRDefault="008458A1">
            <w:pPr>
              <w:pStyle w:val="Standard"/>
              <w:spacing w:after="120"/>
              <w:ind w:left="-108"/>
              <w:jc w:val="left"/>
            </w:pPr>
            <w:r>
              <w:rPr>
                <w:rFonts w:eastAsia="Arial"/>
                <w:b/>
                <w:color w:val="000000"/>
                <w:sz w:val="24"/>
                <w:szCs w:val="24"/>
              </w:rPr>
              <w:t>"Supplier's Proposals"</w:t>
            </w:r>
          </w:p>
        </w:tc>
        <w:tc>
          <w:tcPr>
            <w:tcW w:w="5075" w:type="dxa"/>
            <w:shd w:val="clear" w:color="auto" w:fill="auto"/>
            <w:tcMar>
              <w:top w:w="0" w:type="dxa"/>
              <w:left w:w="108" w:type="dxa"/>
              <w:bottom w:w="0" w:type="dxa"/>
              <w:right w:w="108" w:type="dxa"/>
            </w:tcMar>
          </w:tcPr>
          <w:p w14:paraId="4FB0236C" w14:textId="77777777" w:rsidR="0088219E" w:rsidRDefault="008458A1">
            <w:pPr>
              <w:pStyle w:val="Standard"/>
              <w:numPr>
                <w:ilvl w:val="0"/>
                <w:numId w:val="3"/>
              </w:numPr>
              <w:tabs>
                <w:tab w:val="left" w:pos="1409"/>
              </w:tabs>
              <w:spacing w:after="120"/>
              <w:jc w:val="left"/>
            </w:pPr>
            <w:r>
              <w:rPr>
                <w:rFonts w:eastAsia="Arial"/>
                <w:color w:val="000000"/>
                <w:sz w:val="24"/>
                <w:szCs w:val="24"/>
              </w:rPr>
              <w:t>has the meaning given to it in Paragraph 6.3 of this Schedule;</w:t>
            </w:r>
          </w:p>
        </w:tc>
      </w:tr>
    </w:tbl>
    <w:p w14:paraId="4FB0236E" w14:textId="77777777" w:rsidR="0088219E" w:rsidRDefault="008458A1">
      <w:pPr>
        <w:pStyle w:val="Standard"/>
        <w:keepNext/>
        <w:numPr>
          <w:ilvl w:val="0"/>
          <w:numId w:val="2"/>
        </w:numPr>
        <w:tabs>
          <w:tab w:val="left" w:pos="1418"/>
        </w:tabs>
        <w:spacing w:before="240"/>
        <w:jc w:val="left"/>
      </w:pPr>
      <w:r>
        <w:rPr>
          <w:rFonts w:ascii="Arial Bold" w:eastAsia="Arial Bold" w:hAnsi="Arial Bold" w:cs="Arial Bold"/>
          <w:b/>
          <w:color w:val="000000"/>
          <w:sz w:val="24"/>
          <w:szCs w:val="24"/>
        </w:rPr>
        <w:t>BCDR Plan</w:t>
      </w:r>
    </w:p>
    <w:p w14:paraId="4FB0236F" w14:textId="77777777" w:rsidR="0088219E" w:rsidRDefault="008458A1">
      <w:pPr>
        <w:pStyle w:val="Standard"/>
        <w:numPr>
          <w:ilvl w:val="1"/>
          <w:numId w:val="2"/>
        </w:numPr>
        <w:spacing w:before="120" w:after="120"/>
        <w:jc w:val="left"/>
      </w:pPr>
      <w:bookmarkStart w:id="1" w:name="_heading=h.30j0zll"/>
      <w:bookmarkEnd w:id="1"/>
      <w:r>
        <w:rPr>
          <w:rFonts w:eastAsia="Arial"/>
          <w:color w:val="000000"/>
          <w:sz w:val="24"/>
          <w:szCs w:val="24"/>
        </w:rPr>
        <w:t>The Buyer and the Supplier recognise that, where specified in Schedule 4 (Framework Management), CCS shall have the right to enforce the Buyer's rights under this Schedule.</w:t>
      </w:r>
    </w:p>
    <w:p w14:paraId="4FB02370" w14:textId="77777777" w:rsidR="0088219E" w:rsidRDefault="008458A1">
      <w:pPr>
        <w:pStyle w:val="Standard"/>
        <w:numPr>
          <w:ilvl w:val="1"/>
          <w:numId w:val="2"/>
        </w:numPr>
        <w:spacing w:before="120" w:after="120"/>
        <w:jc w:val="left"/>
      </w:pPr>
      <w:r>
        <w:rPr>
          <w:rFonts w:eastAsia="Arial"/>
          <w:color w:val="000000"/>
          <w:sz w:val="24"/>
          <w:szCs w:val="24"/>
        </w:rPr>
        <w:t xml:space="preserve">If requested by the Contracting Authority the Supplier shall prepare (within 90 days) and deliver to the Buyer for the Buyer’s written approval a plan (a </w:t>
      </w:r>
      <w:r>
        <w:rPr>
          <w:rFonts w:eastAsia="Arial"/>
          <w:b/>
          <w:color w:val="000000"/>
          <w:sz w:val="24"/>
          <w:szCs w:val="24"/>
        </w:rPr>
        <w:t>“BCDR Plan”</w:t>
      </w:r>
      <w:r>
        <w:rPr>
          <w:rFonts w:eastAsia="Arial"/>
          <w:color w:val="000000"/>
          <w:sz w:val="24"/>
          <w:szCs w:val="24"/>
        </w:rPr>
        <w:t>), which shall detail the processes and arrangements that the Supplier shall follow to:</w:t>
      </w:r>
    </w:p>
    <w:p w14:paraId="4FB02371"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ensure continuity of the business processes and operations supported by the Services following any failure or disruption of any element of the Deliverables; and</w:t>
      </w:r>
    </w:p>
    <w:p w14:paraId="4FB02372"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lastRenderedPageBreak/>
        <w:t>the recovery of the Deliverables in the event of a Disaster</w:t>
      </w:r>
    </w:p>
    <w:p w14:paraId="4FB02373" w14:textId="77777777" w:rsidR="0088219E" w:rsidRDefault="008458A1">
      <w:pPr>
        <w:pStyle w:val="Standard"/>
        <w:keepNext/>
        <w:numPr>
          <w:ilvl w:val="1"/>
          <w:numId w:val="2"/>
        </w:numPr>
        <w:spacing w:before="120" w:after="120"/>
        <w:jc w:val="left"/>
      </w:pPr>
      <w:r>
        <w:rPr>
          <w:rFonts w:eastAsia="Arial"/>
          <w:color w:val="000000"/>
          <w:sz w:val="24"/>
          <w:szCs w:val="24"/>
        </w:rPr>
        <w:t>The BCDR Plan shall be divided into three sections:</w:t>
      </w:r>
    </w:p>
    <w:p w14:paraId="4FB02374" w14:textId="77777777" w:rsidR="0088219E" w:rsidRDefault="008458A1">
      <w:pPr>
        <w:pStyle w:val="Standard"/>
        <w:numPr>
          <w:ilvl w:val="2"/>
          <w:numId w:val="2"/>
        </w:numPr>
        <w:tabs>
          <w:tab w:val="left" w:pos="3403"/>
          <w:tab w:val="left" w:pos="3545"/>
        </w:tabs>
        <w:spacing w:before="120" w:after="120"/>
        <w:jc w:val="left"/>
      </w:pPr>
      <w:bookmarkStart w:id="2" w:name="_heading=h.1fob9te"/>
      <w:bookmarkEnd w:id="2"/>
      <w:r>
        <w:rPr>
          <w:rFonts w:eastAsia="Arial"/>
          <w:color w:val="000000"/>
          <w:sz w:val="24"/>
          <w:szCs w:val="24"/>
        </w:rPr>
        <w:t>Section 1 which shall set out general principles applicable to the BCDR Plan;</w:t>
      </w:r>
    </w:p>
    <w:p w14:paraId="4FB02375" w14:textId="77777777" w:rsidR="0088219E" w:rsidRDefault="008458A1">
      <w:pPr>
        <w:pStyle w:val="Standard"/>
        <w:numPr>
          <w:ilvl w:val="2"/>
          <w:numId w:val="2"/>
        </w:numPr>
        <w:tabs>
          <w:tab w:val="left" w:pos="3403"/>
          <w:tab w:val="left" w:pos="3545"/>
        </w:tabs>
        <w:spacing w:before="120" w:after="120"/>
        <w:jc w:val="left"/>
      </w:pPr>
      <w:bookmarkStart w:id="3" w:name="_heading=h.3znysh7"/>
      <w:bookmarkEnd w:id="3"/>
      <w:r>
        <w:rPr>
          <w:rFonts w:eastAsia="Arial"/>
          <w:color w:val="000000"/>
          <w:sz w:val="24"/>
          <w:szCs w:val="24"/>
        </w:rPr>
        <w:t xml:space="preserve">Section 2 which shall relate to business continuity (the </w:t>
      </w:r>
      <w:r>
        <w:rPr>
          <w:rFonts w:eastAsia="Arial"/>
          <w:b/>
          <w:color w:val="000000"/>
          <w:sz w:val="24"/>
          <w:szCs w:val="24"/>
        </w:rPr>
        <w:t>"Business Continuity Plan"</w:t>
      </w:r>
      <w:r>
        <w:rPr>
          <w:rFonts w:eastAsia="Arial"/>
          <w:color w:val="000000"/>
          <w:sz w:val="24"/>
          <w:szCs w:val="24"/>
        </w:rPr>
        <w:t>); and</w:t>
      </w:r>
    </w:p>
    <w:p w14:paraId="4FB02376" w14:textId="77777777" w:rsidR="0088219E" w:rsidRDefault="008458A1">
      <w:pPr>
        <w:pStyle w:val="Standard"/>
        <w:numPr>
          <w:ilvl w:val="2"/>
          <w:numId w:val="2"/>
        </w:numPr>
        <w:tabs>
          <w:tab w:val="left" w:pos="3403"/>
          <w:tab w:val="left" w:pos="3545"/>
        </w:tabs>
        <w:spacing w:before="120" w:after="120"/>
        <w:jc w:val="left"/>
      </w:pPr>
      <w:bookmarkStart w:id="4" w:name="_heading=h.2et92p0"/>
      <w:bookmarkEnd w:id="4"/>
      <w:r>
        <w:rPr>
          <w:rFonts w:eastAsia="Arial"/>
          <w:color w:val="000000"/>
          <w:sz w:val="24"/>
          <w:szCs w:val="24"/>
        </w:rPr>
        <w:t xml:space="preserve">Section 3 which shall relate to disaster recovery (the </w:t>
      </w:r>
      <w:r>
        <w:rPr>
          <w:rFonts w:eastAsia="Arial"/>
          <w:b/>
          <w:color w:val="000000"/>
          <w:sz w:val="24"/>
          <w:szCs w:val="24"/>
        </w:rPr>
        <w:t>"Disaster Recovery Plan"</w:t>
      </w:r>
      <w:r>
        <w:rPr>
          <w:rFonts w:eastAsia="Arial"/>
          <w:color w:val="000000"/>
          <w:sz w:val="24"/>
          <w:szCs w:val="24"/>
        </w:rPr>
        <w:t>).</w:t>
      </w:r>
    </w:p>
    <w:p w14:paraId="4FB02377" w14:textId="77777777" w:rsidR="0088219E" w:rsidRDefault="008458A1">
      <w:pPr>
        <w:pStyle w:val="Standard"/>
        <w:numPr>
          <w:ilvl w:val="1"/>
          <w:numId w:val="2"/>
        </w:numPr>
        <w:spacing w:before="120" w:after="120"/>
        <w:jc w:val="left"/>
      </w:pPr>
      <w:bookmarkStart w:id="5" w:name="_heading=h.tyjcwt"/>
      <w:bookmarkEnd w:id="5"/>
      <w:r>
        <w:rPr>
          <w:rFonts w:eastAsia="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4FB02378" w14:textId="77777777" w:rsidR="0088219E" w:rsidRDefault="008458A1">
      <w:pPr>
        <w:pStyle w:val="Standard"/>
        <w:keepNext/>
        <w:numPr>
          <w:ilvl w:val="0"/>
          <w:numId w:val="2"/>
        </w:numPr>
        <w:tabs>
          <w:tab w:val="left" w:pos="1418"/>
        </w:tabs>
        <w:spacing w:before="240"/>
        <w:jc w:val="left"/>
      </w:pPr>
      <w:bookmarkStart w:id="6" w:name="_heading=h.3dy6vkm"/>
      <w:bookmarkEnd w:id="6"/>
      <w:r>
        <w:rPr>
          <w:rFonts w:ascii="Arial Bold" w:eastAsia="Arial Bold" w:hAnsi="Arial Bold" w:cs="Arial Bold"/>
          <w:b/>
          <w:color w:val="000000"/>
          <w:sz w:val="24"/>
          <w:szCs w:val="24"/>
        </w:rPr>
        <w:t>General Principles of the BCDR Plan (Section 1)</w:t>
      </w:r>
    </w:p>
    <w:p w14:paraId="4FB02379" w14:textId="77777777" w:rsidR="0088219E" w:rsidRDefault="008458A1">
      <w:pPr>
        <w:pStyle w:val="Standard"/>
        <w:keepNext/>
        <w:numPr>
          <w:ilvl w:val="1"/>
          <w:numId w:val="2"/>
        </w:numPr>
        <w:spacing w:before="120" w:after="120"/>
        <w:jc w:val="left"/>
      </w:pPr>
      <w:r>
        <w:rPr>
          <w:rFonts w:eastAsia="Arial"/>
          <w:color w:val="000000"/>
          <w:sz w:val="24"/>
          <w:szCs w:val="24"/>
        </w:rPr>
        <w:t>Section 1 of the BCDR Plan shall:</w:t>
      </w:r>
    </w:p>
    <w:p w14:paraId="4FB0237A"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set out how the business continuity and disaster recovery elements of the BCDR Plan link to each other;</w:t>
      </w:r>
    </w:p>
    <w:p w14:paraId="4FB0237B"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provide details of how the invocation of any element of the BCDR Plan may impact upon the provision of the Deliverables and any goods and/or services provided to the Buyer by a Related Supplier;</w:t>
      </w:r>
    </w:p>
    <w:p w14:paraId="4FB0237C"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contain an obligation upon the Supplier to liaise with the Buyer and any Related Suppliers with respect to business continuity and disaster recovery;</w:t>
      </w:r>
    </w:p>
    <w:p w14:paraId="4FB0237D"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4FB0237E"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contain a communication strategy including details of an incident and problem management service and advice and help desk facility which can be accessed via multiple channels;</w:t>
      </w:r>
    </w:p>
    <w:p w14:paraId="4FB0237F" w14:textId="77777777" w:rsidR="0088219E" w:rsidRDefault="008458A1">
      <w:pPr>
        <w:pStyle w:val="Standard"/>
        <w:keepNext/>
        <w:numPr>
          <w:ilvl w:val="2"/>
          <w:numId w:val="2"/>
        </w:numPr>
        <w:tabs>
          <w:tab w:val="left" w:pos="3403"/>
          <w:tab w:val="left" w:pos="3545"/>
        </w:tabs>
        <w:spacing w:before="120" w:after="120"/>
        <w:jc w:val="left"/>
      </w:pPr>
      <w:r>
        <w:rPr>
          <w:rFonts w:eastAsia="Arial"/>
          <w:color w:val="000000"/>
          <w:sz w:val="24"/>
          <w:szCs w:val="24"/>
        </w:rPr>
        <w:t>contain a risk analysis, including:</w:t>
      </w:r>
    </w:p>
    <w:p w14:paraId="4FB02380" w14:textId="77777777" w:rsidR="0088219E" w:rsidRDefault="008458A1">
      <w:pPr>
        <w:pStyle w:val="Standard"/>
        <w:numPr>
          <w:ilvl w:val="3"/>
          <w:numId w:val="2"/>
        </w:numPr>
        <w:tabs>
          <w:tab w:val="left" w:pos="3403"/>
          <w:tab w:val="left" w:pos="3545"/>
        </w:tabs>
        <w:spacing w:before="120" w:after="120"/>
        <w:jc w:val="left"/>
      </w:pPr>
      <w:r>
        <w:rPr>
          <w:rFonts w:eastAsia="Arial"/>
          <w:color w:val="000000"/>
          <w:sz w:val="24"/>
          <w:szCs w:val="24"/>
        </w:rPr>
        <w:t>failure or disruption scenarios and assessments of likely frequency of occurrence;</w:t>
      </w:r>
    </w:p>
    <w:p w14:paraId="4FB02381" w14:textId="77777777" w:rsidR="0088219E" w:rsidRDefault="008458A1">
      <w:pPr>
        <w:pStyle w:val="Standard"/>
        <w:numPr>
          <w:ilvl w:val="3"/>
          <w:numId w:val="2"/>
        </w:numPr>
        <w:tabs>
          <w:tab w:val="left" w:pos="3403"/>
          <w:tab w:val="left" w:pos="3545"/>
        </w:tabs>
        <w:spacing w:before="120" w:after="120"/>
        <w:jc w:val="left"/>
      </w:pPr>
      <w:r>
        <w:rPr>
          <w:rFonts w:eastAsia="Arial"/>
          <w:color w:val="000000"/>
          <w:sz w:val="24"/>
          <w:szCs w:val="24"/>
        </w:rPr>
        <w:t>identification of any single points of failure within the provision of Deliverables and processes for managing those risks;</w:t>
      </w:r>
    </w:p>
    <w:p w14:paraId="4FB02382" w14:textId="77777777" w:rsidR="0088219E" w:rsidRDefault="008458A1">
      <w:pPr>
        <w:pStyle w:val="Standard"/>
        <w:numPr>
          <w:ilvl w:val="3"/>
          <w:numId w:val="2"/>
        </w:numPr>
        <w:tabs>
          <w:tab w:val="left" w:pos="3403"/>
          <w:tab w:val="left" w:pos="3545"/>
        </w:tabs>
        <w:spacing w:before="120" w:after="120"/>
        <w:jc w:val="left"/>
      </w:pPr>
      <w:r>
        <w:rPr>
          <w:rFonts w:eastAsia="Arial"/>
          <w:color w:val="000000"/>
          <w:sz w:val="24"/>
          <w:szCs w:val="24"/>
        </w:rPr>
        <w:t>identification of risks arising from the interaction of the provision of Deliverables with the goods and/or services provided by a Related Supplier; and</w:t>
      </w:r>
    </w:p>
    <w:p w14:paraId="4FB02383" w14:textId="77777777" w:rsidR="0088219E" w:rsidRDefault="008458A1">
      <w:pPr>
        <w:pStyle w:val="Standard"/>
        <w:numPr>
          <w:ilvl w:val="3"/>
          <w:numId w:val="2"/>
        </w:numPr>
        <w:tabs>
          <w:tab w:val="left" w:pos="3403"/>
          <w:tab w:val="left" w:pos="3545"/>
        </w:tabs>
        <w:spacing w:before="120" w:after="120"/>
        <w:jc w:val="left"/>
      </w:pPr>
      <w:r>
        <w:rPr>
          <w:rFonts w:eastAsia="Arial"/>
          <w:color w:val="000000"/>
          <w:sz w:val="24"/>
          <w:szCs w:val="24"/>
        </w:rPr>
        <w:t>a business impact analysis of different anticipated failures or disruptions;</w:t>
      </w:r>
    </w:p>
    <w:p w14:paraId="4FB02384"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lastRenderedPageBreak/>
        <w:t>provide for documentation of processes, including business processes, and procedures;</w:t>
      </w:r>
    </w:p>
    <w:p w14:paraId="4FB02385"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set out key contact details for the Supplier (and any Subcontractors) and for the Buyer;</w:t>
      </w:r>
    </w:p>
    <w:p w14:paraId="4FB02386"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identify the procedures for reverting to "normal service";</w:t>
      </w:r>
    </w:p>
    <w:p w14:paraId="4FB02387"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set out method(s) of recovering or updating data collected (or which ought to have been collected) during a failure or disruption to minimise data loss;</w:t>
      </w:r>
    </w:p>
    <w:p w14:paraId="4FB02388"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identify the responsibilities (if any) that the Buyer has agreed it will assume in the event of the invocation of the BCDR Plan; and</w:t>
      </w:r>
    </w:p>
    <w:p w14:paraId="4FB02389"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provide for the provision of technical assistance to key contacts at the Buyer as required by the Buyer to inform decisions in support of the Buyer’s business continuity plans.</w:t>
      </w:r>
    </w:p>
    <w:p w14:paraId="4FB0238A" w14:textId="77777777" w:rsidR="0088219E" w:rsidRDefault="008458A1">
      <w:pPr>
        <w:pStyle w:val="Standard"/>
        <w:keepNext/>
        <w:numPr>
          <w:ilvl w:val="1"/>
          <w:numId w:val="2"/>
        </w:numPr>
        <w:spacing w:before="120" w:after="120"/>
        <w:jc w:val="left"/>
      </w:pPr>
      <w:r>
        <w:rPr>
          <w:rFonts w:eastAsia="Arial"/>
          <w:color w:val="000000"/>
          <w:sz w:val="24"/>
          <w:szCs w:val="24"/>
        </w:rPr>
        <w:t>The BCDR Plan shall be designed so as to ensure that:</w:t>
      </w:r>
    </w:p>
    <w:p w14:paraId="4FB0238B"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the Deliverables are provided in accordance with this Contract at all times during and after the invocation of the BCDR Plan;</w:t>
      </w:r>
    </w:p>
    <w:p w14:paraId="4FB0238C"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the adverse impact of any Disaster is minimised as far as reasonably possible;</w:t>
      </w:r>
    </w:p>
    <w:p w14:paraId="4FB0238D"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it complies with the relevant provisions of ISO/IEC 27002; ISO22301/ISO22313   and all other industry standards from time to time in force; and</w:t>
      </w:r>
    </w:p>
    <w:p w14:paraId="4FB0238E"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it details a process for the management of disaster recovery testing.</w:t>
      </w:r>
    </w:p>
    <w:p w14:paraId="4FB0238F" w14:textId="77777777" w:rsidR="0088219E" w:rsidRDefault="008458A1">
      <w:pPr>
        <w:pStyle w:val="Standard"/>
        <w:numPr>
          <w:ilvl w:val="1"/>
          <w:numId w:val="2"/>
        </w:numPr>
        <w:spacing w:before="120" w:after="120"/>
        <w:jc w:val="left"/>
      </w:pPr>
      <w:r>
        <w:rPr>
          <w:rFonts w:eastAsia="Arial"/>
          <w:color w:val="000000"/>
          <w:sz w:val="24"/>
          <w:szCs w:val="24"/>
        </w:rPr>
        <w:t>The BCDR Plan shall be upgradeable and sufficiently flexible to support any changes to the Deliverables and the business operations supported by the provision of Deliverables.</w:t>
      </w:r>
    </w:p>
    <w:p w14:paraId="4FB02390" w14:textId="77777777" w:rsidR="0088219E" w:rsidRDefault="008458A1">
      <w:pPr>
        <w:pStyle w:val="Standard"/>
        <w:numPr>
          <w:ilvl w:val="1"/>
          <w:numId w:val="2"/>
        </w:numPr>
        <w:spacing w:before="120" w:after="120"/>
        <w:jc w:val="left"/>
      </w:pPr>
      <w:r>
        <w:rPr>
          <w:rFonts w:eastAsia="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FB02391" w14:textId="77777777" w:rsidR="0088219E" w:rsidRDefault="008458A1">
      <w:pPr>
        <w:pStyle w:val="Standard"/>
        <w:keepNext/>
        <w:numPr>
          <w:ilvl w:val="0"/>
          <w:numId w:val="2"/>
        </w:numPr>
        <w:tabs>
          <w:tab w:val="left" w:pos="1418"/>
        </w:tabs>
        <w:spacing w:before="240"/>
        <w:jc w:val="left"/>
      </w:pPr>
      <w:r>
        <w:rPr>
          <w:rFonts w:ascii="Arial Bold" w:eastAsia="Arial Bold" w:hAnsi="Arial Bold" w:cs="Arial Bold"/>
          <w:b/>
          <w:color w:val="000000"/>
          <w:sz w:val="24"/>
          <w:szCs w:val="24"/>
        </w:rPr>
        <w:t>Business Continuity (Section 2)</w:t>
      </w:r>
    </w:p>
    <w:p w14:paraId="4FB02392" w14:textId="77777777" w:rsidR="0088219E" w:rsidRDefault="008458A1">
      <w:pPr>
        <w:pStyle w:val="Standard"/>
        <w:numPr>
          <w:ilvl w:val="1"/>
          <w:numId w:val="2"/>
        </w:numPr>
        <w:spacing w:before="120" w:after="120"/>
        <w:jc w:val="left"/>
      </w:pPr>
      <w:bookmarkStart w:id="7" w:name="_heading=h.1t3h5sf"/>
      <w:bookmarkEnd w:id="7"/>
      <w:r>
        <w:rPr>
          <w:rFonts w:eastAsia="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FB02393"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the alternative processes, options and responsibilities that may be adopted in the event of a failure in or disruption to the provision of Deliverables; and</w:t>
      </w:r>
    </w:p>
    <w:p w14:paraId="4FB02394"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the steps to be taken by the Supplier upon resumption of the provision of Deliverables in order to address the effect of the failure or disruption.</w:t>
      </w:r>
    </w:p>
    <w:p w14:paraId="4FB02395" w14:textId="77777777" w:rsidR="0088219E" w:rsidRDefault="008458A1">
      <w:pPr>
        <w:pStyle w:val="Standard"/>
        <w:keepNext/>
        <w:numPr>
          <w:ilvl w:val="1"/>
          <w:numId w:val="2"/>
        </w:numPr>
        <w:spacing w:before="120" w:after="120"/>
        <w:jc w:val="left"/>
      </w:pPr>
      <w:r>
        <w:rPr>
          <w:rFonts w:eastAsia="Arial"/>
          <w:color w:val="000000"/>
          <w:sz w:val="24"/>
          <w:szCs w:val="24"/>
        </w:rPr>
        <w:lastRenderedPageBreak/>
        <w:t>The Business Continuity Plan shall:</w:t>
      </w:r>
    </w:p>
    <w:p w14:paraId="4FB02396"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address the various possible levels of failures of or disruptions to the provision of Deliverables;</w:t>
      </w:r>
    </w:p>
    <w:p w14:paraId="4FB02397" w14:textId="77777777" w:rsidR="0088219E" w:rsidRDefault="008458A1">
      <w:pPr>
        <w:pStyle w:val="Standard"/>
        <w:numPr>
          <w:ilvl w:val="2"/>
          <w:numId w:val="2"/>
        </w:numPr>
        <w:tabs>
          <w:tab w:val="left" w:pos="3403"/>
          <w:tab w:val="left" w:pos="3545"/>
        </w:tabs>
        <w:spacing w:before="120" w:after="120"/>
        <w:jc w:val="left"/>
      </w:pPr>
      <w:bookmarkStart w:id="8" w:name="_heading=h.4d34og8"/>
      <w:bookmarkEnd w:id="8"/>
      <w:r>
        <w:rPr>
          <w:rFonts w:eastAsia="Arial"/>
          <w:color w:val="000000"/>
          <w:sz w:val="24"/>
          <w:szCs w:val="24"/>
        </w:rPr>
        <w:t>set out the goods and/or services to be provided and the steps to be taken to remedy the different levels of failures of and disruption to the Deliverables;</w:t>
      </w:r>
    </w:p>
    <w:p w14:paraId="4FB02398"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4FB02399"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set out the circumstances in which the Business Continuity Plan is invoked.</w:t>
      </w:r>
    </w:p>
    <w:p w14:paraId="4FB0239A" w14:textId="77777777" w:rsidR="0088219E" w:rsidRDefault="008458A1">
      <w:pPr>
        <w:pStyle w:val="Standard"/>
        <w:keepNext/>
        <w:numPr>
          <w:ilvl w:val="0"/>
          <w:numId w:val="2"/>
        </w:numPr>
        <w:tabs>
          <w:tab w:val="left" w:pos="1418"/>
        </w:tabs>
        <w:spacing w:before="240"/>
        <w:jc w:val="left"/>
      </w:pPr>
      <w:r>
        <w:rPr>
          <w:rFonts w:ascii="Arial Bold" w:eastAsia="Arial Bold" w:hAnsi="Arial Bold" w:cs="Arial Bold"/>
          <w:b/>
          <w:color w:val="000000"/>
          <w:sz w:val="24"/>
          <w:szCs w:val="24"/>
        </w:rPr>
        <w:t>Disaster Recovery (Section 3)</w:t>
      </w:r>
    </w:p>
    <w:p w14:paraId="4FB0239B" w14:textId="77777777" w:rsidR="0088219E" w:rsidRDefault="008458A1">
      <w:pPr>
        <w:pStyle w:val="Standard"/>
        <w:numPr>
          <w:ilvl w:val="1"/>
          <w:numId w:val="2"/>
        </w:numPr>
        <w:spacing w:before="120" w:after="120"/>
        <w:jc w:val="left"/>
      </w:pPr>
      <w:bookmarkStart w:id="9" w:name="_heading=h.2s8eyo1"/>
      <w:bookmarkEnd w:id="9"/>
      <w:r>
        <w:rPr>
          <w:rFonts w:eastAsia="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4FB0239C" w14:textId="77777777" w:rsidR="0088219E" w:rsidRDefault="008458A1">
      <w:pPr>
        <w:pStyle w:val="Standard"/>
        <w:keepNext/>
        <w:numPr>
          <w:ilvl w:val="1"/>
          <w:numId w:val="2"/>
        </w:numPr>
        <w:spacing w:before="120" w:after="120"/>
        <w:jc w:val="left"/>
      </w:pPr>
      <w:r>
        <w:rPr>
          <w:rFonts w:eastAsia="Arial"/>
          <w:color w:val="000000"/>
          <w:sz w:val="24"/>
          <w:szCs w:val="24"/>
        </w:rPr>
        <w:t>The Supplier's BCDR Plan shall include an approach to business continuity and disaster recovery that addresses the following:</w:t>
      </w:r>
    </w:p>
    <w:p w14:paraId="4FB0239D"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loss of access to the Buyer Premises;</w:t>
      </w:r>
    </w:p>
    <w:p w14:paraId="4FB0239E"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loss of utilities to the Buyer Premises;</w:t>
      </w:r>
    </w:p>
    <w:p w14:paraId="4FB0239F"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loss of the Supplier's helpdesk or CAFM system;</w:t>
      </w:r>
    </w:p>
    <w:p w14:paraId="4FB023A0"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loss of a Subcontractor;</w:t>
      </w:r>
    </w:p>
    <w:p w14:paraId="4FB023A1"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emergency notification and escalation process;</w:t>
      </w:r>
    </w:p>
    <w:p w14:paraId="4FB023A2"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contact lists;</w:t>
      </w:r>
    </w:p>
    <w:p w14:paraId="4FB023A3"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staff training and awareness;</w:t>
      </w:r>
    </w:p>
    <w:p w14:paraId="4FB023A4"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BCDR Plan testing;</w:t>
      </w:r>
    </w:p>
    <w:p w14:paraId="4FB023A5"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post implementation review process;</w:t>
      </w:r>
    </w:p>
    <w:p w14:paraId="4FB023A6"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4FB023A7"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details of how the Supplier shall ensure compliance with security standards ensuring that compliance is maintained for any period during which the Disaster Recovery Plan is invoked;</w:t>
      </w:r>
    </w:p>
    <w:p w14:paraId="4FB023A8"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lastRenderedPageBreak/>
        <w:t>access controls to any disaster recovery sites used by the Supplier in relation to its obligations pursuant to this Schedule; and</w:t>
      </w:r>
    </w:p>
    <w:p w14:paraId="4FB023A9"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testing and management arrangements.</w:t>
      </w:r>
    </w:p>
    <w:p w14:paraId="4FB023AA" w14:textId="77777777" w:rsidR="0088219E" w:rsidRDefault="008458A1">
      <w:pPr>
        <w:pStyle w:val="Standard"/>
        <w:keepNext/>
        <w:numPr>
          <w:ilvl w:val="0"/>
          <w:numId w:val="2"/>
        </w:numPr>
        <w:tabs>
          <w:tab w:val="left" w:pos="1418"/>
        </w:tabs>
        <w:spacing w:before="240"/>
        <w:jc w:val="left"/>
      </w:pPr>
      <w:r>
        <w:rPr>
          <w:rFonts w:ascii="Arial Bold" w:eastAsia="Arial Bold" w:hAnsi="Arial Bold" w:cs="Arial Bold"/>
          <w:b/>
          <w:color w:val="000000"/>
          <w:sz w:val="24"/>
          <w:szCs w:val="24"/>
        </w:rPr>
        <w:t>Review and changing the BCDR Plan</w:t>
      </w:r>
    </w:p>
    <w:p w14:paraId="4FB023AB" w14:textId="77777777" w:rsidR="0088219E" w:rsidRDefault="008458A1">
      <w:pPr>
        <w:pStyle w:val="Standard"/>
        <w:keepNext/>
        <w:numPr>
          <w:ilvl w:val="1"/>
          <w:numId w:val="2"/>
        </w:numPr>
        <w:spacing w:before="120" w:after="120"/>
        <w:jc w:val="left"/>
      </w:pPr>
      <w:bookmarkStart w:id="10" w:name="_heading=h.17dp8vu"/>
      <w:bookmarkEnd w:id="10"/>
      <w:r>
        <w:rPr>
          <w:rFonts w:eastAsia="Arial"/>
          <w:color w:val="000000"/>
          <w:sz w:val="24"/>
          <w:szCs w:val="24"/>
        </w:rPr>
        <w:t>The Supplier shall review the BCDR Plan:</w:t>
      </w:r>
    </w:p>
    <w:p w14:paraId="4FB023AC" w14:textId="77777777" w:rsidR="0088219E" w:rsidRDefault="008458A1">
      <w:pPr>
        <w:pStyle w:val="Standard"/>
        <w:numPr>
          <w:ilvl w:val="2"/>
          <w:numId w:val="2"/>
        </w:numPr>
        <w:tabs>
          <w:tab w:val="left" w:pos="3403"/>
          <w:tab w:val="left" w:pos="3545"/>
        </w:tabs>
        <w:spacing w:before="120" w:after="120"/>
        <w:jc w:val="left"/>
      </w:pPr>
      <w:bookmarkStart w:id="11" w:name="_heading=h.3rdcrjn"/>
      <w:bookmarkEnd w:id="11"/>
      <w:r>
        <w:rPr>
          <w:rFonts w:eastAsia="Arial"/>
          <w:color w:val="000000"/>
          <w:sz w:val="24"/>
          <w:szCs w:val="24"/>
        </w:rPr>
        <w:t>on a regular basis and as a minimum once every six (6) Months;</w:t>
      </w:r>
    </w:p>
    <w:p w14:paraId="4FB023AD" w14:textId="77777777" w:rsidR="0088219E" w:rsidRDefault="008458A1">
      <w:pPr>
        <w:pStyle w:val="Standard"/>
        <w:numPr>
          <w:ilvl w:val="2"/>
          <w:numId w:val="2"/>
        </w:numPr>
        <w:tabs>
          <w:tab w:val="left" w:pos="3403"/>
          <w:tab w:val="left" w:pos="3545"/>
        </w:tabs>
        <w:spacing w:before="120" w:after="120"/>
        <w:jc w:val="left"/>
      </w:pPr>
      <w:bookmarkStart w:id="12" w:name="_heading=h.26in1rg"/>
      <w:bookmarkEnd w:id="12"/>
      <w:r>
        <w:rPr>
          <w:rFonts w:eastAsia="Arial"/>
          <w:color w:val="000000"/>
          <w:sz w:val="24"/>
          <w:szCs w:val="24"/>
        </w:rPr>
        <w:t>within three (3) calendar Months of the BCDR Plan (or any part) having been invoked pursuant to Paragraph 7; and</w:t>
      </w:r>
    </w:p>
    <w:p w14:paraId="4FB023AE" w14:textId="77777777" w:rsidR="0088219E" w:rsidRDefault="008458A1">
      <w:pPr>
        <w:pStyle w:val="Standard"/>
        <w:numPr>
          <w:ilvl w:val="2"/>
          <w:numId w:val="2"/>
        </w:numPr>
        <w:tabs>
          <w:tab w:val="left" w:pos="3403"/>
          <w:tab w:val="left" w:pos="3545"/>
        </w:tabs>
        <w:spacing w:before="120" w:after="120"/>
        <w:jc w:val="left"/>
      </w:pPr>
      <w:bookmarkStart w:id="13" w:name="_heading=h.lnxbz9"/>
      <w:bookmarkEnd w:id="13"/>
      <w:r>
        <w:rPr>
          <w:rFonts w:eastAsia="Arial"/>
          <w:color w:val="000000"/>
          <w:sz w:val="24"/>
          <w:szCs w:val="24"/>
        </w:rPr>
        <w:t>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14:paraId="4FB023AF" w14:textId="77777777" w:rsidR="0088219E" w:rsidRDefault="008458A1">
      <w:pPr>
        <w:pStyle w:val="Standard"/>
        <w:numPr>
          <w:ilvl w:val="1"/>
          <w:numId w:val="2"/>
        </w:numPr>
        <w:spacing w:before="120" w:after="120"/>
        <w:jc w:val="left"/>
      </w:pPr>
      <w:bookmarkStart w:id="14" w:name="_heading=h.35nkun2"/>
      <w:bookmarkEnd w:id="14"/>
      <w:r>
        <w:rPr>
          <w:rFonts w:eastAsia="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4FB023B0" w14:textId="77777777" w:rsidR="0088219E" w:rsidRDefault="008458A1">
      <w:pPr>
        <w:pStyle w:val="Standard"/>
        <w:numPr>
          <w:ilvl w:val="1"/>
          <w:numId w:val="2"/>
        </w:numPr>
        <w:spacing w:before="120" w:after="120"/>
        <w:jc w:val="left"/>
      </w:pPr>
      <w:bookmarkStart w:id="15" w:name="_heading=h.1ksv4uv"/>
      <w:bookmarkEnd w:id="15"/>
      <w:r>
        <w:rPr>
          <w:rFonts w:eastAsia="Arial"/>
          <w:color w:val="000000"/>
          <w:sz w:val="24"/>
          <w:szCs w:val="24"/>
        </w:rPr>
        <w:t xml:space="preserve">The Supplier shall, within twenty (20) Working Days of the conclusion of each such review of the BCDR Plan, provide to the Buyer a report (a </w:t>
      </w:r>
      <w:r>
        <w:rPr>
          <w:rFonts w:eastAsia="Arial"/>
          <w:b/>
          <w:color w:val="000000"/>
          <w:sz w:val="24"/>
          <w:szCs w:val="24"/>
        </w:rPr>
        <w:t>"Review Report"</w:t>
      </w:r>
      <w:r>
        <w:rPr>
          <w:rFonts w:eastAsia="Arial"/>
          <w:color w:val="000000"/>
          <w:sz w:val="24"/>
          <w:szCs w:val="24"/>
        </w:rPr>
        <w:t xml:space="preserve">) setting out the Supplier's proposals (the </w:t>
      </w:r>
      <w:r>
        <w:rPr>
          <w:rFonts w:eastAsia="Arial"/>
          <w:b/>
          <w:color w:val="000000"/>
          <w:sz w:val="24"/>
          <w:szCs w:val="24"/>
        </w:rPr>
        <w:t>"Supplier's Proposals"</w:t>
      </w:r>
      <w:r>
        <w:rPr>
          <w:rFonts w:eastAsia="Arial"/>
          <w:color w:val="000000"/>
          <w:sz w:val="24"/>
          <w:szCs w:val="24"/>
        </w:rPr>
        <w:t>) for addressing any changes in the risk profile and its proposals for amendments to the BCDR Plan.</w:t>
      </w:r>
    </w:p>
    <w:p w14:paraId="4FB023B1" w14:textId="77777777" w:rsidR="0088219E" w:rsidRDefault="008458A1">
      <w:pPr>
        <w:pStyle w:val="Standard"/>
        <w:numPr>
          <w:ilvl w:val="1"/>
          <w:numId w:val="2"/>
        </w:numPr>
        <w:spacing w:before="120" w:after="120"/>
        <w:jc w:val="left"/>
      </w:pPr>
      <w:bookmarkStart w:id="16" w:name="_heading=h.44sinio"/>
      <w:bookmarkEnd w:id="16"/>
      <w:r>
        <w:rPr>
          <w:rFonts w:eastAsia="Arial"/>
          <w:color w:val="000000"/>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14:paraId="4FB023B2" w14:textId="77777777" w:rsidR="0088219E" w:rsidRDefault="008458A1">
      <w:pPr>
        <w:pStyle w:val="Standard"/>
        <w:numPr>
          <w:ilvl w:val="1"/>
          <w:numId w:val="2"/>
        </w:numPr>
        <w:spacing w:before="120" w:after="120"/>
        <w:jc w:val="left"/>
      </w:pPr>
      <w:r>
        <w:rPr>
          <w:rFonts w:eastAsia="Arial"/>
          <w:color w:val="000000"/>
          <w:sz w:val="24"/>
          <w:szCs w:val="24"/>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w:t>
      </w:r>
      <w:r>
        <w:rPr>
          <w:rFonts w:eastAsia="Arial"/>
          <w:color w:val="000000"/>
          <w:sz w:val="24"/>
          <w:szCs w:val="24"/>
        </w:rPr>
        <w:lastRenderedPageBreak/>
        <w:t>shown that the changes are required because of a material change to the risk profile of the Deliverables.</w:t>
      </w:r>
    </w:p>
    <w:p w14:paraId="4FB023B3" w14:textId="77777777" w:rsidR="0088219E" w:rsidRDefault="008458A1">
      <w:pPr>
        <w:pStyle w:val="Standard"/>
        <w:keepNext/>
        <w:numPr>
          <w:ilvl w:val="0"/>
          <w:numId w:val="2"/>
        </w:numPr>
        <w:tabs>
          <w:tab w:val="left" w:pos="504"/>
        </w:tabs>
        <w:spacing w:before="240"/>
        <w:ind w:left="504"/>
        <w:jc w:val="left"/>
      </w:pPr>
      <w:bookmarkStart w:id="17" w:name="_heading=h.2jxsxqh"/>
      <w:bookmarkEnd w:id="17"/>
      <w:r>
        <w:rPr>
          <w:rFonts w:ascii="Arial Bold" w:eastAsia="Arial Bold" w:hAnsi="Arial Bold" w:cs="Arial Bold"/>
          <w:b/>
          <w:color w:val="000000"/>
          <w:sz w:val="24"/>
          <w:szCs w:val="24"/>
        </w:rPr>
        <w:t>Testing the BCDR Plan</w:t>
      </w:r>
    </w:p>
    <w:p w14:paraId="4FB023B4" w14:textId="77777777" w:rsidR="0088219E" w:rsidRDefault="008458A1">
      <w:pPr>
        <w:pStyle w:val="Standard"/>
        <w:keepNext/>
        <w:numPr>
          <w:ilvl w:val="1"/>
          <w:numId w:val="2"/>
        </w:numPr>
        <w:spacing w:before="120" w:after="120"/>
        <w:jc w:val="left"/>
      </w:pPr>
      <w:bookmarkStart w:id="18" w:name="_heading=h.z337ya"/>
      <w:bookmarkEnd w:id="18"/>
      <w:r>
        <w:rPr>
          <w:rFonts w:eastAsia="Arial"/>
          <w:color w:val="000000"/>
          <w:sz w:val="24"/>
          <w:szCs w:val="24"/>
        </w:rPr>
        <w:t>The Supplier shall test the BCDR Plan:</w:t>
      </w:r>
    </w:p>
    <w:p w14:paraId="4FB023B5"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regularly and in any event not less than once in every Contract Year;</w:t>
      </w:r>
    </w:p>
    <w:p w14:paraId="4FB023B6"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in the event of any major reconfiguration of the Deliverables</w:t>
      </w:r>
    </w:p>
    <w:p w14:paraId="4FB023B7"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 xml:space="preserve">at any time where the Buyer considers it necessary (acting in its sole discretion).  </w:t>
      </w:r>
    </w:p>
    <w:p w14:paraId="4FB023B8" w14:textId="77777777" w:rsidR="0088219E" w:rsidRDefault="008458A1">
      <w:pPr>
        <w:pStyle w:val="Standard"/>
        <w:numPr>
          <w:ilvl w:val="1"/>
          <w:numId w:val="2"/>
        </w:numPr>
        <w:spacing w:before="120" w:after="120"/>
        <w:jc w:val="left"/>
      </w:pPr>
      <w:bookmarkStart w:id="19" w:name="_heading=h.3j2qqm3"/>
      <w:bookmarkEnd w:id="19"/>
      <w:r>
        <w:rPr>
          <w:rFonts w:eastAsia="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4FB023B9" w14:textId="77777777" w:rsidR="0088219E" w:rsidRDefault="008458A1">
      <w:pPr>
        <w:pStyle w:val="Standard"/>
        <w:numPr>
          <w:ilvl w:val="1"/>
          <w:numId w:val="2"/>
        </w:numPr>
        <w:spacing w:before="120" w:after="120"/>
        <w:jc w:val="left"/>
      </w:pPr>
      <w:r>
        <w:rPr>
          <w:rFonts w:eastAsia="Arial"/>
          <w:color w:val="000000"/>
          <w:sz w:val="24"/>
          <w:szCs w:val="24"/>
        </w:rPr>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14:paraId="4FB023BA" w14:textId="77777777" w:rsidR="0088219E" w:rsidRDefault="008458A1">
      <w:pPr>
        <w:pStyle w:val="Standard"/>
        <w:numPr>
          <w:ilvl w:val="1"/>
          <w:numId w:val="2"/>
        </w:numPr>
        <w:spacing w:before="120" w:after="120"/>
        <w:jc w:val="left"/>
      </w:pPr>
      <w:r>
        <w:rPr>
          <w:rFonts w:eastAsia="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4FB023BB" w14:textId="77777777" w:rsidR="0088219E" w:rsidRDefault="008458A1">
      <w:pPr>
        <w:pStyle w:val="Standard"/>
        <w:keepNext/>
        <w:numPr>
          <w:ilvl w:val="1"/>
          <w:numId w:val="2"/>
        </w:numPr>
        <w:spacing w:before="120" w:after="120"/>
        <w:jc w:val="left"/>
      </w:pPr>
      <w:r>
        <w:rPr>
          <w:rFonts w:eastAsia="Arial"/>
          <w:color w:val="000000"/>
          <w:sz w:val="24"/>
          <w:szCs w:val="24"/>
        </w:rPr>
        <w:t>The Supplier shall, within twenty (20) Working Days of the conclusion of each test, provide to the Buyer a report setting out:</w:t>
      </w:r>
    </w:p>
    <w:p w14:paraId="4FB023BC"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the outcome of the test;</w:t>
      </w:r>
    </w:p>
    <w:p w14:paraId="4FB023BD"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any failures in the BCDR Plan (including the BCDR Plan's procedures) revealed by the test; and</w:t>
      </w:r>
    </w:p>
    <w:p w14:paraId="4FB023BE" w14:textId="77777777" w:rsidR="0088219E" w:rsidRDefault="008458A1">
      <w:pPr>
        <w:pStyle w:val="Standard"/>
        <w:numPr>
          <w:ilvl w:val="2"/>
          <w:numId w:val="2"/>
        </w:numPr>
        <w:tabs>
          <w:tab w:val="left" w:pos="3403"/>
          <w:tab w:val="left" w:pos="3545"/>
        </w:tabs>
        <w:spacing w:before="120" w:after="120"/>
        <w:jc w:val="left"/>
      </w:pPr>
      <w:r>
        <w:rPr>
          <w:rFonts w:eastAsia="Arial"/>
          <w:color w:val="000000"/>
          <w:sz w:val="24"/>
          <w:szCs w:val="24"/>
        </w:rPr>
        <w:t>the Supplier's proposals for remedying any such failures.</w:t>
      </w:r>
    </w:p>
    <w:p w14:paraId="4FB023BF" w14:textId="77777777" w:rsidR="0088219E" w:rsidRDefault="008458A1">
      <w:pPr>
        <w:pStyle w:val="Standard"/>
        <w:numPr>
          <w:ilvl w:val="1"/>
          <w:numId w:val="2"/>
        </w:numPr>
        <w:spacing w:before="120" w:after="120"/>
        <w:jc w:val="left"/>
      </w:pPr>
      <w:bookmarkStart w:id="20" w:name="_heading=h.1y810tw"/>
      <w:bookmarkEnd w:id="20"/>
      <w:r>
        <w:rPr>
          <w:rFonts w:eastAsia="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4FB023C0" w14:textId="77777777" w:rsidR="0088219E" w:rsidRDefault="008458A1">
      <w:pPr>
        <w:pStyle w:val="Standard"/>
        <w:keepNext/>
        <w:numPr>
          <w:ilvl w:val="0"/>
          <w:numId w:val="2"/>
        </w:numPr>
        <w:tabs>
          <w:tab w:val="left" w:pos="1418"/>
        </w:tabs>
        <w:spacing w:before="240"/>
        <w:jc w:val="left"/>
      </w:pPr>
      <w:bookmarkStart w:id="21" w:name="_heading=h.4i7ojhp"/>
      <w:bookmarkEnd w:id="21"/>
      <w:r>
        <w:rPr>
          <w:rFonts w:ascii="Arial Bold" w:eastAsia="Arial Bold" w:hAnsi="Arial Bold" w:cs="Arial Bold"/>
          <w:b/>
          <w:color w:val="000000"/>
          <w:sz w:val="24"/>
          <w:szCs w:val="24"/>
        </w:rPr>
        <w:t>Invoking the BCDR Plan</w:t>
      </w:r>
    </w:p>
    <w:p w14:paraId="4FB023C1" w14:textId="77777777" w:rsidR="0088219E" w:rsidRDefault="008458A1">
      <w:pPr>
        <w:pStyle w:val="Standard"/>
        <w:numPr>
          <w:ilvl w:val="1"/>
          <w:numId w:val="2"/>
        </w:numPr>
        <w:spacing w:before="120" w:after="120"/>
        <w:jc w:val="left"/>
      </w:pPr>
      <w:r>
        <w:rPr>
          <w:rFonts w:eastAsia="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4FB023C2" w14:textId="77777777" w:rsidR="0088219E" w:rsidRDefault="008458A1">
      <w:pPr>
        <w:pStyle w:val="Standard"/>
        <w:keepNext/>
        <w:numPr>
          <w:ilvl w:val="0"/>
          <w:numId w:val="2"/>
        </w:numPr>
        <w:tabs>
          <w:tab w:val="left" w:pos="504"/>
        </w:tabs>
        <w:spacing w:before="240"/>
        <w:ind w:left="504"/>
        <w:jc w:val="left"/>
      </w:pPr>
      <w:r>
        <w:rPr>
          <w:rFonts w:eastAsia="Arial"/>
          <w:b/>
          <w:smallCaps/>
          <w:color w:val="000000"/>
          <w:sz w:val="24"/>
          <w:szCs w:val="24"/>
        </w:rPr>
        <w:lastRenderedPageBreak/>
        <w:t>C</w:t>
      </w:r>
      <w:r>
        <w:rPr>
          <w:rFonts w:ascii="Arial Bold" w:eastAsia="Arial Bold" w:hAnsi="Arial Bold" w:cs="Arial Bold"/>
          <w:b/>
          <w:color w:val="000000"/>
          <w:sz w:val="24"/>
          <w:szCs w:val="24"/>
        </w:rPr>
        <w:t>ircumstances beyond your control</w:t>
      </w:r>
    </w:p>
    <w:p w14:paraId="4FB023C3" w14:textId="77777777" w:rsidR="0088219E" w:rsidRDefault="008458A1">
      <w:pPr>
        <w:pStyle w:val="Standard"/>
        <w:numPr>
          <w:ilvl w:val="1"/>
          <w:numId w:val="2"/>
        </w:numPr>
        <w:spacing w:before="120" w:after="120"/>
        <w:jc w:val="left"/>
      </w:pPr>
      <w:r>
        <w:rPr>
          <w:rFonts w:eastAsia="Arial"/>
          <w:color w:val="000000"/>
          <w:sz w:val="24"/>
          <w:szCs w:val="24"/>
        </w:rPr>
        <w:t>The Supplier shall not be entitled to relief under Clause 20 (Circumstances beyond your control) if it would not have been impacted by the Force Majeure Event ha</w:t>
      </w:r>
      <w:bookmarkStart w:id="22" w:name="_GoBack"/>
      <w:bookmarkEnd w:id="22"/>
      <w:r>
        <w:rPr>
          <w:rFonts w:eastAsia="Arial"/>
          <w:color w:val="000000"/>
          <w:sz w:val="24"/>
          <w:szCs w:val="24"/>
        </w:rPr>
        <w:t>d it not failed to comply with its obligations under this Schedule.</w:t>
      </w:r>
    </w:p>
    <w:sectPr w:rsidR="0088219E">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023C6" w14:textId="77777777" w:rsidR="008458A1" w:rsidRDefault="008458A1">
      <w:r>
        <w:separator/>
      </w:r>
    </w:p>
  </w:endnote>
  <w:endnote w:type="continuationSeparator" w:id="0">
    <w:p w14:paraId="4FB023C7" w14:textId="77777777" w:rsidR="008458A1" w:rsidRDefault="0084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altName w:val="Times New Roman"/>
    <w:charset w:val="00"/>
    <w:family w:val="auto"/>
    <w:pitch w:val="variable"/>
  </w:font>
  <w:font w:name="Arial Bold">
    <w:panose1 w:val="020B0704020202020204"/>
    <w:charset w:val="00"/>
    <w:family w:val="auto"/>
    <w:pitch w:val="variable"/>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23CC" w14:textId="77777777" w:rsidR="00D4145A" w:rsidRDefault="003E2BED">
    <w:pPr>
      <w:pStyle w:val="Standard"/>
      <w:tabs>
        <w:tab w:val="center" w:pos="4513"/>
        <w:tab w:val="right" w:pos="9026"/>
      </w:tabs>
      <w:spacing w:after="0"/>
      <w:ind w:left="0"/>
      <w:rPr>
        <w:rFonts w:ascii="Calibri" w:eastAsia="Calibri" w:hAnsi="Calibri" w:cs="Calibri"/>
        <w:color w:val="A6A6A6"/>
      </w:rPr>
    </w:pPr>
  </w:p>
  <w:p w14:paraId="4FB023CD" w14:textId="77777777" w:rsidR="00D4145A" w:rsidRDefault="008458A1">
    <w:pPr>
      <w:pStyle w:val="Standard"/>
      <w:tabs>
        <w:tab w:val="center" w:pos="4513"/>
        <w:tab w:val="right" w:pos="9026"/>
      </w:tabs>
      <w:spacing w:after="0"/>
      <w:ind w:left="0"/>
    </w:pPr>
    <w:bookmarkStart w:id="23" w:name="_heading=h.2xcytpi"/>
    <w:bookmarkEnd w:id="23"/>
    <w:r>
      <w:rPr>
        <w:rFonts w:eastAsia="Arial"/>
        <w:color w:val="000000"/>
        <w:sz w:val="20"/>
        <w:szCs w:val="20"/>
      </w:rPr>
      <w:t>Framework Ref: RM6182</w:t>
    </w:r>
  </w:p>
  <w:p w14:paraId="4FB023CE" w14:textId="14BBAD9C" w:rsidR="00D4145A" w:rsidRDefault="008458A1">
    <w:pPr>
      <w:pStyle w:val="Standard"/>
      <w:tabs>
        <w:tab w:val="center" w:pos="4513"/>
        <w:tab w:val="right" w:pos="9026"/>
      </w:tabs>
      <w:spacing w:after="0"/>
      <w:ind w:left="0"/>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fldChar w:fldCharType="begin"/>
    </w:r>
    <w:r>
      <w:instrText xml:space="preserve"> PAGE </w:instrText>
    </w:r>
    <w:r>
      <w:fldChar w:fldCharType="separate"/>
    </w:r>
    <w:r w:rsidR="003E2BED">
      <w:rPr>
        <w:noProof/>
      </w:rPr>
      <w:t>6</w:t>
    </w:r>
    <w:r>
      <w:fldChar w:fldCharType="end"/>
    </w:r>
  </w:p>
  <w:p w14:paraId="4FB023CF" w14:textId="77777777" w:rsidR="00D4145A" w:rsidRDefault="008458A1">
    <w:pPr>
      <w:pStyle w:val="Standard"/>
      <w:tabs>
        <w:tab w:val="center" w:pos="4513"/>
        <w:tab w:val="right" w:pos="9026"/>
      </w:tabs>
      <w:spacing w:after="0"/>
      <w:ind w:left="0"/>
    </w:pPr>
    <w:r>
      <w:rPr>
        <w:rFonts w:eastAsia="Arial"/>
        <w:color w:val="000000"/>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023C4" w14:textId="77777777" w:rsidR="008458A1" w:rsidRDefault="008458A1">
      <w:r>
        <w:rPr>
          <w:color w:val="000000"/>
        </w:rPr>
        <w:separator/>
      </w:r>
    </w:p>
  </w:footnote>
  <w:footnote w:type="continuationSeparator" w:id="0">
    <w:p w14:paraId="4FB023C5" w14:textId="77777777" w:rsidR="008458A1" w:rsidRDefault="0084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23C8" w14:textId="77777777" w:rsidR="00D4145A" w:rsidRDefault="008458A1">
    <w:pPr>
      <w:pStyle w:val="Standard"/>
      <w:tabs>
        <w:tab w:val="center" w:pos="4513"/>
        <w:tab w:val="right" w:pos="9026"/>
      </w:tabs>
      <w:spacing w:after="0"/>
      <w:ind w:left="0"/>
      <w:jc w:val="left"/>
    </w:pPr>
    <w:r>
      <w:rPr>
        <w:b/>
        <w:sz w:val="20"/>
        <w:szCs w:val="20"/>
      </w:rPr>
      <w:t>Call-Off Schedule 8 (Business Continuity and Disaster Recovery)</w:t>
    </w:r>
  </w:p>
  <w:p w14:paraId="4FB023C9" w14:textId="0BDD5A6C" w:rsidR="00D4145A" w:rsidRDefault="008458A1">
    <w:pPr>
      <w:pStyle w:val="Standard"/>
      <w:tabs>
        <w:tab w:val="center" w:pos="4513"/>
        <w:tab w:val="right" w:pos="9026"/>
      </w:tabs>
      <w:spacing w:after="0"/>
      <w:ind w:left="0"/>
      <w:jc w:val="left"/>
    </w:pPr>
    <w:r>
      <w:rPr>
        <w:sz w:val="20"/>
        <w:szCs w:val="20"/>
      </w:rPr>
      <w:t>Call-Off Ref:</w:t>
    </w:r>
    <w:r w:rsidR="003E2BED">
      <w:rPr>
        <w:sz w:val="20"/>
        <w:szCs w:val="20"/>
      </w:rPr>
      <w:t xml:space="preserve"> </w:t>
    </w:r>
    <w:r w:rsidR="003E2BED" w:rsidRPr="003E2BED">
      <w:rPr>
        <w:sz w:val="20"/>
        <w:szCs w:val="20"/>
      </w:rPr>
      <w:t>CCSH21A12</w:t>
    </w:r>
  </w:p>
  <w:p w14:paraId="4FB023CA" w14:textId="77777777" w:rsidR="00D4145A" w:rsidRDefault="008458A1">
    <w:pPr>
      <w:pStyle w:val="Standard"/>
      <w:tabs>
        <w:tab w:val="center" w:pos="4513"/>
        <w:tab w:val="right" w:pos="9026"/>
      </w:tabs>
      <w:spacing w:after="0"/>
      <w:ind w:left="0"/>
      <w:jc w:val="left"/>
    </w:pPr>
    <w:r>
      <w:rPr>
        <w:sz w:val="20"/>
        <w:szCs w:val="20"/>
      </w:rPr>
      <w:t>Crown Copyright 2020</w:t>
    </w:r>
  </w:p>
  <w:p w14:paraId="4FB023CB" w14:textId="77777777" w:rsidR="00D4145A" w:rsidRDefault="003E2BED">
    <w:pPr>
      <w:pStyle w:val="Standard"/>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04468"/>
    <w:multiLevelType w:val="multilevel"/>
    <w:tmpl w:val="04B86788"/>
    <w:styleLink w:val="WWNum2"/>
    <w:lvl w:ilvl="0">
      <w:start w:val="1"/>
      <w:numFmt w:val="decimal"/>
      <w:lvlText w:val="%1"/>
      <w:lvlJc w:val="left"/>
      <w:pPr>
        <w:ind w:left="170" w:hanging="170"/>
      </w:pPr>
      <w:rPr>
        <w:rFonts w:ascii="Arial" w:eastAsia="Arial" w:hAnsi="Arial" w:cs="Arial"/>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D712C90"/>
    <w:multiLevelType w:val="multilevel"/>
    <w:tmpl w:val="A57C2F5C"/>
    <w:styleLink w:val="WWNum1"/>
    <w:lvl w:ilvl="0">
      <w:start w:val="1"/>
      <w:numFmt w:val="decimal"/>
      <w:lvlText w:val="%1."/>
      <w:lvlJc w:val="left"/>
      <w:pPr>
        <w:ind w:left="720" w:hanging="720"/>
      </w:pPr>
      <w:rPr>
        <w:rFonts w:ascii="Arial" w:hAnsi="Arial"/>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5A2E6B8B"/>
    <w:multiLevelType w:val="multilevel"/>
    <w:tmpl w:val="03DC753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
  </w:num>
  <w:num w:numId="2">
    <w:abstractNumId w:val="1"/>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9E"/>
    <w:rsid w:val="002809C9"/>
    <w:rsid w:val="003E2BED"/>
    <w:rsid w:val="008458A1"/>
    <w:rsid w:val="00882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2352"/>
  <w15:docId w15:val="{D4CA331A-B687-4D79-9669-FF5875CD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40"/>
      <w:ind w:left="1418"/>
      <w:jc w:val="both"/>
    </w:pPr>
    <w:rPr>
      <w:rFonts w:eastAsia="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macrorestart">
    <w:name w:val="GPS macro restart"/>
    <w:basedOn w:val="Normal"/>
    <w:rPr>
      <w:color w:val="FFFFFF"/>
      <w:sz w:val="16"/>
      <w:szCs w:val="16"/>
    </w:rPr>
  </w:style>
  <w:style w:type="paragraph" w:customStyle="1" w:styleId="GPSL1CLAUSEHEADING">
    <w:name w:val="GPS L1 CLAUSE HEADING"/>
    <w:basedOn w:val="Normal"/>
    <w:next w:val="Standard"/>
    <w:pPr>
      <w:tabs>
        <w:tab w:val="left" w:pos="360"/>
      </w:tabs>
      <w:overflowPunct w:val="0"/>
      <w:spacing w:before="240"/>
      <w:ind w:left="360" w:hanging="360"/>
      <w:textAlignment w:val="auto"/>
      <w:outlineLvl w:val="1"/>
    </w:pPr>
    <w:rPr>
      <w:rFonts w:ascii="Arial Bold" w:eastAsia="STZhongsong" w:hAnsi="Arial Bold" w:cs="Arial Bold"/>
      <w:b/>
      <w:caps/>
    </w:rPr>
  </w:style>
  <w:style w:type="paragraph" w:customStyle="1" w:styleId="GPSL2numberedclause">
    <w:name w:val="GPS L2 numbered clause"/>
    <w:basedOn w:val="Normal"/>
    <w:pPr>
      <w:overflowPunct w:val="0"/>
      <w:spacing w:before="120" w:after="120"/>
      <w:ind w:left="936" w:hanging="576"/>
      <w:textAlignment w:val="auto"/>
    </w:pPr>
    <w:rPr>
      <w:rFonts w:ascii="Calibri" w:eastAsia="Calibri" w:hAnsi="Calibri" w:cs="Calibri"/>
    </w:rPr>
  </w:style>
  <w:style w:type="paragraph" w:customStyle="1" w:styleId="GPSL3numberedclause">
    <w:name w:val="GPS L3 numbered clause"/>
    <w:basedOn w:val="GPSL2numberedclause"/>
    <w:pPr>
      <w:tabs>
        <w:tab w:val="left" w:pos="3641"/>
        <w:tab w:val="left" w:pos="3783"/>
      </w:tabs>
      <w:ind w:left="1656"/>
    </w:pPr>
  </w:style>
  <w:style w:type="paragraph" w:customStyle="1" w:styleId="GPSL4numberedclause">
    <w:name w:val="GPS L4 numbered clause"/>
    <w:basedOn w:val="GPSL3numberedclause"/>
    <w:pPr>
      <w:tabs>
        <w:tab w:val="clear" w:pos="3641"/>
        <w:tab w:val="clear" w:pos="3783"/>
      </w:tabs>
      <w:ind w:left="2592"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SchTitleandNumber">
    <w:name w:val="GPS Sch Title and Number"/>
    <w:basedOn w:val="Normal"/>
    <w:pPr>
      <w:keepNext/>
      <w:overflowPunct w:val="0"/>
      <w:jc w:val="center"/>
      <w:textAlignment w:val="auto"/>
      <w:outlineLvl w:val="0"/>
    </w:pPr>
    <w:rPr>
      <w:rFonts w:ascii="Arial Bold" w:eastAsia="STZhongsong" w:hAnsi="Arial Bold" w:cs="Times New Roman"/>
      <w:b/>
      <w:caps/>
    </w:rPr>
  </w:style>
  <w:style w:type="paragraph" w:customStyle="1" w:styleId="GPSDefinitionTerm">
    <w:name w:val="GPS Definition Term"/>
    <w:basedOn w:val="Normal"/>
    <w:pPr>
      <w:spacing w:after="120"/>
      <w:ind w:left="-108"/>
      <w:jc w:val="left"/>
    </w:pPr>
    <w:rPr>
      <w:b/>
    </w:rPr>
  </w:style>
  <w:style w:type="paragraph" w:customStyle="1" w:styleId="GPsDefinition">
    <w:name w:val="GPs Definition"/>
    <w:basedOn w:val="Normal"/>
    <w:pPr>
      <w:tabs>
        <w:tab w:val="left" w:pos="-9"/>
      </w:tabs>
      <w:spacing w:after="120"/>
    </w:pPr>
  </w:style>
  <w:style w:type="paragraph" w:customStyle="1" w:styleId="GPSDefinitionL2">
    <w:name w:val="GPS Definition L2"/>
    <w:basedOn w:val="GPsDefinition"/>
    <w:pPr>
      <w:tabs>
        <w:tab w:val="clear" w:pos="-9"/>
        <w:tab w:val="left" w:pos="144"/>
      </w:tabs>
      <w:ind w:hanging="545"/>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L1SCHEDULEHeading">
    <w:name w:val="GPS L1 SCHEDULE Heading"/>
    <w:basedOn w:val="GPSL1CLAUSEHEADING"/>
    <w:rPr>
      <w:rFonts w:ascii="Calibri" w:eastAsia="Calibri" w:hAnsi="Calibri" w:cs="Calibri"/>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jc w:val="both"/>
    </w:pPr>
    <w:rPr>
      <w:rFonts w:eastAsia="Times New Roman"/>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2numberedclauseChar1">
    <w:name w:val="GPS L2 numbered clause Char1"/>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szCs w:val="20"/>
      <w:lang w:eastAsia="zh-CN"/>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Arial" w:eastAsia="Times New Roman" w:hAnsi="Arial" w:cs="Arial"/>
      <w:sz w:val="20"/>
      <w:szCs w:val="20"/>
    </w:rPr>
  </w:style>
  <w:style w:type="character" w:customStyle="1" w:styleId="CommentSubjectChar">
    <w:name w:val="Comment Subject Char"/>
    <w:basedOn w:val="CommentTextChar"/>
    <w:rPr>
      <w:rFonts w:ascii="Arial" w:eastAsia="Times New Roman" w:hAnsi="Arial" w:cs="Arial"/>
      <w:b/>
      <w:bCs/>
      <w:sz w:val="20"/>
      <w:szCs w:val="20"/>
    </w:rPr>
  </w:style>
  <w:style w:type="character" w:customStyle="1" w:styleId="Internetlink">
    <w:name w:val="Internet 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ListLabel1">
    <w:name w:val="ListLabel 1"/>
    <w:rPr>
      <w:rFonts w:ascii="Arial" w:eastAsia="Arial" w:hAnsi="Arial" w:cs="Arial"/>
      <w:b/>
      <w:caps w:val="0"/>
      <w:smallCaps w:val="0"/>
      <w:strike w:val="0"/>
      <w:dstrike w:val="0"/>
      <w:color w:val="000000"/>
      <w:position w:val="0"/>
      <w:sz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4">
    <w:name w:val="ListLabel 4"/>
    <w:rPr>
      <w:rFonts w:ascii="Arial" w:eastAsia="Calibri" w:hAnsi="Arial" w:cs="Calibri"/>
      <w:b w:val="0"/>
      <w:i w:val="0"/>
      <w:caps w:val="0"/>
      <w:smallCaps w:val="0"/>
      <w:strike w:val="0"/>
      <w:dstrike w:val="0"/>
      <w:color w:val="000000"/>
      <w:position w:val="0"/>
      <w:sz w:val="24"/>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character" w:customStyle="1" w:styleId="ListLabel7">
    <w:name w:val="ListLabel 7"/>
    <w:rPr>
      <w:rFonts w:ascii="Arial" w:eastAsia="Arial" w:hAnsi="Arial" w:cs="Arial"/>
      <w:b w:val="0"/>
      <w:sz w:val="24"/>
      <w:szCs w:val="22"/>
    </w:rPr>
  </w:style>
  <w:style w:type="character" w:customStyle="1" w:styleId="ListLabel8">
    <w:name w:val="ListLabel 8"/>
    <w:rPr>
      <w:rFonts w:eastAsia="Calibri" w:cs="Calibri"/>
      <w:b w:val="0"/>
      <w:i w:val="0"/>
      <w:caps w:val="0"/>
      <w:smallCaps w:val="0"/>
      <w:strike w:val="0"/>
      <w:dstrike w:val="0"/>
      <w:color w:val="000000"/>
      <w:position w:val="0"/>
      <w:u w:val="none"/>
      <w:vertAlign w:val="baseline"/>
    </w:rPr>
  </w:style>
  <w:style w:type="character" w:customStyle="1" w:styleId="ListLabel9">
    <w:name w:val="ListLabel 9"/>
    <w:rPr>
      <w:rFonts w:eastAsia="Arial" w:cs="Arial"/>
      <w:sz w:val="22"/>
      <w:szCs w:val="22"/>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Dier</dc:creator>
  <cp:lastModifiedBy>Shaun Brill</cp:lastModifiedBy>
  <cp:revision>3</cp:revision>
  <dcterms:created xsi:type="dcterms:W3CDTF">2021-12-06T21:22:00Z</dcterms:created>
  <dcterms:modified xsi:type="dcterms:W3CDTF">2021-12-07T12:55:00Z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