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6272" w:rsidRDefault="00D9240C">
      <w:pPr>
        <w:rPr>
          <w:rFonts w:ascii="Arial" w:hAnsi="Arial" w:cs="Arial"/>
          <w:b/>
        </w:rPr>
      </w:pPr>
      <w:r w:rsidRPr="00D9240C">
        <w:rPr>
          <w:rFonts w:ascii="Arial" w:hAnsi="Arial" w:cs="Arial"/>
          <w:b/>
        </w:rPr>
        <w:t>Annex A</w:t>
      </w:r>
      <w:r>
        <w:rPr>
          <w:rFonts w:ascii="Arial" w:hAnsi="Arial" w:cs="Arial"/>
          <w:b/>
        </w:rPr>
        <w:t xml:space="preserve"> to Schedule 1</w:t>
      </w:r>
      <w:r w:rsidRPr="00D9240C">
        <w:rPr>
          <w:rFonts w:ascii="Arial" w:hAnsi="Arial" w:cs="Arial"/>
          <w:b/>
        </w:rPr>
        <w:t xml:space="preserve"> – Definition</w:t>
      </w:r>
      <w:r>
        <w:rPr>
          <w:rFonts w:ascii="Arial" w:hAnsi="Arial" w:cs="Arial"/>
          <w:b/>
        </w:rPr>
        <w:t>s</w:t>
      </w:r>
      <w:r w:rsidRPr="00D9240C">
        <w:rPr>
          <w:rFonts w:ascii="Arial" w:hAnsi="Arial" w:cs="Arial"/>
          <w:b/>
        </w:rPr>
        <w:t xml:space="preserve"> </w:t>
      </w:r>
    </w:p>
    <w:p w:rsidR="005E0B63" w:rsidRDefault="005E0B63">
      <w:pPr>
        <w:rPr>
          <w:rFonts w:ascii="Arial" w:hAnsi="Arial" w:cs="Arial"/>
          <w:b/>
        </w:rPr>
      </w:pPr>
    </w:p>
    <w:tbl>
      <w:tblPr>
        <w:tblStyle w:val="TableGrid"/>
        <w:tblW w:w="0" w:type="auto"/>
        <w:tblLayout w:type="fixed"/>
        <w:tblLook w:val="04A0" w:firstRow="1" w:lastRow="0" w:firstColumn="1" w:lastColumn="0" w:noHBand="0" w:noVBand="1"/>
      </w:tblPr>
      <w:tblGrid>
        <w:gridCol w:w="2547"/>
        <w:gridCol w:w="11401"/>
      </w:tblGrid>
      <w:tr w:rsidR="000C2D2F" w:rsidTr="004D1FFD">
        <w:tc>
          <w:tcPr>
            <w:tcW w:w="2547" w:type="dxa"/>
          </w:tcPr>
          <w:p w:rsidR="000C2D2F" w:rsidRDefault="000C2D2F">
            <w:pPr>
              <w:rPr>
                <w:rFonts w:ascii="Arial" w:hAnsi="Arial" w:cs="Arial"/>
                <w:b/>
              </w:rPr>
            </w:pPr>
            <w:r>
              <w:rPr>
                <w:rFonts w:ascii="Arial" w:hAnsi="Arial" w:cs="Arial"/>
                <w:b/>
              </w:rPr>
              <w:t>Term</w:t>
            </w:r>
          </w:p>
        </w:tc>
        <w:tc>
          <w:tcPr>
            <w:tcW w:w="11401" w:type="dxa"/>
          </w:tcPr>
          <w:p w:rsidR="000C2D2F" w:rsidRDefault="000C2D2F">
            <w:pPr>
              <w:rPr>
                <w:rFonts w:ascii="Arial" w:hAnsi="Arial" w:cs="Arial"/>
                <w:b/>
              </w:rPr>
            </w:pPr>
            <w:r>
              <w:rPr>
                <w:rFonts w:ascii="Arial" w:hAnsi="Arial" w:cs="Arial"/>
                <w:b/>
              </w:rPr>
              <w:t>Definition</w:t>
            </w:r>
          </w:p>
        </w:tc>
      </w:tr>
      <w:tr w:rsidR="000C2D2F" w:rsidTr="004D1FFD">
        <w:tc>
          <w:tcPr>
            <w:tcW w:w="2547" w:type="dxa"/>
          </w:tcPr>
          <w:p w:rsidR="000C2D2F" w:rsidRPr="006045D0" w:rsidRDefault="006045D0">
            <w:pPr>
              <w:rPr>
                <w:rFonts w:ascii="Arial" w:hAnsi="Arial" w:cs="Arial"/>
              </w:rPr>
            </w:pPr>
            <w:r>
              <w:rPr>
                <w:rFonts w:ascii="Arial" w:hAnsi="Arial" w:cs="Arial"/>
              </w:rPr>
              <w:t>High Risk / High Value</w:t>
            </w:r>
          </w:p>
        </w:tc>
        <w:tc>
          <w:tcPr>
            <w:tcW w:w="11401" w:type="dxa"/>
          </w:tcPr>
          <w:p w:rsidR="000C2D2F" w:rsidRPr="006045D0" w:rsidRDefault="00D54C64">
            <w:pPr>
              <w:rPr>
                <w:rFonts w:ascii="Arial" w:hAnsi="Arial" w:cs="Arial"/>
              </w:rPr>
            </w:pPr>
            <w:r>
              <w:rPr>
                <w:rFonts w:ascii="Arial" w:hAnsi="Arial" w:cs="Arial"/>
              </w:rPr>
              <w:t>Assets with a high commercial value, assets that cannot be replicated, assets that may be involved with national security, assets that may present hard to the general public.  Examples include but are not limited to gemstones, bullion, cash, records marked secret or top secret, firearms, bladed weapons, munitions, illegal drugs, indecent material</w:t>
            </w:r>
          </w:p>
        </w:tc>
      </w:tr>
      <w:tr w:rsidR="006045D0" w:rsidTr="004D1FFD">
        <w:tc>
          <w:tcPr>
            <w:tcW w:w="2547" w:type="dxa"/>
          </w:tcPr>
          <w:p w:rsidR="006045D0" w:rsidRDefault="006045D0">
            <w:pPr>
              <w:rPr>
                <w:rFonts w:ascii="Arial" w:hAnsi="Arial" w:cs="Arial"/>
              </w:rPr>
            </w:pPr>
            <w:r>
              <w:rPr>
                <w:rFonts w:ascii="Arial" w:hAnsi="Arial" w:cs="Arial"/>
              </w:rPr>
              <w:t>Day Definite</w:t>
            </w:r>
          </w:p>
        </w:tc>
        <w:tc>
          <w:tcPr>
            <w:tcW w:w="11401" w:type="dxa"/>
          </w:tcPr>
          <w:p w:rsidR="006045D0" w:rsidRPr="006045D0" w:rsidRDefault="00AE51E3" w:rsidP="00AE51E3">
            <w:pPr>
              <w:rPr>
                <w:rFonts w:ascii="Arial" w:hAnsi="Arial" w:cs="Arial"/>
              </w:rPr>
            </w:pPr>
            <w:r w:rsidRPr="00AE51E3">
              <w:rPr>
                <w:rFonts w:ascii="Arial" w:hAnsi="Arial" w:cs="Arial"/>
              </w:rPr>
              <w:t xml:space="preserve">A guarantee to deliver a </w:t>
            </w:r>
            <w:r>
              <w:rPr>
                <w:rFonts w:ascii="Arial" w:hAnsi="Arial" w:cs="Arial"/>
              </w:rPr>
              <w:t>shipment</w:t>
            </w:r>
            <w:r w:rsidRPr="00AE51E3">
              <w:rPr>
                <w:rFonts w:ascii="Arial" w:hAnsi="Arial" w:cs="Arial"/>
              </w:rPr>
              <w:t xml:space="preserve"> by a certain date</w:t>
            </w:r>
          </w:p>
        </w:tc>
      </w:tr>
      <w:tr w:rsidR="000C2D2F" w:rsidTr="004D1FFD">
        <w:tc>
          <w:tcPr>
            <w:tcW w:w="2547" w:type="dxa"/>
          </w:tcPr>
          <w:p w:rsidR="000C2D2F" w:rsidRPr="006045D0" w:rsidRDefault="006045D0">
            <w:pPr>
              <w:rPr>
                <w:rFonts w:ascii="Arial" w:hAnsi="Arial" w:cs="Arial"/>
              </w:rPr>
            </w:pPr>
            <w:r>
              <w:rPr>
                <w:rFonts w:ascii="Arial" w:hAnsi="Arial" w:cs="Arial"/>
              </w:rPr>
              <w:t>Time Definite</w:t>
            </w:r>
          </w:p>
        </w:tc>
        <w:tc>
          <w:tcPr>
            <w:tcW w:w="11401" w:type="dxa"/>
          </w:tcPr>
          <w:p w:rsidR="000C2D2F" w:rsidRPr="006045D0" w:rsidRDefault="0042039B" w:rsidP="0042039B">
            <w:pPr>
              <w:rPr>
                <w:rFonts w:ascii="Arial" w:hAnsi="Arial" w:cs="Arial"/>
              </w:rPr>
            </w:pPr>
            <w:r w:rsidRPr="00AE51E3">
              <w:rPr>
                <w:rFonts w:ascii="Arial" w:hAnsi="Arial" w:cs="Arial"/>
              </w:rPr>
              <w:t xml:space="preserve">A guarantee to deliver a </w:t>
            </w:r>
            <w:r>
              <w:rPr>
                <w:rFonts w:ascii="Arial" w:hAnsi="Arial" w:cs="Arial"/>
              </w:rPr>
              <w:t>shipment</w:t>
            </w:r>
            <w:r w:rsidRPr="00AE51E3">
              <w:rPr>
                <w:rFonts w:ascii="Arial" w:hAnsi="Arial" w:cs="Arial"/>
              </w:rPr>
              <w:t xml:space="preserve"> by a certain</w:t>
            </w:r>
            <w:r>
              <w:rPr>
                <w:rFonts w:ascii="Arial" w:hAnsi="Arial" w:cs="Arial"/>
              </w:rPr>
              <w:t xml:space="preserve"> time on a certain date.  Examples may include next working day, before noon, before 10AM, before 9AM, within a defined time window (e.g., between 6PM and 7PM)</w:t>
            </w:r>
          </w:p>
        </w:tc>
      </w:tr>
      <w:tr w:rsidR="000C2D2F" w:rsidTr="004D1FFD">
        <w:tc>
          <w:tcPr>
            <w:tcW w:w="2547" w:type="dxa"/>
          </w:tcPr>
          <w:p w:rsidR="000C2D2F" w:rsidRPr="006045D0" w:rsidRDefault="006045D0">
            <w:pPr>
              <w:rPr>
                <w:rFonts w:ascii="Arial" w:hAnsi="Arial" w:cs="Arial"/>
              </w:rPr>
            </w:pPr>
            <w:r>
              <w:rPr>
                <w:rFonts w:ascii="Arial" w:hAnsi="Arial" w:cs="Arial"/>
              </w:rPr>
              <w:t>Next Working Day</w:t>
            </w:r>
          </w:p>
        </w:tc>
        <w:tc>
          <w:tcPr>
            <w:tcW w:w="11401" w:type="dxa"/>
          </w:tcPr>
          <w:p w:rsidR="000C2D2F" w:rsidRPr="006045D0" w:rsidRDefault="0042039B" w:rsidP="0042039B">
            <w:pPr>
              <w:rPr>
                <w:rFonts w:ascii="Arial" w:hAnsi="Arial" w:cs="Arial"/>
              </w:rPr>
            </w:pPr>
            <w:r>
              <w:rPr>
                <w:rFonts w:ascii="Arial" w:hAnsi="Arial" w:cs="Arial"/>
                <w:color w:val="222222"/>
                <w:shd w:val="clear" w:color="auto" w:fill="FFFFFF"/>
              </w:rPr>
              <w:t>Typically the </w:t>
            </w:r>
            <w:r w:rsidRPr="0042039B">
              <w:rPr>
                <w:rFonts w:ascii="Arial" w:hAnsi="Arial" w:cs="Arial"/>
                <w:bCs/>
                <w:color w:val="222222"/>
                <w:shd w:val="clear" w:color="auto" w:fill="FFFFFF"/>
              </w:rPr>
              <w:t>days</w:t>
            </w:r>
            <w:r>
              <w:rPr>
                <w:rFonts w:ascii="Arial" w:hAnsi="Arial" w:cs="Arial"/>
                <w:color w:val="222222"/>
                <w:shd w:val="clear" w:color="auto" w:fill="FFFFFF"/>
              </w:rPr>
              <w:t> between and including Monday to Friday and do not inclu</w:t>
            </w:r>
            <w:r w:rsidR="00824030">
              <w:rPr>
                <w:rFonts w:ascii="Arial" w:hAnsi="Arial" w:cs="Arial"/>
                <w:color w:val="222222"/>
                <w:shd w:val="clear" w:color="auto" w:fill="FFFFFF"/>
              </w:rPr>
              <w:t>de public holidays and weekends</w:t>
            </w:r>
            <w:r>
              <w:rPr>
                <w:rFonts w:ascii="Arial" w:hAnsi="Arial" w:cs="Arial"/>
                <w:color w:val="222222"/>
                <w:shd w:val="clear" w:color="auto" w:fill="FFFFFF"/>
              </w:rPr>
              <w:t> </w:t>
            </w:r>
          </w:p>
        </w:tc>
      </w:tr>
      <w:tr w:rsidR="000C2D2F" w:rsidTr="004D1FFD">
        <w:tc>
          <w:tcPr>
            <w:tcW w:w="2547" w:type="dxa"/>
          </w:tcPr>
          <w:p w:rsidR="000C2D2F" w:rsidRPr="006045D0" w:rsidRDefault="006045D0">
            <w:pPr>
              <w:rPr>
                <w:rFonts w:ascii="Arial" w:hAnsi="Arial" w:cs="Arial"/>
              </w:rPr>
            </w:pPr>
            <w:r>
              <w:rPr>
                <w:rFonts w:ascii="Arial" w:hAnsi="Arial" w:cs="Arial"/>
              </w:rPr>
              <w:t>General Shared User</w:t>
            </w:r>
          </w:p>
        </w:tc>
        <w:tc>
          <w:tcPr>
            <w:tcW w:w="11401" w:type="dxa"/>
          </w:tcPr>
          <w:p w:rsidR="000C2D2F" w:rsidRPr="006045D0" w:rsidRDefault="008966FA" w:rsidP="00302CC8">
            <w:pPr>
              <w:rPr>
                <w:rFonts w:ascii="Arial" w:hAnsi="Arial" w:cs="Arial"/>
              </w:rPr>
            </w:pPr>
            <w:r>
              <w:rPr>
                <w:rFonts w:ascii="Arial" w:hAnsi="Arial" w:cs="Arial"/>
              </w:rPr>
              <w:t>S</w:t>
            </w:r>
            <w:r w:rsidR="00DD6C7F" w:rsidRPr="00DD6C7F">
              <w:rPr>
                <w:rFonts w:ascii="Arial" w:hAnsi="Arial" w:cs="Arial"/>
              </w:rPr>
              <w:t>hared customer delivery network</w:t>
            </w:r>
            <w:r w:rsidR="003B77DB">
              <w:rPr>
                <w:rFonts w:ascii="Arial" w:hAnsi="Arial" w:cs="Arial"/>
              </w:rPr>
              <w:t xml:space="preserve"> or </w:t>
            </w:r>
            <w:r>
              <w:rPr>
                <w:rFonts w:ascii="Arial" w:hAnsi="Arial" w:cs="Arial"/>
              </w:rPr>
              <w:t>warehousing / storage facility</w:t>
            </w:r>
            <w:r w:rsidR="00DD6C7F" w:rsidRPr="00DD6C7F">
              <w:rPr>
                <w:rFonts w:ascii="Arial" w:hAnsi="Arial" w:cs="Arial"/>
              </w:rPr>
              <w:t xml:space="preserve">. </w:t>
            </w:r>
            <w:r>
              <w:rPr>
                <w:rFonts w:ascii="Arial" w:hAnsi="Arial" w:cs="Arial"/>
              </w:rPr>
              <w:t xml:space="preserve">Not restricted to public or private sector customers, not restricted by type of assets or commodities, open to all customers.  Common service offering with generally </w:t>
            </w:r>
            <w:r w:rsidR="00302CC8">
              <w:rPr>
                <w:rFonts w:ascii="Arial" w:hAnsi="Arial" w:cs="Arial"/>
              </w:rPr>
              <w:t>industry standard</w:t>
            </w:r>
            <w:r>
              <w:rPr>
                <w:rFonts w:ascii="Arial" w:hAnsi="Arial" w:cs="Arial"/>
              </w:rPr>
              <w:t xml:space="preserve"> </w:t>
            </w:r>
            <w:r w:rsidR="00302CC8">
              <w:rPr>
                <w:rFonts w:ascii="Arial" w:hAnsi="Arial" w:cs="Arial"/>
              </w:rPr>
              <w:t>security or traceability features</w:t>
            </w:r>
          </w:p>
        </w:tc>
      </w:tr>
      <w:tr w:rsidR="000C2D2F" w:rsidTr="004D1FFD">
        <w:tc>
          <w:tcPr>
            <w:tcW w:w="2547" w:type="dxa"/>
          </w:tcPr>
          <w:p w:rsidR="000C2D2F" w:rsidRPr="006045D0" w:rsidRDefault="006045D0">
            <w:pPr>
              <w:rPr>
                <w:rFonts w:ascii="Arial" w:hAnsi="Arial" w:cs="Arial"/>
              </w:rPr>
            </w:pPr>
            <w:r>
              <w:rPr>
                <w:rFonts w:ascii="Arial" w:hAnsi="Arial" w:cs="Arial"/>
              </w:rPr>
              <w:t>Semi Dedicated</w:t>
            </w:r>
          </w:p>
        </w:tc>
        <w:tc>
          <w:tcPr>
            <w:tcW w:w="11401" w:type="dxa"/>
          </w:tcPr>
          <w:p w:rsidR="000C2D2F" w:rsidRPr="006045D0" w:rsidRDefault="001715D9" w:rsidP="00497E19">
            <w:pPr>
              <w:rPr>
                <w:rFonts w:ascii="Arial" w:hAnsi="Arial" w:cs="Arial"/>
              </w:rPr>
            </w:pPr>
            <w:r w:rsidRPr="001715D9">
              <w:rPr>
                <w:rFonts w:ascii="Arial" w:hAnsi="Arial" w:cs="Arial"/>
              </w:rPr>
              <w:t>Shared customer delivery network or warehousing / storage facility.</w:t>
            </w:r>
            <w:r>
              <w:rPr>
                <w:rFonts w:ascii="Arial" w:hAnsi="Arial" w:cs="Arial"/>
              </w:rPr>
              <w:t xml:space="preserve">  Designed to meet the needs of a specific group public and private sector custom</w:t>
            </w:r>
            <w:r w:rsidR="00497E19">
              <w:rPr>
                <w:rFonts w:ascii="Arial" w:hAnsi="Arial" w:cs="Arial"/>
              </w:rPr>
              <w:t xml:space="preserve">ers with similar asset types </w:t>
            </w:r>
            <w:r>
              <w:rPr>
                <w:rFonts w:ascii="Arial" w:hAnsi="Arial" w:cs="Arial"/>
              </w:rPr>
              <w:t>or commodities</w:t>
            </w:r>
            <w:r w:rsidR="00497E19">
              <w:rPr>
                <w:rFonts w:ascii="Arial" w:hAnsi="Arial" w:cs="Arial"/>
              </w:rPr>
              <w:t xml:space="preserve"> with common features, requiring for example, temperature / environmental monitoring, specialist handling, enhanced security, bespoke asset tracking</w:t>
            </w:r>
          </w:p>
        </w:tc>
      </w:tr>
      <w:tr w:rsidR="000C2D2F" w:rsidTr="004D1FFD">
        <w:tc>
          <w:tcPr>
            <w:tcW w:w="2547" w:type="dxa"/>
          </w:tcPr>
          <w:p w:rsidR="000C2D2F" w:rsidRPr="006045D0" w:rsidRDefault="006045D0">
            <w:pPr>
              <w:rPr>
                <w:rFonts w:ascii="Arial" w:hAnsi="Arial" w:cs="Arial"/>
              </w:rPr>
            </w:pPr>
            <w:r>
              <w:rPr>
                <w:rFonts w:ascii="Arial" w:hAnsi="Arial" w:cs="Arial"/>
              </w:rPr>
              <w:t>Dedicated</w:t>
            </w:r>
          </w:p>
        </w:tc>
        <w:tc>
          <w:tcPr>
            <w:tcW w:w="11401" w:type="dxa"/>
          </w:tcPr>
          <w:p w:rsidR="000C2D2F" w:rsidRPr="006045D0" w:rsidRDefault="004F1E39">
            <w:pPr>
              <w:rPr>
                <w:rFonts w:ascii="Arial" w:hAnsi="Arial" w:cs="Arial"/>
              </w:rPr>
            </w:pPr>
            <w:r>
              <w:rPr>
                <w:rFonts w:ascii="Arial" w:hAnsi="Arial" w:cs="Arial"/>
              </w:rPr>
              <w:t xml:space="preserve">Delivery or </w:t>
            </w:r>
            <w:r w:rsidRPr="004F1E39">
              <w:rPr>
                <w:rFonts w:ascii="Arial" w:hAnsi="Arial" w:cs="Arial"/>
              </w:rPr>
              <w:t>warehousing / storage facility</w:t>
            </w:r>
            <w:r>
              <w:rPr>
                <w:rFonts w:ascii="Arial" w:hAnsi="Arial" w:cs="Arial"/>
              </w:rPr>
              <w:t xml:space="preserve"> unique to one single customer created purely for, and bespoke to, the individual customers business requirement</w:t>
            </w:r>
          </w:p>
        </w:tc>
      </w:tr>
      <w:tr w:rsidR="000C2D2F" w:rsidTr="004D1FFD">
        <w:tc>
          <w:tcPr>
            <w:tcW w:w="2547" w:type="dxa"/>
          </w:tcPr>
          <w:p w:rsidR="000C2D2F" w:rsidRPr="006045D0" w:rsidRDefault="006045D0">
            <w:pPr>
              <w:rPr>
                <w:rFonts w:ascii="Arial" w:hAnsi="Arial" w:cs="Arial"/>
              </w:rPr>
            </w:pPr>
            <w:r>
              <w:rPr>
                <w:rFonts w:ascii="Arial" w:hAnsi="Arial" w:cs="Arial"/>
              </w:rPr>
              <w:t>24 / 7 / 365</w:t>
            </w:r>
          </w:p>
        </w:tc>
        <w:tc>
          <w:tcPr>
            <w:tcW w:w="11401" w:type="dxa"/>
          </w:tcPr>
          <w:p w:rsidR="000C2D2F" w:rsidRPr="006045D0" w:rsidRDefault="00596616" w:rsidP="00CB018B">
            <w:pPr>
              <w:rPr>
                <w:rFonts w:ascii="Arial" w:hAnsi="Arial" w:cs="Arial"/>
              </w:rPr>
            </w:pPr>
            <w:r>
              <w:rPr>
                <w:rFonts w:ascii="Arial" w:hAnsi="Arial" w:cs="Arial"/>
              </w:rPr>
              <w:t>Means service availability</w:t>
            </w:r>
            <w:r w:rsidR="0030385F" w:rsidRPr="0030385F">
              <w:rPr>
                <w:rFonts w:ascii="Arial" w:hAnsi="Arial" w:cs="Arial"/>
              </w:rPr>
              <w:t xml:space="preserve"> 24 hours a day, 7 days a week and 365 days a year. </w:t>
            </w:r>
            <w:r>
              <w:rPr>
                <w:rFonts w:ascii="Arial" w:hAnsi="Arial" w:cs="Arial"/>
              </w:rPr>
              <w:t xml:space="preserve">Availability </w:t>
            </w:r>
            <w:r w:rsidR="0030385F" w:rsidRPr="0030385F">
              <w:rPr>
                <w:rFonts w:ascii="Arial" w:hAnsi="Arial" w:cs="Arial"/>
              </w:rPr>
              <w:t>constantly and continuously throu</w:t>
            </w:r>
            <w:r>
              <w:rPr>
                <w:rFonts w:ascii="Arial" w:hAnsi="Arial" w:cs="Arial"/>
              </w:rPr>
              <w:t xml:space="preserve">ghout the year with no exceptions </w:t>
            </w:r>
            <w:r w:rsidR="00CB018B">
              <w:rPr>
                <w:rFonts w:ascii="Arial" w:hAnsi="Arial" w:cs="Arial"/>
              </w:rPr>
              <w:t xml:space="preserve">(public </w:t>
            </w:r>
            <w:r>
              <w:rPr>
                <w:rFonts w:ascii="Arial" w:hAnsi="Arial" w:cs="Arial"/>
              </w:rPr>
              <w:t xml:space="preserve">holidays </w:t>
            </w:r>
            <w:r w:rsidR="00CB018B">
              <w:rPr>
                <w:rFonts w:ascii="Arial" w:hAnsi="Arial" w:cs="Arial"/>
              </w:rPr>
              <w:t xml:space="preserve">and weekends </w:t>
            </w:r>
            <w:r>
              <w:rPr>
                <w:rFonts w:ascii="Arial" w:hAnsi="Arial" w:cs="Arial"/>
              </w:rPr>
              <w:t>for example</w:t>
            </w:r>
            <w:r w:rsidR="00CB018B">
              <w:rPr>
                <w:rFonts w:ascii="Arial" w:hAnsi="Arial" w:cs="Arial"/>
              </w:rPr>
              <w:t>)</w:t>
            </w:r>
          </w:p>
        </w:tc>
      </w:tr>
      <w:tr w:rsidR="000C2D2F" w:rsidTr="004D1FFD">
        <w:tc>
          <w:tcPr>
            <w:tcW w:w="2547" w:type="dxa"/>
          </w:tcPr>
          <w:p w:rsidR="000C2D2F" w:rsidRPr="006045D0" w:rsidRDefault="006045D0">
            <w:pPr>
              <w:rPr>
                <w:rFonts w:ascii="Arial" w:hAnsi="Arial" w:cs="Arial"/>
              </w:rPr>
            </w:pPr>
            <w:r>
              <w:rPr>
                <w:rFonts w:ascii="Arial" w:hAnsi="Arial" w:cs="Arial"/>
              </w:rPr>
              <w:t>Lay Down Facility</w:t>
            </w:r>
          </w:p>
        </w:tc>
        <w:tc>
          <w:tcPr>
            <w:tcW w:w="11401" w:type="dxa"/>
          </w:tcPr>
          <w:p w:rsidR="000C2D2F" w:rsidRPr="006045D0" w:rsidRDefault="001D2197" w:rsidP="001D2197">
            <w:pPr>
              <w:rPr>
                <w:rFonts w:ascii="Arial" w:hAnsi="Arial" w:cs="Arial"/>
              </w:rPr>
            </w:pPr>
            <w:r w:rsidRPr="001D2197">
              <w:rPr>
                <w:rFonts w:ascii="Arial" w:hAnsi="Arial" w:cs="Arial"/>
              </w:rPr>
              <w:t xml:space="preserve">A laydown </w:t>
            </w:r>
            <w:r>
              <w:rPr>
                <w:rFonts w:ascii="Arial" w:hAnsi="Arial" w:cs="Arial"/>
              </w:rPr>
              <w:t xml:space="preserve">facility </w:t>
            </w:r>
            <w:r w:rsidRPr="001D2197">
              <w:rPr>
                <w:rFonts w:ascii="Arial" w:hAnsi="Arial" w:cs="Arial"/>
              </w:rPr>
              <w:t>is an area used for the receipt, temporary storage, and sometimes for the assembly of construction equipment and other supp</w:t>
            </w:r>
            <w:r>
              <w:rPr>
                <w:rFonts w:ascii="Arial" w:hAnsi="Arial" w:cs="Arial"/>
              </w:rPr>
              <w:t xml:space="preserve">lies. It may also allow parking </w:t>
            </w:r>
            <w:r w:rsidRPr="001D2197">
              <w:rPr>
                <w:rFonts w:ascii="Arial" w:hAnsi="Arial" w:cs="Arial"/>
              </w:rPr>
              <w:t>and access</w:t>
            </w:r>
            <w:r>
              <w:rPr>
                <w:rFonts w:ascii="Arial" w:hAnsi="Arial" w:cs="Arial"/>
              </w:rPr>
              <w:t>,</w:t>
            </w:r>
            <w:r w:rsidRPr="001D2197">
              <w:rPr>
                <w:rFonts w:ascii="Arial" w:hAnsi="Arial" w:cs="Arial"/>
              </w:rPr>
              <w:t xml:space="preserve"> and may </w:t>
            </w:r>
            <w:r>
              <w:rPr>
                <w:rFonts w:ascii="Arial" w:hAnsi="Arial" w:cs="Arial"/>
              </w:rPr>
              <w:t xml:space="preserve">also </w:t>
            </w:r>
            <w:r w:rsidRPr="001D2197">
              <w:rPr>
                <w:rFonts w:ascii="Arial" w:hAnsi="Arial" w:cs="Arial"/>
              </w:rPr>
              <w:t>provide welfare facilities and utilities</w:t>
            </w:r>
          </w:p>
        </w:tc>
      </w:tr>
      <w:tr w:rsidR="000C2D2F" w:rsidTr="004D1FFD">
        <w:tc>
          <w:tcPr>
            <w:tcW w:w="2547" w:type="dxa"/>
          </w:tcPr>
          <w:p w:rsidR="000C2D2F" w:rsidRPr="006045D0" w:rsidRDefault="006045D0">
            <w:pPr>
              <w:rPr>
                <w:rFonts w:ascii="Arial" w:hAnsi="Arial" w:cs="Arial"/>
              </w:rPr>
            </w:pPr>
            <w:r>
              <w:rPr>
                <w:rFonts w:ascii="Arial" w:hAnsi="Arial" w:cs="Arial"/>
              </w:rPr>
              <w:t>Key Supplier</w:t>
            </w:r>
          </w:p>
        </w:tc>
        <w:tc>
          <w:tcPr>
            <w:tcW w:w="11401" w:type="dxa"/>
          </w:tcPr>
          <w:p w:rsidR="000C2D2F" w:rsidRPr="006045D0" w:rsidRDefault="000C2D2F">
            <w:pPr>
              <w:rPr>
                <w:rFonts w:ascii="Arial" w:hAnsi="Arial" w:cs="Arial"/>
              </w:rPr>
            </w:pPr>
          </w:p>
        </w:tc>
      </w:tr>
      <w:tr w:rsidR="000C2D2F" w:rsidTr="004D1FFD">
        <w:tc>
          <w:tcPr>
            <w:tcW w:w="2547" w:type="dxa"/>
          </w:tcPr>
          <w:p w:rsidR="000C2D2F" w:rsidRPr="006045D0" w:rsidRDefault="006045D0">
            <w:pPr>
              <w:rPr>
                <w:rFonts w:ascii="Arial" w:hAnsi="Arial" w:cs="Arial"/>
              </w:rPr>
            </w:pPr>
            <w:r>
              <w:rPr>
                <w:rFonts w:ascii="Arial" w:hAnsi="Arial" w:cs="Arial"/>
              </w:rPr>
              <w:t>List X</w:t>
            </w:r>
          </w:p>
        </w:tc>
        <w:tc>
          <w:tcPr>
            <w:tcW w:w="11401" w:type="dxa"/>
          </w:tcPr>
          <w:p w:rsidR="000C2D2F" w:rsidRDefault="001D2197" w:rsidP="001D2197">
            <w:pPr>
              <w:rPr>
                <w:rFonts w:ascii="Arial" w:hAnsi="Arial" w:cs="Arial"/>
              </w:rPr>
            </w:pPr>
            <w:r>
              <w:rPr>
                <w:rFonts w:ascii="Arial" w:hAnsi="Arial" w:cs="Arial"/>
              </w:rPr>
              <w:t xml:space="preserve">List X </w:t>
            </w:r>
            <w:r w:rsidRPr="001D2197">
              <w:rPr>
                <w:rFonts w:ascii="Arial" w:hAnsi="Arial" w:cs="Arial"/>
              </w:rPr>
              <w:t xml:space="preserve">is the term </w:t>
            </w:r>
            <w:r w:rsidR="004D1FFD" w:rsidRPr="001D2197">
              <w:rPr>
                <w:rFonts w:ascii="Arial" w:hAnsi="Arial" w:cs="Arial"/>
              </w:rPr>
              <w:t>refer</w:t>
            </w:r>
            <w:r w:rsidR="004D1FFD">
              <w:rPr>
                <w:rFonts w:ascii="Arial" w:hAnsi="Arial" w:cs="Arial"/>
              </w:rPr>
              <w:t>ring</w:t>
            </w:r>
            <w:r w:rsidRPr="001D2197">
              <w:rPr>
                <w:rFonts w:ascii="Arial" w:hAnsi="Arial" w:cs="Arial"/>
              </w:rPr>
              <w:t xml:space="preserve"> to contractors or subcontractors that have been placed on the List X database because they are carrying out work on their own premises that bears a UK Government classification of SECRET or above</w:t>
            </w:r>
          </w:p>
          <w:p w:rsidR="004D1FFD" w:rsidRDefault="004D1FFD" w:rsidP="001D2197">
            <w:pPr>
              <w:rPr>
                <w:rFonts w:ascii="Arial" w:hAnsi="Arial" w:cs="Arial"/>
              </w:rPr>
            </w:pPr>
          </w:p>
          <w:p w:rsidR="004D1FFD" w:rsidRPr="006045D0" w:rsidRDefault="008863B1" w:rsidP="001D2197">
            <w:pPr>
              <w:rPr>
                <w:rFonts w:ascii="Arial" w:hAnsi="Arial" w:cs="Arial"/>
              </w:rPr>
            </w:pPr>
            <w:hyperlink r:id="rId4" w:history="1">
              <w:r w:rsidR="004D1FFD">
                <w:rPr>
                  <w:rStyle w:val="Hyperlink"/>
                </w:rPr>
                <w:t>https://assets.publishing.service.gov.uk/government/uploads/system/uploads/attachment_data/file/367514/Security_Requirements_for_List_X_Contractors.pdf</w:t>
              </w:r>
            </w:hyperlink>
          </w:p>
        </w:tc>
      </w:tr>
      <w:tr w:rsidR="000C2D2F" w:rsidTr="004D1FFD">
        <w:tc>
          <w:tcPr>
            <w:tcW w:w="2547" w:type="dxa"/>
          </w:tcPr>
          <w:p w:rsidR="000C2D2F" w:rsidRPr="006045D0" w:rsidRDefault="006045D0">
            <w:pPr>
              <w:rPr>
                <w:rFonts w:ascii="Arial" w:hAnsi="Arial" w:cs="Arial"/>
              </w:rPr>
            </w:pPr>
            <w:bookmarkStart w:id="0" w:name="_GoBack" w:colFirst="1" w:colLast="1"/>
            <w:r>
              <w:rPr>
                <w:rFonts w:ascii="Arial" w:hAnsi="Arial" w:cs="Arial"/>
              </w:rPr>
              <w:t>Mandatory</w:t>
            </w:r>
          </w:p>
        </w:tc>
        <w:tc>
          <w:tcPr>
            <w:tcW w:w="11401" w:type="dxa"/>
          </w:tcPr>
          <w:p w:rsidR="000C2D2F" w:rsidRPr="008863B1" w:rsidRDefault="00E1673E" w:rsidP="00E1673E">
            <w:pPr>
              <w:rPr>
                <w:rFonts w:ascii="Arial" w:hAnsi="Arial" w:cs="Arial"/>
              </w:rPr>
            </w:pPr>
            <w:r w:rsidRPr="008863B1">
              <w:rPr>
                <w:rFonts w:ascii="Arial" w:hAnsi="Arial" w:cs="Arial"/>
              </w:rPr>
              <w:t xml:space="preserve">This means all the deliverables stated in the Mandatory sections of each Lot that suppliers must be able to provide with corresponding prices and rates.  These Mandatory requirements and pricing / rates will be evaluated and will </w:t>
            </w:r>
            <w:r w:rsidRPr="008863B1">
              <w:rPr>
                <w:rFonts w:ascii="Arial" w:hAnsi="Arial" w:cs="Arial"/>
              </w:rPr>
              <w:lastRenderedPageBreak/>
              <w:t>determine the Suppliers who are successful in gaining Supplier Status for the /those specific Lot(s) of this Framework Contract.  The only exception is Lot 8 where suppliers are only required to meet one singular Mandatory element of the Lot to be able to progress</w:t>
            </w:r>
          </w:p>
        </w:tc>
      </w:tr>
      <w:tr w:rsidR="000C2D2F" w:rsidTr="004D1FFD">
        <w:tc>
          <w:tcPr>
            <w:tcW w:w="2547" w:type="dxa"/>
          </w:tcPr>
          <w:p w:rsidR="000C2D2F" w:rsidRPr="006045D0" w:rsidRDefault="006045D0">
            <w:pPr>
              <w:rPr>
                <w:rFonts w:ascii="Arial" w:hAnsi="Arial" w:cs="Arial"/>
              </w:rPr>
            </w:pPr>
            <w:r>
              <w:rPr>
                <w:rFonts w:ascii="Arial" w:hAnsi="Arial" w:cs="Arial"/>
              </w:rPr>
              <w:lastRenderedPageBreak/>
              <w:t>Non Mandatory</w:t>
            </w:r>
          </w:p>
        </w:tc>
        <w:tc>
          <w:tcPr>
            <w:tcW w:w="11401" w:type="dxa"/>
          </w:tcPr>
          <w:p w:rsidR="000C2D2F" w:rsidRPr="008863B1" w:rsidRDefault="0085380D" w:rsidP="0085380D">
            <w:pPr>
              <w:rPr>
                <w:rFonts w:ascii="Arial" w:hAnsi="Arial" w:cs="Arial"/>
              </w:rPr>
            </w:pPr>
            <w:r w:rsidRPr="008863B1">
              <w:rPr>
                <w:rFonts w:ascii="Arial" w:hAnsi="Arial" w:cs="Arial"/>
              </w:rPr>
              <w:t>Subject to Suppliers gaining a place on the Framework Contract by meeting the Mandatory requirements – these additional Non Mandatory services can be offered at your discretion and depending on your organisational service offering, be available as solutions and Deliverables for Customers.  These Non-Mandatory elements are elective, and will not be subject to evaluation at Framework bid level</w:t>
            </w:r>
          </w:p>
        </w:tc>
      </w:tr>
      <w:bookmarkEnd w:id="0"/>
    </w:tbl>
    <w:p w:rsidR="005E0B63" w:rsidRPr="00D9240C" w:rsidRDefault="005E0B63">
      <w:pPr>
        <w:rPr>
          <w:rFonts w:ascii="Arial" w:hAnsi="Arial" w:cs="Arial"/>
          <w:b/>
        </w:rPr>
      </w:pPr>
    </w:p>
    <w:sectPr w:rsidR="005E0B63" w:rsidRPr="00D9240C" w:rsidSect="004D1FFD">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240C"/>
    <w:rsid w:val="000C2D2F"/>
    <w:rsid w:val="001715D9"/>
    <w:rsid w:val="001C02E4"/>
    <w:rsid w:val="001D2197"/>
    <w:rsid w:val="00302CC8"/>
    <w:rsid w:val="0030385F"/>
    <w:rsid w:val="003B77DB"/>
    <w:rsid w:val="0042039B"/>
    <w:rsid w:val="00497E19"/>
    <w:rsid w:val="004D1FFD"/>
    <w:rsid w:val="004F1E39"/>
    <w:rsid w:val="00596616"/>
    <w:rsid w:val="005E0B63"/>
    <w:rsid w:val="006045D0"/>
    <w:rsid w:val="00824030"/>
    <w:rsid w:val="0085380D"/>
    <w:rsid w:val="008863B1"/>
    <w:rsid w:val="008966FA"/>
    <w:rsid w:val="00AE51E3"/>
    <w:rsid w:val="00B346C8"/>
    <w:rsid w:val="00CB018B"/>
    <w:rsid w:val="00D54C64"/>
    <w:rsid w:val="00D9240C"/>
    <w:rsid w:val="00DD6C7F"/>
    <w:rsid w:val="00E167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1F12AD7-1199-400E-8062-604201996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C2D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4D1FF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assets.publishing.service.gov.uk/government/uploads/system/uploads/attachment_data/file/367514/Security_Requirements_for_List_X_Contractor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2781</TotalTime>
  <Pages>2</Pages>
  <Words>608</Words>
  <Characters>3021</Characters>
  <Application>Microsoft Office Word</Application>
  <DocSecurity>0</DocSecurity>
  <Lines>49</Lines>
  <Paragraphs>21</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Neil Hall</dc:creator>
  <cp:keywords/>
  <dc:description/>
  <cp:lastModifiedBy>Neil Hall</cp:lastModifiedBy>
  <cp:revision>16</cp:revision>
  <dcterms:created xsi:type="dcterms:W3CDTF">2020-03-19T15:02:00Z</dcterms:created>
  <dcterms:modified xsi:type="dcterms:W3CDTF">2020-06-30T11:05:00Z</dcterms:modified>
</cp:coreProperties>
</file>