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8A614" w14:textId="7BD6B600" w:rsidR="002C6A79" w:rsidRDefault="00F54514" w:rsidP="00F54514">
      <w:pPr>
        <w:pStyle w:val="Heading1"/>
        <w:jc w:val="center"/>
      </w:pPr>
      <w:r>
        <w:t xml:space="preserve">Online Programme Management </w:t>
      </w:r>
    </w:p>
    <w:p w14:paraId="643F9930" w14:textId="63DB0AAA" w:rsidR="00F54514" w:rsidRPr="00F54514" w:rsidRDefault="00F54514" w:rsidP="00F54514">
      <w:pPr>
        <w:pStyle w:val="Heading2"/>
        <w:jc w:val="center"/>
      </w:pPr>
      <w:r>
        <w:t xml:space="preserve">Case Study </w:t>
      </w:r>
      <w:r w:rsidR="70985C6D">
        <w:t>Evidence</w:t>
      </w:r>
    </w:p>
    <w:p w14:paraId="110FC485" w14:textId="77777777" w:rsidR="00F54514" w:rsidRDefault="00F54514"/>
    <w:p w14:paraId="172E92FA" w14:textId="122C4493" w:rsidR="7AB46C07" w:rsidRDefault="7AB46C07">
      <w:r>
        <w:t>Durham University is</w:t>
      </w:r>
      <w:r w:rsidR="00E463CC">
        <w:t xml:space="preserve"> exploring potential partnerships for the development and growth of our online Postgraduate Taught (PGT) program</w:t>
      </w:r>
      <w:r w:rsidR="43395F66">
        <w:t>mes</w:t>
      </w:r>
      <w:r w:rsidR="00E463CC">
        <w:t>. To assess compatibility and ensure alignment with our objectives, we kindly request comprehensive case study</w:t>
      </w:r>
      <w:r w:rsidR="51D2DE74">
        <w:t xml:space="preserve"> examples and evidence</w:t>
      </w:r>
      <w:r w:rsidR="00E463CC">
        <w:t xml:space="preserve"> that showcases your organization's </w:t>
      </w:r>
      <w:r w:rsidR="701CEB4A">
        <w:t xml:space="preserve">expertise, </w:t>
      </w:r>
      <w:proofErr w:type="gramStart"/>
      <w:r w:rsidR="00E463CC">
        <w:t>capabilities</w:t>
      </w:r>
      <w:proofErr w:type="gramEnd"/>
      <w:r w:rsidR="00E463CC">
        <w:t xml:space="preserve"> and experience in the following areas</w:t>
      </w:r>
      <w:r w:rsidR="60EF7871">
        <w:t>.</w:t>
      </w:r>
    </w:p>
    <w:p w14:paraId="7151FD1B" w14:textId="47B8E704" w:rsidR="60EF7871" w:rsidRDefault="60EF7871" w:rsidP="59E96456">
      <w:r>
        <w:t>Examples do not need to be drawn from single partnerships</w:t>
      </w:r>
      <w:r w:rsidR="768381AE">
        <w:t>. E</w:t>
      </w:r>
      <w:r>
        <w:t xml:space="preserve">vidence and examples are sought from activities delivered within typical OPM arrangements, rather than </w:t>
      </w:r>
      <w:r w:rsidR="204DDB17">
        <w:t xml:space="preserve">consultations or other non-credit bearing or compliance training course offerings. </w:t>
      </w:r>
    </w:p>
    <w:p w14:paraId="4EDA72CC" w14:textId="77777777" w:rsidR="00E463CC" w:rsidRPr="00E463CC" w:rsidRDefault="00E463CC" w:rsidP="00E463CC">
      <w:pPr>
        <w:numPr>
          <w:ilvl w:val="0"/>
          <w:numId w:val="8"/>
        </w:numPr>
      </w:pPr>
      <w:r w:rsidRPr="00E463CC">
        <w:rPr>
          <w:b/>
          <w:bCs/>
        </w:rPr>
        <w:t>Financial Stability and Investment Capability</w:t>
      </w:r>
      <w:r w:rsidRPr="00E463CC">
        <w:t>:</w:t>
      </w:r>
    </w:p>
    <w:p w14:paraId="2D72C8C3" w14:textId="77777777" w:rsidR="00E463CC" w:rsidRPr="00E463CC" w:rsidRDefault="00E463CC" w:rsidP="00E463CC">
      <w:pPr>
        <w:numPr>
          <w:ilvl w:val="1"/>
          <w:numId w:val="8"/>
        </w:numPr>
      </w:pPr>
      <w:r w:rsidRPr="00E463CC">
        <w:t>Details on your ability to provide upfront investment for successful partnership ventures.</w:t>
      </w:r>
    </w:p>
    <w:p w14:paraId="278CB3B6" w14:textId="7488DF61" w:rsidR="00E463CC" w:rsidRPr="00E463CC" w:rsidRDefault="00E463CC" w:rsidP="00E463CC">
      <w:pPr>
        <w:numPr>
          <w:ilvl w:val="1"/>
          <w:numId w:val="8"/>
        </w:numPr>
      </w:pPr>
      <w:r w:rsidRPr="00E463CC">
        <w:t xml:space="preserve">Examples demonstrating the achievement of profitability for both parties in </w:t>
      </w:r>
      <w:r>
        <w:t>current partnerships.</w:t>
      </w:r>
    </w:p>
    <w:p w14:paraId="5BD722E9" w14:textId="77777777" w:rsidR="00E463CC" w:rsidRPr="00E463CC" w:rsidRDefault="00E463CC" w:rsidP="00E463CC">
      <w:pPr>
        <w:numPr>
          <w:ilvl w:val="0"/>
          <w:numId w:val="8"/>
        </w:numPr>
      </w:pPr>
      <w:r w:rsidRPr="00E463CC">
        <w:rPr>
          <w:b/>
          <w:bCs/>
        </w:rPr>
        <w:t>Development of Online PGT Portfolios from Concept to Success</w:t>
      </w:r>
      <w:r w:rsidRPr="00E463CC">
        <w:t>:</w:t>
      </w:r>
    </w:p>
    <w:p w14:paraId="67631DA8" w14:textId="2AEAD65F" w:rsidR="00E463CC" w:rsidRPr="00E463CC" w:rsidRDefault="00E463CC" w:rsidP="00E463CC">
      <w:pPr>
        <w:numPr>
          <w:ilvl w:val="1"/>
          <w:numId w:val="8"/>
        </w:numPr>
      </w:pPr>
      <w:r>
        <w:t xml:space="preserve">Evidence of supporting the </w:t>
      </w:r>
      <w:r w:rsidR="539CC06E">
        <w:t xml:space="preserve">growth of </w:t>
      </w:r>
      <w:r>
        <w:t>online PGT programs, from conceptualization to enrolment and long-term success</w:t>
      </w:r>
      <w:r w:rsidR="415FD071">
        <w:t xml:space="preserve"> including retention, </w:t>
      </w:r>
      <w:proofErr w:type="gramStart"/>
      <w:r w:rsidR="415FD071">
        <w:t>progression</w:t>
      </w:r>
      <w:proofErr w:type="gramEnd"/>
      <w:r w:rsidR="415FD071">
        <w:t xml:space="preserve"> and profitability.</w:t>
      </w:r>
      <w:r w:rsidR="182409E2">
        <w:t xml:space="preserve"> </w:t>
      </w:r>
    </w:p>
    <w:p w14:paraId="6075AE24" w14:textId="3AAACA0B" w:rsidR="00E463CC" w:rsidRPr="00E463CC" w:rsidRDefault="00E463CC" w:rsidP="00E463CC">
      <w:pPr>
        <w:numPr>
          <w:ilvl w:val="1"/>
          <w:numId w:val="8"/>
        </w:numPr>
      </w:pPr>
      <w:r>
        <w:t>Specific outcomes and key performance indicators (KPIs) illustrating program growth and sustained success across a range of time periods,</w:t>
      </w:r>
      <w:r w:rsidR="002E1F49">
        <w:t xml:space="preserve"> e.g.,</w:t>
      </w:r>
      <w:r>
        <w:t xml:space="preserve"> growth </w:t>
      </w:r>
      <w:r w:rsidR="002E1F49">
        <w:t>in early programme delivery and in mature delivery</w:t>
      </w:r>
      <w:r w:rsidR="70FF4D1A">
        <w:t xml:space="preserve">. </w:t>
      </w:r>
    </w:p>
    <w:p w14:paraId="1DA67B70" w14:textId="77777777" w:rsidR="00E463CC" w:rsidRPr="00E463CC" w:rsidRDefault="00E463CC" w:rsidP="00E463CC">
      <w:pPr>
        <w:numPr>
          <w:ilvl w:val="0"/>
          <w:numId w:val="8"/>
        </w:numPr>
      </w:pPr>
      <w:r w:rsidRPr="00E463CC">
        <w:rPr>
          <w:b/>
          <w:bCs/>
        </w:rPr>
        <w:t>Achieving Sustainable Profitability in Online PGT Programs</w:t>
      </w:r>
      <w:r w:rsidRPr="00E463CC">
        <w:t>:</w:t>
      </w:r>
    </w:p>
    <w:p w14:paraId="16DA41CB" w14:textId="77777777" w:rsidR="00E463CC" w:rsidRPr="00E463CC" w:rsidRDefault="00E463CC" w:rsidP="00E463CC">
      <w:pPr>
        <w:numPr>
          <w:ilvl w:val="1"/>
          <w:numId w:val="8"/>
        </w:numPr>
      </w:pPr>
      <w:r w:rsidRPr="00E463CC">
        <w:t>Case examples illustrating how your organization has achieved sustainable profitability through online PGT initiatives.</w:t>
      </w:r>
    </w:p>
    <w:p w14:paraId="4E1AD4DF" w14:textId="7A7F145A" w:rsidR="00E463CC" w:rsidRPr="00E463CC" w:rsidRDefault="00E463CC" w:rsidP="00E463CC">
      <w:pPr>
        <w:numPr>
          <w:ilvl w:val="1"/>
          <w:numId w:val="8"/>
        </w:numPr>
      </w:pPr>
      <w:r w:rsidRPr="00E463CC">
        <w:t>Insights into strategies deployed to optimize revenue streams and operational efficiencies</w:t>
      </w:r>
      <w:r w:rsidR="002E1F49">
        <w:t>, including timeframes</w:t>
      </w:r>
      <w:r w:rsidR="009410ED">
        <w:t xml:space="preserve"> and anticipated timeframes considering the current market conditions. </w:t>
      </w:r>
    </w:p>
    <w:p w14:paraId="76655DD4" w14:textId="69DA7E98" w:rsidR="00E463CC" w:rsidRPr="00E463CC" w:rsidRDefault="00E463CC" w:rsidP="00E463CC">
      <w:pPr>
        <w:numPr>
          <w:ilvl w:val="0"/>
          <w:numId w:val="8"/>
        </w:numPr>
      </w:pPr>
      <w:r w:rsidRPr="0F66800A">
        <w:rPr>
          <w:b/>
          <w:bCs/>
        </w:rPr>
        <w:t xml:space="preserve">Experience with </w:t>
      </w:r>
      <w:r w:rsidR="210FCAA8" w:rsidRPr="0F66800A">
        <w:rPr>
          <w:b/>
          <w:bCs/>
        </w:rPr>
        <w:t xml:space="preserve">Research intensive </w:t>
      </w:r>
      <w:r w:rsidRPr="0F66800A">
        <w:rPr>
          <w:b/>
          <w:bCs/>
        </w:rPr>
        <w:t>Collaborations</w:t>
      </w:r>
      <w:r>
        <w:t>:</w:t>
      </w:r>
    </w:p>
    <w:p w14:paraId="29CD80A8" w14:textId="69F1D3A1" w:rsidR="00E463CC" w:rsidRPr="00E463CC" w:rsidRDefault="00E463CC" w:rsidP="00E463CC">
      <w:pPr>
        <w:numPr>
          <w:ilvl w:val="1"/>
          <w:numId w:val="8"/>
        </w:numPr>
      </w:pPr>
      <w:r>
        <w:t xml:space="preserve">Details of collaborations with Russell Group Universities or similarly </w:t>
      </w:r>
      <w:r w:rsidR="1F1E04BA">
        <w:t>research-intensive HEIs</w:t>
      </w:r>
      <w:r>
        <w:t xml:space="preserve"> in the UK and/or internationally</w:t>
      </w:r>
      <w:r w:rsidR="009410ED">
        <w:t xml:space="preserve"> relating to typical OPM activities of market assessment, marketing, recruitment, enrolment, </w:t>
      </w:r>
      <w:r w:rsidR="004F0F3F">
        <w:t>design,</w:t>
      </w:r>
      <w:r w:rsidR="009410ED">
        <w:t xml:space="preserve"> and development of PGT courses.</w:t>
      </w:r>
    </w:p>
    <w:p w14:paraId="4BCD8393" w14:textId="0C5C429D" w:rsidR="00E463CC" w:rsidRPr="00E463CC" w:rsidRDefault="00E463CC" w:rsidP="00E463CC">
      <w:pPr>
        <w:numPr>
          <w:ilvl w:val="1"/>
          <w:numId w:val="8"/>
        </w:numPr>
      </w:pPr>
      <w:r w:rsidRPr="00E463CC">
        <w:lastRenderedPageBreak/>
        <w:t>Achievements and best practices derived from such partnerships</w:t>
      </w:r>
      <w:r w:rsidR="009410ED">
        <w:t xml:space="preserve">, including </w:t>
      </w:r>
      <w:r w:rsidR="004F0F3F">
        <w:t xml:space="preserve">examples of </w:t>
      </w:r>
      <w:r w:rsidR="00C50E3E">
        <w:t xml:space="preserve">student feedback on learning experience, course </w:t>
      </w:r>
      <w:r w:rsidR="004F0F3F">
        <w:t>evaluation,</w:t>
      </w:r>
      <w:r w:rsidR="009410ED">
        <w:t xml:space="preserve"> and </w:t>
      </w:r>
      <w:r w:rsidR="0082173A">
        <w:t>harnessing of learning analytics and other</w:t>
      </w:r>
      <w:r w:rsidR="009410ED">
        <w:t xml:space="preserve"> data</w:t>
      </w:r>
      <w:r w:rsidR="0082173A">
        <w:t xml:space="preserve"> pints</w:t>
      </w:r>
      <w:r w:rsidR="009410ED">
        <w:t xml:space="preserve"> to inform future </w:t>
      </w:r>
      <w:r w:rsidR="0082173A">
        <w:t>best practice.</w:t>
      </w:r>
    </w:p>
    <w:p w14:paraId="263D7060" w14:textId="77777777" w:rsidR="00E463CC" w:rsidRPr="00E463CC" w:rsidRDefault="00E463CC" w:rsidP="00E463CC">
      <w:pPr>
        <w:numPr>
          <w:ilvl w:val="0"/>
          <w:numId w:val="8"/>
        </w:numPr>
      </w:pPr>
      <w:r w:rsidRPr="00E463CC">
        <w:rPr>
          <w:b/>
          <w:bCs/>
        </w:rPr>
        <w:t>Utilization of Institutional VLEs (e.g., Blackboard Learn Ultra)</w:t>
      </w:r>
      <w:r w:rsidRPr="00E463CC">
        <w:t>:</w:t>
      </w:r>
    </w:p>
    <w:p w14:paraId="1E0CE1C7" w14:textId="77777777" w:rsidR="00E463CC" w:rsidRPr="00E463CC" w:rsidRDefault="00E463CC" w:rsidP="00E463CC">
      <w:pPr>
        <w:numPr>
          <w:ilvl w:val="1"/>
          <w:numId w:val="8"/>
        </w:numPr>
      </w:pPr>
      <w:r w:rsidRPr="00E463CC">
        <w:t>Examples demonstrating successful program development utilizing institutionally adopted Virtual Learning Environments (VLEs).</w:t>
      </w:r>
    </w:p>
    <w:p w14:paraId="6F3E4D08" w14:textId="77777777" w:rsidR="00E463CC" w:rsidRPr="00E463CC" w:rsidRDefault="00E463CC" w:rsidP="00E463CC">
      <w:pPr>
        <w:numPr>
          <w:ilvl w:val="1"/>
          <w:numId w:val="8"/>
        </w:numPr>
      </w:pPr>
      <w:r w:rsidRPr="00E463CC">
        <w:t>Insights into optimizing online PGT portfolios within specific VLE frameworks.</w:t>
      </w:r>
    </w:p>
    <w:p w14:paraId="441E1F85" w14:textId="77777777" w:rsidR="00E463CC" w:rsidRPr="00E463CC" w:rsidRDefault="00E463CC" w:rsidP="00E463CC">
      <w:pPr>
        <w:numPr>
          <w:ilvl w:val="0"/>
          <w:numId w:val="8"/>
        </w:numPr>
      </w:pPr>
      <w:r w:rsidRPr="00E463CC">
        <w:rPr>
          <w:b/>
          <w:bCs/>
        </w:rPr>
        <w:t>Market Assessment and Expansion Opportunities</w:t>
      </w:r>
      <w:r w:rsidRPr="00E463CC">
        <w:t>:</w:t>
      </w:r>
    </w:p>
    <w:p w14:paraId="52AC15A5" w14:textId="77777777" w:rsidR="00E463CC" w:rsidRPr="00E463CC" w:rsidRDefault="00E463CC" w:rsidP="00E463CC">
      <w:pPr>
        <w:numPr>
          <w:ilvl w:val="1"/>
          <w:numId w:val="8"/>
        </w:numPr>
      </w:pPr>
      <w:r w:rsidRPr="00E463CC">
        <w:t>Demonstrable ability to assess market potential and identify growth opportunities aligned with institutional ambitions.</w:t>
      </w:r>
    </w:p>
    <w:p w14:paraId="2EC73D19" w14:textId="73566370" w:rsidR="00E463CC" w:rsidRPr="00E463CC" w:rsidRDefault="00E463CC" w:rsidP="00E463CC">
      <w:pPr>
        <w:numPr>
          <w:ilvl w:val="1"/>
          <w:numId w:val="8"/>
        </w:numPr>
      </w:pPr>
      <w:r>
        <w:t>Specific strategies employed to expand online provision in line with partner institutions' expertise</w:t>
      </w:r>
      <w:r w:rsidR="0082173A">
        <w:t>, with examples of success.</w:t>
      </w:r>
    </w:p>
    <w:p w14:paraId="35543F05" w14:textId="762C86B7" w:rsidR="568D70C0" w:rsidRDefault="568D70C0" w:rsidP="7EF33C1D">
      <w:pPr>
        <w:numPr>
          <w:ilvl w:val="1"/>
          <w:numId w:val="8"/>
        </w:numPr>
      </w:pPr>
      <w:r>
        <w:t>Details of key recruitment markets/</w:t>
      </w:r>
      <w:r w:rsidR="470A0E5B">
        <w:t>geographies</w:t>
      </w:r>
      <w:r>
        <w:t xml:space="preserve"> </w:t>
      </w:r>
      <w:r w:rsidR="48E0DBE5">
        <w:t xml:space="preserve">your organisation expect to recruit students from with details of the volume/proportion of leads and enrolments generated from these markets. </w:t>
      </w:r>
    </w:p>
    <w:p w14:paraId="3F794C39" w14:textId="6883521C" w:rsidR="048FB726" w:rsidRDefault="048FB726" w:rsidP="59E96456">
      <w:pPr>
        <w:numPr>
          <w:ilvl w:val="1"/>
          <w:numId w:val="8"/>
        </w:numPr>
      </w:pPr>
      <w:r>
        <w:t xml:space="preserve">Examples of successful marketing campaigns demonstrating costs and </w:t>
      </w:r>
      <w:proofErr w:type="gramStart"/>
      <w:r>
        <w:t>recruited</w:t>
      </w:r>
      <w:proofErr w:type="gramEnd"/>
      <w:r>
        <w:t xml:space="preserve"> </w:t>
      </w:r>
    </w:p>
    <w:p w14:paraId="2C7FBFF9" w14:textId="77777777" w:rsidR="00E463CC" w:rsidRPr="00E463CC" w:rsidRDefault="00E463CC" w:rsidP="00E463CC">
      <w:pPr>
        <w:numPr>
          <w:ilvl w:val="0"/>
          <w:numId w:val="8"/>
        </w:numPr>
      </w:pPr>
      <w:r w:rsidRPr="00E463CC">
        <w:rPr>
          <w:b/>
          <w:bCs/>
        </w:rPr>
        <w:t>Flexibility in Operating Models and Service Provision</w:t>
      </w:r>
      <w:r w:rsidRPr="00E463CC">
        <w:t>:</w:t>
      </w:r>
    </w:p>
    <w:p w14:paraId="3BF48FC5" w14:textId="77777777" w:rsidR="00E463CC" w:rsidRPr="00E463CC" w:rsidRDefault="00E463CC" w:rsidP="00E463CC">
      <w:pPr>
        <w:numPr>
          <w:ilvl w:val="1"/>
          <w:numId w:val="8"/>
        </w:numPr>
      </w:pPr>
      <w:r w:rsidRPr="00E463CC">
        <w:t>Illustrations of flexibility in supporting partner institutions with varied operating models on a course-by-course basis.</w:t>
      </w:r>
    </w:p>
    <w:p w14:paraId="303C4A04" w14:textId="77777777" w:rsidR="00E463CC" w:rsidRPr="00E463CC" w:rsidRDefault="00E463CC" w:rsidP="00E463CC">
      <w:pPr>
        <w:numPr>
          <w:ilvl w:val="1"/>
          <w:numId w:val="8"/>
        </w:numPr>
      </w:pPr>
      <w:r>
        <w:t>Success stories highlighting adaptable service provision tailored to partner needs.</w:t>
      </w:r>
    </w:p>
    <w:p w14:paraId="40E1B579" w14:textId="37083AB5" w:rsidR="12EAE8FF" w:rsidRDefault="12EAE8FF" w:rsidP="7EF33C1D">
      <w:pPr>
        <w:numPr>
          <w:ilvl w:val="1"/>
          <w:numId w:val="8"/>
        </w:numPr>
      </w:pPr>
      <w:r>
        <w:t xml:space="preserve">A worked </w:t>
      </w:r>
      <w:r w:rsidR="4BAD69EE">
        <w:t>comparison</w:t>
      </w:r>
      <w:r>
        <w:t xml:space="preserve"> of the </w:t>
      </w:r>
      <w:r w:rsidR="7ADD25D4">
        <w:t xml:space="preserve">typical </w:t>
      </w:r>
      <w:r>
        <w:t>commercial model to market, develop and delive</w:t>
      </w:r>
      <w:r w:rsidR="45A03217">
        <w:t xml:space="preserve">r a PGT programme, assuming typical OPM service offerings </w:t>
      </w:r>
      <w:r w:rsidR="4AD54677">
        <w:t>within both a revenue share agreement and a fee for service agreement.</w:t>
      </w:r>
      <w:r w:rsidR="73604DA8">
        <w:t xml:space="preserve"> </w:t>
      </w:r>
    </w:p>
    <w:p w14:paraId="13F03FF1" w14:textId="77777777" w:rsidR="00E463CC" w:rsidRPr="00E463CC" w:rsidRDefault="00E463CC" w:rsidP="00E463CC">
      <w:pPr>
        <w:numPr>
          <w:ilvl w:val="0"/>
          <w:numId w:val="8"/>
        </w:numPr>
      </w:pPr>
      <w:r w:rsidRPr="00E463CC">
        <w:rPr>
          <w:b/>
          <w:bCs/>
        </w:rPr>
        <w:t>Global Learner Support and Technical Assistance</w:t>
      </w:r>
      <w:r w:rsidRPr="00E463CC">
        <w:t>:</w:t>
      </w:r>
    </w:p>
    <w:p w14:paraId="02D1B4C8" w14:textId="77777777" w:rsidR="00E463CC" w:rsidRPr="00E463CC" w:rsidRDefault="00E463CC" w:rsidP="00E463CC">
      <w:pPr>
        <w:numPr>
          <w:ilvl w:val="1"/>
          <w:numId w:val="8"/>
        </w:numPr>
      </w:pPr>
      <w:r w:rsidRPr="00E463CC">
        <w:t>Evidence of capability to support global learners across different time zones.</w:t>
      </w:r>
    </w:p>
    <w:p w14:paraId="6575A0ED" w14:textId="2889CF2B" w:rsidR="51311093" w:rsidRDefault="00E463CC" w:rsidP="7EF33C1D">
      <w:pPr>
        <w:numPr>
          <w:ilvl w:val="1"/>
          <w:numId w:val="8"/>
        </w:numPr>
      </w:pPr>
      <w:r>
        <w:t xml:space="preserve">Information on meeting </w:t>
      </w:r>
      <w:r w:rsidR="00EB3817">
        <w:t>good practice</w:t>
      </w:r>
      <w:r>
        <w:t xml:space="preserve"> service levels for student</w:t>
      </w:r>
      <w:r w:rsidR="00EB3817">
        <w:t xml:space="preserve"> support</w:t>
      </w:r>
      <w:r>
        <w:t xml:space="preserve"> query response times and providing 24/7 technical assistance.</w:t>
      </w:r>
    </w:p>
    <w:p w14:paraId="4FB49C8D" w14:textId="179B1AA0" w:rsidR="0D53286F" w:rsidRDefault="0D53286F" w:rsidP="5CAC8E27">
      <w:pPr>
        <w:pStyle w:val="ListParagraph"/>
        <w:numPr>
          <w:ilvl w:val="0"/>
          <w:numId w:val="5"/>
        </w:numPr>
        <w:spacing w:before="240" w:after="240"/>
      </w:pPr>
      <w:r w:rsidRPr="5CAC8E27">
        <w:rPr>
          <w:rFonts w:asciiTheme="minorHAnsi" w:eastAsiaTheme="minorEastAsia" w:hAnsiTheme="minorHAnsi" w:cstheme="minorBidi"/>
          <w:sz w:val="22"/>
          <w:szCs w:val="22"/>
          <w:lang w:eastAsia="en-US"/>
        </w:rPr>
        <w:t>Evidence of creating inclusive learning environments where barriers to learning are actively problematised and removed i.e.:</w:t>
      </w:r>
    </w:p>
    <w:p w14:paraId="2E22A9CE" w14:textId="7F48FC44" w:rsidR="0D53286F" w:rsidRDefault="0D53286F" w:rsidP="5CAC8E27">
      <w:pPr>
        <w:pStyle w:val="ListParagraph"/>
        <w:numPr>
          <w:ilvl w:val="0"/>
          <w:numId w:val="4"/>
        </w:numPr>
        <w:spacing w:before="240" w:after="240"/>
      </w:pPr>
      <w:r w:rsidRPr="5CAC8E27">
        <w:rPr>
          <w:rFonts w:asciiTheme="minorHAnsi" w:eastAsiaTheme="minorEastAsia" w:hAnsiTheme="minorHAnsi" w:cstheme="minorBidi"/>
          <w:sz w:val="22"/>
          <w:szCs w:val="22"/>
          <w:lang w:eastAsia="en-US"/>
        </w:rPr>
        <w:t>1. Students with lack of access to internet/laptop provision</w:t>
      </w:r>
    </w:p>
    <w:p w14:paraId="14C589D4" w14:textId="01017FA0" w:rsidR="0D53286F" w:rsidRDefault="0D53286F" w:rsidP="5CAC8E27">
      <w:pPr>
        <w:pStyle w:val="ListParagraph"/>
        <w:numPr>
          <w:ilvl w:val="0"/>
          <w:numId w:val="3"/>
        </w:numPr>
        <w:spacing w:before="240" w:after="240"/>
      </w:pPr>
      <w:r w:rsidRPr="5CAC8E27">
        <w:rPr>
          <w:rFonts w:asciiTheme="minorHAnsi" w:eastAsiaTheme="minorEastAsia" w:hAnsiTheme="minorHAnsi" w:cstheme="minorBidi"/>
          <w:sz w:val="22"/>
          <w:szCs w:val="22"/>
          <w:lang w:eastAsia="en-US"/>
        </w:rPr>
        <w:t>2. Students who are working/carers</w:t>
      </w:r>
    </w:p>
    <w:p w14:paraId="68567F1D" w14:textId="3A1FEE5F" w:rsidR="0D53286F" w:rsidRDefault="0D53286F" w:rsidP="5CAC8E27">
      <w:pPr>
        <w:pStyle w:val="ListParagraph"/>
        <w:numPr>
          <w:ilvl w:val="0"/>
          <w:numId w:val="2"/>
        </w:numPr>
        <w:spacing w:before="240" w:after="240"/>
      </w:pPr>
      <w:r w:rsidRPr="5CAC8E27">
        <w:rPr>
          <w:rFonts w:asciiTheme="minorHAnsi" w:eastAsiaTheme="minorEastAsia" w:hAnsiTheme="minorHAnsi" w:cstheme="minorBidi"/>
          <w:sz w:val="22"/>
          <w:szCs w:val="22"/>
          <w:lang w:eastAsia="en-US"/>
        </w:rPr>
        <w:t>3. Students who have difficulties with English</w:t>
      </w:r>
    </w:p>
    <w:p w14:paraId="385F8AB6" w14:textId="4D348B5C" w:rsidR="0D53286F" w:rsidRDefault="0D53286F" w:rsidP="5CAC8E27">
      <w:pPr>
        <w:pStyle w:val="ListParagraph"/>
        <w:numPr>
          <w:ilvl w:val="0"/>
          <w:numId w:val="1"/>
        </w:numPr>
        <w:spacing w:before="240" w:after="240"/>
      </w:pPr>
      <w:r w:rsidRPr="5CAC8E27">
        <w:rPr>
          <w:rFonts w:asciiTheme="minorHAnsi" w:eastAsiaTheme="minorEastAsia" w:hAnsiTheme="minorHAnsi" w:cstheme="minorBidi"/>
          <w:sz w:val="22"/>
          <w:szCs w:val="22"/>
          <w:lang w:eastAsia="en-US"/>
        </w:rPr>
        <w:t xml:space="preserve">Evidence of welfare support provisions for students and an explanation of how welfare concerns are picked up, especially within large </w:t>
      </w:r>
      <w:proofErr w:type="gramStart"/>
      <w:r w:rsidRPr="5CAC8E27">
        <w:rPr>
          <w:rFonts w:asciiTheme="minorHAnsi" w:eastAsiaTheme="minorEastAsia" w:hAnsiTheme="minorHAnsi" w:cstheme="minorBidi"/>
          <w:sz w:val="22"/>
          <w:szCs w:val="22"/>
          <w:lang w:eastAsia="en-US"/>
        </w:rPr>
        <w:t>cohorts</w:t>
      </w:r>
      <w:proofErr w:type="gramEnd"/>
    </w:p>
    <w:p w14:paraId="215D3448" w14:textId="77777777" w:rsidR="00E463CC" w:rsidRPr="00E463CC" w:rsidRDefault="00E463CC" w:rsidP="00E463CC">
      <w:pPr>
        <w:numPr>
          <w:ilvl w:val="0"/>
          <w:numId w:val="8"/>
        </w:numPr>
      </w:pPr>
      <w:r w:rsidRPr="00E463CC">
        <w:rPr>
          <w:b/>
          <w:bCs/>
        </w:rPr>
        <w:lastRenderedPageBreak/>
        <w:t>Enhancement of HEI Capability in Online Course Design and Teaching</w:t>
      </w:r>
      <w:r w:rsidRPr="00E463CC">
        <w:t>:</w:t>
      </w:r>
    </w:p>
    <w:p w14:paraId="0FAB70C5" w14:textId="1D624E36" w:rsidR="00E463CC" w:rsidRPr="00E463CC" w:rsidRDefault="00E463CC" w:rsidP="00E463CC">
      <w:pPr>
        <w:numPr>
          <w:ilvl w:val="1"/>
          <w:numId w:val="8"/>
        </w:numPr>
      </w:pPr>
      <w:r>
        <w:t>Examples of initiatives aimed at enhancing</w:t>
      </w:r>
      <w:r w:rsidR="004F0F3F">
        <w:t xml:space="preserve"> </w:t>
      </w:r>
      <w:r>
        <w:t xml:space="preserve">Higher Education Institution (HEI) </w:t>
      </w:r>
      <w:r w:rsidR="004F0F3F">
        <w:t xml:space="preserve">partners’ </w:t>
      </w:r>
      <w:r>
        <w:t>capability in online course design, development, and delivery</w:t>
      </w:r>
      <w:r w:rsidR="093A1335">
        <w:t xml:space="preserve">, </w:t>
      </w:r>
      <w:r w:rsidR="1F68BB0E">
        <w:t>including</w:t>
      </w:r>
      <w:r w:rsidR="093A1335">
        <w:t>:</w:t>
      </w:r>
    </w:p>
    <w:p w14:paraId="5A87CD61" w14:textId="1527DF01" w:rsidR="093A1335" w:rsidRDefault="093A1335" w:rsidP="61514F46">
      <w:pPr>
        <w:numPr>
          <w:ilvl w:val="2"/>
          <w:numId w:val="8"/>
        </w:numPr>
      </w:pPr>
      <w:r>
        <w:t>Developing academic</w:t>
      </w:r>
      <w:r w:rsidR="40164875">
        <w:t xml:space="preserve"> team’s</w:t>
      </w:r>
      <w:r>
        <w:t xml:space="preserve"> confidence/capability</w:t>
      </w:r>
    </w:p>
    <w:p w14:paraId="2E7ABDF6" w14:textId="5E9C85DF" w:rsidR="093A1335" w:rsidRDefault="093A1335" w:rsidP="61514F46">
      <w:pPr>
        <w:numPr>
          <w:ilvl w:val="2"/>
          <w:numId w:val="8"/>
        </w:numPr>
      </w:pPr>
      <w:r>
        <w:t>Institutional capability enhancement</w:t>
      </w:r>
      <w:r w:rsidR="42C5F560">
        <w:t xml:space="preserve">, including learning design and </w:t>
      </w:r>
      <w:proofErr w:type="gramStart"/>
      <w:r w:rsidR="42C5F560">
        <w:t>development</w:t>
      </w:r>
      <w:proofErr w:type="gramEnd"/>
    </w:p>
    <w:p w14:paraId="3F11FB66" w14:textId="77777777" w:rsidR="00E463CC" w:rsidRPr="00E463CC" w:rsidRDefault="00E463CC" w:rsidP="00E463CC">
      <w:pPr>
        <w:numPr>
          <w:ilvl w:val="1"/>
          <w:numId w:val="8"/>
        </w:numPr>
      </w:pPr>
      <w:r w:rsidRPr="00E463CC">
        <w:t>Impact assessments showcasing improvements in teaching quality and student satisfaction.</w:t>
      </w:r>
    </w:p>
    <w:p w14:paraId="2FE65CFC" w14:textId="77777777" w:rsidR="00E463CC" w:rsidRPr="00E463CC" w:rsidRDefault="00E463CC" w:rsidP="00E463CC">
      <w:pPr>
        <w:numPr>
          <w:ilvl w:val="0"/>
          <w:numId w:val="8"/>
        </w:numPr>
      </w:pPr>
      <w:r w:rsidRPr="00E463CC">
        <w:rPr>
          <w:b/>
          <w:bCs/>
        </w:rPr>
        <w:t>Commitment to Relationship Building and On-campus Engagement</w:t>
      </w:r>
      <w:r w:rsidRPr="00E463CC">
        <w:t>:</w:t>
      </w:r>
    </w:p>
    <w:p w14:paraId="3389FCB9" w14:textId="77777777" w:rsidR="00E463CC" w:rsidRPr="00E463CC" w:rsidRDefault="00E463CC" w:rsidP="00E463CC">
      <w:pPr>
        <w:numPr>
          <w:ilvl w:val="1"/>
          <w:numId w:val="8"/>
        </w:numPr>
      </w:pPr>
      <w:r w:rsidRPr="00E463CC">
        <w:t>Demonstrated capability and willingness to attend partner campuses regularly.</w:t>
      </w:r>
    </w:p>
    <w:p w14:paraId="5A2D0CB3" w14:textId="40C9FE76" w:rsidR="00E463CC" w:rsidRDefault="00E463CC" w:rsidP="7EF33C1D">
      <w:pPr>
        <w:numPr>
          <w:ilvl w:val="1"/>
          <w:numId w:val="8"/>
        </w:numPr>
      </w:pPr>
      <w:r>
        <w:t>Insights into relationship-building strategies and operational support for on-campus engagements.</w:t>
      </w:r>
    </w:p>
    <w:p w14:paraId="2993578E" w14:textId="62B3B18C" w:rsidR="00F54514" w:rsidRDefault="00E463CC" w:rsidP="00433024">
      <w:r>
        <w:t>We would appreciate receiving your detailed case study that addresses the above criteria, highlighting relevant achievements and outcomes. This information will be crucial in evaluating the potential for collaboration and aligning our strategic goals.</w:t>
      </w:r>
    </w:p>
    <w:p w14:paraId="15E33604" w14:textId="06D92EEE" w:rsidR="4249CD55" w:rsidRDefault="4249CD55" w:rsidP="7EF33C1D"/>
    <w:sectPr w:rsidR="4249CD5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BBFE4" w14:textId="77777777" w:rsidR="00350463" w:rsidRDefault="00350463" w:rsidP="00350463">
      <w:pPr>
        <w:spacing w:after="0" w:line="240" w:lineRule="auto"/>
      </w:pPr>
      <w:r>
        <w:separator/>
      </w:r>
    </w:p>
  </w:endnote>
  <w:endnote w:type="continuationSeparator" w:id="0">
    <w:p w14:paraId="17A5FA7F" w14:textId="77777777" w:rsidR="00350463" w:rsidRDefault="00350463" w:rsidP="0035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6A545" w14:textId="77777777" w:rsidR="00350463" w:rsidRDefault="00350463" w:rsidP="00350463">
      <w:pPr>
        <w:spacing w:after="0" w:line="240" w:lineRule="auto"/>
      </w:pPr>
      <w:r>
        <w:separator/>
      </w:r>
    </w:p>
  </w:footnote>
  <w:footnote w:type="continuationSeparator" w:id="0">
    <w:p w14:paraId="52E284A7" w14:textId="77777777" w:rsidR="00350463" w:rsidRDefault="00350463" w:rsidP="00350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80B05" w14:textId="4B500601" w:rsidR="00350463" w:rsidRDefault="00350463">
    <w:pPr>
      <w:pStyle w:val="Header"/>
    </w:pPr>
    <w:r>
      <w:tab/>
    </w:r>
    <w:r>
      <w:tab/>
    </w:r>
    <w:r>
      <w:rPr>
        <w:b/>
        <w:noProof/>
        <w:sz w:val="32"/>
        <w:szCs w:val="32"/>
      </w:rPr>
      <w:drawing>
        <wp:inline distT="0" distB="0" distL="0" distR="0" wp14:anchorId="3B64A15B" wp14:editId="1E8EE25F">
          <wp:extent cx="1990725" cy="959814"/>
          <wp:effectExtent l="0" t="0" r="0" b="0"/>
          <wp:docPr id="2" name="Picture 2" descr="Procurement Service_Ful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curement Service_Full 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493" cy="963559"/>
                  </a:xfrm>
                  <a:prstGeom prst="rect">
                    <a:avLst/>
                  </a:prstGeom>
                  <a:noFill/>
                  <a:ln>
                    <a:noFill/>
                  </a:ln>
                </pic:spPr>
              </pic:pic>
            </a:graphicData>
          </a:graphic>
        </wp:inline>
      </w:drawing>
    </w:r>
  </w:p>
  <w:p w14:paraId="4B63F4A0" w14:textId="77777777" w:rsidR="00350463" w:rsidRDefault="00350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E1F59"/>
    <w:multiLevelType w:val="hybridMultilevel"/>
    <w:tmpl w:val="3792406C"/>
    <w:lvl w:ilvl="0" w:tplc="DBFE28C4">
      <w:start w:val="1"/>
      <w:numFmt w:val="bullet"/>
      <w:lvlText w:val=""/>
      <w:lvlJc w:val="left"/>
      <w:pPr>
        <w:ind w:left="2160" w:hanging="360"/>
      </w:pPr>
      <w:rPr>
        <w:rFonts w:ascii="Symbol" w:hAnsi="Symbol" w:hint="default"/>
      </w:rPr>
    </w:lvl>
    <w:lvl w:ilvl="1" w:tplc="5A922608">
      <w:start w:val="1"/>
      <w:numFmt w:val="bullet"/>
      <w:lvlText w:val="o"/>
      <w:lvlJc w:val="left"/>
      <w:pPr>
        <w:ind w:left="2880" w:hanging="360"/>
      </w:pPr>
      <w:rPr>
        <w:rFonts w:ascii="Courier New" w:hAnsi="Courier New" w:hint="default"/>
      </w:rPr>
    </w:lvl>
    <w:lvl w:ilvl="2" w:tplc="851877CE">
      <w:start w:val="1"/>
      <w:numFmt w:val="bullet"/>
      <w:lvlText w:val=""/>
      <w:lvlJc w:val="left"/>
      <w:pPr>
        <w:ind w:left="3600" w:hanging="360"/>
      </w:pPr>
      <w:rPr>
        <w:rFonts w:ascii="Wingdings" w:hAnsi="Wingdings" w:hint="default"/>
      </w:rPr>
    </w:lvl>
    <w:lvl w:ilvl="3" w:tplc="8E1A0C16">
      <w:start w:val="1"/>
      <w:numFmt w:val="bullet"/>
      <w:lvlText w:val=""/>
      <w:lvlJc w:val="left"/>
      <w:pPr>
        <w:ind w:left="4320" w:hanging="360"/>
      </w:pPr>
      <w:rPr>
        <w:rFonts w:ascii="Symbol" w:hAnsi="Symbol" w:hint="default"/>
      </w:rPr>
    </w:lvl>
    <w:lvl w:ilvl="4" w:tplc="E45429C6">
      <w:start w:val="1"/>
      <w:numFmt w:val="bullet"/>
      <w:lvlText w:val="o"/>
      <w:lvlJc w:val="left"/>
      <w:pPr>
        <w:ind w:left="5040" w:hanging="360"/>
      </w:pPr>
      <w:rPr>
        <w:rFonts w:ascii="Courier New" w:hAnsi="Courier New" w:hint="default"/>
      </w:rPr>
    </w:lvl>
    <w:lvl w:ilvl="5" w:tplc="D514FDD2">
      <w:start w:val="1"/>
      <w:numFmt w:val="bullet"/>
      <w:lvlText w:val=""/>
      <w:lvlJc w:val="left"/>
      <w:pPr>
        <w:ind w:left="5760" w:hanging="360"/>
      </w:pPr>
      <w:rPr>
        <w:rFonts w:ascii="Wingdings" w:hAnsi="Wingdings" w:hint="default"/>
      </w:rPr>
    </w:lvl>
    <w:lvl w:ilvl="6" w:tplc="0652DCDE">
      <w:start w:val="1"/>
      <w:numFmt w:val="bullet"/>
      <w:lvlText w:val=""/>
      <w:lvlJc w:val="left"/>
      <w:pPr>
        <w:ind w:left="6480" w:hanging="360"/>
      </w:pPr>
      <w:rPr>
        <w:rFonts w:ascii="Symbol" w:hAnsi="Symbol" w:hint="default"/>
      </w:rPr>
    </w:lvl>
    <w:lvl w:ilvl="7" w:tplc="D20E0F42">
      <w:start w:val="1"/>
      <w:numFmt w:val="bullet"/>
      <w:lvlText w:val="o"/>
      <w:lvlJc w:val="left"/>
      <w:pPr>
        <w:ind w:left="7200" w:hanging="360"/>
      </w:pPr>
      <w:rPr>
        <w:rFonts w:ascii="Courier New" w:hAnsi="Courier New" w:hint="default"/>
      </w:rPr>
    </w:lvl>
    <w:lvl w:ilvl="8" w:tplc="D04C80AA">
      <w:start w:val="1"/>
      <w:numFmt w:val="bullet"/>
      <w:lvlText w:val=""/>
      <w:lvlJc w:val="left"/>
      <w:pPr>
        <w:ind w:left="7920" w:hanging="360"/>
      </w:pPr>
      <w:rPr>
        <w:rFonts w:ascii="Wingdings" w:hAnsi="Wingdings" w:hint="default"/>
      </w:rPr>
    </w:lvl>
  </w:abstractNum>
  <w:abstractNum w:abstractNumId="1" w15:restartNumberingAfterBreak="0">
    <w:nsid w:val="291B255D"/>
    <w:multiLevelType w:val="multilevel"/>
    <w:tmpl w:val="23A491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135972"/>
    <w:multiLevelType w:val="hybridMultilevel"/>
    <w:tmpl w:val="12BACB0A"/>
    <w:lvl w:ilvl="0" w:tplc="BFDE4AE4">
      <w:start w:val="1"/>
      <w:numFmt w:val="bullet"/>
      <w:lvlText w:val=""/>
      <w:lvlJc w:val="left"/>
      <w:pPr>
        <w:ind w:left="1440" w:hanging="360"/>
      </w:pPr>
      <w:rPr>
        <w:rFonts w:ascii="Symbol" w:hAnsi="Symbol" w:hint="default"/>
      </w:rPr>
    </w:lvl>
    <w:lvl w:ilvl="1" w:tplc="60842E0C">
      <w:start w:val="1"/>
      <w:numFmt w:val="bullet"/>
      <w:lvlText w:val="o"/>
      <w:lvlJc w:val="left"/>
      <w:pPr>
        <w:ind w:left="2160" w:hanging="360"/>
      </w:pPr>
      <w:rPr>
        <w:rFonts w:ascii="Courier New" w:hAnsi="Courier New" w:hint="default"/>
      </w:rPr>
    </w:lvl>
    <w:lvl w:ilvl="2" w:tplc="D2DAA270">
      <w:start w:val="1"/>
      <w:numFmt w:val="bullet"/>
      <w:lvlText w:val=""/>
      <w:lvlJc w:val="left"/>
      <w:pPr>
        <w:ind w:left="2880" w:hanging="360"/>
      </w:pPr>
      <w:rPr>
        <w:rFonts w:ascii="Wingdings" w:hAnsi="Wingdings" w:hint="default"/>
      </w:rPr>
    </w:lvl>
    <w:lvl w:ilvl="3" w:tplc="30AA694E">
      <w:start w:val="1"/>
      <w:numFmt w:val="bullet"/>
      <w:lvlText w:val=""/>
      <w:lvlJc w:val="left"/>
      <w:pPr>
        <w:ind w:left="3600" w:hanging="360"/>
      </w:pPr>
      <w:rPr>
        <w:rFonts w:ascii="Symbol" w:hAnsi="Symbol" w:hint="default"/>
      </w:rPr>
    </w:lvl>
    <w:lvl w:ilvl="4" w:tplc="7242BB24">
      <w:start w:val="1"/>
      <w:numFmt w:val="bullet"/>
      <w:lvlText w:val="o"/>
      <w:lvlJc w:val="left"/>
      <w:pPr>
        <w:ind w:left="4320" w:hanging="360"/>
      </w:pPr>
      <w:rPr>
        <w:rFonts w:ascii="Courier New" w:hAnsi="Courier New" w:hint="default"/>
      </w:rPr>
    </w:lvl>
    <w:lvl w:ilvl="5" w:tplc="0AAA5DF2">
      <w:start w:val="1"/>
      <w:numFmt w:val="bullet"/>
      <w:lvlText w:val=""/>
      <w:lvlJc w:val="left"/>
      <w:pPr>
        <w:ind w:left="5040" w:hanging="360"/>
      </w:pPr>
      <w:rPr>
        <w:rFonts w:ascii="Wingdings" w:hAnsi="Wingdings" w:hint="default"/>
      </w:rPr>
    </w:lvl>
    <w:lvl w:ilvl="6" w:tplc="6924F14E">
      <w:start w:val="1"/>
      <w:numFmt w:val="bullet"/>
      <w:lvlText w:val=""/>
      <w:lvlJc w:val="left"/>
      <w:pPr>
        <w:ind w:left="5760" w:hanging="360"/>
      </w:pPr>
      <w:rPr>
        <w:rFonts w:ascii="Symbol" w:hAnsi="Symbol" w:hint="default"/>
      </w:rPr>
    </w:lvl>
    <w:lvl w:ilvl="7" w:tplc="D54A029A">
      <w:start w:val="1"/>
      <w:numFmt w:val="bullet"/>
      <w:lvlText w:val="o"/>
      <w:lvlJc w:val="left"/>
      <w:pPr>
        <w:ind w:left="6480" w:hanging="360"/>
      </w:pPr>
      <w:rPr>
        <w:rFonts w:ascii="Courier New" w:hAnsi="Courier New" w:hint="default"/>
      </w:rPr>
    </w:lvl>
    <w:lvl w:ilvl="8" w:tplc="50380236">
      <w:start w:val="1"/>
      <w:numFmt w:val="bullet"/>
      <w:lvlText w:val=""/>
      <w:lvlJc w:val="left"/>
      <w:pPr>
        <w:ind w:left="7200" w:hanging="360"/>
      </w:pPr>
      <w:rPr>
        <w:rFonts w:ascii="Wingdings" w:hAnsi="Wingdings" w:hint="default"/>
      </w:rPr>
    </w:lvl>
  </w:abstractNum>
  <w:abstractNum w:abstractNumId="3" w15:restartNumberingAfterBreak="0">
    <w:nsid w:val="44C31FD6"/>
    <w:multiLevelType w:val="hybridMultilevel"/>
    <w:tmpl w:val="659EC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C903C3"/>
    <w:multiLevelType w:val="hybridMultilevel"/>
    <w:tmpl w:val="0898FE68"/>
    <w:lvl w:ilvl="0" w:tplc="71009D66">
      <w:start w:val="1"/>
      <w:numFmt w:val="bullet"/>
      <w:lvlText w:val=""/>
      <w:lvlJc w:val="left"/>
      <w:pPr>
        <w:ind w:left="1440" w:hanging="360"/>
      </w:pPr>
      <w:rPr>
        <w:rFonts w:ascii="Symbol" w:hAnsi="Symbol" w:hint="default"/>
      </w:rPr>
    </w:lvl>
    <w:lvl w:ilvl="1" w:tplc="020CD4C6">
      <w:start w:val="1"/>
      <w:numFmt w:val="bullet"/>
      <w:lvlText w:val="o"/>
      <w:lvlJc w:val="left"/>
      <w:pPr>
        <w:ind w:left="2160" w:hanging="360"/>
      </w:pPr>
      <w:rPr>
        <w:rFonts w:ascii="Courier New" w:hAnsi="Courier New" w:hint="default"/>
      </w:rPr>
    </w:lvl>
    <w:lvl w:ilvl="2" w:tplc="4302FE2C">
      <w:start w:val="1"/>
      <w:numFmt w:val="bullet"/>
      <w:lvlText w:val=""/>
      <w:lvlJc w:val="left"/>
      <w:pPr>
        <w:ind w:left="2880" w:hanging="360"/>
      </w:pPr>
      <w:rPr>
        <w:rFonts w:ascii="Wingdings" w:hAnsi="Wingdings" w:hint="default"/>
      </w:rPr>
    </w:lvl>
    <w:lvl w:ilvl="3" w:tplc="92428948">
      <w:start w:val="1"/>
      <w:numFmt w:val="bullet"/>
      <w:lvlText w:val=""/>
      <w:lvlJc w:val="left"/>
      <w:pPr>
        <w:ind w:left="3600" w:hanging="360"/>
      </w:pPr>
      <w:rPr>
        <w:rFonts w:ascii="Symbol" w:hAnsi="Symbol" w:hint="default"/>
      </w:rPr>
    </w:lvl>
    <w:lvl w:ilvl="4" w:tplc="394218BA">
      <w:start w:val="1"/>
      <w:numFmt w:val="bullet"/>
      <w:lvlText w:val="o"/>
      <w:lvlJc w:val="left"/>
      <w:pPr>
        <w:ind w:left="4320" w:hanging="360"/>
      </w:pPr>
      <w:rPr>
        <w:rFonts w:ascii="Courier New" w:hAnsi="Courier New" w:hint="default"/>
      </w:rPr>
    </w:lvl>
    <w:lvl w:ilvl="5" w:tplc="F43ADAC6">
      <w:start w:val="1"/>
      <w:numFmt w:val="bullet"/>
      <w:lvlText w:val=""/>
      <w:lvlJc w:val="left"/>
      <w:pPr>
        <w:ind w:left="5040" w:hanging="360"/>
      </w:pPr>
      <w:rPr>
        <w:rFonts w:ascii="Wingdings" w:hAnsi="Wingdings" w:hint="default"/>
      </w:rPr>
    </w:lvl>
    <w:lvl w:ilvl="6" w:tplc="59DCC638">
      <w:start w:val="1"/>
      <w:numFmt w:val="bullet"/>
      <w:lvlText w:val=""/>
      <w:lvlJc w:val="left"/>
      <w:pPr>
        <w:ind w:left="5760" w:hanging="360"/>
      </w:pPr>
      <w:rPr>
        <w:rFonts w:ascii="Symbol" w:hAnsi="Symbol" w:hint="default"/>
      </w:rPr>
    </w:lvl>
    <w:lvl w:ilvl="7" w:tplc="0770ADDE">
      <w:start w:val="1"/>
      <w:numFmt w:val="bullet"/>
      <w:lvlText w:val="o"/>
      <w:lvlJc w:val="left"/>
      <w:pPr>
        <w:ind w:left="6480" w:hanging="360"/>
      </w:pPr>
      <w:rPr>
        <w:rFonts w:ascii="Courier New" w:hAnsi="Courier New" w:hint="default"/>
      </w:rPr>
    </w:lvl>
    <w:lvl w:ilvl="8" w:tplc="BD062CB6">
      <w:start w:val="1"/>
      <w:numFmt w:val="bullet"/>
      <w:lvlText w:val=""/>
      <w:lvlJc w:val="left"/>
      <w:pPr>
        <w:ind w:left="7200" w:hanging="360"/>
      </w:pPr>
      <w:rPr>
        <w:rFonts w:ascii="Wingdings" w:hAnsi="Wingdings" w:hint="default"/>
      </w:rPr>
    </w:lvl>
  </w:abstractNum>
  <w:abstractNum w:abstractNumId="5" w15:restartNumberingAfterBreak="0">
    <w:nsid w:val="6F71FE54"/>
    <w:multiLevelType w:val="hybridMultilevel"/>
    <w:tmpl w:val="778A6EAC"/>
    <w:lvl w:ilvl="0" w:tplc="41A27344">
      <w:start w:val="1"/>
      <w:numFmt w:val="bullet"/>
      <w:lvlText w:val=""/>
      <w:lvlJc w:val="left"/>
      <w:pPr>
        <w:ind w:left="2160" w:hanging="360"/>
      </w:pPr>
      <w:rPr>
        <w:rFonts w:ascii="Symbol" w:hAnsi="Symbol" w:hint="default"/>
      </w:rPr>
    </w:lvl>
    <w:lvl w:ilvl="1" w:tplc="6FA2FA6A">
      <w:start w:val="1"/>
      <w:numFmt w:val="bullet"/>
      <w:lvlText w:val="o"/>
      <w:lvlJc w:val="left"/>
      <w:pPr>
        <w:ind w:left="2880" w:hanging="360"/>
      </w:pPr>
      <w:rPr>
        <w:rFonts w:ascii="Courier New" w:hAnsi="Courier New" w:hint="default"/>
      </w:rPr>
    </w:lvl>
    <w:lvl w:ilvl="2" w:tplc="3ADC7B52">
      <w:start w:val="1"/>
      <w:numFmt w:val="bullet"/>
      <w:lvlText w:val=""/>
      <w:lvlJc w:val="left"/>
      <w:pPr>
        <w:ind w:left="3600" w:hanging="360"/>
      </w:pPr>
      <w:rPr>
        <w:rFonts w:ascii="Wingdings" w:hAnsi="Wingdings" w:hint="default"/>
      </w:rPr>
    </w:lvl>
    <w:lvl w:ilvl="3" w:tplc="8D403AF4">
      <w:start w:val="1"/>
      <w:numFmt w:val="bullet"/>
      <w:lvlText w:val=""/>
      <w:lvlJc w:val="left"/>
      <w:pPr>
        <w:ind w:left="4320" w:hanging="360"/>
      </w:pPr>
      <w:rPr>
        <w:rFonts w:ascii="Symbol" w:hAnsi="Symbol" w:hint="default"/>
      </w:rPr>
    </w:lvl>
    <w:lvl w:ilvl="4" w:tplc="24289868">
      <w:start w:val="1"/>
      <w:numFmt w:val="bullet"/>
      <w:lvlText w:val="o"/>
      <w:lvlJc w:val="left"/>
      <w:pPr>
        <w:ind w:left="5040" w:hanging="360"/>
      </w:pPr>
      <w:rPr>
        <w:rFonts w:ascii="Courier New" w:hAnsi="Courier New" w:hint="default"/>
      </w:rPr>
    </w:lvl>
    <w:lvl w:ilvl="5" w:tplc="368E355E">
      <w:start w:val="1"/>
      <w:numFmt w:val="bullet"/>
      <w:lvlText w:val=""/>
      <w:lvlJc w:val="left"/>
      <w:pPr>
        <w:ind w:left="5760" w:hanging="360"/>
      </w:pPr>
      <w:rPr>
        <w:rFonts w:ascii="Wingdings" w:hAnsi="Wingdings" w:hint="default"/>
      </w:rPr>
    </w:lvl>
    <w:lvl w:ilvl="6" w:tplc="CECC147C">
      <w:start w:val="1"/>
      <w:numFmt w:val="bullet"/>
      <w:lvlText w:val=""/>
      <w:lvlJc w:val="left"/>
      <w:pPr>
        <w:ind w:left="6480" w:hanging="360"/>
      </w:pPr>
      <w:rPr>
        <w:rFonts w:ascii="Symbol" w:hAnsi="Symbol" w:hint="default"/>
      </w:rPr>
    </w:lvl>
    <w:lvl w:ilvl="7" w:tplc="20862E34">
      <w:start w:val="1"/>
      <w:numFmt w:val="bullet"/>
      <w:lvlText w:val="o"/>
      <w:lvlJc w:val="left"/>
      <w:pPr>
        <w:ind w:left="7200" w:hanging="360"/>
      </w:pPr>
      <w:rPr>
        <w:rFonts w:ascii="Courier New" w:hAnsi="Courier New" w:hint="default"/>
      </w:rPr>
    </w:lvl>
    <w:lvl w:ilvl="8" w:tplc="E5989F76">
      <w:start w:val="1"/>
      <w:numFmt w:val="bullet"/>
      <w:lvlText w:val=""/>
      <w:lvlJc w:val="left"/>
      <w:pPr>
        <w:ind w:left="7920" w:hanging="360"/>
      </w:pPr>
      <w:rPr>
        <w:rFonts w:ascii="Wingdings" w:hAnsi="Wingdings" w:hint="default"/>
      </w:rPr>
    </w:lvl>
  </w:abstractNum>
  <w:abstractNum w:abstractNumId="6" w15:restartNumberingAfterBreak="0">
    <w:nsid w:val="74ABB656"/>
    <w:multiLevelType w:val="hybridMultilevel"/>
    <w:tmpl w:val="C9F8A918"/>
    <w:lvl w:ilvl="0" w:tplc="6868EE5E">
      <w:start w:val="1"/>
      <w:numFmt w:val="bullet"/>
      <w:lvlText w:val=""/>
      <w:lvlJc w:val="left"/>
      <w:pPr>
        <w:ind w:left="2160" w:hanging="360"/>
      </w:pPr>
      <w:rPr>
        <w:rFonts w:ascii="Symbol" w:hAnsi="Symbol" w:hint="default"/>
      </w:rPr>
    </w:lvl>
    <w:lvl w:ilvl="1" w:tplc="2DDE1420">
      <w:start w:val="1"/>
      <w:numFmt w:val="bullet"/>
      <w:lvlText w:val="o"/>
      <w:lvlJc w:val="left"/>
      <w:pPr>
        <w:ind w:left="2880" w:hanging="360"/>
      </w:pPr>
      <w:rPr>
        <w:rFonts w:ascii="Courier New" w:hAnsi="Courier New" w:hint="default"/>
      </w:rPr>
    </w:lvl>
    <w:lvl w:ilvl="2" w:tplc="855C8884">
      <w:start w:val="1"/>
      <w:numFmt w:val="bullet"/>
      <w:lvlText w:val=""/>
      <w:lvlJc w:val="left"/>
      <w:pPr>
        <w:ind w:left="3600" w:hanging="360"/>
      </w:pPr>
      <w:rPr>
        <w:rFonts w:ascii="Wingdings" w:hAnsi="Wingdings" w:hint="default"/>
      </w:rPr>
    </w:lvl>
    <w:lvl w:ilvl="3" w:tplc="D8D871FE">
      <w:start w:val="1"/>
      <w:numFmt w:val="bullet"/>
      <w:lvlText w:val=""/>
      <w:lvlJc w:val="left"/>
      <w:pPr>
        <w:ind w:left="4320" w:hanging="360"/>
      </w:pPr>
      <w:rPr>
        <w:rFonts w:ascii="Symbol" w:hAnsi="Symbol" w:hint="default"/>
      </w:rPr>
    </w:lvl>
    <w:lvl w:ilvl="4" w:tplc="BF500E22">
      <w:start w:val="1"/>
      <w:numFmt w:val="bullet"/>
      <w:lvlText w:val="o"/>
      <w:lvlJc w:val="left"/>
      <w:pPr>
        <w:ind w:left="5040" w:hanging="360"/>
      </w:pPr>
      <w:rPr>
        <w:rFonts w:ascii="Courier New" w:hAnsi="Courier New" w:hint="default"/>
      </w:rPr>
    </w:lvl>
    <w:lvl w:ilvl="5" w:tplc="7C72A924">
      <w:start w:val="1"/>
      <w:numFmt w:val="bullet"/>
      <w:lvlText w:val=""/>
      <w:lvlJc w:val="left"/>
      <w:pPr>
        <w:ind w:left="5760" w:hanging="360"/>
      </w:pPr>
      <w:rPr>
        <w:rFonts w:ascii="Wingdings" w:hAnsi="Wingdings" w:hint="default"/>
      </w:rPr>
    </w:lvl>
    <w:lvl w:ilvl="6" w:tplc="3956E1C0">
      <w:start w:val="1"/>
      <w:numFmt w:val="bullet"/>
      <w:lvlText w:val=""/>
      <w:lvlJc w:val="left"/>
      <w:pPr>
        <w:ind w:left="6480" w:hanging="360"/>
      </w:pPr>
      <w:rPr>
        <w:rFonts w:ascii="Symbol" w:hAnsi="Symbol" w:hint="default"/>
      </w:rPr>
    </w:lvl>
    <w:lvl w:ilvl="7" w:tplc="08FCF9A4">
      <w:start w:val="1"/>
      <w:numFmt w:val="bullet"/>
      <w:lvlText w:val="o"/>
      <w:lvlJc w:val="left"/>
      <w:pPr>
        <w:ind w:left="7200" w:hanging="360"/>
      </w:pPr>
      <w:rPr>
        <w:rFonts w:ascii="Courier New" w:hAnsi="Courier New" w:hint="default"/>
      </w:rPr>
    </w:lvl>
    <w:lvl w:ilvl="8" w:tplc="B4C68CF6">
      <w:start w:val="1"/>
      <w:numFmt w:val="bullet"/>
      <w:lvlText w:val=""/>
      <w:lvlJc w:val="left"/>
      <w:pPr>
        <w:ind w:left="7920" w:hanging="360"/>
      </w:pPr>
      <w:rPr>
        <w:rFonts w:ascii="Wingdings" w:hAnsi="Wingdings" w:hint="default"/>
      </w:rPr>
    </w:lvl>
  </w:abstractNum>
  <w:abstractNum w:abstractNumId="7" w15:restartNumberingAfterBreak="0">
    <w:nsid w:val="7D5A38CE"/>
    <w:multiLevelType w:val="hybridMultilevel"/>
    <w:tmpl w:val="42D2EB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876133">
    <w:abstractNumId w:val="2"/>
  </w:num>
  <w:num w:numId="2" w16cid:durableId="854001094">
    <w:abstractNumId w:val="6"/>
  </w:num>
  <w:num w:numId="3" w16cid:durableId="1661352698">
    <w:abstractNumId w:val="0"/>
  </w:num>
  <w:num w:numId="4" w16cid:durableId="2012488866">
    <w:abstractNumId w:val="5"/>
  </w:num>
  <w:num w:numId="5" w16cid:durableId="1086683256">
    <w:abstractNumId w:val="4"/>
  </w:num>
  <w:num w:numId="6" w16cid:durableId="1864240749">
    <w:abstractNumId w:val="7"/>
  </w:num>
  <w:num w:numId="7" w16cid:durableId="1304504964">
    <w:abstractNumId w:val="3"/>
  </w:num>
  <w:num w:numId="8" w16cid:durableId="157230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14"/>
    <w:rsid w:val="00007B68"/>
    <w:rsid w:val="00041CD4"/>
    <w:rsid w:val="00154A44"/>
    <w:rsid w:val="002C6A79"/>
    <w:rsid w:val="002E1F49"/>
    <w:rsid w:val="00350463"/>
    <w:rsid w:val="00433024"/>
    <w:rsid w:val="004D3F55"/>
    <w:rsid w:val="004F0F3F"/>
    <w:rsid w:val="00634F81"/>
    <w:rsid w:val="0082173A"/>
    <w:rsid w:val="009410ED"/>
    <w:rsid w:val="00BD588A"/>
    <w:rsid w:val="00C4726E"/>
    <w:rsid w:val="00C50E3E"/>
    <w:rsid w:val="00E463CC"/>
    <w:rsid w:val="00EB3817"/>
    <w:rsid w:val="00F54514"/>
    <w:rsid w:val="048FB726"/>
    <w:rsid w:val="093A1335"/>
    <w:rsid w:val="0AF52F74"/>
    <w:rsid w:val="0D53286F"/>
    <w:rsid w:val="0F66800A"/>
    <w:rsid w:val="0FDE0C50"/>
    <w:rsid w:val="116470F8"/>
    <w:rsid w:val="1210AF48"/>
    <w:rsid w:val="12EAE8FF"/>
    <w:rsid w:val="13A0C9E0"/>
    <w:rsid w:val="13BB2904"/>
    <w:rsid w:val="1621BD47"/>
    <w:rsid w:val="16E7DD0F"/>
    <w:rsid w:val="182409E2"/>
    <w:rsid w:val="19EE2D83"/>
    <w:rsid w:val="1F1E04BA"/>
    <w:rsid w:val="1F68BB0E"/>
    <w:rsid w:val="204DDB17"/>
    <w:rsid w:val="210FCAA8"/>
    <w:rsid w:val="217EC5A4"/>
    <w:rsid w:val="2488B526"/>
    <w:rsid w:val="24987948"/>
    <w:rsid w:val="2566615A"/>
    <w:rsid w:val="2B95A1D7"/>
    <w:rsid w:val="2D87788B"/>
    <w:rsid w:val="2E5D48AC"/>
    <w:rsid w:val="3B99475E"/>
    <w:rsid w:val="3CC6613E"/>
    <w:rsid w:val="40164875"/>
    <w:rsid w:val="40FB687E"/>
    <w:rsid w:val="415FD071"/>
    <w:rsid w:val="4249CD55"/>
    <w:rsid w:val="42C5F560"/>
    <w:rsid w:val="43395F66"/>
    <w:rsid w:val="44D17323"/>
    <w:rsid w:val="45A03217"/>
    <w:rsid w:val="45BD4890"/>
    <w:rsid w:val="470A0E5B"/>
    <w:rsid w:val="47F19E39"/>
    <w:rsid w:val="48E0DBE5"/>
    <w:rsid w:val="4AD54677"/>
    <w:rsid w:val="4ADF3696"/>
    <w:rsid w:val="4AF40E37"/>
    <w:rsid w:val="4BAD69EE"/>
    <w:rsid w:val="51311093"/>
    <w:rsid w:val="51D2DE74"/>
    <w:rsid w:val="51F3BE2A"/>
    <w:rsid w:val="539CC06E"/>
    <w:rsid w:val="568D70C0"/>
    <w:rsid w:val="588AD749"/>
    <w:rsid w:val="59E96456"/>
    <w:rsid w:val="5CAC8E27"/>
    <w:rsid w:val="5F53A810"/>
    <w:rsid w:val="5F823C26"/>
    <w:rsid w:val="5FB57EE5"/>
    <w:rsid w:val="60EF7871"/>
    <w:rsid w:val="61514F46"/>
    <w:rsid w:val="628B48D2"/>
    <w:rsid w:val="64D71427"/>
    <w:rsid w:val="701CEB4A"/>
    <w:rsid w:val="70985C6D"/>
    <w:rsid w:val="70D467C3"/>
    <w:rsid w:val="70FF4D1A"/>
    <w:rsid w:val="7122F57A"/>
    <w:rsid w:val="73604DA8"/>
    <w:rsid w:val="768381AE"/>
    <w:rsid w:val="78F707C2"/>
    <w:rsid w:val="7AB46C07"/>
    <w:rsid w:val="7ADD25D4"/>
    <w:rsid w:val="7EF3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504F9"/>
  <w15:chartTrackingRefBased/>
  <w15:docId w15:val="{B7738AF3-D9FA-4AF8-918C-4B6A7F48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5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45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514"/>
    <w:pPr>
      <w:spacing w:after="0" w:line="240" w:lineRule="auto"/>
      <w:ind w:left="720"/>
      <w:contextualSpacing/>
    </w:pPr>
    <w:rPr>
      <w:rFonts w:ascii="Arial" w:eastAsia="Times New Roman" w:hAnsi="Arial" w:cs="Times New Roman"/>
      <w:kern w:val="0"/>
      <w:sz w:val="24"/>
      <w:szCs w:val="24"/>
      <w:lang w:eastAsia="en-GB"/>
      <w14:ligatures w14:val="none"/>
    </w:rPr>
  </w:style>
  <w:style w:type="character" w:customStyle="1" w:styleId="Heading1Char">
    <w:name w:val="Heading 1 Char"/>
    <w:basedOn w:val="DefaultParagraphFont"/>
    <w:link w:val="Heading1"/>
    <w:uiPriority w:val="9"/>
    <w:rsid w:val="00F545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451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50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463"/>
  </w:style>
  <w:style w:type="paragraph" w:styleId="Footer">
    <w:name w:val="footer"/>
    <w:basedOn w:val="Normal"/>
    <w:link w:val="FooterChar"/>
    <w:uiPriority w:val="99"/>
    <w:unhideWhenUsed/>
    <w:rsid w:val="00350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107850">
      <w:bodyDiv w:val="1"/>
      <w:marLeft w:val="0"/>
      <w:marRight w:val="0"/>
      <w:marTop w:val="0"/>
      <w:marBottom w:val="0"/>
      <w:divBdr>
        <w:top w:val="none" w:sz="0" w:space="0" w:color="auto"/>
        <w:left w:val="none" w:sz="0" w:space="0" w:color="auto"/>
        <w:bottom w:val="none" w:sz="0" w:space="0" w:color="auto"/>
        <w:right w:val="none" w:sz="0" w:space="0" w:color="auto"/>
      </w:divBdr>
    </w:div>
    <w:div w:id="155781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JOHN P.</dc:creator>
  <cp:keywords/>
  <dc:description/>
  <cp:lastModifiedBy>CARTER, STEVEN</cp:lastModifiedBy>
  <cp:revision>2</cp:revision>
  <dcterms:created xsi:type="dcterms:W3CDTF">2024-04-30T16:40:00Z</dcterms:created>
  <dcterms:modified xsi:type="dcterms:W3CDTF">2024-04-30T16:40:00Z</dcterms:modified>
</cp:coreProperties>
</file>