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0028" w14:textId="62435B2F" w:rsidR="00A940FA" w:rsidRPr="00DA4FCF" w:rsidRDefault="0010203B" w:rsidP="0010203B">
      <w:pPr>
        <w:jc w:val="center"/>
        <w:rPr>
          <w:rFonts w:cs="Arial"/>
          <w:b/>
          <w:bCs/>
          <w:sz w:val="28"/>
          <w:szCs w:val="28"/>
          <w:u w:val="single"/>
        </w:rPr>
      </w:pPr>
      <w:r w:rsidRPr="00DA4FCF">
        <w:rPr>
          <w:rFonts w:cs="Arial"/>
          <w:b/>
          <w:bCs/>
          <w:sz w:val="28"/>
          <w:szCs w:val="28"/>
          <w:u w:val="single"/>
        </w:rPr>
        <w:t>Expression of Interest</w:t>
      </w:r>
    </w:p>
    <w:p w14:paraId="46AE604D" w14:textId="77777777" w:rsidR="0010203B" w:rsidRPr="00DA4FCF" w:rsidRDefault="0010203B" w:rsidP="00840287">
      <w:pPr>
        <w:rPr>
          <w:rFonts w:cs="Arial"/>
        </w:rPr>
      </w:pPr>
    </w:p>
    <w:p w14:paraId="1B5FFE84" w14:textId="20404E85" w:rsidR="00DA4FCF" w:rsidRPr="00DA4FCF" w:rsidRDefault="00260E1E" w:rsidP="00DA4FCF">
      <w:pPr>
        <w:pStyle w:val="Heading1"/>
        <w:spacing w:before="0" w:after="240" w:line="240" w:lineRule="auto"/>
        <w:rPr>
          <w:rFonts w:ascii="Arial" w:hAnsi="Arial" w:cs="Arial"/>
          <w:b/>
          <w:bCs/>
          <w:u w:val="single"/>
        </w:rPr>
      </w:pPr>
      <w:r w:rsidRPr="00DA4FCF">
        <w:rPr>
          <w:rFonts w:ascii="Arial" w:hAnsi="Arial" w:cs="Arial"/>
          <w:b/>
          <w:bCs/>
          <w:u w:val="single"/>
        </w:rPr>
        <w:t>Project Details</w:t>
      </w:r>
    </w:p>
    <w:tbl>
      <w:tblPr>
        <w:tblStyle w:val="TableGrid"/>
        <w:tblW w:w="0" w:type="auto"/>
        <w:tblLook w:val="04A0" w:firstRow="1" w:lastRow="0" w:firstColumn="1" w:lastColumn="0" w:noHBand="0" w:noVBand="1"/>
      </w:tblPr>
      <w:tblGrid>
        <w:gridCol w:w="3114"/>
        <w:gridCol w:w="5902"/>
      </w:tblGrid>
      <w:tr w:rsidR="009578A2" w:rsidRPr="00DA4FCF" w14:paraId="52CF52B5" w14:textId="77777777" w:rsidTr="00D523EB">
        <w:trPr>
          <w:trHeight w:val="285"/>
        </w:trPr>
        <w:tc>
          <w:tcPr>
            <w:tcW w:w="3114" w:type="dxa"/>
          </w:tcPr>
          <w:p w14:paraId="2997ACE0" w14:textId="0CD72378" w:rsidR="006A41B0" w:rsidRPr="00DA4FCF" w:rsidRDefault="009578A2" w:rsidP="00D523EB">
            <w:pPr>
              <w:rPr>
                <w:rFonts w:ascii="Arial" w:hAnsi="Arial" w:cs="Arial"/>
                <w:b/>
                <w:bCs/>
              </w:rPr>
            </w:pPr>
            <w:r w:rsidRPr="00DA4FCF">
              <w:rPr>
                <w:rFonts w:ascii="Arial" w:hAnsi="Arial" w:cs="Arial"/>
                <w:b/>
                <w:bCs/>
              </w:rPr>
              <w:t>Project Name</w:t>
            </w:r>
          </w:p>
        </w:tc>
        <w:tc>
          <w:tcPr>
            <w:tcW w:w="5902" w:type="dxa"/>
          </w:tcPr>
          <w:p w14:paraId="3ACFD947" w14:textId="3F75ABD4" w:rsidR="009578A2" w:rsidRPr="00DA4FCF" w:rsidRDefault="009578A2" w:rsidP="00D523EB">
            <w:pPr>
              <w:rPr>
                <w:rFonts w:ascii="Arial" w:hAnsi="Arial" w:cs="Arial"/>
              </w:rPr>
            </w:pPr>
            <w:r w:rsidRPr="00DA4FCF">
              <w:rPr>
                <w:rFonts w:ascii="Arial" w:hAnsi="Arial" w:cs="Arial"/>
              </w:rPr>
              <w:t xml:space="preserve">PS24207 </w:t>
            </w:r>
            <w:r w:rsidR="006A41B0" w:rsidRPr="00DA4FCF">
              <w:rPr>
                <w:rFonts w:ascii="Arial" w:hAnsi="Arial" w:cs="Arial"/>
              </w:rPr>
              <w:t>–</w:t>
            </w:r>
            <w:r w:rsidRPr="00DA4FCF">
              <w:rPr>
                <w:rFonts w:ascii="Arial" w:hAnsi="Arial" w:cs="Arial"/>
              </w:rPr>
              <w:t xml:space="preserve"> </w:t>
            </w:r>
            <w:r w:rsidR="006A41B0" w:rsidRPr="00DA4FCF">
              <w:rPr>
                <w:rFonts w:ascii="Arial" w:hAnsi="Arial" w:cs="Arial"/>
              </w:rPr>
              <w:t>PIN</w:t>
            </w:r>
          </w:p>
        </w:tc>
      </w:tr>
      <w:tr w:rsidR="00D523EB" w:rsidRPr="00DA4FCF" w14:paraId="406ECACD" w14:textId="77777777" w:rsidTr="00D523EB">
        <w:trPr>
          <w:trHeight w:val="275"/>
        </w:trPr>
        <w:tc>
          <w:tcPr>
            <w:tcW w:w="3114" w:type="dxa"/>
          </w:tcPr>
          <w:p w14:paraId="0C1E4225" w14:textId="0A852EF7" w:rsidR="00D523EB" w:rsidRPr="00DA4FCF" w:rsidRDefault="00D523EB" w:rsidP="00D523EB">
            <w:pPr>
              <w:rPr>
                <w:rFonts w:ascii="Arial" w:hAnsi="Arial" w:cs="Arial"/>
                <w:b/>
                <w:bCs/>
              </w:rPr>
            </w:pPr>
            <w:r w:rsidRPr="00DA4FCF">
              <w:rPr>
                <w:rFonts w:ascii="Arial" w:hAnsi="Arial" w:cs="Arial"/>
                <w:b/>
                <w:bCs/>
              </w:rPr>
              <w:t>Notice Title</w:t>
            </w:r>
          </w:p>
        </w:tc>
        <w:tc>
          <w:tcPr>
            <w:tcW w:w="5902" w:type="dxa"/>
          </w:tcPr>
          <w:p w14:paraId="7FDC45CD" w14:textId="7D804BEB" w:rsidR="00D523EB" w:rsidRPr="00DA4FCF" w:rsidRDefault="00D523EB" w:rsidP="00D523EB">
            <w:pPr>
              <w:rPr>
                <w:rFonts w:ascii="Arial" w:hAnsi="Arial" w:cs="Arial"/>
              </w:rPr>
            </w:pPr>
            <w:proofErr w:type="spellStart"/>
            <w:r w:rsidRPr="00DA4FCF">
              <w:rPr>
                <w:rFonts w:ascii="Arial" w:hAnsi="Arial" w:cs="Arial"/>
              </w:rPr>
              <w:t>GPEx</w:t>
            </w:r>
            <w:proofErr w:type="spellEnd"/>
            <w:r w:rsidRPr="00DA4FCF">
              <w:rPr>
                <w:rFonts w:ascii="Arial" w:hAnsi="Arial" w:cs="Arial"/>
              </w:rPr>
              <w:t xml:space="preserve"> Delivery Model</w:t>
            </w:r>
          </w:p>
        </w:tc>
      </w:tr>
      <w:tr w:rsidR="00D523EB" w:rsidRPr="00DA4FCF" w14:paraId="12EC22E3" w14:textId="77777777" w:rsidTr="00D523EB">
        <w:trPr>
          <w:trHeight w:val="279"/>
        </w:trPr>
        <w:tc>
          <w:tcPr>
            <w:tcW w:w="3114" w:type="dxa"/>
          </w:tcPr>
          <w:p w14:paraId="2686F372" w14:textId="00AA52BF" w:rsidR="00D523EB" w:rsidRPr="00DA4FCF" w:rsidRDefault="00D523EB" w:rsidP="00D523EB">
            <w:pPr>
              <w:rPr>
                <w:rFonts w:ascii="Arial" w:hAnsi="Arial" w:cs="Arial"/>
                <w:b/>
                <w:bCs/>
              </w:rPr>
            </w:pPr>
            <w:r w:rsidRPr="00DA4FCF">
              <w:rPr>
                <w:rFonts w:ascii="Arial" w:hAnsi="Arial" w:cs="Arial"/>
                <w:b/>
                <w:bCs/>
              </w:rPr>
              <w:t>Closing date</w:t>
            </w:r>
          </w:p>
        </w:tc>
        <w:tc>
          <w:tcPr>
            <w:tcW w:w="5902" w:type="dxa"/>
          </w:tcPr>
          <w:p w14:paraId="223629BE" w14:textId="70F8CFE1" w:rsidR="00D523EB" w:rsidRPr="00DA4FCF" w:rsidRDefault="00253E0D" w:rsidP="00D523EB">
            <w:pPr>
              <w:rPr>
                <w:rFonts w:ascii="Arial" w:hAnsi="Arial" w:cs="Arial"/>
              </w:rPr>
            </w:pPr>
            <w:r>
              <w:rPr>
                <w:rFonts w:ascii="Arial" w:hAnsi="Arial" w:cs="Arial"/>
              </w:rPr>
              <w:t>Mon</w:t>
            </w:r>
            <w:r w:rsidR="00D523EB" w:rsidRPr="00DA4FCF">
              <w:rPr>
                <w:rFonts w:ascii="Arial" w:hAnsi="Arial" w:cs="Arial"/>
              </w:rPr>
              <w:t xml:space="preserve">day, </w:t>
            </w:r>
            <w:r>
              <w:rPr>
                <w:rFonts w:ascii="Arial" w:hAnsi="Arial" w:cs="Arial"/>
              </w:rPr>
              <w:t>14</w:t>
            </w:r>
            <w:r w:rsidR="00D523EB" w:rsidRPr="00DA4FCF">
              <w:rPr>
                <w:rFonts w:ascii="Arial" w:hAnsi="Arial" w:cs="Arial"/>
                <w:vertAlign w:val="superscript"/>
              </w:rPr>
              <w:t>th</w:t>
            </w:r>
            <w:r w:rsidR="00D523EB" w:rsidRPr="00DA4FCF">
              <w:rPr>
                <w:rFonts w:ascii="Arial" w:hAnsi="Arial" w:cs="Arial"/>
              </w:rPr>
              <w:t xml:space="preserve"> October 2024 at 1</w:t>
            </w:r>
            <w:r>
              <w:rPr>
                <w:rFonts w:ascii="Arial" w:hAnsi="Arial" w:cs="Arial"/>
              </w:rPr>
              <w:t>2</w:t>
            </w:r>
            <w:r w:rsidR="00D523EB" w:rsidRPr="00DA4FCF">
              <w:rPr>
                <w:rFonts w:ascii="Arial" w:hAnsi="Arial" w:cs="Arial"/>
              </w:rPr>
              <w:t>:00</w:t>
            </w:r>
            <w:r w:rsidR="0071086E">
              <w:rPr>
                <w:rFonts w:ascii="Arial" w:hAnsi="Arial" w:cs="Arial"/>
              </w:rPr>
              <w:t>pm</w:t>
            </w:r>
          </w:p>
        </w:tc>
      </w:tr>
    </w:tbl>
    <w:p w14:paraId="722C53CC" w14:textId="77777777" w:rsidR="009578A2" w:rsidRPr="00DA4FCF" w:rsidRDefault="009578A2" w:rsidP="00840287">
      <w:pPr>
        <w:rPr>
          <w:rFonts w:cs="Arial"/>
        </w:rPr>
      </w:pPr>
    </w:p>
    <w:p w14:paraId="48FC4D42" w14:textId="77777777" w:rsidR="00177EDF" w:rsidRPr="00DA4FCF" w:rsidRDefault="00177EDF" w:rsidP="00DA4FCF">
      <w:pPr>
        <w:pStyle w:val="Heading1"/>
        <w:spacing w:before="0" w:after="240" w:line="240" w:lineRule="auto"/>
        <w:rPr>
          <w:rFonts w:ascii="Arial" w:hAnsi="Arial" w:cs="Arial"/>
          <w:b/>
          <w:bCs/>
          <w:u w:val="single"/>
        </w:rPr>
      </w:pPr>
      <w:r w:rsidRPr="00DA4FCF">
        <w:rPr>
          <w:rFonts w:ascii="Arial" w:hAnsi="Arial" w:cs="Arial"/>
          <w:b/>
          <w:bCs/>
          <w:u w:val="single"/>
        </w:rPr>
        <w:t>Description of the Project</w:t>
      </w:r>
    </w:p>
    <w:tbl>
      <w:tblPr>
        <w:tblStyle w:val="TableGrid"/>
        <w:tblW w:w="0" w:type="auto"/>
        <w:tblLook w:val="04A0" w:firstRow="1" w:lastRow="0" w:firstColumn="1" w:lastColumn="0" w:noHBand="0" w:noVBand="1"/>
      </w:tblPr>
      <w:tblGrid>
        <w:gridCol w:w="9350"/>
      </w:tblGrid>
      <w:tr w:rsidR="00497B29" w:rsidRPr="00DA4FCF" w14:paraId="52A8D85F" w14:textId="77777777" w:rsidTr="435366FC">
        <w:tc>
          <w:tcPr>
            <w:tcW w:w="9350" w:type="dxa"/>
          </w:tcPr>
          <w:p w14:paraId="51657E4E" w14:textId="0A0CFC1B" w:rsidR="00542BDB" w:rsidRPr="00DA4FCF" w:rsidRDefault="00542BDB" w:rsidP="00497B29">
            <w:pPr>
              <w:rPr>
                <w:rFonts w:ascii="Arial" w:hAnsi="Arial" w:cs="Arial"/>
                <w:b/>
                <w:bCs/>
                <w:sz w:val="24"/>
                <w:szCs w:val="24"/>
                <w:u w:val="single"/>
              </w:rPr>
            </w:pPr>
            <w:r w:rsidRPr="00DA4FCF">
              <w:rPr>
                <w:rFonts w:ascii="Arial" w:hAnsi="Arial" w:cs="Arial"/>
                <w:b/>
                <w:bCs/>
                <w:sz w:val="24"/>
                <w:szCs w:val="24"/>
                <w:u w:val="single"/>
              </w:rPr>
              <w:t xml:space="preserve">Summary </w:t>
            </w:r>
          </w:p>
          <w:p w14:paraId="7AE8253B" w14:textId="029168E8" w:rsidR="00497B29" w:rsidRPr="00DA4FCF" w:rsidRDefault="00497B29" w:rsidP="00497B29">
            <w:pPr>
              <w:rPr>
                <w:rFonts w:ascii="Arial" w:hAnsi="Arial" w:cs="Arial"/>
              </w:rPr>
            </w:pPr>
            <w:r w:rsidRPr="00DA4FCF">
              <w:rPr>
                <w:rFonts w:ascii="Arial" w:hAnsi="Arial" w:cs="Arial"/>
              </w:rPr>
              <w:t>UKRI is seeking a supplier to develop and test a model for delivering a Research Culture Good Practice Exchange (</w:t>
            </w:r>
            <w:proofErr w:type="spellStart"/>
            <w:r w:rsidRPr="00DA4FCF">
              <w:rPr>
                <w:rFonts w:ascii="Arial" w:hAnsi="Arial" w:cs="Arial"/>
              </w:rPr>
              <w:t>GPEx</w:t>
            </w:r>
            <w:proofErr w:type="spellEnd"/>
            <w:r w:rsidRPr="00DA4FCF">
              <w:rPr>
                <w:rFonts w:ascii="Arial" w:hAnsi="Arial" w:cs="Arial"/>
              </w:rPr>
              <w:t xml:space="preserve">). This model must be tested and iterated with the wide breadth of stakeholders the </w:t>
            </w:r>
            <w:proofErr w:type="spellStart"/>
            <w:r w:rsidRPr="00DA4FCF">
              <w:rPr>
                <w:rFonts w:ascii="Arial" w:hAnsi="Arial" w:cs="Arial"/>
              </w:rPr>
              <w:t>GPEx</w:t>
            </w:r>
            <w:proofErr w:type="spellEnd"/>
            <w:r w:rsidRPr="00DA4FCF">
              <w:rPr>
                <w:rFonts w:ascii="Arial" w:hAnsi="Arial" w:cs="Arial"/>
              </w:rPr>
              <w:t xml:space="preserve"> is designed to serve. </w:t>
            </w:r>
          </w:p>
          <w:p w14:paraId="36E93CB9" w14:textId="77777777" w:rsidR="00497B29" w:rsidRPr="00DA4FCF" w:rsidRDefault="00497B29" w:rsidP="00497B29">
            <w:pPr>
              <w:rPr>
                <w:rFonts w:ascii="Arial" w:hAnsi="Arial" w:cs="Arial"/>
              </w:rPr>
            </w:pPr>
          </w:p>
          <w:p w14:paraId="1080273E" w14:textId="77777777" w:rsidR="00497B29" w:rsidRPr="00DA4FCF" w:rsidRDefault="00497B29" w:rsidP="00497B29">
            <w:pPr>
              <w:rPr>
                <w:rFonts w:ascii="Arial" w:hAnsi="Arial" w:cs="Arial"/>
                <w:b/>
                <w:bCs/>
                <w:sz w:val="24"/>
                <w:szCs w:val="24"/>
                <w:u w:val="single"/>
              </w:rPr>
            </w:pPr>
            <w:r w:rsidRPr="00DA4FCF">
              <w:rPr>
                <w:rFonts w:ascii="Arial" w:hAnsi="Arial" w:cs="Arial"/>
                <w:b/>
                <w:bCs/>
                <w:sz w:val="24"/>
                <w:szCs w:val="24"/>
                <w:u w:val="single"/>
              </w:rPr>
              <w:t>Background</w:t>
            </w:r>
          </w:p>
          <w:p w14:paraId="1F6E2E8C" w14:textId="77777777" w:rsidR="00497B29" w:rsidRPr="00DA4FCF" w:rsidRDefault="00497B29" w:rsidP="00497B29">
            <w:pPr>
              <w:rPr>
                <w:rFonts w:ascii="Arial" w:hAnsi="Arial" w:cs="Arial"/>
                <w:i/>
                <w:iCs/>
                <w:u w:val="single"/>
              </w:rPr>
            </w:pPr>
            <w:r w:rsidRPr="00DA4FCF">
              <w:rPr>
                <w:rFonts w:ascii="Arial" w:hAnsi="Arial" w:cs="Arial"/>
                <w:i/>
                <w:iCs/>
                <w:u w:val="single"/>
              </w:rPr>
              <w:t>Context</w:t>
            </w:r>
          </w:p>
          <w:p w14:paraId="60FC6D1A" w14:textId="77777777" w:rsidR="00497B29" w:rsidRPr="00DA4FCF" w:rsidRDefault="00497B29" w:rsidP="00497B29">
            <w:pPr>
              <w:rPr>
                <w:rFonts w:ascii="Arial" w:hAnsi="Arial" w:cs="Arial"/>
              </w:rPr>
            </w:pPr>
            <w:r w:rsidRPr="00DA4FCF">
              <w:rPr>
                <w:rFonts w:ascii="Arial" w:hAnsi="Arial" w:cs="Arial"/>
              </w:rPr>
              <w:t>UKRI’s vision is for an outstanding research and innovation system in the UK that gives everyone the opportunity to contribute and to benefit, enriching lives locally, nationally and internationally. The success of the research system depends on the people working within it. To answer complex research questions requires a diverse community of people in a wide range of roles, along with a culture that welcomes difference and supports constructive debate and challenge.</w:t>
            </w:r>
          </w:p>
          <w:p w14:paraId="6A40D7CD" w14:textId="77777777" w:rsidR="00EB3FC7" w:rsidRPr="00DA4FCF" w:rsidRDefault="00EB3FC7" w:rsidP="00497B29">
            <w:pPr>
              <w:rPr>
                <w:rFonts w:ascii="Arial" w:hAnsi="Arial" w:cs="Arial"/>
              </w:rPr>
            </w:pPr>
          </w:p>
          <w:p w14:paraId="4EF259C8" w14:textId="77777777" w:rsidR="00497B29" w:rsidRPr="00DA4FCF" w:rsidRDefault="00497B29" w:rsidP="00497B29">
            <w:pPr>
              <w:rPr>
                <w:rFonts w:ascii="Arial" w:hAnsi="Arial" w:cs="Arial"/>
              </w:rPr>
            </w:pPr>
            <w:r w:rsidRPr="00DA4FCF">
              <w:rPr>
                <w:rFonts w:ascii="Arial" w:hAnsi="Arial" w:cs="Arial"/>
              </w:rPr>
              <w:t xml:space="preserve">UKRI commissioned a </w:t>
            </w:r>
            <w:hyperlink r:id="rId14" w:history="1">
              <w:r w:rsidRPr="00DA4FCF">
                <w:rPr>
                  <w:rStyle w:val="Hyperlink"/>
                  <w:rFonts w:ascii="Arial" w:hAnsi="Arial" w:cs="Arial"/>
                </w:rPr>
                <w:t>Research Culture Initiatives in the UK Report</w:t>
              </w:r>
            </w:hyperlink>
            <w:r w:rsidRPr="00DA4FCF">
              <w:rPr>
                <w:rFonts w:ascii="Arial" w:hAnsi="Arial" w:cs="Arial"/>
              </w:rPr>
              <w:t xml:space="preserve">, to map current and past research culture activity across the R&amp;I sector. A research culture framework was developed through this work to provide a holistic view of the many aspects of research culture. This is underpinned by the </w:t>
            </w:r>
            <w:hyperlink r:id="rId15" w:anchor=":~:text=Research%20culture%20encompasses%20the%20behaviours,research%20is%20conducted%20and%20communicated." w:history="1">
              <w:r w:rsidRPr="00DA4FCF">
                <w:rPr>
                  <w:rStyle w:val="Hyperlink"/>
                  <w:rFonts w:ascii="Arial" w:hAnsi="Arial" w:cs="Arial"/>
                </w:rPr>
                <w:t>Royal Society’s definition of research culture</w:t>
              </w:r>
            </w:hyperlink>
            <w:r w:rsidRPr="00DA4FCF">
              <w:rPr>
                <w:rFonts w:ascii="Arial" w:hAnsi="Arial" w:cs="Arial"/>
              </w:rPr>
              <w:t xml:space="preserve"> and is expressed in terms of appropriate values and behaviours – see Figure 1. </w:t>
            </w:r>
          </w:p>
          <w:p w14:paraId="426B379B" w14:textId="77777777" w:rsidR="00497B29" w:rsidRPr="00DA4FCF" w:rsidRDefault="00497B29" w:rsidP="00497B29">
            <w:pPr>
              <w:rPr>
                <w:rFonts w:ascii="Arial" w:hAnsi="Arial" w:cs="Arial"/>
              </w:rPr>
            </w:pPr>
            <w:r w:rsidRPr="00DA4FCF">
              <w:rPr>
                <w:rFonts w:cs="Arial"/>
                <w:noProof/>
              </w:rPr>
              <w:drawing>
                <wp:inline distT="0" distB="0" distL="0" distR="0" wp14:anchorId="138BBFE6" wp14:editId="734DA7F4">
                  <wp:extent cx="5320834" cy="2514588"/>
                  <wp:effectExtent l="57150" t="57150" r="70485" b="76835"/>
                  <wp:docPr id="2017081775" name="Picture 2017081775" descr="1. How research is managed and undertaken&#10;o Effective research governance and management: The standards, structures and policies to ensure good research practice, integrity and equity &#10;o Achieving the highest levels of research integrity: Undertaking research with integrity, honesty and rigour to ensure confidence in the methods and results&#10;o Actively promoting sustainability: Minimising the impact of research on environmental, social and economic resources &#10;2. How research ensures value&#10;o Taking an open approach to research: Undertaking research that is openly accessible, collaborative and increases research integrity bringing public value and innovation.&#10;o Communicating research: Making research and knowledge available and accessible to all&#10;o Realising impact: The translation of research into value for communities, society, culture and economy &#10;3. How people are supported&#10;o Employment and conditions: The recruitment, employment and progression of a diverse research workforce&#10;o Recognition and assessment: Broadening what is recognised and valued as contributing to the research endeavour &#10;o Embedding professional and career development: Integrating professional and career development into all career stages &#10;o Ensuring inclusive and healthy working environments: Environments where all individuals are free to be themselves, included feel well supported and confident to express their views  &#10;4. How individuals engage with others&#10;o Providing effective leadership and management: The performance and line management of individuals &#10;o Empowering individuals: Individuals having ownership and responsibility for their own careers &#10;o Building collegiality: The creation of healthy, inclusive, supportive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81775" name="Picture 1" descr="1. How research is managed and undertaken&#10;o Effective research governance and management: The standards, structures and policies to ensure good research practice, integrity and equity &#10;o Achieving the highest levels of research integrity: Undertaking research with integrity, honesty and rigour to ensure confidence in the methods and results&#10;o Actively promoting sustainability: Minimising the impact of research on environmental, social and economic resources &#10;2. How research ensures value&#10;o Taking an open approach to research: Undertaking research that is openly accessible, collaborative and increases research integrity bringing public value and innovation.&#10;o Communicating research: Making research and knowledge available and accessible to all&#10;o Realising impact: The translation of research into value for communities, society, culture and economy &#10;3. How people are supported&#10;o Employment and conditions: The recruitment, employment and progression of a diverse research workforce&#10;o Recognition and assessment: Broadening what is recognised and valued as contributing to the research endeavour &#10;o Embedding professional and career development: Integrating professional and career development into all career stages &#10;o Ensuring inclusive and healthy working environments: Environments where all individuals are free to be themselves, included feel well supported and confident to express their views  &#10;4. How individuals engage with others&#10;o Providing effective leadership and management: The performance and line management of individuals &#10;o Empowering individuals: Individuals having ownership and responsibility for their own careers &#10;o Building collegiality: The creation of healthy, inclusive, supportive communities "/>
                          <pic:cNvPicPr/>
                        </pic:nvPicPr>
                        <pic:blipFill>
                          <a:blip r:embed="rId16"/>
                          <a:srcRect/>
                          <a:stretch>
                            <a:fillRect/>
                          </a:stretch>
                        </pic:blipFill>
                        <pic:spPr>
                          <a:xfrm>
                            <a:off x="0" y="0"/>
                            <a:ext cx="5320834" cy="2514588"/>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6410901" w14:textId="77777777" w:rsidR="00497B29" w:rsidRPr="00DA4FCF" w:rsidRDefault="00497B29" w:rsidP="00497B29">
            <w:pPr>
              <w:rPr>
                <w:rFonts w:ascii="Arial" w:hAnsi="Arial" w:cs="Arial"/>
                <w:b/>
                <w:bCs/>
              </w:rPr>
            </w:pPr>
            <w:r w:rsidRPr="00DA4FCF">
              <w:rPr>
                <w:rFonts w:ascii="Arial" w:hAnsi="Arial" w:cs="Arial"/>
                <w:b/>
                <w:bCs/>
              </w:rPr>
              <w:t>Figure 1. The Research Culture Framework</w:t>
            </w:r>
            <w:r w:rsidRPr="00DA4FCF">
              <w:rPr>
                <w:rStyle w:val="FootnoteReference"/>
                <w:rFonts w:ascii="Arial" w:hAnsi="Arial" w:cs="Arial"/>
                <w:b/>
                <w:bCs/>
              </w:rPr>
              <w:footnoteReference w:id="2"/>
            </w:r>
          </w:p>
          <w:p w14:paraId="5BE13332" w14:textId="77777777" w:rsidR="00EB3FC7" w:rsidRPr="00DA4FCF" w:rsidRDefault="00EB3FC7" w:rsidP="00497B29">
            <w:pPr>
              <w:rPr>
                <w:rFonts w:ascii="Arial" w:hAnsi="Arial" w:cs="Arial"/>
              </w:rPr>
            </w:pPr>
          </w:p>
          <w:p w14:paraId="28034115" w14:textId="4E4C302E" w:rsidR="00497B29" w:rsidRPr="00DA4FCF" w:rsidRDefault="00497B29" w:rsidP="00497B29">
            <w:pPr>
              <w:rPr>
                <w:rFonts w:ascii="Arial" w:hAnsi="Arial" w:cs="Arial"/>
              </w:rPr>
            </w:pPr>
            <w:r w:rsidRPr="00DA4FCF">
              <w:rPr>
                <w:rFonts w:ascii="Arial" w:hAnsi="Arial" w:cs="Arial"/>
              </w:rPr>
              <w:t xml:space="preserve">Key findings from the report include: </w:t>
            </w:r>
          </w:p>
          <w:p w14:paraId="1FE494AD"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lastRenderedPageBreak/>
              <w:t xml:space="preserve">Most research culture initiatives had a focus on higher education contexts. </w:t>
            </w:r>
          </w:p>
          <w:p w14:paraId="1F2886B8"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Initiatives often had broad coverage of research culture elements and behaviour. </w:t>
            </w:r>
          </w:p>
          <w:p w14:paraId="70C4FA76"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Evaluation of initiatives was often weak or uncertain </w:t>
            </w:r>
          </w:p>
          <w:p w14:paraId="4FC974DB"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There was a diversity of approaches and activity types</w:t>
            </w:r>
          </w:p>
          <w:p w14:paraId="7E94D64A"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Most initiatives had a UK or region-wide focus</w:t>
            </w:r>
          </w:p>
          <w:p w14:paraId="2EEDC1D4"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Many initiatives reported some level of collaboration</w:t>
            </w:r>
          </w:p>
          <w:p w14:paraId="7231C00C"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While </w:t>
            </w:r>
            <w:proofErr w:type="gramStart"/>
            <w:r w:rsidRPr="00DA4FCF">
              <w:rPr>
                <w:rFonts w:ascii="Arial" w:hAnsi="Arial" w:cs="Arial"/>
              </w:rPr>
              <w:t>a majority of</w:t>
            </w:r>
            <w:proofErr w:type="gramEnd"/>
            <w:r w:rsidRPr="00DA4FCF">
              <w:rPr>
                <w:rFonts w:ascii="Arial" w:hAnsi="Arial" w:cs="Arial"/>
              </w:rPr>
              <w:t xml:space="preserve"> initiatives had been shared, this sharing tended to be fairly ‘passive’</w:t>
            </w:r>
          </w:p>
          <w:p w14:paraId="79A18AFC"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Early career researchers (ECRs) were commonly targeted</w:t>
            </w:r>
          </w:p>
          <w:p w14:paraId="455DE4DA"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Initiative coverage of EDI matters was broad rather than specific</w:t>
            </w:r>
          </w:p>
          <w:p w14:paraId="3E214A0D"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EDI was seen both as being ‘well served’ and a ‘gap’</w:t>
            </w:r>
          </w:p>
          <w:p w14:paraId="1E2299CF"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There is a call for more decisive action to improve research culture</w:t>
            </w:r>
          </w:p>
          <w:p w14:paraId="27FA33B1" w14:textId="7A68C584" w:rsidR="00EB3FC7" w:rsidRPr="00DA4FCF" w:rsidRDefault="00417212" w:rsidP="00417212">
            <w:pPr>
              <w:rPr>
                <w:rFonts w:ascii="Arial" w:hAnsi="Arial" w:cs="Arial"/>
              </w:rPr>
            </w:pPr>
            <w:r w:rsidRPr="00DA4FCF">
              <w:rPr>
                <w:rFonts w:ascii="Arial" w:hAnsi="Arial" w:cs="Arial"/>
              </w:rPr>
              <w:t xml:space="preserve">Although the primary beneficiary is intended to be UK research and innovation, the </w:t>
            </w:r>
            <w:proofErr w:type="spellStart"/>
            <w:r w:rsidRPr="00DA4FCF">
              <w:rPr>
                <w:rFonts w:ascii="Arial" w:hAnsi="Arial" w:cs="Arial"/>
              </w:rPr>
              <w:t>GPEx</w:t>
            </w:r>
            <w:proofErr w:type="spellEnd"/>
            <w:r w:rsidRPr="00DA4FCF">
              <w:rPr>
                <w:rFonts w:ascii="Arial" w:hAnsi="Arial" w:cs="Arial"/>
              </w:rPr>
              <w:t xml:space="preserve"> is expected to draw on international practice.</w:t>
            </w:r>
          </w:p>
          <w:p w14:paraId="4A0B15B5" w14:textId="77777777" w:rsidR="00417212" w:rsidRPr="00DA4FCF" w:rsidRDefault="00417212" w:rsidP="00417212">
            <w:pPr>
              <w:rPr>
                <w:rFonts w:ascii="Arial" w:hAnsi="Arial" w:cs="Arial"/>
              </w:rPr>
            </w:pPr>
          </w:p>
          <w:p w14:paraId="30735FCF" w14:textId="4AB72699" w:rsidR="00497B29" w:rsidRPr="00DA4FCF" w:rsidRDefault="003C41C5" w:rsidP="00497B29">
            <w:pPr>
              <w:rPr>
                <w:rFonts w:ascii="Arial" w:hAnsi="Arial" w:cs="Arial"/>
              </w:rPr>
            </w:pPr>
            <w:r w:rsidRPr="00DA4FCF">
              <w:rPr>
                <w:rFonts w:ascii="Arial" w:hAnsi="Arial" w:cs="Arial"/>
              </w:rPr>
              <w:t>C</w:t>
            </w:r>
            <w:r w:rsidR="00497B29" w:rsidRPr="00DA4FCF">
              <w:rPr>
                <w:rFonts w:ascii="Arial" w:hAnsi="Arial" w:cs="Arial"/>
              </w:rPr>
              <w:t>ross-sector partnership working on research culture</w:t>
            </w:r>
            <w:r w:rsidR="00027010" w:rsidRPr="00DA4FCF">
              <w:rPr>
                <w:rFonts w:ascii="Arial" w:hAnsi="Arial" w:cs="Arial"/>
              </w:rPr>
              <w:t xml:space="preserve"> is needed</w:t>
            </w:r>
            <w:r w:rsidR="00497B29" w:rsidRPr="00DA4FCF">
              <w:rPr>
                <w:rFonts w:ascii="Arial" w:hAnsi="Arial" w:cs="Arial"/>
              </w:rPr>
              <w:t xml:space="preserve">, to build on current momentum in the sector and catalyse further activity to improve culture. </w:t>
            </w:r>
            <w:r w:rsidR="000F2345" w:rsidRPr="00DA4FCF">
              <w:rPr>
                <w:rFonts w:ascii="Arial" w:hAnsi="Arial" w:cs="Arial"/>
              </w:rPr>
              <w:t xml:space="preserve">A </w:t>
            </w:r>
            <w:r w:rsidR="00497B29" w:rsidRPr="00DA4FCF">
              <w:rPr>
                <w:rFonts w:ascii="Arial" w:hAnsi="Arial" w:cs="Arial"/>
              </w:rPr>
              <w:t xml:space="preserve">Good Practice Exchange </w:t>
            </w:r>
            <w:r w:rsidR="000F2345" w:rsidRPr="00DA4FCF">
              <w:rPr>
                <w:rFonts w:ascii="Arial" w:hAnsi="Arial" w:cs="Arial"/>
              </w:rPr>
              <w:t>would</w:t>
            </w:r>
            <w:r w:rsidR="00497B29" w:rsidRPr="00DA4FCF">
              <w:rPr>
                <w:rFonts w:ascii="Arial" w:hAnsi="Arial" w:cs="Arial"/>
              </w:rPr>
              <w:t xml:space="preserve"> develop, test, evaluate and highlight ideas to improve culture sourced from the community, bringing together people from across the sector to work creatively. </w:t>
            </w:r>
          </w:p>
          <w:p w14:paraId="0021B8CD" w14:textId="77777777" w:rsidR="00F96B6E" w:rsidRPr="00DA4FCF" w:rsidRDefault="00F96B6E" w:rsidP="00497B29">
            <w:pPr>
              <w:rPr>
                <w:rFonts w:ascii="Arial" w:hAnsi="Arial" w:cs="Arial"/>
              </w:rPr>
            </w:pPr>
          </w:p>
          <w:p w14:paraId="552F5839" w14:textId="65C659A9" w:rsidR="00497B29" w:rsidRPr="00DA4FCF" w:rsidRDefault="00497B29" w:rsidP="00497B29">
            <w:pPr>
              <w:rPr>
                <w:rFonts w:ascii="Arial" w:hAnsi="Arial" w:cs="Arial"/>
              </w:rPr>
            </w:pPr>
            <w:r w:rsidRPr="00DA4FCF">
              <w:rPr>
                <w:rFonts w:ascii="Arial" w:hAnsi="Arial" w:cs="Arial"/>
              </w:rPr>
              <w:t>Using recommendations from the Research Culture Initiatives report and wide stakeholder engagement, objectives for the Exchange have been established</w:t>
            </w:r>
            <w:r w:rsidR="00F96B6E" w:rsidRPr="00DA4FCF">
              <w:rPr>
                <w:rFonts w:ascii="Arial" w:hAnsi="Arial" w:cs="Arial"/>
              </w:rPr>
              <w:t xml:space="preserve"> as follows</w:t>
            </w:r>
            <w:r w:rsidRPr="00DA4FCF">
              <w:rPr>
                <w:rFonts w:ascii="Arial" w:hAnsi="Arial" w:cs="Arial"/>
              </w:rPr>
              <w:t xml:space="preserve">. </w:t>
            </w:r>
          </w:p>
          <w:p w14:paraId="14585C40" w14:textId="77777777" w:rsidR="00497B29" w:rsidRPr="00DA4FCF" w:rsidRDefault="00497B29" w:rsidP="00497B29">
            <w:pPr>
              <w:rPr>
                <w:rFonts w:ascii="Arial" w:hAnsi="Arial" w:cs="Arial"/>
              </w:rPr>
            </w:pPr>
          </w:p>
          <w:p w14:paraId="1CD7B90D" w14:textId="77777777" w:rsidR="00497B29" w:rsidRPr="00DA4FCF" w:rsidRDefault="00497B29" w:rsidP="00497B29">
            <w:pPr>
              <w:rPr>
                <w:rFonts w:ascii="Arial" w:hAnsi="Arial" w:cs="Arial"/>
                <w:i/>
                <w:iCs/>
                <w:u w:val="single"/>
              </w:rPr>
            </w:pPr>
            <w:proofErr w:type="spellStart"/>
            <w:r w:rsidRPr="00DA4FCF">
              <w:rPr>
                <w:rFonts w:ascii="Arial" w:hAnsi="Arial" w:cs="Arial"/>
                <w:i/>
                <w:iCs/>
                <w:u w:val="single"/>
              </w:rPr>
              <w:t>GPEx</w:t>
            </w:r>
            <w:proofErr w:type="spellEnd"/>
            <w:r w:rsidRPr="00DA4FCF">
              <w:rPr>
                <w:rFonts w:ascii="Arial" w:hAnsi="Arial" w:cs="Arial"/>
                <w:i/>
                <w:iCs/>
                <w:u w:val="single"/>
              </w:rPr>
              <w:t xml:space="preserve"> Objectives</w:t>
            </w:r>
          </w:p>
          <w:p w14:paraId="1AE2EB3C" w14:textId="77777777" w:rsidR="00497B29" w:rsidRPr="00DA4FCF" w:rsidRDefault="00497B29" w:rsidP="00497B29">
            <w:pPr>
              <w:rPr>
                <w:rFonts w:ascii="Arial" w:hAnsi="Arial" w:cs="Arial"/>
              </w:rPr>
            </w:pPr>
            <w:r w:rsidRPr="00DA4FCF">
              <w:rPr>
                <w:rFonts w:ascii="Arial" w:hAnsi="Arial" w:cs="Arial"/>
              </w:rPr>
              <w:t xml:space="preserve">The goal of the Good Practice Exchange is to harness and consolidate existing activities relevant to research culture for the benefit of researchers, research itself, and society. </w:t>
            </w:r>
          </w:p>
          <w:p w14:paraId="74EAAD97" w14:textId="77777777" w:rsidR="00EB3FC7" w:rsidRPr="00DA4FCF" w:rsidRDefault="00EB3FC7" w:rsidP="00497B29">
            <w:pPr>
              <w:rPr>
                <w:rFonts w:ascii="Arial" w:hAnsi="Arial" w:cs="Arial"/>
              </w:rPr>
            </w:pPr>
          </w:p>
          <w:p w14:paraId="0E672987" w14:textId="1D22CF11" w:rsidR="00497B29" w:rsidRPr="00DA4FCF" w:rsidRDefault="00497B29" w:rsidP="00497B29">
            <w:pPr>
              <w:rPr>
                <w:rFonts w:ascii="Arial" w:hAnsi="Arial" w:cs="Arial"/>
              </w:rPr>
            </w:pPr>
            <w:r w:rsidRPr="00DA4FCF">
              <w:rPr>
                <w:rFonts w:ascii="Arial" w:hAnsi="Arial" w:cs="Arial"/>
              </w:rPr>
              <w:t>The Exchange is for the full breadth of UK research and innovation disciplines and sectors. Sectors include</w:t>
            </w:r>
            <w:r w:rsidR="00816E5E" w:rsidRPr="00DA4FCF">
              <w:rPr>
                <w:rFonts w:ascii="Arial" w:hAnsi="Arial" w:cs="Arial"/>
              </w:rPr>
              <w:t>, but are not limited to</w:t>
            </w:r>
            <w:r w:rsidRPr="00DA4FCF">
              <w:rPr>
                <w:rFonts w:ascii="Arial" w:hAnsi="Arial" w:cs="Arial"/>
              </w:rPr>
              <w:t xml:space="preserve">: </w:t>
            </w:r>
          </w:p>
          <w:p w14:paraId="26B0D385"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Academic (universities, research institutes, funders, networks</w:t>
            </w:r>
            <w:proofErr w:type="gramStart"/>
            <w:r w:rsidRPr="00DA4FCF">
              <w:rPr>
                <w:rFonts w:ascii="Arial" w:hAnsi="Arial" w:cs="Arial"/>
              </w:rPr>
              <w:t>);</w:t>
            </w:r>
            <w:proofErr w:type="gramEnd"/>
            <w:r w:rsidRPr="00DA4FCF">
              <w:rPr>
                <w:rFonts w:ascii="Arial" w:hAnsi="Arial" w:cs="Arial"/>
              </w:rPr>
              <w:t xml:space="preserve"> </w:t>
            </w:r>
          </w:p>
          <w:p w14:paraId="68AF66FC"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Industry / the private sector (research institutes, research &amp; development (R&amp;D) departments, networks, human resources (HR)).</w:t>
            </w:r>
          </w:p>
          <w:p w14:paraId="2C0ED14D" w14:textId="4A630A91" w:rsidR="00497B29" w:rsidRPr="00DA4FCF" w:rsidRDefault="00677F4B" w:rsidP="00497B29">
            <w:pPr>
              <w:pStyle w:val="ListParagraph"/>
              <w:numPr>
                <w:ilvl w:val="0"/>
                <w:numId w:val="2"/>
              </w:numPr>
              <w:rPr>
                <w:rFonts w:ascii="Arial" w:hAnsi="Arial" w:cs="Arial"/>
              </w:rPr>
            </w:pPr>
            <w:r w:rsidRPr="00DA4FCF">
              <w:rPr>
                <w:rFonts w:ascii="Arial" w:hAnsi="Arial" w:cs="Arial"/>
              </w:rPr>
              <w:t>P</w:t>
            </w:r>
            <w:r w:rsidR="00497B29" w:rsidRPr="00DA4FCF">
              <w:rPr>
                <w:rFonts w:ascii="Arial" w:hAnsi="Arial" w:cs="Arial"/>
              </w:rPr>
              <w:t xml:space="preserve">ublic sector, including </w:t>
            </w:r>
            <w:r w:rsidR="006458E3" w:rsidRPr="00DA4FCF">
              <w:rPr>
                <w:rFonts w:ascii="Arial" w:hAnsi="Arial" w:cs="Arial"/>
              </w:rPr>
              <w:t xml:space="preserve">Government, </w:t>
            </w:r>
            <w:r w:rsidR="00497B29" w:rsidRPr="00DA4FCF">
              <w:rPr>
                <w:rFonts w:ascii="Arial" w:hAnsi="Arial" w:cs="Arial"/>
              </w:rPr>
              <w:t>NHS, public sector research establishments (PSREs) and public engagement organisations.</w:t>
            </w:r>
          </w:p>
          <w:p w14:paraId="4F804532"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Third sector, including research-oriented charities and volunteering organisations.</w:t>
            </w:r>
          </w:p>
          <w:p w14:paraId="06EB8149"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 xml:space="preserve">Other organisations involved in facilitating and connecting research activities. </w:t>
            </w:r>
          </w:p>
          <w:p w14:paraId="6D76A68B" w14:textId="781CFC71" w:rsidR="00677F4B" w:rsidRPr="00DA4FCF" w:rsidRDefault="00936484" w:rsidP="00497B29">
            <w:pPr>
              <w:pStyle w:val="ListParagraph"/>
              <w:numPr>
                <w:ilvl w:val="0"/>
                <w:numId w:val="2"/>
              </w:numPr>
              <w:rPr>
                <w:rFonts w:ascii="Arial" w:hAnsi="Arial" w:cs="Arial"/>
              </w:rPr>
            </w:pPr>
            <w:r w:rsidRPr="00DA4FCF">
              <w:rPr>
                <w:rFonts w:ascii="Arial" w:hAnsi="Arial" w:cs="Arial"/>
              </w:rPr>
              <w:t xml:space="preserve">The </w:t>
            </w:r>
            <w:r w:rsidR="000114A9" w:rsidRPr="00DA4FCF">
              <w:rPr>
                <w:rFonts w:ascii="Arial" w:hAnsi="Arial" w:cs="Arial"/>
              </w:rPr>
              <w:t xml:space="preserve">wider </w:t>
            </w:r>
            <w:r w:rsidR="00677F4B" w:rsidRPr="00DA4FCF">
              <w:rPr>
                <w:rFonts w:ascii="Arial" w:hAnsi="Arial" w:cs="Arial"/>
              </w:rPr>
              <w:t>public</w:t>
            </w:r>
          </w:p>
          <w:p w14:paraId="13CB7323" w14:textId="77777777" w:rsidR="00497B29" w:rsidRPr="00DA4FCF" w:rsidRDefault="00497B29" w:rsidP="00497B29">
            <w:pPr>
              <w:rPr>
                <w:rFonts w:ascii="Arial" w:hAnsi="Arial" w:cs="Arial"/>
              </w:rPr>
            </w:pPr>
          </w:p>
          <w:p w14:paraId="7F0CC03B" w14:textId="479A7710" w:rsidR="00497B29" w:rsidRPr="00DA4FCF" w:rsidRDefault="00497B29"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have the following three core </w:t>
            </w:r>
            <w:r w:rsidR="0048193D" w:rsidRPr="00DA4FCF">
              <w:rPr>
                <w:rFonts w:ascii="Arial" w:hAnsi="Arial" w:cs="Arial"/>
              </w:rPr>
              <w:t>objectives</w:t>
            </w:r>
            <w:r w:rsidRPr="00DA4FCF">
              <w:rPr>
                <w:rFonts w:ascii="Arial" w:hAnsi="Arial" w:cs="Arial"/>
              </w:rPr>
              <w:t xml:space="preserve">:  </w:t>
            </w:r>
          </w:p>
          <w:p w14:paraId="27379251" w14:textId="4ECB3FFE" w:rsidR="00497B29" w:rsidRPr="00DA4FCF" w:rsidRDefault="00497B29" w:rsidP="00497B29">
            <w:pPr>
              <w:pStyle w:val="ListParagraph"/>
              <w:numPr>
                <w:ilvl w:val="0"/>
                <w:numId w:val="3"/>
              </w:numPr>
              <w:rPr>
                <w:rFonts w:ascii="Arial" w:hAnsi="Arial" w:cs="Arial"/>
              </w:rPr>
            </w:pPr>
            <w:r w:rsidRPr="00DA4FCF">
              <w:rPr>
                <w:rFonts w:ascii="Arial" w:hAnsi="Arial" w:cs="Arial"/>
                <w:b/>
              </w:rPr>
              <w:t xml:space="preserve">Building networks, sharing and collaboration: </w:t>
            </w: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provide a route for people and organisations across the sector to come together, leveraging existing initiatives and communities. It will build connections between networks and research culture activities, facilitating collective effort, building on existing interest and action. In particular with the purpose </w:t>
            </w:r>
            <w:proofErr w:type="gramStart"/>
            <w:r w:rsidRPr="00DA4FCF">
              <w:rPr>
                <w:rFonts w:ascii="Arial" w:hAnsi="Arial" w:cs="Arial"/>
              </w:rPr>
              <w:t>of:</w:t>
            </w:r>
            <w:proofErr w:type="gramEnd"/>
            <w:r w:rsidRPr="00DA4FCF">
              <w:rPr>
                <w:rFonts w:ascii="Arial" w:hAnsi="Arial" w:cs="Arial"/>
              </w:rPr>
              <w:t xml:space="preserve"> a) sharing good practice and b) encouraging collaboration. It would not fund a new </w:t>
            </w:r>
            <w:proofErr w:type="gramStart"/>
            <w:r w:rsidRPr="00DA4FCF">
              <w:rPr>
                <w:rFonts w:ascii="Arial" w:hAnsi="Arial" w:cs="Arial"/>
              </w:rPr>
              <w:t>network, but</w:t>
            </w:r>
            <w:proofErr w:type="gramEnd"/>
            <w:r w:rsidRPr="00DA4FCF">
              <w:rPr>
                <w:rFonts w:ascii="Arial" w:hAnsi="Arial" w:cs="Arial"/>
              </w:rPr>
              <w:t xml:space="preserve"> build connections between existing networks – a “network of networks”.</w:t>
            </w:r>
          </w:p>
          <w:p w14:paraId="19F50312" w14:textId="77777777" w:rsidR="00497B29" w:rsidRPr="00DA4FCF" w:rsidRDefault="00497B29" w:rsidP="00497B29">
            <w:pPr>
              <w:pStyle w:val="ListParagraph"/>
              <w:rPr>
                <w:rFonts w:ascii="Arial" w:hAnsi="Arial" w:cs="Arial"/>
              </w:rPr>
            </w:pPr>
          </w:p>
          <w:p w14:paraId="6783949D" w14:textId="07B6F523" w:rsidR="00497B29" w:rsidRPr="00DA4FCF" w:rsidRDefault="00497B29" w:rsidP="00497B29">
            <w:pPr>
              <w:pStyle w:val="ListParagraph"/>
              <w:numPr>
                <w:ilvl w:val="0"/>
                <w:numId w:val="3"/>
              </w:numPr>
              <w:rPr>
                <w:rFonts w:ascii="Arial" w:hAnsi="Arial" w:cs="Arial"/>
              </w:rPr>
            </w:pPr>
            <w:r w:rsidRPr="00DA4FCF">
              <w:rPr>
                <w:rFonts w:ascii="Arial" w:hAnsi="Arial" w:cs="Arial"/>
                <w:b/>
                <w:bCs/>
              </w:rPr>
              <w:t xml:space="preserve">Supporting more and better evaluation: </w:t>
            </w:r>
            <w:r w:rsidRPr="00DA4FCF">
              <w:rPr>
                <w:rFonts w:ascii="Arial" w:hAnsi="Arial" w:cs="Arial"/>
              </w:rPr>
              <w:t xml:space="preserve">There is a need for more research culture initiatives to be </w:t>
            </w:r>
            <w:r w:rsidR="007F204D" w:rsidRPr="00DA4FCF">
              <w:rPr>
                <w:rFonts w:ascii="Arial" w:hAnsi="Arial" w:cs="Arial"/>
              </w:rPr>
              <w:t xml:space="preserve">tested and </w:t>
            </w:r>
            <w:r w:rsidRPr="00DA4FCF">
              <w:rPr>
                <w:rFonts w:ascii="Arial" w:hAnsi="Arial" w:cs="Arial"/>
              </w:rPr>
              <w:t xml:space="preserve">evaluated, and for </w:t>
            </w:r>
            <w:r w:rsidR="007F204D" w:rsidRPr="00DA4FCF">
              <w:rPr>
                <w:rFonts w:ascii="Arial" w:hAnsi="Arial" w:cs="Arial"/>
              </w:rPr>
              <w:t>this activity</w:t>
            </w:r>
            <w:r w:rsidRPr="00DA4FCF">
              <w:rPr>
                <w:rFonts w:ascii="Arial" w:hAnsi="Arial" w:cs="Arial"/>
              </w:rPr>
              <w:t xml:space="preserve"> (where proportionate) to be more robust and longer-term, </w:t>
            </w:r>
            <w:proofErr w:type="gramStart"/>
            <w:r w:rsidRPr="00DA4FCF">
              <w:rPr>
                <w:rFonts w:ascii="Arial" w:hAnsi="Arial" w:cs="Arial"/>
              </w:rPr>
              <w:t>so as to</w:t>
            </w:r>
            <w:proofErr w:type="gramEnd"/>
            <w:r w:rsidRPr="00DA4FCF">
              <w:rPr>
                <w:rFonts w:ascii="Arial" w:hAnsi="Arial" w:cs="Arial"/>
              </w:rPr>
              <w:t xml:space="preserve"> build understanding of what works to enhance research culture.</w:t>
            </w:r>
            <w:r w:rsidR="00B20C1A" w:rsidRPr="00DA4FCF">
              <w:rPr>
                <w:rFonts w:ascii="Arial" w:hAnsi="Arial" w:cs="Arial"/>
              </w:rPr>
              <w:t xml:space="preserve"> This includes</w:t>
            </w:r>
            <w:r w:rsidR="00B33095" w:rsidRPr="00DA4FCF">
              <w:rPr>
                <w:rFonts w:ascii="Arial" w:hAnsi="Arial" w:cs="Arial"/>
              </w:rPr>
              <w:t xml:space="preserve"> -</w:t>
            </w:r>
            <w:r w:rsidR="008A4D58" w:rsidRPr="00DA4FCF">
              <w:rPr>
                <w:rFonts w:ascii="Arial" w:hAnsi="Arial" w:cs="Arial"/>
              </w:rPr>
              <w:t xml:space="preserve"> where possible</w:t>
            </w:r>
            <w:r w:rsidR="00B33095" w:rsidRPr="00DA4FCF">
              <w:rPr>
                <w:rFonts w:ascii="Arial" w:hAnsi="Arial" w:cs="Arial"/>
              </w:rPr>
              <w:t xml:space="preserve"> and </w:t>
            </w:r>
            <w:r w:rsidR="007C64E5" w:rsidRPr="00DA4FCF">
              <w:rPr>
                <w:rFonts w:ascii="Arial" w:hAnsi="Arial" w:cs="Arial"/>
              </w:rPr>
              <w:t>proportionate</w:t>
            </w:r>
            <w:r w:rsidR="00B33095" w:rsidRPr="00DA4FCF">
              <w:rPr>
                <w:rFonts w:ascii="Arial" w:hAnsi="Arial" w:cs="Arial"/>
              </w:rPr>
              <w:t xml:space="preserve"> -</w:t>
            </w:r>
            <w:r w:rsidR="008A4D58" w:rsidRPr="00DA4FCF">
              <w:rPr>
                <w:rFonts w:ascii="Arial" w:hAnsi="Arial" w:cs="Arial"/>
              </w:rPr>
              <w:t xml:space="preserve"> </w:t>
            </w:r>
            <w:r w:rsidR="007C64E5" w:rsidRPr="00DA4FCF">
              <w:rPr>
                <w:rFonts w:ascii="Arial" w:hAnsi="Arial" w:cs="Arial"/>
              </w:rPr>
              <w:t xml:space="preserve">considering </w:t>
            </w:r>
            <w:r w:rsidR="00AD0582" w:rsidRPr="00DA4FCF">
              <w:rPr>
                <w:rFonts w:ascii="Arial" w:hAnsi="Arial" w:cs="Arial"/>
              </w:rPr>
              <w:t xml:space="preserve">testing and </w:t>
            </w:r>
            <w:r w:rsidR="007C64E5" w:rsidRPr="00DA4FCF">
              <w:rPr>
                <w:rFonts w:ascii="Arial" w:hAnsi="Arial" w:cs="Arial"/>
              </w:rPr>
              <w:t xml:space="preserve">evaluation at the conception of an activity, so that </w:t>
            </w:r>
            <w:r w:rsidR="00B33095" w:rsidRPr="00DA4FCF">
              <w:rPr>
                <w:rFonts w:ascii="Arial" w:hAnsi="Arial" w:cs="Arial"/>
              </w:rPr>
              <w:t>the activity</w:t>
            </w:r>
            <w:r w:rsidR="007C64E5" w:rsidRPr="00DA4FCF">
              <w:rPr>
                <w:rFonts w:ascii="Arial" w:hAnsi="Arial" w:cs="Arial"/>
              </w:rPr>
              <w:t xml:space="preserve"> can be designed with </w:t>
            </w:r>
            <w:r w:rsidR="00F1012C" w:rsidRPr="00DA4FCF">
              <w:rPr>
                <w:rFonts w:ascii="Arial" w:hAnsi="Arial" w:cs="Arial"/>
              </w:rPr>
              <w:t>this</w:t>
            </w:r>
            <w:r w:rsidR="007C64E5" w:rsidRPr="00DA4FCF">
              <w:rPr>
                <w:rFonts w:ascii="Arial" w:hAnsi="Arial" w:cs="Arial"/>
              </w:rPr>
              <w:t xml:space="preserve"> in mind.</w:t>
            </w:r>
            <w:r w:rsidRPr="00DA4FCF">
              <w:rPr>
                <w:rFonts w:ascii="Arial" w:hAnsi="Arial" w:cs="Arial"/>
              </w:rPr>
              <w:t xml:space="preserve"> Quality evidence is crucial for demonstrating the effectiveness of interventions. More evaluation is needed of smaller, focussed </w:t>
            </w:r>
            <w:r w:rsidRPr="00DA4FCF">
              <w:rPr>
                <w:rFonts w:ascii="Arial" w:hAnsi="Arial" w:cs="Arial"/>
              </w:rPr>
              <w:lastRenderedPageBreak/>
              <w:t xml:space="preserve">interventions, as well as methods to evaluate research culture change in ways that are appropriate and relevant to different contexts. Evaluation should also be conducted across sectors and with different communities to determine effectiveness in different contexts. There is a need for evaluation tools, and for these to </w:t>
            </w:r>
            <w:r w:rsidR="003051B2" w:rsidRPr="00DA4FCF">
              <w:rPr>
                <w:rFonts w:ascii="Arial" w:hAnsi="Arial" w:cs="Arial"/>
              </w:rPr>
              <w:t xml:space="preserve">be </w:t>
            </w:r>
            <w:r w:rsidRPr="00DA4FCF">
              <w:rPr>
                <w:rFonts w:ascii="Arial" w:hAnsi="Arial" w:cs="Arial"/>
              </w:rPr>
              <w:t xml:space="preserve">made available to practitioners to conduct their interventions as experiments. The </w:t>
            </w:r>
            <w:proofErr w:type="spellStart"/>
            <w:r w:rsidRPr="00DA4FCF">
              <w:rPr>
                <w:rFonts w:ascii="Arial" w:hAnsi="Arial" w:cs="Arial"/>
              </w:rPr>
              <w:t>GPEx</w:t>
            </w:r>
            <w:proofErr w:type="spellEnd"/>
            <w:r w:rsidRPr="00DA4FCF">
              <w:rPr>
                <w:rFonts w:ascii="Arial" w:hAnsi="Arial" w:cs="Arial"/>
              </w:rPr>
              <w:t xml:space="preserve"> will promote and support these evaluation needs. The focus of the </w:t>
            </w:r>
            <w:proofErr w:type="spellStart"/>
            <w:r w:rsidRPr="00DA4FCF">
              <w:rPr>
                <w:rFonts w:ascii="Arial" w:hAnsi="Arial" w:cs="Arial"/>
              </w:rPr>
              <w:t>GPEx</w:t>
            </w:r>
            <w:proofErr w:type="spellEnd"/>
            <w:r w:rsidRPr="00DA4FCF">
              <w:rPr>
                <w:rFonts w:ascii="Arial" w:hAnsi="Arial" w:cs="Arial"/>
              </w:rPr>
              <w:t xml:space="preserve"> is on supporting the sector to deliver the best evaluation possible, rather than the </w:t>
            </w:r>
            <w:proofErr w:type="spellStart"/>
            <w:r w:rsidRPr="00DA4FCF">
              <w:rPr>
                <w:rFonts w:ascii="Arial" w:hAnsi="Arial" w:cs="Arial"/>
              </w:rPr>
              <w:t>GPEx</w:t>
            </w:r>
            <w:proofErr w:type="spellEnd"/>
            <w:r w:rsidRPr="00DA4FCF">
              <w:rPr>
                <w:rFonts w:ascii="Arial" w:hAnsi="Arial" w:cs="Arial"/>
              </w:rPr>
              <w:t xml:space="preserve"> delivering evaluation (or meta-evaluation) itself. </w:t>
            </w:r>
          </w:p>
          <w:p w14:paraId="3DE94B63" w14:textId="77777777" w:rsidR="00497B29" w:rsidRPr="00DA4FCF" w:rsidRDefault="00497B29" w:rsidP="00497B29">
            <w:pPr>
              <w:pStyle w:val="ListParagraph"/>
              <w:rPr>
                <w:rFonts w:ascii="Arial" w:hAnsi="Arial" w:cs="Arial"/>
              </w:rPr>
            </w:pPr>
          </w:p>
          <w:p w14:paraId="39FDF493" w14:textId="676D5902" w:rsidR="00497B29" w:rsidRPr="00DA4FCF" w:rsidRDefault="00497B29" w:rsidP="00497B29">
            <w:pPr>
              <w:pStyle w:val="ListParagraph"/>
              <w:numPr>
                <w:ilvl w:val="0"/>
                <w:numId w:val="3"/>
              </w:numPr>
              <w:rPr>
                <w:rFonts w:ascii="Arial" w:hAnsi="Arial" w:cs="Arial"/>
              </w:rPr>
            </w:pPr>
            <w:r w:rsidRPr="00DA4FCF">
              <w:rPr>
                <w:rFonts w:ascii="Arial" w:hAnsi="Arial" w:cs="Arial"/>
                <w:b/>
                <w:bCs/>
              </w:rPr>
              <w:t>Strengthening strategic leadership:</w:t>
            </w:r>
            <w:r w:rsidRPr="00DA4FCF">
              <w:rPr>
                <w:rFonts w:ascii="Arial" w:hAnsi="Arial" w:cs="Arial"/>
              </w:rPr>
              <w:t xml:space="preserve"> The </w:t>
            </w:r>
            <w:proofErr w:type="spellStart"/>
            <w:r w:rsidRPr="00DA4FCF">
              <w:rPr>
                <w:rFonts w:ascii="Arial" w:hAnsi="Arial" w:cs="Arial"/>
              </w:rPr>
              <w:t>GPEx</w:t>
            </w:r>
            <w:proofErr w:type="spellEnd"/>
            <w:r w:rsidRPr="00DA4FCF">
              <w:rPr>
                <w:rFonts w:ascii="Arial" w:hAnsi="Arial" w:cs="Arial"/>
              </w:rPr>
              <w:t xml:space="preserve"> will take a strategic leadership role and have a compelling vision, both for its own activities and for research culture. The </w:t>
            </w:r>
            <w:proofErr w:type="spellStart"/>
            <w:r w:rsidRPr="00DA4FCF">
              <w:rPr>
                <w:rFonts w:ascii="Arial" w:hAnsi="Arial" w:cs="Arial"/>
              </w:rPr>
              <w:t>GPEx</w:t>
            </w:r>
            <w:proofErr w:type="spellEnd"/>
            <w:r w:rsidRPr="00DA4FCF">
              <w:rPr>
                <w:rFonts w:ascii="Arial" w:hAnsi="Arial" w:cs="Arial"/>
              </w:rPr>
              <w:t xml:space="preserve"> will create opportunities for strategic leadership on research culture across R&amp;I that can set a shared vision and guide action. The </w:t>
            </w:r>
            <w:proofErr w:type="spellStart"/>
            <w:r w:rsidRPr="00DA4FCF">
              <w:rPr>
                <w:rFonts w:ascii="Arial" w:hAnsi="Arial" w:cs="Arial"/>
              </w:rPr>
              <w:t>GPEx</w:t>
            </w:r>
            <w:proofErr w:type="spellEnd"/>
            <w:r w:rsidRPr="00DA4FCF">
              <w:rPr>
                <w:rFonts w:ascii="Arial" w:hAnsi="Arial" w:cs="Arial"/>
              </w:rPr>
              <w:t xml:space="preserve"> must be conscious to take an inclusive </w:t>
            </w:r>
            <w:proofErr w:type="gramStart"/>
            <w:r w:rsidRPr="00DA4FCF">
              <w:rPr>
                <w:rFonts w:ascii="Arial" w:hAnsi="Arial" w:cs="Arial"/>
              </w:rPr>
              <w:t>approach, and</w:t>
            </w:r>
            <w:proofErr w:type="gramEnd"/>
            <w:r w:rsidRPr="00DA4FCF">
              <w:rPr>
                <w:rFonts w:ascii="Arial" w:hAnsi="Arial" w:cs="Arial"/>
              </w:rPr>
              <w:t xml:space="preserve"> cover the full breadth of UK research and innovation disciplines and sectors.</w:t>
            </w:r>
          </w:p>
          <w:p w14:paraId="5E9C7C8C" w14:textId="77777777" w:rsidR="00497B29" w:rsidRPr="00DA4FCF" w:rsidRDefault="00497B29" w:rsidP="00497B29">
            <w:pPr>
              <w:rPr>
                <w:rFonts w:ascii="Arial" w:hAnsi="Arial" w:cs="Arial"/>
              </w:rPr>
            </w:pPr>
          </w:p>
          <w:p w14:paraId="3462FC33" w14:textId="77777777" w:rsidR="00497B29" w:rsidRPr="00DA4FCF" w:rsidRDefault="00497B29" w:rsidP="00497B29">
            <w:pPr>
              <w:rPr>
                <w:rFonts w:ascii="Arial" w:hAnsi="Arial" w:cs="Arial"/>
                <w:i/>
                <w:iCs/>
                <w:u w:val="single"/>
              </w:rPr>
            </w:pPr>
            <w:r w:rsidRPr="00DA4FCF">
              <w:rPr>
                <w:rFonts w:ascii="Arial" w:hAnsi="Arial" w:cs="Arial"/>
                <w:i/>
                <w:iCs/>
                <w:u w:val="single"/>
              </w:rPr>
              <w:t xml:space="preserve">The need for a </w:t>
            </w:r>
            <w:proofErr w:type="spellStart"/>
            <w:r w:rsidRPr="00DA4FCF">
              <w:rPr>
                <w:rFonts w:ascii="Arial" w:hAnsi="Arial" w:cs="Arial"/>
                <w:i/>
                <w:iCs/>
                <w:u w:val="single"/>
              </w:rPr>
              <w:t>GPEx</w:t>
            </w:r>
            <w:proofErr w:type="spellEnd"/>
            <w:r w:rsidRPr="00DA4FCF">
              <w:rPr>
                <w:rFonts w:ascii="Arial" w:hAnsi="Arial" w:cs="Arial"/>
                <w:i/>
                <w:iCs/>
                <w:u w:val="single"/>
              </w:rPr>
              <w:t xml:space="preserve"> delivery model </w:t>
            </w:r>
          </w:p>
          <w:p w14:paraId="5471F53C" w14:textId="4904DB43" w:rsidR="00497B29" w:rsidRPr="00DA4FCF" w:rsidRDefault="00497B29" w:rsidP="00497B29">
            <w:pPr>
              <w:rPr>
                <w:rFonts w:ascii="Arial" w:hAnsi="Arial" w:cs="Arial"/>
              </w:rPr>
            </w:pPr>
            <w:r w:rsidRPr="00DA4FCF">
              <w:rPr>
                <w:rFonts w:ascii="Arial" w:hAnsi="Arial" w:cs="Arial"/>
              </w:rPr>
              <w:t xml:space="preserve">Whilst the three objectives of the </w:t>
            </w:r>
            <w:proofErr w:type="spellStart"/>
            <w:r w:rsidRPr="00DA4FCF">
              <w:rPr>
                <w:rFonts w:ascii="Arial" w:hAnsi="Arial" w:cs="Arial"/>
              </w:rPr>
              <w:t>GPEx</w:t>
            </w:r>
            <w:proofErr w:type="spellEnd"/>
            <w:r w:rsidRPr="00DA4FCF">
              <w:rPr>
                <w:rFonts w:ascii="Arial" w:hAnsi="Arial" w:cs="Arial"/>
              </w:rPr>
              <w:t xml:space="preserve"> are set, the manner of delivery is currently open. Internal consultation work has established that there is scope for a supplier to take a wide range of approaches to delivery of the </w:t>
            </w:r>
            <w:proofErr w:type="spellStart"/>
            <w:r w:rsidRPr="00DA4FCF">
              <w:rPr>
                <w:rFonts w:ascii="Arial" w:hAnsi="Arial" w:cs="Arial"/>
              </w:rPr>
              <w:t>GPEx</w:t>
            </w:r>
            <w:proofErr w:type="spellEnd"/>
            <w:r w:rsidRPr="00DA4FCF">
              <w:rPr>
                <w:rFonts w:ascii="Arial" w:hAnsi="Arial" w:cs="Arial"/>
              </w:rPr>
              <w:t>, with various deliverables, timelines and costings attached. A clear model for delivery therefore needs to be established, with foundations in a</w:t>
            </w:r>
            <w:r w:rsidR="00FD5237" w:rsidRPr="00DA4FCF">
              <w:rPr>
                <w:rFonts w:ascii="Arial" w:hAnsi="Arial" w:cs="Arial"/>
              </w:rPr>
              <w:t xml:space="preserve"> theory of change and</w:t>
            </w:r>
            <w:r w:rsidRPr="00DA4FCF">
              <w:rPr>
                <w:rFonts w:ascii="Arial" w:hAnsi="Arial" w:cs="Arial"/>
              </w:rPr>
              <w:t xml:space="preserve"> logic model that has been developed and tested with the community the </w:t>
            </w:r>
            <w:proofErr w:type="spellStart"/>
            <w:r w:rsidRPr="00DA4FCF">
              <w:rPr>
                <w:rFonts w:ascii="Arial" w:hAnsi="Arial" w:cs="Arial"/>
              </w:rPr>
              <w:t>GPEx</w:t>
            </w:r>
            <w:proofErr w:type="spellEnd"/>
            <w:r w:rsidRPr="00DA4FCF">
              <w:rPr>
                <w:rFonts w:ascii="Arial" w:hAnsi="Arial" w:cs="Arial"/>
              </w:rPr>
              <w:t xml:space="preserve"> would service. UKRI would then use this model as the basis for its tender of the </w:t>
            </w:r>
            <w:proofErr w:type="spellStart"/>
            <w:r w:rsidRPr="00DA4FCF">
              <w:rPr>
                <w:rFonts w:ascii="Arial" w:hAnsi="Arial" w:cs="Arial"/>
              </w:rPr>
              <w:t>GPEx</w:t>
            </w:r>
            <w:proofErr w:type="spellEnd"/>
            <w:r w:rsidRPr="00DA4FCF">
              <w:rPr>
                <w:rFonts w:ascii="Arial" w:hAnsi="Arial" w:cs="Arial"/>
              </w:rPr>
              <w:t xml:space="preserve">. </w:t>
            </w:r>
          </w:p>
          <w:p w14:paraId="32D9EE4B" w14:textId="77777777" w:rsidR="00497B29" w:rsidRPr="00DA4FCF" w:rsidRDefault="00497B29" w:rsidP="00497B29">
            <w:pPr>
              <w:rPr>
                <w:rFonts w:ascii="Arial" w:hAnsi="Arial" w:cs="Arial"/>
              </w:rPr>
            </w:pPr>
          </w:p>
          <w:p w14:paraId="6D977182" w14:textId="606F04B6" w:rsidR="00497B29" w:rsidRPr="00DA4FCF" w:rsidRDefault="0021712A" w:rsidP="00497B29">
            <w:pPr>
              <w:rPr>
                <w:rFonts w:ascii="Arial" w:hAnsi="Arial" w:cs="Arial"/>
                <w:b/>
                <w:bCs/>
                <w:sz w:val="24"/>
                <w:szCs w:val="24"/>
                <w:u w:val="single"/>
              </w:rPr>
            </w:pPr>
            <w:r w:rsidRPr="00DA4FCF">
              <w:rPr>
                <w:rFonts w:ascii="Arial" w:hAnsi="Arial" w:cs="Arial"/>
                <w:b/>
                <w:bCs/>
                <w:sz w:val="24"/>
                <w:szCs w:val="24"/>
                <w:u w:val="single"/>
              </w:rPr>
              <w:t>Aims</w:t>
            </w:r>
            <w:r w:rsidR="00141247" w:rsidRPr="00DA4FCF">
              <w:rPr>
                <w:rFonts w:ascii="Arial" w:hAnsi="Arial" w:cs="Arial"/>
                <w:b/>
                <w:bCs/>
                <w:sz w:val="24"/>
                <w:szCs w:val="24"/>
                <w:u w:val="single"/>
              </w:rPr>
              <w:t xml:space="preserve"> and Objectives</w:t>
            </w:r>
          </w:p>
          <w:p w14:paraId="2CE4DAC5" w14:textId="23B401E7" w:rsidR="0021712A" w:rsidRPr="00DA4FCF" w:rsidRDefault="00497B29" w:rsidP="00497B29">
            <w:pPr>
              <w:rPr>
                <w:rFonts w:ascii="Arial" w:hAnsi="Arial" w:cs="Arial"/>
              </w:rPr>
            </w:pPr>
            <w:r w:rsidRPr="00DA4FCF">
              <w:rPr>
                <w:rFonts w:ascii="Arial" w:hAnsi="Arial" w:cs="Arial"/>
              </w:rPr>
              <w:t>UKRI is seeking a supplier to develop and test a model for delivering a Research Culture Good Practice Exchange (</w:t>
            </w:r>
            <w:proofErr w:type="spellStart"/>
            <w:r w:rsidRPr="00DA4FCF">
              <w:rPr>
                <w:rFonts w:ascii="Arial" w:hAnsi="Arial" w:cs="Arial"/>
              </w:rPr>
              <w:t>GPEx</w:t>
            </w:r>
            <w:proofErr w:type="spellEnd"/>
            <w:r w:rsidRPr="00DA4FCF">
              <w:rPr>
                <w:rFonts w:ascii="Arial" w:hAnsi="Arial" w:cs="Arial"/>
              </w:rPr>
              <w:t xml:space="preserve">). </w:t>
            </w:r>
            <w:r w:rsidR="0021712A" w:rsidRPr="00DA4FCF">
              <w:rPr>
                <w:rFonts w:ascii="Arial" w:hAnsi="Arial" w:cs="Arial"/>
              </w:rPr>
              <w:t xml:space="preserve">This model must be tested and iterated with the wide breadth of stakeholders the </w:t>
            </w:r>
            <w:proofErr w:type="spellStart"/>
            <w:r w:rsidR="0021712A" w:rsidRPr="00DA4FCF">
              <w:rPr>
                <w:rFonts w:ascii="Arial" w:hAnsi="Arial" w:cs="Arial"/>
              </w:rPr>
              <w:t>GPEx</w:t>
            </w:r>
            <w:proofErr w:type="spellEnd"/>
            <w:r w:rsidR="0021712A" w:rsidRPr="00DA4FCF">
              <w:rPr>
                <w:rFonts w:ascii="Arial" w:hAnsi="Arial" w:cs="Arial"/>
              </w:rPr>
              <w:t xml:space="preserve"> is designed to serve. </w:t>
            </w:r>
          </w:p>
          <w:p w14:paraId="1C592A2F" w14:textId="77777777" w:rsidR="0021712A" w:rsidRPr="00DA4FCF" w:rsidRDefault="0021712A" w:rsidP="00497B29">
            <w:pPr>
              <w:rPr>
                <w:rFonts w:ascii="Arial" w:hAnsi="Arial" w:cs="Arial"/>
              </w:rPr>
            </w:pPr>
          </w:p>
          <w:p w14:paraId="65EA8641" w14:textId="62A984D1" w:rsidR="00497B29" w:rsidRPr="00DA4FCF" w:rsidRDefault="0021712A" w:rsidP="00497B29">
            <w:pPr>
              <w:rPr>
                <w:rFonts w:ascii="Arial" w:hAnsi="Arial" w:cs="Arial"/>
              </w:rPr>
            </w:pPr>
            <w:r w:rsidRPr="00DA4FCF">
              <w:rPr>
                <w:rFonts w:ascii="Arial" w:hAnsi="Arial" w:cs="Arial"/>
              </w:rPr>
              <w:t xml:space="preserve">Core objectives are: </w:t>
            </w:r>
          </w:p>
          <w:p w14:paraId="73D0A226" w14:textId="5D0D773E" w:rsidR="00497B29" w:rsidRPr="00DA4FCF" w:rsidRDefault="00497B29" w:rsidP="00497B29">
            <w:pPr>
              <w:pStyle w:val="ListParagraph"/>
              <w:numPr>
                <w:ilvl w:val="0"/>
                <w:numId w:val="12"/>
              </w:numPr>
              <w:rPr>
                <w:rFonts w:ascii="Arial" w:hAnsi="Arial" w:cs="Arial"/>
              </w:rPr>
            </w:pPr>
            <w:r w:rsidRPr="00DA4FCF">
              <w:rPr>
                <w:rFonts w:ascii="Arial" w:hAnsi="Arial" w:cs="Arial"/>
              </w:rPr>
              <w:t xml:space="preserve">Provide a comprehensive </w:t>
            </w:r>
            <w:proofErr w:type="spellStart"/>
            <w:r w:rsidR="00141247" w:rsidRPr="00DA4FCF">
              <w:rPr>
                <w:rFonts w:ascii="Arial" w:hAnsi="Arial" w:cs="Arial"/>
              </w:rPr>
              <w:t>GPEx</w:t>
            </w:r>
            <w:proofErr w:type="spellEnd"/>
            <w:r w:rsidR="00141247" w:rsidRPr="00DA4FCF">
              <w:rPr>
                <w:rFonts w:ascii="Arial" w:hAnsi="Arial" w:cs="Arial"/>
              </w:rPr>
              <w:t xml:space="preserve"> </w:t>
            </w:r>
            <w:r w:rsidRPr="00DA4FCF">
              <w:rPr>
                <w:rFonts w:ascii="Arial" w:hAnsi="Arial" w:cs="Arial"/>
              </w:rPr>
              <w:t xml:space="preserve">model, which covers </w:t>
            </w:r>
            <w:r w:rsidR="00141247" w:rsidRPr="00DA4FCF">
              <w:rPr>
                <w:rFonts w:ascii="Arial" w:hAnsi="Arial" w:cs="Arial"/>
              </w:rPr>
              <w:t>each of</w:t>
            </w:r>
            <w:r w:rsidRPr="00DA4FCF">
              <w:rPr>
                <w:rFonts w:ascii="Arial" w:hAnsi="Arial" w:cs="Arial"/>
              </w:rPr>
              <w:t xml:space="preserve"> the key components listed below. </w:t>
            </w:r>
          </w:p>
          <w:p w14:paraId="25E993CD" w14:textId="7675EDB8" w:rsidR="00497B29" w:rsidRPr="00DA4FCF" w:rsidRDefault="00497B29" w:rsidP="00497B29">
            <w:pPr>
              <w:pStyle w:val="ListParagraph"/>
              <w:numPr>
                <w:ilvl w:val="0"/>
                <w:numId w:val="12"/>
              </w:numPr>
              <w:rPr>
                <w:rFonts w:ascii="Arial" w:hAnsi="Arial" w:cs="Arial"/>
              </w:rPr>
            </w:pPr>
            <w:r w:rsidRPr="00DA4FCF">
              <w:rPr>
                <w:rFonts w:ascii="Arial" w:hAnsi="Arial" w:cs="Arial"/>
              </w:rPr>
              <w:t xml:space="preserve">This model </w:t>
            </w:r>
            <w:r w:rsidR="00CB10D7" w:rsidRPr="00DA4FCF">
              <w:rPr>
                <w:rFonts w:ascii="Arial" w:hAnsi="Arial" w:cs="Arial"/>
              </w:rPr>
              <w:t>will</w:t>
            </w:r>
            <w:r w:rsidRPr="00DA4FCF">
              <w:rPr>
                <w:rFonts w:ascii="Arial" w:hAnsi="Arial" w:cs="Arial"/>
              </w:rPr>
              <w:t xml:space="preserve"> be informed</w:t>
            </w:r>
            <w:r w:rsidR="00141247" w:rsidRPr="00DA4FCF">
              <w:rPr>
                <w:rFonts w:ascii="Arial" w:hAnsi="Arial" w:cs="Arial"/>
              </w:rPr>
              <w:t xml:space="preserve"> by</w:t>
            </w:r>
            <w:r w:rsidR="0092370E" w:rsidRPr="00DA4FCF">
              <w:rPr>
                <w:rFonts w:ascii="Arial" w:hAnsi="Arial" w:cs="Arial"/>
              </w:rPr>
              <w:t xml:space="preserve"> and</w:t>
            </w:r>
            <w:r w:rsidR="00141247" w:rsidRPr="00DA4FCF">
              <w:rPr>
                <w:rFonts w:ascii="Arial" w:hAnsi="Arial" w:cs="Arial"/>
              </w:rPr>
              <w:t xml:space="preserve"> </w:t>
            </w:r>
            <w:r w:rsidRPr="00DA4FCF">
              <w:rPr>
                <w:rFonts w:ascii="Arial" w:hAnsi="Arial" w:cs="Arial"/>
              </w:rPr>
              <w:t>tested</w:t>
            </w:r>
            <w:r w:rsidR="00141247" w:rsidRPr="00DA4FCF">
              <w:rPr>
                <w:rFonts w:ascii="Arial" w:hAnsi="Arial" w:cs="Arial"/>
              </w:rPr>
              <w:t xml:space="preserve"> with</w:t>
            </w:r>
            <w:r w:rsidR="00CB10D7" w:rsidRPr="00DA4FCF">
              <w:rPr>
                <w:rFonts w:ascii="Arial" w:hAnsi="Arial" w:cs="Arial"/>
              </w:rPr>
              <w:t xml:space="preserve"> the</w:t>
            </w:r>
            <w:r w:rsidRPr="00DA4FCF">
              <w:rPr>
                <w:rFonts w:ascii="Arial" w:hAnsi="Arial" w:cs="Arial"/>
              </w:rPr>
              <w:t xml:space="preserve"> full spectrum of stakeholders, which represent the </w:t>
            </w:r>
            <w:proofErr w:type="spellStart"/>
            <w:r w:rsidRPr="00DA4FCF">
              <w:rPr>
                <w:rFonts w:ascii="Arial" w:hAnsi="Arial" w:cs="Arial"/>
              </w:rPr>
              <w:t>GPE</w:t>
            </w:r>
            <w:r w:rsidR="00CB10D7" w:rsidRPr="00DA4FCF">
              <w:rPr>
                <w:rFonts w:ascii="Arial" w:hAnsi="Arial" w:cs="Arial"/>
              </w:rPr>
              <w:t>x</w:t>
            </w:r>
            <w:proofErr w:type="spellEnd"/>
            <w:r w:rsidRPr="00DA4FCF">
              <w:rPr>
                <w:rFonts w:ascii="Arial" w:hAnsi="Arial" w:cs="Arial"/>
              </w:rPr>
              <w:t xml:space="preserve"> community. </w:t>
            </w:r>
            <w:r w:rsidR="00CB10D7" w:rsidRPr="00DA4FCF">
              <w:rPr>
                <w:rFonts w:ascii="Arial" w:hAnsi="Arial" w:cs="Arial"/>
              </w:rPr>
              <w:t xml:space="preserve">The model </w:t>
            </w:r>
            <w:r w:rsidR="00984AE7" w:rsidRPr="00DA4FCF">
              <w:rPr>
                <w:rFonts w:ascii="Arial" w:hAnsi="Arial" w:cs="Arial"/>
              </w:rPr>
              <w:t xml:space="preserve">will be iterated and retested with stakeholders, </w:t>
            </w:r>
            <w:r w:rsidR="0092370E" w:rsidRPr="00DA4FCF">
              <w:rPr>
                <w:rFonts w:ascii="Arial" w:hAnsi="Arial" w:cs="Arial"/>
              </w:rPr>
              <w:t xml:space="preserve">to ensure it best serves their needs. </w:t>
            </w:r>
          </w:p>
          <w:p w14:paraId="3F41A77C" w14:textId="77777777" w:rsidR="00497B29" w:rsidRPr="00DA4FCF" w:rsidRDefault="00497B29" w:rsidP="00497B29">
            <w:pPr>
              <w:rPr>
                <w:rFonts w:ascii="Arial" w:hAnsi="Arial" w:cs="Arial"/>
              </w:rPr>
            </w:pPr>
          </w:p>
          <w:p w14:paraId="54C32799" w14:textId="771839E9" w:rsidR="00497B29" w:rsidRPr="00DA4FCF" w:rsidRDefault="00054F68" w:rsidP="00054F68">
            <w:pPr>
              <w:rPr>
                <w:rFonts w:ascii="Arial" w:hAnsi="Arial" w:cs="Arial"/>
                <w:i/>
                <w:iCs/>
                <w:u w:val="single"/>
              </w:rPr>
            </w:pPr>
            <w:r w:rsidRPr="00DA4FCF">
              <w:rPr>
                <w:rFonts w:ascii="Arial" w:hAnsi="Arial" w:cs="Arial"/>
                <w:i/>
                <w:iCs/>
                <w:u w:val="single"/>
              </w:rPr>
              <w:t xml:space="preserve">Objective 1: </w:t>
            </w:r>
            <w:r w:rsidR="0047608F" w:rsidRPr="00DA4FCF">
              <w:rPr>
                <w:rFonts w:ascii="Arial" w:hAnsi="Arial" w:cs="Arial"/>
                <w:i/>
                <w:iCs/>
                <w:u w:val="single"/>
              </w:rPr>
              <w:t xml:space="preserve"> </w:t>
            </w:r>
            <w:proofErr w:type="spellStart"/>
            <w:r w:rsidR="00CA3128" w:rsidRPr="00DA4FCF">
              <w:rPr>
                <w:rFonts w:ascii="Arial" w:hAnsi="Arial" w:cs="Arial"/>
                <w:i/>
                <w:iCs/>
                <w:u w:val="single"/>
              </w:rPr>
              <w:t>GPEx</w:t>
            </w:r>
            <w:proofErr w:type="spellEnd"/>
            <w:r w:rsidR="00CA3128" w:rsidRPr="00DA4FCF">
              <w:rPr>
                <w:rFonts w:ascii="Arial" w:hAnsi="Arial" w:cs="Arial"/>
                <w:i/>
                <w:iCs/>
                <w:u w:val="single"/>
              </w:rPr>
              <w:t xml:space="preserve"> Delivery M</w:t>
            </w:r>
            <w:r w:rsidR="00497B29" w:rsidRPr="00DA4FCF">
              <w:rPr>
                <w:rFonts w:ascii="Arial" w:hAnsi="Arial" w:cs="Arial"/>
                <w:i/>
                <w:iCs/>
                <w:u w:val="single"/>
              </w:rPr>
              <w:t>odel</w:t>
            </w:r>
          </w:p>
          <w:p w14:paraId="1BBF54DA" w14:textId="12D34E64" w:rsidR="00015637" w:rsidRPr="00DA4FCF" w:rsidRDefault="00015637"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delivery model must identify how each of the </w:t>
            </w:r>
            <w:r w:rsidR="002D264D" w:rsidRPr="00DA4FCF">
              <w:rPr>
                <w:rFonts w:ascii="Arial" w:hAnsi="Arial" w:cs="Arial"/>
              </w:rPr>
              <w:t xml:space="preserve">established </w:t>
            </w:r>
            <w:r w:rsidRPr="00DA4FCF">
              <w:rPr>
                <w:rFonts w:ascii="Arial" w:hAnsi="Arial" w:cs="Arial"/>
              </w:rPr>
              <w:t xml:space="preserve">objectives of the </w:t>
            </w:r>
            <w:proofErr w:type="spellStart"/>
            <w:r w:rsidRPr="00DA4FCF">
              <w:rPr>
                <w:rFonts w:ascii="Arial" w:hAnsi="Arial" w:cs="Arial"/>
              </w:rPr>
              <w:t>GPEx</w:t>
            </w:r>
            <w:proofErr w:type="spellEnd"/>
            <w:r w:rsidRPr="00DA4FCF">
              <w:rPr>
                <w:rFonts w:ascii="Arial" w:hAnsi="Arial" w:cs="Arial"/>
              </w:rPr>
              <w:t xml:space="preserve"> will be delivered in practice. Th</w:t>
            </w:r>
            <w:r w:rsidR="00DD3B35" w:rsidRPr="00DA4FCF">
              <w:rPr>
                <w:rFonts w:ascii="Arial" w:hAnsi="Arial" w:cs="Arial"/>
              </w:rPr>
              <w:t>is model will then be used a</w:t>
            </w:r>
            <w:r w:rsidR="009A6682" w:rsidRPr="00DA4FCF">
              <w:rPr>
                <w:rFonts w:ascii="Arial" w:hAnsi="Arial" w:cs="Arial"/>
              </w:rPr>
              <w:t>s</w:t>
            </w:r>
            <w:r w:rsidR="00DD3B35" w:rsidRPr="00DA4FCF">
              <w:rPr>
                <w:rFonts w:ascii="Arial" w:hAnsi="Arial" w:cs="Arial"/>
              </w:rPr>
              <w:t xml:space="preserve"> the basis for commissioning a supplier. The model must address each of the following components: </w:t>
            </w:r>
          </w:p>
          <w:p w14:paraId="5DA21ED6" w14:textId="77777777" w:rsidR="00015637" w:rsidRPr="00DA4FCF" w:rsidRDefault="00015637" w:rsidP="00497B29">
            <w:pPr>
              <w:rPr>
                <w:rFonts w:ascii="Arial" w:hAnsi="Arial" w:cs="Arial"/>
              </w:rPr>
            </w:pPr>
          </w:p>
          <w:p w14:paraId="5DD2F378" w14:textId="4F7301C2" w:rsidR="00497B29" w:rsidRPr="00DA4FCF" w:rsidRDefault="0026661A" w:rsidP="00497B29">
            <w:pPr>
              <w:pStyle w:val="ListParagraph"/>
              <w:numPr>
                <w:ilvl w:val="0"/>
                <w:numId w:val="6"/>
              </w:numPr>
              <w:rPr>
                <w:rFonts w:ascii="Arial" w:hAnsi="Arial" w:cs="Arial"/>
                <w:i/>
                <w:iCs/>
              </w:rPr>
            </w:pPr>
            <w:r w:rsidRPr="00DA4FCF">
              <w:rPr>
                <w:rFonts w:ascii="Arial" w:hAnsi="Arial" w:cs="Arial"/>
                <w:i/>
                <w:iCs/>
              </w:rPr>
              <w:t xml:space="preserve">Theory of Change, and proposed </w:t>
            </w:r>
            <w:r w:rsidR="00497B29" w:rsidRPr="00DA4FCF">
              <w:rPr>
                <w:rFonts w:ascii="Arial" w:hAnsi="Arial" w:cs="Arial"/>
                <w:i/>
                <w:iCs/>
              </w:rPr>
              <w:t>Logic Model</w:t>
            </w:r>
          </w:p>
          <w:p w14:paraId="54AAADED" w14:textId="5934B2E7" w:rsidR="00AC7FB7" w:rsidRPr="00DA4FCF" w:rsidRDefault="006211E7" w:rsidP="00AC7FB7">
            <w:pPr>
              <w:rPr>
                <w:rFonts w:ascii="Arial" w:hAnsi="Arial" w:cs="Arial"/>
              </w:rPr>
            </w:pPr>
            <w:r w:rsidRPr="00DA4FCF">
              <w:rPr>
                <w:rFonts w:ascii="Arial" w:hAnsi="Arial" w:cs="Arial"/>
              </w:rPr>
              <w:t xml:space="preserve">A </w:t>
            </w:r>
            <w:proofErr w:type="spellStart"/>
            <w:r w:rsidRPr="00DA4FCF">
              <w:rPr>
                <w:rFonts w:ascii="Arial" w:hAnsi="Arial" w:cs="Arial"/>
              </w:rPr>
              <w:t>GPEx</w:t>
            </w:r>
            <w:proofErr w:type="spellEnd"/>
            <w:r w:rsidR="00843CB4" w:rsidRPr="00DA4FCF">
              <w:rPr>
                <w:rFonts w:ascii="Arial" w:hAnsi="Arial" w:cs="Arial"/>
              </w:rPr>
              <w:t xml:space="preserve"> Theory of Change and proposed</w:t>
            </w:r>
            <w:r w:rsidR="00497B29" w:rsidRPr="00DA4FCF">
              <w:rPr>
                <w:rFonts w:ascii="Arial" w:hAnsi="Arial" w:cs="Arial"/>
              </w:rPr>
              <w:t xml:space="preserve"> logic model should</w:t>
            </w:r>
            <w:r w:rsidRPr="00DA4FCF">
              <w:rPr>
                <w:rFonts w:ascii="Arial" w:hAnsi="Arial" w:cs="Arial"/>
              </w:rPr>
              <w:t xml:space="preserve"> be developed, which</w:t>
            </w:r>
            <w:r w:rsidR="00275354" w:rsidRPr="00DA4FCF">
              <w:rPr>
                <w:rFonts w:ascii="Arial" w:hAnsi="Arial" w:cs="Arial"/>
              </w:rPr>
              <w:t xml:space="preserve"> </w:t>
            </w:r>
            <w:r w:rsidR="00475753" w:rsidRPr="00DA4FCF">
              <w:rPr>
                <w:rFonts w:ascii="Arial" w:hAnsi="Arial" w:cs="Arial"/>
              </w:rPr>
              <w:t>includes</w:t>
            </w:r>
            <w:r w:rsidR="00275354" w:rsidRPr="00DA4FCF">
              <w:rPr>
                <w:rFonts w:ascii="Arial" w:hAnsi="Arial" w:cs="Arial"/>
              </w:rPr>
              <w:t xml:space="preserve"> a clear set of activities </w:t>
            </w:r>
            <w:r w:rsidR="00475753" w:rsidRPr="00DA4FCF">
              <w:rPr>
                <w:rFonts w:ascii="Arial" w:hAnsi="Arial" w:cs="Arial"/>
              </w:rPr>
              <w:t xml:space="preserve">for the </w:t>
            </w:r>
            <w:proofErr w:type="spellStart"/>
            <w:r w:rsidR="00475753" w:rsidRPr="00DA4FCF">
              <w:rPr>
                <w:rFonts w:ascii="Arial" w:hAnsi="Arial" w:cs="Arial"/>
              </w:rPr>
              <w:t>GPEx</w:t>
            </w:r>
            <w:proofErr w:type="spellEnd"/>
            <w:r w:rsidR="00475753" w:rsidRPr="00DA4FCF">
              <w:rPr>
                <w:rFonts w:ascii="Arial" w:hAnsi="Arial" w:cs="Arial"/>
              </w:rPr>
              <w:t xml:space="preserve"> to deliver.  B</w:t>
            </w:r>
            <w:r w:rsidR="00BF4C4F" w:rsidRPr="00DA4FCF">
              <w:rPr>
                <w:rFonts w:ascii="Arial" w:hAnsi="Arial" w:cs="Arial"/>
              </w:rPr>
              <w:t xml:space="preserve">oth </w:t>
            </w:r>
            <w:r w:rsidR="00B34138" w:rsidRPr="00DA4FCF">
              <w:rPr>
                <w:rFonts w:ascii="Arial" w:hAnsi="Arial" w:cs="Arial"/>
              </w:rPr>
              <w:t xml:space="preserve">the causal </w:t>
            </w:r>
            <w:r w:rsidR="00C26443" w:rsidRPr="00DA4FCF">
              <w:rPr>
                <w:rFonts w:ascii="Arial" w:hAnsi="Arial" w:cs="Arial"/>
              </w:rPr>
              <w:t xml:space="preserve">mechanisms </w:t>
            </w:r>
            <w:r w:rsidR="00BF4C4F" w:rsidRPr="00DA4FCF">
              <w:rPr>
                <w:rFonts w:ascii="Arial" w:hAnsi="Arial" w:cs="Arial"/>
              </w:rPr>
              <w:t xml:space="preserve">behind why activities </w:t>
            </w:r>
            <w:r w:rsidR="009C0090" w:rsidRPr="00DA4FCF">
              <w:rPr>
                <w:rFonts w:ascii="Arial" w:hAnsi="Arial" w:cs="Arial"/>
              </w:rPr>
              <w:t>are expected to achieve outcomes</w:t>
            </w:r>
            <w:r w:rsidR="004C124C" w:rsidRPr="00DA4FCF">
              <w:rPr>
                <w:rFonts w:ascii="Arial" w:hAnsi="Arial" w:cs="Arial"/>
              </w:rPr>
              <w:t xml:space="preserve"> a</w:t>
            </w:r>
            <w:r w:rsidR="009C0090" w:rsidRPr="00DA4FCF">
              <w:rPr>
                <w:rFonts w:ascii="Arial" w:hAnsi="Arial" w:cs="Arial"/>
              </w:rPr>
              <w:t xml:space="preserve">nd </w:t>
            </w:r>
            <w:r w:rsidR="00F23297" w:rsidRPr="00DA4FCF">
              <w:rPr>
                <w:rFonts w:ascii="Arial" w:hAnsi="Arial" w:cs="Arial"/>
              </w:rPr>
              <w:t xml:space="preserve">the logical sequence </w:t>
            </w:r>
            <w:r w:rsidR="00931B8A" w:rsidRPr="00DA4FCF">
              <w:rPr>
                <w:rFonts w:ascii="Arial" w:hAnsi="Arial" w:cs="Arial"/>
              </w:rPr>
              <w:t>to achieving outcomes</w:t>
            </w:r>
            <w:r w:rsidR="00475753" w:rsidRPr="00DA4FCF">
              <w:rPr>
                <w:rFonts w:ascii="Arial" w:hAnsi="Arial" w:cs="Arial"/>
              </w:rPr>
              <w:t xml:space="preserve"> should be identified</w:t>
            </w:r>
            <w:r w:rsidR="00931B8A" w:rsidRPr="00DA4FCF">
              <w:rPr>
                <w:rFonts w:ascii="Arial" w:hAnsi="Arial" w:cs="Arial"/>
              </w:rPr>
              <w:t xml:space="preserve">. </w:t>
            </w:r>
            <w:r w:rsidR="00B70F78" w:rsidRPr="00DA4FCF">
              <w:rPr>
                <w:rFonts w:ascii="Arial" w:hAnsi="Arial" w:cs="Arial"/>
              </w:rPr>
              <w:t xml:space="preserve">A clear causal path to the ultimate objectives of the </w:t>
            </w:r>
            <w:proofErr w:type="spellStart"/>
            <w:r w:rsidR="00B70F78" w:rsidRPr="00DA4FCF">
              <w:rPr>
                <w:rFonts w:ascii="Arial" w:hAnsi="Arial" w:cs="Arial"/>
              </w:rPr>
              <w:t>GPEx</w:t>
            </w:r>
            <w:proofErr w:type="spellEnd"/>
            <w:r w:rsidR="00B70F78" w:rsidRPr="00DA4FCF">
              <w:rPr>
                <w:rFonts w:ascii="Arial" w:hAnsi="Arial" w:cs="Arial"/>
              </w:rPr>
              <w:t xml:space="preserve"> should be</w:t>
            </w:r>
            <w:r w:rsidR="00E96E73" w:rsidRPr="00DA4FCF">
              <w:rPr>
                <w:rFonts w:ascii="Arial" w:hAnsi="Arial" w:cs="Arial"/>
              </w:rPr>
              <w:t xml:space="preserve"> identified. </w:t>
            </w:r>
            <w:r w:rsidR="00AC7FB7" w:rsidRPr="00DA4FCF">
              <w:rPr>
                <w:rFonts w:ascii="Arial" w:hAnsi="Arial" w:cs="Arial"/>
              </w:rPr>
              <w:t xml:space="preserve">It is essential that the theory and model is built in partnership with the full breadth of </w:t>
            </w:r>
            <w:proofErr w:type="spellStart"/>
            <w:r w:rsidR="00AC7FB7" w:rsidRPr="00DA4FCF">
              <w:rPr>
                <w:rFonts w:ascii="Arial" w:hAnsi="Arial" w:cs="Arial"/>
              </w:rPr>
              <w:t>GPEx</w:t>
            </w:r>
            <w:proofErr w:type="spellEnd"/>
            <w:r w:rsidR="00AC7FB7" w:rsidRPr="00DA4FCF">
              <w:rPr>
                <w:rFonts w:ascii="Arial" w:hAnsi="Arial" w:cs="Arial"/>
              </w:rPr>
              <w:t xml:space="preserve"> stakeholders. </w:t>
            </w:r>
          </w:p>
          <w:p w14:paraId="16E990FE" w14:textId="32DF300B" w:rsidR="0053407F" w:rsidRPr="00DA4FCF" w:rsidRDefault="0053407F" w:rsidP="00497B29">
            <w:pPr>
              <w:rPr>
                <w:rFonts w:ascii="Arial" w:hAnsi="Arial" w:cs="Arial"/>
              </w:rPr>
            </w:pPr>
          </w:p>
          <w:p w14:paraId="3FDC6A24" w14:textId="4890CD7E" w:rsidR="00497B29" w:rsidRPr="00DA4FCF" w:rsidRDefault="009C0090" w:rsidP="00497B29">
            <w:pPr>
              <w:rPr>
                <w:rFonts w:ascii="Arial" w:hAnsi="Arial" w:cs="Arial"/>
              </w:rPr>
            </w:pPr>
            <w:r w:rsidRPr="00DA4FCF">
              <w:rPr>
                <w:rFonts w:ascii="Arial" w:hAnsi="Arial" w:cs="Arial"/>
              </w:rPr>
              <w:t>S</w:t>
            </w:r>
            <w:r w:rsidR="00497B29" w:rsidRPr="00DA4FCF">
              <w:rPr>
                <w:rFonts w:ascii="Arial" w:hAnsi="Arial" w:cs="Arial"/>
              </w:rPr>
              <w:t>uccess indicators</w:t>
            </w:r>
            <w:r w:rsidRPr="00DA4FCF">
              <w:rPr>
                <w:rFonts w:ascii="Arial" w:hAnsi="Arial" w:cs="Arial"/>
              </w:rPr>
              <w:t xml:space="preserve"> should be identified</w:t>
            </w:r>
            <w:r w:rsidR="00497B29" w:rsidRPr="00DA4FCF">
              <w:rPr>
                <w:rFonts w:ascii="Arial" w:hAnsi="Arial" w:cs="Arial"/>
              </w:rPr>
              <w:t xml:space="preserve"> which can be used to chart the progress of the </w:t>
            </w:r>
            <w:proofErr w:type="spellStart"/>
            <w:proofErr w:type="gramStart"/>
            <w:r w:rsidR="00497B29" w:rsidRPr="00DA4FCF">
              <w:rPr>
                <w:rFonts w:ascii="Arial" w:hAnsi="Arial" w:cs="Arial"/>
              </w:rPr>
              <w:t>GPEx</w:t>
            </w:r>
            <w:proofErr w:type="spellEnd"/>
            <w:r w:rsidR="00497B29" w:rsidRPr="00DA4FCF">
              <w:rPr>
                <w:rFonts w:ascii="Arial" w:hAnsi="Arial" w:cs="Arial"/>
              </w:rPr>
              <w:t>, and</w:t>
            </w:r>
            <w:proofErr w:type="gramEnd"/>
            <w:r w:rsidR="00497B29" w:rsidRPr="00DA4FCF">
              <w:rPr>
                <w:rFonts w:ascii="Arial" w:hAnsi="Arial" w:cs="Arial"/>
              </w:rPr>
              <w:t xml:space="preserve"> inform an evaluation of the </w:t>
            </w:r>
            <w:proofErr w:type="spellStart"/>
            <w:r w:rsidR="00497B29" w:rsidRPr="00DA4FCF">
              <w:rPr>
                <w:rFonts w:ascii="Arial" w:hAnsi="Arial" w:cs="Arial"/>
              </w:rPr>
              <w:t>GPEx</w:t>
            </w:r>
            <w:proofErr w:type="spellEnd"/>
            <w:r w:rsidR="00497B29" w:rsidRPr="00DA4FCF">
              <w:rPr>
                <w:rFonts w:ascii="Arial" w:hAnsi="Arial" w:cs="Arial"/>
              </w:rPr>
              <w:t xml:space="preserve">. </w:t>
            </w:r>
          </w:p>
          <w:p w14:paraId="190A90B4" w14:textId="77777777" w:rsidR="0077506C" w:rsidRPr="00DA4FCF" w:rsidRDefault="0077506C" w:rsidP="00497B29">
            <w:pPr>
              <w:rPr>
                <w:rFonts w:ascii="Arial" w:hAnsi="Arial" w:cs="Arial"/>
              </w:rPr>
            </w:pPr>
          </w:p>
          <w:p w14:paraId="43AECBD1" w14:textId="76282792" w:rsidR="0077506C" w:rsidRPr="00DA4FCF" w:rsidRDefault="0077506C" w:rsidP="00497B29">
            <w:pPr>
              <w:rPr>
                <w:rFonts w:ascii="Arial" w:hAnsi="Arial" w:cs="Arial"/>
              </w:rPr>
            </w:pPr>
            <w:r w:rsidRPr="00DA4FCF">
              <w:rPr>
                <w:rFonts w:ascii="Arial" w:hAnsi="Arial" w:cs="Arial"/>
              </w:rPr>
              <w:t>The</w:t>
            </w:r>
            <w:r w:rsidR="004C124C" w:rsidRPr="00DA4FCF">
              <w:rPr>
                <w:rFonts w:ascii="Arial" w:hAnsi="Arial" w:cs="Arial"/>
              </w:rPr>
              <w:t xml:space="preserve"> </w:t>
            </w:r>
            <w:r w:rsidRPr="00DA4FCF">
              <w:rPr>
                <w:rFonts w:ascii="Arial" w:hAnsi="Arial" w:cs="Arial"/>
              </w:rPr>
              <w:t xml:space="preserve">model should paint a clear picture of what good looks like. </w:t>
            </w:r>
          </w:p>
          <w:p w14:paraId="516F038C" w14:textId="77777777" w:rsidR="0077506C" w:rsidRPr="00DA4FCF" w:rsidRDefault="0077506C" w:rsidP="00497B29">
            <w:pPr>
              <w:rPr>
                <w:rFonts w:ascii="Arial" w:hAnsi="Arial" w:cs="Arial"/>
              </w:rPr>
            </w:pPr>
          </w:p>
          <w:p w14:paraId="20B9C7A3" w14:textId="5A3A7666" w:rsidR="0077506C" w:rsidRPr="00DA4FCF" w:rsidRDefault="0077506C" w:rsidP="00497B29">
            <w:pPr>
              <w:rPr>
                <w:rFonts w:ascii="Arial" w:hAnsi="Arial" w:cs="Arial"/>
              </w:rPr>
            </w:pPr>
            <w:r w:rsidRPr="00DA4FCF">
              <w:rPr>
                <w:rFonts w:ascii="Arial" w:hAnsi="Arial" w:cs="Arial"/>
              </w:rPr>
              <w:t xml:space="preserve">Prioritisation of activities should be provided. </w:t>
            </w:r>
          </w:p>
          <w:p w14:paraId="0A6B9E5F" w14:textId="77777777" w:rsidR="00EA21FF" w:rsidRPr="00DA4FCF" w:rsidRDefault="00EA21FF" w:rsidP="00497B29">
            <w:pPr>
              <w:rPr>
                <w:rFonts w:ascii="Arial" w:hAnsi="Arial" w:cs="Arial"/>
              </w:rPr>
            </w:pPr>
          </w:p>
          <w:p w14:paraId="5134888B" w14:textId="464887F2" w:rsidR="00EA21FF" w:rsidRPr="00DA4FCF" w:rsidRDefault="00EA21FF" w:rsidP="00EA21FF">
            <w:pPr>
              <w:pStyle w:val="ListParagraph"/>
              <w:numPr>
                <w:ilvl w:val="0"/>
                <w:numId w:val="6"/>
              </w:numPr>
              <w:rPr>
                <w:rFonts w:ascii="Arial" w:hAnsi="Arial" w:cs="Arial"/>
                <w:i/>
                <w:iCs/>
              </w:rPr>
            </w:pPr>
            <w:r w:rsidRPr="00DA4FCF">
              <w:rPr>
                <w:rFonts w:ascii="Arial" w:hAnsi="Arial" w:cs="Arial"/>
                <w:i/>
                <w:iCs/>
              </w:rPr>
              <w:t xml:space="preserve">Partnerships and </w:t>
            </w:r>
            <w:r w:rsidR="00AD20F2" w:rsidRPr="00DA4FCF">
              <w:rPr>
                <w:rFonts w:ascii="Arial" w:hAnsi="Arial" w:cs="Arial"/>
                <w:i/>
                <w:iCs/>
              </w:rPr>
              <w:t>W</w:t>
            </w:r>
            <w:r w:rsidRPr="00DA4FCF">
              <w:rPr>
                <w:rFonts w:ascii="Arial" w:hAnsi="Arial" w:cs="Arial"/>
                <w:i/>
                <w:iCs/>
              </w:rPr>
              <w:t xml:space="preserve">ide </w:t>
            </w:r>
            <w:r w:rsidR="00AD20F2" w:rsidRPr="00DA4FCF">
              <w:rPr>
                <w:rFonts w:ascii="Arial" w:hAnsi="Arial" w:cs="Arial"/>
                <w:i/>
                <w:iCs/>
              </w:rPr>
              <w:t>I</w:t>
            </w:r>
            <w:r w:rsidRPr="00DA4FCF">
              <w:rPr>
                <w:rFonts w:ascii="Arial" w:hAnsi="Arial" w:cs="Arial"/>
                <w:i/>
                <w:iCs/>
              </w:rPr>
              <w:t xml:space="preserve">nclusion: </w:t>
            </w:r>
          </w:p>
          <w:p w14:paraId="4C2904F6" w14:textId="408947F7" w:rsidR="004C7788" w:rsidRPr="00DA4FCF" w:rsidRDefault="007A45E6" w:rsidP="00EA21FF">
            <w:pPr>
              <w:rPr>
                <w:rFonts w:ascii="Arial" w:hAnsi="Arial" w:cs="Arial"/>
              </w:rPr>
            </w:pPr>
            <w:r w:rsidRPr="00DA4FCF">
              <w:rPr>
                <w:rFonts w:ascii="Arial" w:hAnsi="Arial" w:cs="Arial"/>
              </w:rPr>
              <w:t xml:space="preserve">A core component of the </w:t>
            </w:r>
            <w:proofErr w:type="spellStart"/>
            <w:r w:rsidRPr="00DA4FCF">
              <w:rPr>
                <w:rFonts w:ascii="Arial" w:hAnsi="Arial" w:cs="Arial"/>
              </w:rPr>
              <w:t>GPEx</w:t>
            </w:r>
            <w:proofErr w:type="spellEnd"/>
            <w:r w:rsidRPr="00DA4FCF">
              <w:rPr>
                <w:rFonts w:ascii="Arial" w:hAnsi="Arial" w:cs="Arial"/>
              </w:rPr>
              <w:t xml:space="preserve"> is that it </w:t>
            </w:r>
            <w:r w:rsidR="006E410D" w:rsidRPr="00DA4FCF">
              <w:rPr>
                <w:rFonts w:ascii="Arial" w:hAnsi="Arial" w:cs="Arial"/>
              </w:rPr>
              <w:t>serves the needs of the</w:t>
            </w:r>
            <w:r w:rsidRPr="00DA4FCF">
              <w:rPr>
                <w:rFonts w:ascii="Arial" w:hAnsi="Arial" w:cs="Arial"/>
              </w:rPr>
              <w:t xml:space="preserve"> full breadth of UK research and innovation disciplines and sectors</w:t>
            </w:r>
            <w:r w:rsidR="00DB775C" w:rsidRPr="00DA4FCF">
              <w:rPr>
                <w:rFonts w:ascii="Arial" w:hAnsi="Arial" w:cs="Arial"/>
              </w:rPr>
              <w:t>, including devolved administrations</w:t>
            </w:r>
            <w:r w:rsidR="006E410D" w:rsidRPr="00DA4FCF">
              <w:rPr>
                <w:rFonts w:ascii="Arial" w:hAnsi="Arial" w:cs="Arial"/>
              </w:rPr>
              <w:t xml:space="preserve">. The </w:t>
            </w:r>
            <w:proofErr w:type="spellStart"/>
            <w:r w:rsidR="006E410D" w:rsidRPr="00DA4FCF">
              <w:rPr>
                <w:rFonts w:ascii="Arial" w:hAnsi="Arial" w:cs="Arial"/>
              </w:rPr>
              <w:t>GPEx</w:t>
            </w:r>
            <w:proofErr w:type="spellEnd"/>
            <w:r w:rsidR="006E410D" w:rsidRPr="00DA4FCF">
              <w:rPr>
                <w:rFonts w:ascii="Arial" w:hAnsi="Arial" w:cs="Arial"/>
              </w:rPr>
              <w:t xml:space="preserve"> delivery model must explicitly address </w:t>
            </w:r>
            <w:r w:rsidR="00325F28" w:rsidRPr="00DA4FCF">
              <w:rPr>
                <w:rFonts w:ascii="Arial" w:hAnsi="Arial" w:cs="Arial"/>
              </w:rPr>
              <w:t xml:space="preserve">how this </w:t>
            </w:r>
            <w:r w:rsidR="0024547E" w:rsidRPr="00DA4FCF">
              <w:rPr>
                <w:rFonts w:ascii="Arial" w:hAnsi="Arial" w:cs="Arial"/>
              </w:rPr>
              <w:t>will be achieved</w:t>
            </w:r>
            <w:r w:rsidR="001F07DC" w:rsidRPr="00DA4FCF">
              <w:rPr>
                <w:rFonts w:ascii="Arial" w:hAnsi="Arial" w:cs="Arial"/>
              </w:rPr>
              <w:t>, recognising that needs may vary between groups</w:t>
            </w:r>
            <w:r w:rsidR="00D856B5" w:rsidRPr="00DA4FCF">
              <w:rPr>
                <w:rFonts w:ascii="Arial" w:hAnsi="Arial" w:cs="Arial"/>
              </w:rPr>
              <w:t xml:space="preserve"> (persona profiles may be of use). </w:t>
            </w:r>
            <w:r w:rsidR="00D22EC4" w:rsidRPr="00DA4FCF">
              <w:rPr>
                <w:rFonts w:ascii="Arial" w:hAnsi="Arial" w:cs="Arial"/>
              </w:rPr>
              <w:t xml:space="preserve">The model must take account of the varying resourcing constraints </w:t>
            </w:r>
            <w:r w:rsidR="00620EE1" w:rsidRPr="00DA4FCF">
              <w:rPr>
                <w:rFonts w:ascii="Arial" w:hAnsi="Arial" w:cs="Arial"/>
              </w:rPr>
              <w:t xml:space="preserve">of those the </w:t>
            </w:r>
            <w:proofErr w:type="spellStart"/>
            <w:r w:rsidR="00620EE1" w:rsidRPr="00DA4FCF">
              <w:rPr>
                <w:rFonts w:ascii="Arial" w:hAnsi="Arial" w:cs="Arial"/>
              </w:rPr>
              <w:t>GPEx</w:t>
            </w:r>
            <w:proofErr w:type="spellEnd"/>
            <w:r w:rsidR="00620EE1" w:rsidRPr="00DA4FCF">
              <w:rPr>
                <w:rFonts w:ascii="Arial" w:hAnsi="Arial" w:cs="Arial"/>
              </w:rPr>
              <w:t xml:space="preserve"> seeks to engage</w:t>
            </w:r>
            <w:r w:rsidR="00DF2AA7" w:rsidRPr="00DA4FCF">
              <w:rPr>
                <w:rFonts w:ascii="Arial" w:hAnsi="Arial" w:cs="Arial"/>
              </w:rPr>
              <w:t xml:space="preserve"> and be sure to include engagement with smaller institutions in a</w:t>
            </w:r>
            <w:r w:rsidR="00142408" w:rsidRPr="00DA4FCF">
              <w:rPr>
                <w:rFonts w:ascii="Arial" w:hAnsi="Arial" w:cs="Arial"/>
              </w:rPr>
              <w:t xml:space="preserve"> resource-</w:t>
            </w:r>
            <w:r w:rsidR="00C20B9C" w:rsidRPr="00DA4FCF">
              <w:rPr>
                <w:rFonts w:ascii="Arial" w:hAnsi="Arial" w:cs="Arial"/>
              </w:rPr>
              <w:t>appropriate</w:t>
            </w:r>
            <w:r w:rsidR="00142408" w:rsidRPr="00DA4FCF">
              <w:rPr>
                <w:rFonts w:ascii="Arial" w:hAnsi="Arial" w:cs="Arial"/>
              </w:rPr>
              <w:t xml:space="preserve"> manner. </w:t>
            </w:r>
          </w:p>
          <w:p w14:paraId="2C522019" w14:textId="77777777" w:rsidR="00132B8D" w:rsidRPr="00DA4FCF" w:rsidRDefault="00132B8D" w:rsidP="00EA21FF">
            <w:pPr>
              <w:rPr>
                <w:rFonts w:ascii="Arial" w:hAnsi="Arial" w:cs="Arial"/>
              </w:rPr>
            </w:pPr>
          </w:p>
          <w:p w14:paraId="4181C48E" w14:textId="649169FF" w:rsidR="00B23863" w:rsidRPr="00DA4FCF" w:rsidRDefault="00B23863" w:rsidP="00EA21FF">
            <w:pPr>
              <w:rPr>
                <w:rFonts w:ascii="Arial" w:hAnsi="Arial" w:cs="Arial"/>
              </w:rPr>
            </w:pPr>
            <w:r w:rsidRPr="00DA4FCF">
              <w:rPr>
                <w:rFonts w:ascii="Arial" w:hAnsi="Arial" w:cs="Arial"/>
              </w:rPr>
              <w:t xml:space="preserve">The model should suggest what fora and spaces the </w:t>
            </w:r>
            <w:proofErr w:type="spellStart"/>
            <w:r w:rsidRPr="00DA4FCF">
              <w:rPr>
                <w:rFonts w:ascii="Arial" w:hAnsi="Arial" w:cs="Arial"/>
              </w:rPr>
              <w:t>GPEx</w:t>
            </w:r>
            <w:proofErr w:type="spellEnd"/>
            <w:r w:rsidRPr="00DA4FCF">
              <w:rPr>
                <w:rFonts w:ascii="Arial" w:hAnsi="Arial" w:cs="Arial"/>
              </w:rPr>
              <w:t xml:space="preserve"> would look to operate in, particularly with regards to the leadership objective, and consider how to best position itself in relation to other organisations operating in the area.</w:t>
            </w:r>
          </w:p>
          <w:p w14:paraId="7D4862B5" w14:textId="77777777" w:rsidR="00B23863" w:rsidRPr="00DA4FCF" w:rsidRDefault="00B23863" w:rsidP="00EA21FF">
            <w:pPr>
              <w:rPr>
                <w:rFonts w:ascii="Arial" w:hAnsi="Arial" w:cs="Arial"/>
              </w:rPr>
            </w:pPr>
          </w:p>
          <w:p w14:paraId="0EE35927" w14:textId="6FC6B6B5" w:rsidR="00132B8D" w:rsidRPr="00DA4FCF" w:rsidRDefault="00132B8D" w:rsidP="00EA21FF">
            <w:pPr>
              <w:rPr>
                <w:rFonts w:ascii="Arial" w:hAnsi="Arial" w:cs="Arial"/>
              </w:rPr>
            </w:pPr>
            <w:r w:rsidRPr="00DA4FCF">
              <w:rPr>
                <w:rFonts w:ascii="Arial" w:hAnsi="Arial" w:cs="Arial"/>
              </w:rPr>
              <w:t>The model should consider UKRI’s</w:t>
            </w:r>
            <w:r w:rsidR="00F456DB" w:rsidRPr="00DA4FCF">
              <w:rPr>
                <w:rFonts w:ascii="Arial" w:hAnsi="Arial" w:cs="Arial"/>
              </w:rPr>
              <w:t xml:space="preserve"> work on</w:t>
            </w:r>
            <w:r w:rsidRPr="00DA4FCF">
              <w:rPr>
                <w:rFonts w:ascii="Arial" w:hAnsi="Arial" w:cs="Arial"/>
              </w:rPr>
              <w:t xml:space="preserve"> “Place</w:t>
            </w:r>
            <w:r w:rsidR="00A95890" w:rsidRPr="00DA4FCF">
              <w:rPr>
                <w:rStyle w:val="FootnoteReference"/>
                <w:rFonts w:ascii="Arial" w:hAnsi="Arial" w:cs="Arial"/>
              </w:rPr>
              <w:footnoteReference w:id="3"/>
            </w:r>
            <w:r w:rsidRPr="00DA4FCF">
              <w:rPr>
                <w:rFonts w:ascii="Arial" w:hAnsi="Arial" w:cs="Arial"/>
              </w:rPr>
              <w:t>”</w:t>
            </w:r>
            <w:r w:rsidR="00935A3C" w:rsidRPr="00DA4FCF">
              <w:rPr>
                <w:rFonts w:ascii="Arial" w:hAnsi="Arial" w:cs="Arial"/>
              </w:rPr>
              <w:t>, particularly around connecting and facilitating researc</w:t>
            </w:r>
            <w:r w:rsidR="00354293" w:rsidRPr="00DA4FCF">
              <w:rPr>
                <w:rFonts w:ascii="Arial" w:hAnsi="Arial" w:cs="Arial"/>
              </w:rPr>
              <w:t xml:space="preserve">h at local, regional and national levels. </w:t>
            </w:r>
          </w:p>
          <w:p w14:paraId="68CF972D" w14:textId="77777777" w:rsidR="00FD2ACC" w:rsidRPr="00DA4FCF" w:rsidRDefault="00FD2ACC" w:rsidP="00EA21FF">
            <w:pPr>
              <w:rPr>
                <w:rFonts w:ascii="Arial" w:hAnsi="Arial" w:cs="Arial"/>
              </w:rPr>
            </w:pPr>
          </w:p>
          <w:p w14:paraId="47C1E150" w14:textId="35E192F8" w:rsidR="00FD2ACC" w:rsidRPr="00DA4FCF" w:rsidRDefault="00FD2ACC" w:rsidP="00EA21FF">
            <w:pPr>
              <w:rPr>
                <w:rFonts w:ascii="Arial" w:hAnsi="Arial" w:cs="Arial"/>
              </w:rPr>
            </w:pPr>
            <w:r w:rsidRPr="00DA4FCF">
              <w:rPr>
                <w:rFonts w:ascii="Arial" w:hAnsi="Arial" w:cs="Arial"/>
              </w:rPr>
              <w:t xml:space="preserve">The proposed model should build on learning from similar past investments that have aimed to support good practice exchange (e.g. </w:t>
            </w:r>
            <w:hyperlink r:id="rId17" w:history="1">
              <w:r w:rsidRPr="00DA4FCF">
                <w:rPr>
                  <w:rStyle w:val="Hyperlink"/>
                  <w:rFonts w:ascii="Arial" w:hAnsi="Arial" w:cs="Arial"/>
                  <w:sz w:val="21"/>
                </w:rPr>
                <w:t>What Works Centres</w:t>
              </w:r>
            </w:hyperlink>
            <w:r w:rsidRPr="00DA4FCF">
              <w:rPr>
                <w:rFonts w:ascii="Arial" w:hAnsi="Arial" w:cs="Arial"/>
              </w:rPr>
              <w:t xml:space="preserve">) and </w:t>
            </w:r>
            <w:r w:rsidR="000204EC" w:rsidRPr="00DA4FCF">
              <w:rPr>
                <w:rFonts w:ascii="Arial" w:hAnsi="Arial" w:cs="Arial"/>
              </w:rPr>
              <w:t xml:space="preserve">existing </w:t>
            </w:r>
            <w:hyperlink r:id="rId18" w:history="1">
              <w:r w:rsidR="001A5E6D" w:rsidRPr="00DA4FCF">
                <w:rPr>
                  <w:rStyle w:val="Hyperlink"/>
                  <w:rFonts w:ascii="Arial" w:hAnsi="Arial" w:cs="Arial"/>
                  <w:sz w:val="21"/>
                </w:rPr>
                <w:t>activity t</w:t>
              </w:r>
              <w:r w:rsidR="001A5E6D" w:rsidRPr="00DA4FCF">
                <w:rPr>
                  <w:rStyle w:val="Hyperlink"/>
                  <w:rFonts w:ascii="Arial" w:hAnsi="Arial" w:cs="Arial"/>
                </w:rPr>
                <w:t>o build evidence banks supporting rapid syntheses</w:t>
              </w:r>
            </w:hyperlink>
            <w:r w:rsidRPr="00DA4FCF">
              <w:rPr>
                <w:rFonts w:ascii="Arial" w:hAnsi="Arial" w:cs="Arial"/>
              </w:rPr>
              <w:t xml:space="preserve">.  </w:t>
            </w:r>
          </w:p>
          <w:p w14:paraId="05E0BA8E" w14:textId="77777777" w:rsidR="00497B29" w:rsidRPr="00DA4FCF" w:rsidRDefault="00497B29" w:rsidP="00497B29">
            <w:pPr>
              <w:rPr>
                <w:rFonts w:ascii="Arial" w:hAnsi="Arial" w:cs="Arial"/>
              </w:rPr>
            </w:pPr>
          </w:p>
          <w:p w14:paraId="19617F81" w14:textId="75C8BA33" w:rsidR="00497B29" w:rsidRPr="00DA4FCF" w:rsidRDefault="00EA21FF" w:rsidP="00EA21FF">
            <w:pPr>
              <w:pStyle w:val="ListParagraph"/>
              <w:numPr>
                <w:ilvl w:val="0"/>
                <w:numId w:val="6"/>
              </w:numPr>
              <w:rPr>
                <w:rFonts w:ascii="Arial" w:hAnsi="Arial" w:cs="Arial"/>
                <w:i/>
                <w:iCs/>
              </w:rPr>
            </w:pPr>
            <w:r w:rsidRPr="00DA4FCF">
              <w:rPr>
                <w:rFonts w:ascii="Arial" w:hAnsi="Arial" w:cs="Arial"/>
                <w:i/>
                <w:iCs/>
              </w:rPr>
              <w:t>D</w:t>
            </w:r>
            <w:r w:rsidR="00497B29" w:rsidRPr="00DA4FCF">
              <w:rPr>
                <w:rFonts w:ascii="Arial" w:hAnsi="Arial" w:cs="Arial"/>
                <w:i/>
                <w:iCs/>
              </w:rPr>
              <w:t xml:space="preserve">eliverables </w:t>
            </w:r>
          </w:p>
          <w:p w14:paraId="6F28DBDF" w14:textId="7216FABD" w:rsidR="00132B8D" w:rsidRPr="00DA4FCF" w:rsidRDefault="00497B29" w:rsidP="00497B29">
            <w:pPr>
              <w:rPr>
                <w:rFonts w:ascii="Arial" w:hAnsi="Arial" w:cs="Arial"/>
              </w:rPr>
            </w:pPr>
            <w:r w:rsidRPr="00DA4FCF">
              <w:rPr>
                <w:rFonts w:ascii="Arial" w:hAnsi="Arial" w:cs="Arial"/>
              </w:rPr>
              <w:t xml:space="preserve">The model should identify specific deliverables that UKRI would require of a supplier to deliver their </w:t>
            </w:r>
            <w:proofErr w:type="spellStart"/>
            <w:r w:rsidRPr="00DA4FCF">
              <w:rPr>
                <w:rFonts w:ascii="Arial" w:hAnsi="Arial" w:cs="Arial"/>
              </w:rPr>
              <w:t>GPEx</w:t>
            </w:r>
            <w:proofErr w:type="spellEnd"/>
            <w:r w:rsidRPr="00DA4FCF">
              <w:rPr>
                <w:rFonts w:ascii="Arial" w:hAnsi="Arial" w:cs="Arial"/>
              </w:rPr>
              <w:t xml:space="preserve"> role. These deliverables would be a fundamental basis of the contract between the supplier and UKRI. Satisfactory delivery would release staged payments. </w:t>
            </w:r>
            <w:proofErr w:type="gramStart"/>
            <w:r w:rsidRPr="00DA4FCF">
              <w:rPr>
                <w:rFonts w:ascii="Arial" w:hAnsi="Arial" w:cs="Arial"/>
              </w:rPr>
              <w:t>Therefore</w:t>
            </w:r>
            <w:proofErr w:type="gramEnd"/>
            <w:r w:rsidRPr="00DA4FCF">
              <w:rPr>
                <w:rFonts w:ascii="Arial" w:hAnsi="Arial" w:cs="Arial"/>
              </w:rPr>
              <w:t xml:space="preserve"> it is crucial deliverables comprehensively cover the expectations of the </w:t>
            </w:r>
            <w:proofErr w:type="spellStart"/>
            <w:r w:rsidRPr="00DA4FCF">
              <w:rPr>
                <w:rFonts w:ascii="Arial" w:hAnsi="Arial" w:cs="Arial"/>
              </w:rPr>
              <w:t>GPEx</w:t>
            </w:r>
            <w:proofErr w:type="spellEnd"/>
            <w:r w:rsidRPr="00DA4FCF">
              <w:rPr>
                <w:rFonts w:ascii="Arial" w:hAnsi="Arial" w:cs="Arial"/>
              </w:rPr>
              <w:t xml:space="preserve">. </w:t>
            </w:r>
          </w:p>
          <w:p w14:paraId="5FB8403A" w14:textId="77777777" w:rsidR="00497B29" w:rsidRPr="00DA4FCF" w:rsidRDefault="00497B29" w:rsidP="00497B29">
            <w:pPr>
              <w:rPr>
                <w:rFonts w:ascii="Arial" w:hAnsi="Arial" w:cs="Arial"/>
              </w:rPr>
            </w:pPr>
          </w:p>
          <w:p w14:paraId="3A84C836"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Timeline with Key Milestones. </w:t>
            </w:r>
          </w:p>
          <w:p w14:paraId="1301A2FA" w14:textId="0C828D8E" w:rsidR="00497B29" w:rsidRPr="00DA4FCF" w:rsidRDefault="00497B29" w:rsidP="00497B29">
            <w:pPr>
              <w:rPr>
                <w:rFonts w:ascii="Arial" w:hAnsi="Arial" w:cs="Arial"/>
              </w:rPr>
            </w:pPr>
            <w:r w:rsidRPr="00DA4FCF">
              <w:rPr>
                <w:rFonts w:ascii="Arial" w:hAnsi="Arial" w:cs="Arial"/>
              </w:rPr>
              <w:t xml:space="preserve">Suppliers should identify a specific timeline for the </w:t>
            </w:r>
            <w:proofErr w:type="spellStart"/>
            <w:r w:rsidRPr="00DA4FCF">
              <w:rPr>
                <w:rFonts w:ascii="Arial" w:hAnsi="Arial" w:cs="Arial"/>
              </w:rPr>
              <w:t>GPEx</w:t>
            </w:r>
            <w:proofErr w:type="spellEnd"/>
            <w:r w:rsidRPr="00DA4FCF">
              <w:rPr>
                <w:rFonts w:ascii="Arial" w:hAnsi="Arial" w:cs="Arial"/>
              </w:rPr>
              <w:t xml:space="preserve">, with key milestones set against this. The supplier is free to propose whichever timeline they consider best for the </w:t>
            </w:r>
            <w:proofErr w:type="spellStart"/>
            <w:r w:rsidRPr="00DA4FCF">
              <w:rPr>
                <w:rFonts w:ascii="Arial" w:hAnsi="Arial" w:cs="Arial"/>
              </w:rPr>
              <w:t>GPEx</w:t>
            </w:r>
            <w:proofErr w:type="spellEnd"/>
            <w:r w:rsidRPr="00DA4FCF">
              <w:rPr>
                <w:rFonts w:ascii="Arial" w:hAnsi="Arial" w:cs="Arial"/>
              </w:rPr>
              <w:t xml:space="preserve"> to achieve its objectives. </w:t>
            </w:r>
            <w:r w:rsidR="00B60921" w:rsidRPr="00DA4FCF">
              <w:rPr>
                <w:rFonts w:ascii="Arial" w:hAnsi="Arial" w:cs="Arial"/>
              </w:rPr>
              <w:t xml:space="preserve">This may include multiple stages of the </w:t>
            </w:r>
            <w:proofErr w:type="spellStart"/>
            <w:r w:rsidR="00B60921" w:rsidRPr="00DA4FCF">
              <w:rPr>
                <w:rFonts w:ascii="Arial" w:hAnsi="Arial" w:cs="Arial"/>
              </w:rPr>
              <w:t>GPEx</w:t>
            </w:r>
            <w:proofErr w:type="spellEnd"/>
            <w:r w:rsidR="00B60921" w:rsidRPr="00DA4FCF">
              <w:rPr>
                <w:rFonts w:ascii="Arial" w:hAnsi="Arial" w:cs="Arial"/>
              </w:rPr>
              <w:t xml:space="preserve">, to allow for it to develop. </w:t>
            </w:r>
          </w:p>
          <w:p w14:paraId="6050B389" w14:textId="77777777" w:rsidR="003D0CEC" w:rsidRPr="00DA4FCF" w:rsidRDefault="003D0CEC" w:rsidP="00497B29">
            <w:pPr>
              <w:rPr>
                <w:rFonts w:ascii="Arial" w:hAnsi="Arial" w:cs="Arial"/>
              </w:rPr>
            </w:pPr>
          </w:p>
          <w:p w14:paraId="40D5FEC0" w14:textId="0E76801F" w:rsidR="00497B29" w:rsidRPr="00DA4FCF" w:rsidRDefault="00843198" w:rsidP="00497B29">
            <w:pPr>
              <w:rPr>
                <w:rFonts w:ascii="Arial" w:hAnsi="Arial" w:cs="Arial"/>
              </w:rPr>
            </w:pPr>
            <w:r w:rsidRPr="00DA4FCF">
              <w:rPr>
                <w:rFonts w:ascii="Arial" w:hAnsi="Arial" w:cs="Arial"/>
              </w:rPr>
              <w:t>Progress on t</w:t>
            </w:r>
            <w:r w:rsidR="00497B29" w:rsidRPr="00DA4FCF">
              <w:rPr>
                <w:rFonts w:ascii="Arial" w:hAnsi="Arial" w:cs="Arial"/>
              </w:rPr>
              <w:t xml:space="preserve">he objectives of the </w:t>
            </w:r>
            <w:proofErr w:type="spellStart"/>
            <w:r w:rsidR="00497B29" w:rsidRPr="00DA4FCF">
              <w:rPr>
                <w:rFonts w:ascii="Arial" w:hAnsi="Arial" w:cs="Arial"/>
              </w:rPr>
              <w:t>GPEx</w:t>
            </w:r>
            <w:proofErr w:type="spellEnd"/>
            <w:r w:rsidR="00497B29" w:rsidRPr="00DA4FCF">
              <w:rPr>
                <w:rFonts w:ascii="Arial" w:hAnsi="Arial" w:cs="Arial"/>
              </w:rPr>
              <w:t xml:space="preserve"> will</w:t>
            </w:r>
            <w:r w:rsidR="003F0A6B" w:rsidRPr="00DA4FCF">
              <w:rPr>
                <w:rFonts w:ascii="Arial" w:hAnsi="Arial" w:cs="Arial"/>
              </w:rPr>
              <w:t xml:space="preserve"> build iteratively over time</w:t>
            </w:r>
            <w:r w:rsidR="00497B29" w:rsidRPr="00DA4FCF">
              <w:rPr>
                <w:rFonts w:ascii="Arial" w:hAnsi="Arial" w:cs="Arial"/>
              </w:rPr>
              <w:t xml:space="preserve">. A balance will need to be sought between proposing a model which can deliver meaningful progress and ensuring that funds are not spread so thinly over years as to risk delivery. </w:t>
            </w:r>
            <w:r w:rsidR="00081CA6" w:rsidRPr="00DA4FCF">
              <w:rPr>
                <w:rFonts w:ascii="Arial" w:hAnsi="Arial" w:cs="Arial"/>
              </w:rPr>
              <w:t xml:space="preserve">The setting of </w:t>
            </w:r>
            <w:proofErr w:type="gramStart"/>
            <w:r w:rsidR="00081CA6" w:rsidRPr="00DA4FCF">
              <w:rPr>
                <w:rFonts w:ascii="Arial" w:hAnsi="Arial" w:cs="Arial"/>
              </w:rPr>
              <w:t>short, medium and long term</w:t>
            </w:r>
            <w:proofErr w:type="gramEnd"/>
            <w:r w:rsidR="00081CA6" w:rsidRPr="00DA4FCF">
              <w:rPr>
                <w:rFonts w:ascii="Arial" w:hAnsi="Arial" w:cs="Arial"/>
              </w:rPr>
              <w:t xml:space="preserve"> milestones for the </w:t>
            </w:r>
            <w:proofErr w:type="spellStart"/>
            <w:r w:rsidR="00081CA6" w:rsidRPr="00DA4FCF">
              <w:rPr>
                <w:rFonts w:ascii="Arial" w:hAnsi="Arial" w:cs="Arial"/>
              </w:rPr>
              <w:t>GPEx</w:t>
            </w:r>
            <w:proofErr w:type="spellEnd"/>
            <w:r w:rsidR="00081CA6" w:rsidRPr="00DA4FCF">
              <w:rPr>
                <w:rFonts w:ascii="Arial" w:hAnsi="Arial" w:cs="Arial"/>
              </w:rPr>
              <w:t xml:space="preserve"> may be of use.</w:t>
            </w:r>
          </w:p>
          <w:p w14:paraId="2DDA1B91" w14:textId="77777777" w:rsidR="003D0CEC" w:rsidRPr="00DA4FCF" w:rsidRDefault="003D0CEC" w:rsidP="00497B29">
            <w:pPr>
              <w:rPr>
                <w:rFonts w:ascii="Arial" w:hAnsi="Arial" w:cs="Arial"/>
              </w:rPr>
            </w:pPr>
          </w:p>
          <w:p w14:paraId="6C9AF2D9" w14:textId="1CE988CD" w:rsidR="00497B29" w:rsidRPr="00DA4FCF" w:rsidRDefault="00497B29" w:rsidP="00497B29">
            <w:pPr>
              <w:rPr>
                <w:rFonts w:ascii="Arial" w:hAnsi="Arial" w:cs="Arial"/>
              </w:rPr>
            </w:pPr>
            <w:r w:rsidRPr="00DA4FCF">
              <w:rPr>
                <w:rFonts w:ascii="Arial" w:hAnsi="Arial" w:cs="Arial"/>
              </w:rPr>
              <w:t>The proposed model should consider the</w:t>
            </w:r>
            <w:r w:rsidR="009E0136" w:rsidRPr="00DA4FCF">
              <w:rPr>
                <w:rFonts w:ascii="Arial" w:hAnsi="Arial" w:cs="Arial"/>
              </w:rPr>
              <w:t xml:space="preserve"> sustainability of </w:t>
            </w:r>
            <w:proofErr w:type="spellStart"/>
            <w:r w:rsidR="001665EC" w:rsidRPr="00DA4FCF">
              <w:rPr>
                <w:rFonts w:ascii="Arial" w:hAnsi="Arial" w:cs="Arial"/>
              </w:rPr>
              <w:t>GPEx</w:t>
            </w:r>
            <w:proofErr w:type="spellEnd"/>
            <w:r w:rsidR="001665EC" w:rsidRPr="00DA4FCF">
              <w:rPr>
                <w:rFonts w:ascii="Arial" w:hAnsi="Arial" w:cs="Arial"/>
              </w:rPr>
              <w:t xml:space="preserve"> activities</w:t>
            </w:r>
            <w:r w:rsidR="001E0D32" w:rsidRPr="00DA4FCF">
              <w:rPr>
                <w:rFonts w:ascii="Arial" w:hAnsi="Arial" w:cs="Arial"/>
              </w:rPr>
              <w:t xml:space="preserve"> over </w:t>
            </w:r>
            <w:r w:rsidR="001665EC" w:rsidRPr="00DA4FCF">
              <w:rPr>
                <w:rFonts w:ascii="Arial" w:hAnsi="Arial" w:cs="Arial"/>
              </w:rPr>
              <w:t>the</w:t>
            </w:r>
            <w:r w:rsidRPr="00DA4FCF">
              <w:rPr>
                <w:rFonts w:ascii="Arial" w:hAnsi="Arial" w:cs="Arial"/>
              </w:rPr>
              <w:t xml:space="preserve"> </w:t>
            </w:r>
            <w:proofErr w:type="gramStart"/>
            <w:r w:rsidRPr="00DA4FCF">
              <w:rPr>
                <w:rFonts w:ascii="Arial" w:hAnsi="Arial" w:cs="Arial"/>
              </w:rPr>
              <w:t>longer-term, and</w:t>
            </w:r>
            <w:proofErr w:type="gramEnd"/>
            <w:r w:rsidRPr="00DA4FCF">
              <w:rPr>
                <w:rFonts w:ascii="Arial" w:hAnsi="Arial" w:cs="Arial"/>
              </w:rPr>
              <w:t xml:space="preserve"> outline possible options for </w:t>
            </w:r>
            <w:proofErr w:type="spellStart"/>
            <w:r w:rsidR="00396387" w:rsidRPr="00DA4FCF">
              <w:rPr>
                <w:rFonts w:ascii="Arial" w:hAnsi="Arial" w:cs="Arial"/>
              </w:rPr>
              <w:t>GPEx</w:t>
            </w:r>
            <w:proofErr w:type="spellEnd"/>
            <w:r w:rsidRPr="00DA4FCF">
              <w:rPr>
                <w:rFonts w:ascii="Arial" w:hAnsi="Arial" w:cs="Arial"/>
              </w:rPr>
              <w:t xml:space="preserve"> objectives once funding ends. For example, some activities may be initiated by the GPEX then be outsourced. However other activities such as sustaining connectivity between networks, or hosting a web platform, require longevity to be most effective.</w:t>
            </w:r>
          </w:p>
          <w:p w14:paraId="0F636CA4" w14:textId="77777777" w:rsidR="00497B29" w:rsidRPr="00DA4FCF" w:rsidRDefault="00497B29" w:rsidP="00497B29">
            <w:pPr>
              <w:rPr>
                <w:rFonts w:ascii="Arial" w:hAnsi="Arial" w:cs="Arial"/>
              </w:rPr>
            </w:pPr>
          </w:p>
          <w:p w14:paraId="744B8227" w14:textId="6F15B4B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Costings Model and Value for </w:t>
            </w:r>
            <w:r w:rsidR="008F662F" w:rsidRPr="00DA4FCF">
              <w:rPr>
                <w:rFonts w:ascii="Arial" w:hAnsi="Arial" w:cs="Arial"/>
                <w:i/>
                <w:iCs/>
              </w:rPr>
              <w:t>M</w:t>
            </w:r>
            <w:r w:rsidRPr="00DA4FCF">
              <w:rPr>
                <w:rFonts w:ascii="Arial" w:hAnsi="Arial" w:cs="Arial"/>
                <w:i/>
                <w:iCs/>
              </w:rPr>
              <w:t>oney</w:t>
            </w:r>
          </w:p>
          <w:p w14:paraId="0FCD0350" w14:textId="1FB2E686" w:rsidR="00497B29" w:rsidRPr="00DA4FCF" w:rsidRDefault="00497B29" w:rsidP="00497B29">
            <w:pPr>
              <w:rPr>
                <w:rFonts w:ascii="Arial" w:hAnsi="Arial" w:cs="Arial"/>
              </w:rPr>
            </w:pPr>
            <w:r w:rsidRPr="00DA4FCF">
              <w:rPr>
                <w:rFonts w:ascii="Arial" w:hAnsi="Arial" w:cs="Arial"/>
              </w:rPr>
              <w:t xml:space="preserve">The budget for the </w:t>
            </w:r>
            <w:proofErr w:type="spellStart"/>
            <w:r w:rsidRPr="00DA4FCF">
              <w:rPr>
                <w:rFonts w:ascii="Arial" w:hAnsi="Arial" w:cs="Arial"/>
              </w:rPr>
              <w:t>GPEx</w:t>
            </w:r>
            <w:proofErr w:type="spellEnd"/>
            <w:r w:rsidRPr="00DA4FCF">
              <w:rPr>
                <w:rFonts w:ascii="Arial" w:hAnsi="Arial" w:cs="Arial"/>
              </w:rPr>
              <w:t xml:space="preserve"> is not yet established, and the evidence provided by this </w:t>
            </w:r>
            <w:r w:rsidR="00B3569C" w:rsidRPr="00DA4FCF">
              <w:rPr>
                <w:rFonts w:ascii="Arial" w:hAnsi="Arial" w:cs="Arial"/>
              </w:rPr>
              <w:t xml:space="preserve">model </w:t>
            </w:r>
            <w:r w:rsidRPr="00DA4FCF">
              <w:rPr>
                <w:rFonts w:ascii="Arial" w:hAnsi="Arial" w:cs="Arial"/>
              </w:rPr>
              <w:t xml:space="preserve">will likely be used to make a case for funding. The model must clearly delineate required investments to achieve distinct outputs, outcomes and impacts of the </w:t>
            </w:r>
            <w:proofErr w:type="spellStart"/>
            <w:r w:rsidRPr="00DA4FCF">
              <w:rPr>
                <w:rFonts w:ascii="Arial" w:hAnsi="Arial" w:cs="Arial"/>
              </w:rPr>
              <w:t>GPEx</w:t>
            </w:r>
            <w:proofErr w:type="spellEnd"/>
            <w:r w:rsidRPr="00DA4FCF">
              <w:rPr>
                <w:rFonts w:ascii="Arial" w:hAnsi="Arial" w:cs="Arial"/>
              </w:rPr>
              <w:t>, as it may not be possible to secure funding for all components of the model. Interdependencies within the model therefore must be clearly identified.</w:t>
            </w:r>
          </w:p>
          <w:p w14:paraId="4704D254" w14:textId="77777777" w:rsidR="00497B29" w:rsidRPr="00DA4FCF" w:rsidRDefault="00497B29" w:rsidP="00497B29">
            <w:pPr>
              <w:rPr>
                <w:rFonts w:ascii="Arial" w:hAnsi="Arial" w:cs="Arial"/>
              </w:rPr>
            </w:pPr>
            <w:r w:rsidRPr="00DA4FCF">
              <w:rPr>
                <w:rFonts w:ascii="Arial" w:hAnsi="Arial" w:cs="Arial"/>
              </w:rPr>
              <w:t xml:space="preserve">The supplier is required to develop model(s) </w:t>
            </w:r>
            <w:proofErr w:type="gramStart"/>
            <w:r w:rsidRPr="00DA4FCF">
              <w:rPr>
                <w:rFonts w:ascii="Arial" w:hAnsi="Arial" w:cs="Arial"/>
              </w:rPr>
              <w:t>on the basis of</w:t>
            </w:r>
            <w:proofErr w:type="gramEnd"/>
            <w:r w:rsidRPr="00DA4FCF">
              <w:rPr>
                <w:rFonts w:ascii="Arial" w:hAnsi="Arial" w:cs="Arial"/>
              </w:rPr>
              <w:t xml:space="preserve"> three potential total </w:t>
            </w:r>
            <w:proofErr w:type="spellStart"/>
            <w:r w:rsidRPr="00DA4FCF">
              <w:rPr>
                <w:rFonts w:ascii="Arial" w:hAnsi="Arial" w:cs="Arial"/>
              </w:rPr>
              <w:t>GPEx</w:t>
            </w:r>
            <w:proofErr w:type="spellEnd"/>
            <w:r w:rsidRPr="00DA4FCF">
              <w:rPr>
                <w:rFonts w:ascii="Arial" w:hAnsi="Arial" w:cs="Arial"/>
              </w:rPr>
              <w:t xml:space="preserve"> budgets: £500,000; £2,500,000; and £5,000,000. </w:t>
            </w:r>
          </w:p>
          <w:p w14:paraId="68A4F3C7" w14:textId="77777777" w:rsidR="00160D26" w:rsidRPr="00DA4FCF" w:rsidRDefault="00160D26" w:rsidP="00497B29">
            <w:pPr>
              <w:rPr>
                <w:rFonts w:ascii="Arial" w:hAnsi="Arial" w:cs="Arial"/>
              </w:rPr>
            </w:pPr>
          </w:p>
          <w:p w14:paraId="1F05B82F" w14:textId="77777777" w:rsidR="00497B29" w:rsidRPr="00DA4FCF" w:rsidRDefault="00497B29" w:rsidP="00497B29">
            <w:pPr>
              <w:rPr>
                <w:rFonts w:ascii="Arial" w:hAnsi="Arial" w:cs="Arial"/>
              </w:rPr>
            </w:pPr>
            <w:r w:rsidRPr="00DA4FCF">
              <w:rPr>
                <w:rFonts w:ascii="Arial" w:hAnsi="Arial" w:cs="Arial"/>
              </w:rPr>
              <w:t xml:space="preserve">This budget can be profiled over a period of years as needed for the model. There is no requirement for the budget to be spread evenly between years. </w:t>
            </w:r>
          </w:p>
          <w:p w14:paraId="12D24E2A" w14:textId="77777777" w:rsidR="00160D26" w:rsidRPr="00DA4FCF" w:rsidRDefault="00160D26" w:rsidP="00497B29">
            <w:pPr>
              <w:rPr>
                <w:rFonts w:ascii="Arial" w:hAnsi="Arial" w:cs="Arial"/>
              </w:rPr>
            </w:pPr>
          </w:p>
          <w:p w14:paraId="3977AA7B" w14:textId="77777777" w:rsidR="00497B29" w:rsidRPr="00DA4FCF" w:rsidRDefault="00497B29" w:rsidP="00497B29">
            <w:pPr>
              <w:rPr>
                <w:rFonts w:ascii="Arial" w:hAnsi="Arial" w:cs="Arial"/>
              </w:rPr>
            </w:pPr>
            <w:r w:rsidRPr="00DA4FCF">
              <w:rPr>
                <w:rFonts w:ascii="Arial" w:hAnsi="Arial" w:cs="Arial"/>
              </w:rPr>
              <w:t xml:space="preserve">The supplier should offer an evidence-informed view as to the value for money of the distinct elements of the proposed </w:t>
            </w:r>
            <w:proofErr w:type="spellStart"/>
            <w:r w:rsidRPr="00DA4FCF">
              <w:rPr>
                <w:rFonts w:ascii="Arial" w:hAnsi="Arial" w:cs="Arial"/>
              </w:rPr>
              <w:t>GPEx</w:t>
            </w:r>
            <w:proofErr w:type="spellEnd"/>
            <w:r w:rsidRPr="00DA4FCF">
              <w:rPr>
                <w:rFonts w:ascii="Arial" w:hAnsi="Arial" w:cs="Arial"/>
              </w:rPr>
              <w:t xml:space="preserve"> model. </w:t>
            </w:r>
          </w:p>
          <w:p w14:paraId="02108419" w14:textId="77777777" w:rsidR="00160D26" w:rsidRPr="00DA4FCF" w:rsidRDefault="00160D26" w:rsidP="00497B29">
            <w:pPr>
              <w:rPr>
                <w:rFonts w:ascii="Arial" w:hAnsi="Arial" w:cs="Arial"/>
              </w:rPr>
            </w:pPr>
          </w:p>
          <w:p w14:paraId="3ED40E7F" w14:textId="77777777" w:rsidR="00497B29" w:rsidRPr="00DA4FCF" w:rsidRDefault="00497B29" w:rsidP="00497B29">
            <w:pPr>
              <w:rPr>
                <w:rFonts w:ascii="Arial" w:hAnsi="Arial" w:cs="Arial"/>
              </w:rPr>
            </w:pPr>
            <w:r w:rsidRPr="00DA4FCF">
              <w:rPr>
                <w:rFonts w:ascii="Arial" w:hAnsi="Arial" w:cs="Arial"/>
              </w:rPr>
              <w:t xml:space="preserve">A general guiding principle of the </w:t>
            </w:r>
            <w:proofErr w:type="spellStart"/>
            <w:r w:rsidRPr="00DA4FCF">
              <w:rPr>
                <w:rFonts w:ascii="Arial" w:hAnsi="Arial" w:cs="Arial"/>
              </w:rPr>
              <w:t>GPEx</w:t>
            </w:r>
            <w:proofErr w:type="spellEnd"/>
            <w:r w:rsidRPr="00DA4FCF">
              <w:rPr>
                <w:rFonts w:ascii="Arial" w:hAnsi="Arial" w:cs="Arial"/>
              </w:rPr>
              <w:t xml:space="preserve"> is that it looks to reuse and recycle existing activity, to make the most out of existing investments. As opposed to channelling its own funds into new pockets of activity. </w:t>
            </w:r>
          </w:p>
          <w:p w14:paraId="733E3107" w14:textId="77777777" w:rsidR="009C278C" w:rsidRPr="00DA4FCF" w:rsidRDefault="009C278C" w:rsidP="00497B29">
            <w:pPr>
              <w:rPr>
                <w:rFonts w:ascii="Arial" w:hAnsi="Arial" w:cs="Arial"/>
              </w:rPr>
            </w:pPr>
          </w:p>
          <w:p w14:paraId="2789D336" w14:textId="4F19B8F3" w:rsidR="009C278C" w:rsidRPr="00DA4FCF" w:rsidRDefault="009C278C" w:rsidP="00497B29">
            <w:pPr>
              <w:rPr>
                <w:rFonts w:ascii="Arial" w:hAnsi="Arial" w:cs="Arial"/>
              </w:rPr>
            </w:pPr>
            <w:r w:rsidRPr="00DA4FCF">
              <w:rPr>
                <w:rFonts w:ascii="Arial" w:hAnsi="Arial" w:cs="Arial"/>
              </w:rPr>
              <w:t>The model should consider opportunities for strategic level collaboration by effective collaborative use of resources.</w:t>
            </w:r>
          </w:p>
          <w:p w14:paraId="683CE17F" w14:textId="77777777" w:rsidR="00497B29" w:rsidRPr="00DA4FCF" w:rsidRDefault="00497B29" w:rsidP="00497B29">
            <w:pPr>
              <w:rPr>
                <w:rFonts w:ascii="Arial" w:hAnsi="Arial" w:cs="Arial"/>
              </w:rPr>
            </w:pPr>
          </w:p>
          <w:p w14:paraId="02A3AA4B"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Necessary Infrastructure </w:t>
            </w:r>
          </w:p>
          <w:p w14:paraId="5BC8BAF6" w14:textId="31841409" w:rsidR="00497B29" w:rsidRPr="00DA4FCF" w:rsidRDefault="00104AF6" w:rsidP="00497B29">
            <w:pPr>
              <w:rPr>
                <w:rFonts w:ascii="Arial" w:hAnsi="Arial" w:cs="Arial"/>
              </w:rPr>
            </w:pPr>
            <w:r w:rsidRPr="00DA4FCF">
              <w:rPr>
                <w:rFonts w:ascii="Arial" w:hAnsi="Arial" w:cs="Arial"/>
              </w:rPr>
              <w:t xml:space="preserve">The model should identify necessary infrastructure for the </w:t>
            </w:r>
            <w:proofErr w:type="spellStart"/>
            <w:r w:rsidRPr="00DA4FCF">
              <w:rPr>
                <w:rFonts w:ascii="Arial" w:hAnsi="Arial" w:cs="Arial"/>
              </w:rPr>
              <w:t>GPEx</w:t>
            </w:r>
            <w:proofErr w:type="spellEnd"/>
            <w:r w:rsidRPr="00DA4FCF">
              <w:rPr>
                <w:rFonts w:ascii="Arial" w:hAnsi="Arial" w:cs="Arial"/>
              </w:rPr>
              <w:t xml:space="preserve">, mindful of its </w:t>
            </w:r>
            <w:r w:rsidR="002C051A" w:rsidRPr="00DA4FCF">
              <w:rPr>
                <w:rFonts w:ascii="Arial" w:hAnsi="Arial" w:cs="Arial"/>
              </w:rPr>
              <w:t xml:space="preserve">long-term future and ensuring value for money. </w:t>
            </w:r>
          </w:p>
          <w:p w14:paraId="3EB966A8" w14:textId="77777777" w:rsidR="00497B29" w:rsidRPr="00DA4FCF" w:rsidRDefault="00497B29" w:rsidP="00497B29">
            <w:pPr>
              <w:rPr>
                <w:rFonts w:ascii="Arial" w:hAnsi="Arial" w:cs="Arial"/>
              </w:rPr>
            </w:pPr>
          </w:p>
          <w:p w14:paraId="69A40C1A"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Required consortium of staffing skills. </w:t>
            </w:r>
          </w:p>
          <w:p w14:paraId="48C2CAD1" w14:textId="77777777" w:rsidR="005E4675" w:rsidRPr="00DA4FCF" w:rsidRDefault="00F01976" w:rsidP="00497B29">
            <w:pPr>
              <w:rPr>
                <w:rFonts w:ascii="Arial" w:hAnsi="Arial" w:cs="Arial"/>
              </w:rPr>
            </w:pPr>
            <w:r w:rsidRPr="00DA4FCF">
              <w:rPr>
                <w:rFonts w:ascii="Arial" w:hAnsi="Arial" w:cs="Arial"/>
              </w:rPr>
              <w:t xml:space="preserve">Given the breadth of objectives of the </w:t>
            </w:r>
            <w:proofErr w:type="spellStart"/>
            <w:r w:rsidRPr="00DA4FCF">
              <w:rPr>
                <w:rFonts w:ascii="Arial" w:hAnsi="Arial" w:cs="Arial"/>
              </w:rPr>
              <w:t>GPEx</w:t>
            </w:r>
            <w:proofErr w:type="spellEnd"/>
            <w:r w:rsidRPr="00DA4FCF">
              <w:rPr>
                <w:rFonts w:ascii="Arial" w:hAnsi="Arial" w:cs="Arial"/>
              </w:rPr>
              <w:t xml:space="preserve">, and the wide community it is required to serve, it is </w:t>
            </w:r>
            <w:r w:rsidR="00DC5AC7" w:rsidRPr="00DA4FCF">
              <w:rPr>
                <w:rFonts w:ascii="Arial" w:hAnsi="Arial" w:cs="Arial"/>
              </w:rPr>
              <w:t>expected that a consortium of suppliers will be needed to cover all necessary skills</w:t>
            </w:r>
            <w:r w:rsidR="00C572BC" w:rsidRPr="00DA4FCF">
              <w:rPr>
                <w:rFonts w:ascii="Arial" w:hAnsi="Arial" w:cs="Arial"/>
              </w:rPr>
              <w:t>, expertise an</w:t>
            </w:r>
            <w:r w:rsidR="00AD456D" w:rsidRPr="00DA4FCF">
              <w:rPr>
                <w:rFonts w:ascii="Arial" w:hAnsi="Arial" w:cs="Arial"/>
              </w:rPr>
              <w:t>d</w:t>
            </w:r>
            <w:r w:rsidR="00C572BC" w:rsidRPr="00DA4FCF">
              <w:rPr>
                <w:rFonts w:ascii="Arial" w:hAnsi="Arial" w:cs="Arial"/>
              </w:rPr>
              <w:t xml:space="preserve"> engagement needs. The model should clearly identify </w:t>
            </w:r>
            <w:r w:rsidR="00952B77" w:rsidRPr="00DA4FCF">
              <w:rPr>
                <w:rFonts w:ascii="Arial" w:hAnsi="Arial" w:cs="Arial"/>
              </w:rPr>
              <w:t>the essential staffing requirements</w:t>
            </w:r>
            <w:r w:rsidR="00AD456D" w:rsidRPr="00DA4FCF">
              <w:rPr>
                <w:rFonts w:ascii="Arial" w:hAnsi="Arial" w:cs="Arial"/>
              </w:rPr>
              <w:t xml:space="preserve"> of the model. </w:t>
            </w:r>
          </w:p>
          <w:p w14:paraId="3E16EE0B" w14:textId="77777777" w:rsidR="005E4675" w:rsidRPr="00DA4FCF" w:rsidRDefault="005E4675" w:rsidP="00497B29">
            <w:pPr>
              <w:rPr>
                <w:rFonts w:ascii="Arial" w:hAnsi="Arial" w:cs="Arial"/>
              </w:rPr>
            </w:pPr>
          </w:p>
          <w:p w14:paraId="55712FD0" w14:textId="6D8909C1" w:rsidR="00497B29" w:rsidRPr="00DA4FCF" w:rsidRDefault="006F64D6"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need to be a trusted </w:t>
            </w:r>
            <w:r w:rsidR="00F70380" w:rsidRPr="00DA4FCF">
              <w:rPr>
                <w:rFonts w:ascii="Arial" w:hAnsi="Arial" w:cs="Arial"/>
              </w:rPr>
              <w:t xml:space="preserve">part of the community, that the sector </w:t>
            </w:r>
            <w:r w:rsidR="00A40393" w:rsidRPr="00DA4FCF">
              <w:rPr>
                <w:rFonts w:ascii="Arial" w:hAnsi="Arial" w:cs="Arial"/>
              </w:rPr>
              <w:t xml:space="preserve">has confidence in. </w:t>
            </w:r>
            <w:r w:rsidR="00341E63" w:rsidRPr="00DA4FCF">
              <w:rPr>
                <w:rFonts w:ascii="Arial" w:hAnsi="Arial" w:cs="Arial"/>
              </w:rPr>
              <w:t xml:space="preserve">The supplier should consider that the </w:t>
            </w:r>
            <w:proofErr w:type="spellStart"/>
            <w:r w:rsidR="00341E63" w:rsidRPr="00DA4FCF">
              <w:rPr>
                <w:rFonts w:ascii="Arial" w:hAnsi="Arial" w:cs="Arial"/>
              </w:rPr>
              <w:t>GPEx</w:t>
            </w:r>
            <w:proofErr w:type="spellEnd"/>
            <w:r w:rsidR="00341E63" w:rsidRPr="00DA4FCF">
              <w:rPr>
                <w:rFonts w:ascii="Arial" w:hAnsi="Arial" w:cs="Arial"/>
              </w:rPr>
              <w:t xml:space="preserve"> may be best based </w:t>
            </w:r>
            <w:r w:rsidR="00C040FD" w:rsidRPr="00DA4FCF">
              <w:rPr>
                <w:rFonts w:ascii="Arial" w:hAnsi="Arial" w:cs="Arial"/>
              </w:rPr>
              <w:t>within</w:t>
            </w:r>
            <w:r w:rsidR="00341E63" w:rsidRPr="00DA4FCF">
              <w:rPr>
                <w:rFonts w:ascii="Arial" w:hAnsi="Arial" w:cs="Arial"/>
              </w:rPr>
              <w:t xml:space="preserve"> the community, with community ownership. </w:t>
            </w:r>
          </w:p>
          <w:p w14:paraId="2AA3FFFB" w14:textId="77777777" w:rsidR="00E46E12" w:rsidRPr="00DA4FCF" w:rsidRDefault="00E46E12" w:rsidP="00497B29">
            <w:pPr>
              <w:rPr>
                <w:rFonts w:ascii="Arial" w:hAnsi="Arial" w:cs="Arial"/>
              </w:rPr>
            </w:pPr>
          </w:p>
          <w:p w14:paraId="55A16EB6" w14:textId="04D1A843" w:rsidR="00E46E12" w:rsidRPr="00DA4FCF" w:rsidRDefault="00DC5573" w:rsidP="00497B29">
            <w:pPr>
              <w:rPr>
                <w:rFonts w:ascii="Arial" w:hAnsi="Arial" w:cs="Arial"/>
              </w:rPr>
            </w:pPr>
            <w:r w:rsidRPr="00DA4FCF">
              <w:rPr>
                <w:rFonts w:ascii="Arial" w:hAnsi="Arial" w:cs="Arial"/>
              </w:rPr>
              <w:t xml:space="preserve">It is intended that the </w:t>
            </w:r>
            <w:proofErr w:type="spellStart"/>
            <w:r w:rsidRPr="00DA4FCF">
              <w:rPr>
                <w:rFonts w:ascii="Arial" w:hAnsi="Arial" w:cs="Arial"/>
              </w:rPr>
              <w:t>GPEx</w:t>
            </w:r>
            <w:proofErr w:type="spellEnd"/>
            <w:r w:rsidRPr="00DA4FCF">
              <w:rPr>
                <w:rFonts w:ascii="Arial" w:hAnsi="Arial" w:cs="Arial"/>
              </w:rPr>
              <w:t xml:space="preserve"> </w:t>
            </w:r>
            <w:r w:rsidR="00F30D72" w:rsidRPr="00DA4FCF">
              <w:rPr>
                <w:rFonts w:ascii="Arial" w:hAnsi="Arial" w:cs="Arial"/>
              </w:rPr>
              <w:t>is sourced through a procurement route, rather than awarding as a grant</w:t>
            </w:r>
            <w:r w:rsidR="00341E63" w:rsidRPr="00DA4FCF">
              <w:rPr>
                <w:rFonts w:ascii="Arial" w:hAnsi="Arial" w:cs="Arial"/>
              </w:rPr>
              <w:t xml:space="preserve">. The model should consider if the </w:t>
            </w:r>
            <w:r w:rsidR="000172B8" w:rsidRPr="00DA4FCF">
              <w:rPr>
                <w:rFonts w:ascii="Arial" w:hAnsi="Arial" w:cs="Arial"/>
              </w:rPr>
              <w:t xml:space="preserve">required consortium </w:t>
            </w:r>
            <w:r w:rsidR="002A720A" w:rsidRPr="00DA4FCF">
              <w:rPr>
                <w:rFonts w:ascii="Arial" w:hAnsi="Arial" w:cs="Arial"/>
              </w:rPr>
              <w:t xml:space="preserve">can </w:t>
            </w:r>
            <w:r w:rsidR="000172B8" w:rsidRPr="00DA4FCF">
              <w:rPr>
                <w:rFonts w:ascii="Arial" w:hAnsi="Arial" w:cs="Arial"/>
              </w:rPr>
              <w:t>be sourced through this route</w:t>
            </w:r>
            <w:r w:rsidR="00301AFA" w:rsidRPr="00DA4FCF">
              <w:rPr>
                <w:rFonts w:ascii="Arial" w:hAnsi="Arial" w:cs="Arial"/>
              </w:rPr>
              <w:t xml:space="preserve">, or if an alternative grant-based route should be preferred. </w:t>
            </w:r>
          </w:p>
          <w:p w14:paraId="72442DC1" w14:textId="77777777" w:rsidR="00497B29" w:rsidRPr="00DA4FCF" w:rsidRDefault="00497B29" w:rsidP="00497B29">
            <w:pPr>
              <w:rPr>
                <w:rFonts w:ascii="Arial" w:hAnsi="Arial" w:cs="Arial"/>
              </w:rPr>
            </w:pPr>
          </w:p>
          <w:p w14:paraId="3C9C343C"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Governance Model, including monitoring and evaluation requirements </w:t>
            </w:r>
          </w:p>
          <w:p w14:paraId="4F8CA3A9" w14:textId="77777777" w:rsidR="00497B29" w:rsidRPr="00DA4FCF" w:rsidRDefault="00497B29" w:rsidP="00497B29">
            <w:pPr>
              <w:rPr>
                <w:rFonts w:ascii="Arial" w:hAnsi="Arial" w:cs="Arial"/>
              </w:rPr>
            </w:pPr>
            <w:r w:rsidRPr="00DA4FCF">
              <w:rPr>
                <w:rFonts w:ascii="Arial" w:hAnsi="Arial" w:cs="Arial"/>
              </w:rPr>
              <w:t xml:space="preserve">The supplier should propose a governance model for the </w:t>
            </w:r>
            <w:proofErr w:type="spellStart"/>
            <w:r w:rsidRPr="00DA4FCF">
              <w:rPr>
                <w:rFonts w:ascii="Arial" w:hAnsi="Arial" w:cs="Arial"/>
              </w:rPr>
              <w:t>GPEx</w:t>
            </w:r>
            <w:proofErr w:type="spellEnd"/>
            <w:r w:rsidRPr="00DA4FCF">
              <w:rPr>
                <w:rFonts w:ascii="Arial" w:hAnsi="Arial" w:cs="Arial"/>
              </w:rPr>
              <w:t xml:space="preserve"> which will best ensure it delivers on its objectives. </w:t>
            </w:r>
          </w:p>
          <w:p w14:paraId="616F5745" w14:textId="77777777" w:rsidR="00497B29" w:rsidRPr="00DA4FCF" w:rsidRDefault="00497B29" w:rsidP="00497B29">
            <w:pPr>
              <w:rPr>
                <w:rFonts w:ascii="Arial" w:hAnsi="Arial" w:cs="Arial"/>
              </w:rPr>
            </w:pPr>
            <w:r w:rsidRPr="00DA4FCF">
              <w:rPr>
                <w:rFonts w:ascii="Arial" w:hAnsi="Arial" w:cs="Arial"/>
              </w:rPr>
              <w:t xml:space="preserve">The model should take account of the following: </w:t>
            </w:r>
          </w:p>
          <w:p w14:paraId="0773D9D9" w14:textId="71955C1B" w:rsidR="00497B29" w:rsidRPr="00DA4FCF" w:rsidRDefault="00497B29" w:rsidP="00497B29">
            <w:pPr>
              <w:pStyle w:val="ListParagraph"/>
              <w:numPr>
                <w:ilvl w:val="0"/>
                <w:numId w:val="8"/>
              </w:num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be accountable to UKRI for delivery against it</w:t>
            </w:r>
            <w:r w:rsidR="001A3D9D" w:rsidRPr="00DA4FCF">
              <w:rPr>
                <w:rFonts w:ascii="Arial" w:hAnsi="Arial" w:cs="Arial"/>
              </w:rPr>
              <w:t>s</w:t>
            </w:r>
            <w:r w:rsidRPr="00DA4FCF">
              <w:rPr>
                <w:rFonts w:ascii="Arial" w:hAnsi="Arial" w:cs="Arial"/>
              </w:rPr>
              <w:t xml:space="preserve"> contract. UKRI would expect a regular reporting schedule and to be involved in key decisions. </w:t>
            </w:r>
          </w:p>
          <w:p w14:paraId="0278FCE7" w14:textId="77777777" w:rsidR="00497B29" w:rsidRPr="00DA4FCF" w:rsidRDefault="00497B29" w:rsidP="00497B29">
            <w:pPr>
              <w:pStyle w:val="ListParagraph"/>
              <w:numPr>
                <w:ilvl w:val="0"/>
                <w:numId w:val="8"/>
              </w:num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have a wide range of stakeholders (see above). The proposed governance model should ensure this spectrum of stakeholders is most appropriately incorporated into these structures. </w:t>
            </w:r>
          </w:p>
          <w:p w14:paraId="768ADDB1" w14:textId="77777777" w:rsidR="00497B29" w:rsidRPr="00DA4FCF" w:rsidRDefault="00497B29" w:rsidP="00497B29">
            <w:pPr>
              <w:pStyle w:val="ListParagraph"/>
              <w:rPr>
                <w:rFonts w:ascii="Arial" w:hAnsi="Arial" w:cs="Arial"/>
              </w:rPr>
            </w:pPr>
          </w:p>
          <w:p w14:paraId="2821949F" w14:textId="0130616D" w:rsidR="00274AB5" w:rsidRPr="00DA4FCF" w:rsidRDefault="00274AB5" w:rsidP="00274AB5">
            <w:pPr>
              <w:rPr>
                <w:rFonts w:ascii="Arial" w:hAnsi="Arial" w:cs="Arial"/>
              </w:rPr>
            </w:pPr>
            <w:r w:rsidRPr="00DA4FCF">
              <w:rPr>
                <w:rFonts w:ascii="Arial" w:hAnsi="Arial" w:cs="Arial"/>
              </w:rPr>
              <w:t>The model should demonstrate alignment with UKRI’s approach to and ambitions for good research culture</w:t>
            </w:r>
            <w:r w:rsidR="006F41E6" w:rsidRPr="00DA4FCF">
              <w:rPr>
                <w:rFonts w:ascii="Arial" w:hAnsi="Arial" w:cs="Arial"/>
              </w:rPr>
              <w:t>. It should embody the</w:t>
            </w:r>
            <w:r w:rsidR="00930362" w:rsidRPr="00DA4FCF">
              <w:rPr>
                <w:rFonts w:ascii="Arial" w:hAnsi="Arial" w:cs="Arial"/>
              </w:rPr>
              <w:t xml:space="preserve"> </w:t>
            </w:r>
            <w:r w:rsidR="0092118C" w:rsidRPr="00DA4FCF">
              <w:rPr>
                <w:rFonts w:ascii="Arial" w:hAnsi="Arial" w:cs="Arial"/>
              </w:rPr>
              <w:t>good principles of the area in which it is working</w:t>
            </w:r>
            <w:r w:rsidR="00785320" w:rsidRPr="00DA4FCF">
              <w:rPr>
                <w:rStyle w:val="FootnoteReference"/>
                <w:rFonts w:ascii="Arial" w:hAnsi="Arial" w:cs="Arial"/>
              </w:rPr>
              <w:footnoteReference w:id="4"/>
            </w:r>
            <w:r w:rsidR="0092118C" w:rsidRPr="00DA4FCF">
              <w:rPr>
                <w:rFonts w:ascii="Arial" w:hAnsi="Arial" w:cs="Arial"/>
              </w:rPr>
              <w:t xml:space="preserve">. </w:t>
            </w:r>
          </w:p>
          <w:p w14:paraId="2184F29E" w14:textId="77777777" w:rsidR="00274AB5" w:rsidRPr="00DA4FCF" w:rsidRDefault="00274AB5" w:rsidP="00274AB5">
            <w:pPr>
              <w:rPr>
                <w:rFonts w:ascii="Arial" w:hAnsi="Arial" w:cs="Arial"/>
              </w:rPr>
            </w:pPr>
          </w:p>
          <w:p w14:paraId="17C2E8E5" w14:textId="3D481033" w:rsidR="00320C2D" w:rsidRPr="00DA4FCF" w:rsidRDefault="00497B29" w:rsidP="00497B29">
            <w:pPr>
              <w:rPr>
                <w:rFonts w:ascii="Arial" w:hAnsi="Arial" w:cs="Arial"/>
              </w:rPr>
            </w:pPr>
            <w:r w:rsidRPr="00DA4FCF">
              <w:rPr>
                <w:rFonts w:ascii="Arial" w:hAnsi="Arial" w:cs="Arial"/>
              </w:rPr>
              <w:t xml:space="preserve">The supplier should propose proportionate monitoring and evaluation requirements of the </w:t>
            </w:r>
            <w:proofErr w:type="spellStart"/>
            <w:r w:rsidRPr="00DA4FCF">
              <w:rPr>
                <w:rFonts w:ascii="Arial" w:hAnsi="Arial" w:cs="Arial"/>
              </w:rPr>
              <w:t>GPEx</w:t>
            </w:r>
            <w:proofErr w:type="spellEnd"/>
            <w:r w:rsidRPr="00DA4FCF">
              <w:rPr>
                <w:rFonts w:ascii="Arial" w:hAnsi="Arial" w:cs="Arial"/>
              </w:rPr>
              <w:t xml:space="preserve">, which will demonstrate regular progress updates and ultimate delivery of the </w:t>
            </w:r>
            <w:proofErr w:type="spellStart"/>
            <w:r w:rsidRPr="00DA4FCF">
              <w:rPr>
                <w:rFonts w:ascii="Arial" w:hAnsi="Arial" w:cs="Arial"/>
              </w:rPr>
              <w:t>GPEx</w:t>
            </w:r>
            <w:proofErr w:type="spellEnd"/>
            <w:r w:rsidRPr="00DA4FCF">
              <w:rPr>
                <w:rFonts w:ascii="Arial" w:hAnsi="Arial" w:cs="Arial"/>
              </w:rPr>
              <w:t xml:space="preserve"> objectives.</w:t>
            </w:r>
            <w:r w:rsidR="005C5C55" w:rsidRPr="00DA4FCF">
              <w:rPr>
                <w:rFonts w:ascii="Arial" w:hAnsi="Arial" w:cs="Arial"/>
              </w:rPr>
              <w:t xml:space="preserve"> At a minimum, we anticipate </w:t>
            </w:r>
            <w:r w:rsidR="001B2496" w:rsidRPr="00DA4FCF">
              <w:rPr>
                <w:rFonts w:ascii="Arial" w:hAnsi="Arial" w:cs="Arial"/>
              </w:rPr>
              <w:t xml:space="preserve">this would include data points </w:t>
            </w:r>
            <w:r w:rsidR="008A12CC" w:rsidRPr="00DA4FCF">
              <w:rPr>
                <w:rFonts w:ascii="Arial" w:hAnsi="Arial" w:cs="Arial"/>
              </w:rPr>
              <w:t>before and at the end of activities</w:t>
            </w:r>
            <w:r w:rsidR="005D7268" w:rsidRPr="00DA4FCF">
              <w:rPr>
                <w:rFonts w:ascii="Arial" w:hAnsi="Arial" w:cs="Arial"/>
              </w:rPr>
              <w:t xml:space="preserve">. </w:t>
            </w: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is a relatively novel approach, therefore it will be important to capture and share learning of its own endeavours. Case studies will be one important technique of </w:t>
            </w:r>
            <w:r w:rsidRPr="00DA4FCF">
              <w:rPr>
                <w:rFonts w:ascii="Arial" w:hAnsi="Arial" w:cs="Arial"/>
              </w:rPr>
              <w:lastRenderedPageBreak/>
              <w:t xml:space="preserve">showing delivery. The supplier should draw on models which have worked well in other contexts. Plans for quality assurance of materials generated by the </w:t>
            </w:r>
            <w:proofErr w:type="spellStart"/>
            <w:r w:rsidRPr="00DA4FCF">
              <w:rPr>
                <w:rFonts w:ascii="Arial" w:hAnsi="Arial" w:cs="Arial"/>
              </w:rPr>
              <w:t>GPEx</w:t>
            </w:r>
            <w:proofErr w:type="spellEnd"/>
            <w:r w:rsidRPr="00DA4FCF">
              <w:rPr>
                <w:rFonts w:ascii="Arial" w:hAnsi="Arial" w:cs="Arial"/>
              </w:rPr>
              <w:t xml:space="preserve"> should be included as part of the model.</w:t>
            </w:r>
            <w:r w:rsidR="00622F1E" w:rsidRPr="00DA4FCF">
              <w:rPr>
                <w:rFonts w:ascii="Arial" w:hAnsi="Arial" w:cs="Arial"/>
              </w:rPr>
              <w:t xml:space="preserve"> </w:t>
            </w:r>
            <w:r w:rsidR="00CF4357" w:rsidRPr="00DA4FCF">
              <w:rPr>
                <w:rFonts w:ascii="Arial" w:hAnsi="Arial" w:cs="Arial"/>
              </w:rPr>
              <w:t xml:space="preserve">We anticipate this monitoring and evaluation would primarily be delivered by the </w:t>
            </w:r>
            <w:proofErr w:type="spellStart"/>
            <w:r w:rsidR="00CF4357" w:rsidRPr="00DA4FCF">
              <w:rPr>
                <w:rFonts w:ascii="Arial" w:hAnsi="Arial" w:cs="Arial"/>
              </w:rPr>
              <w:t>GPEx</w:t>
            </w:r>
            <w:proofErr w:type="spellEnd"/>
            <w:r w:rsidR="00CF4357" w:rsidRPr="00DA4FCF">
              <w:rPr>
                <w:rFonts w:ascii="Arial" w:hAnsi="Arial" w:cs="Arial"/>
              </w:rPr>
              <w:t xml:space="preserve"> i.e. they would evaluate their own progress against their plans. </w:t>
            </w:r>
            <w:proofErr w:type="gramStart"/>
            <w:r w:rsidR="00CF4357" w:rsidRPr="00DA4FCF">
              <w:rPr>
                <w:rFonts w:ascii="Arial" w:hAnsi="Arial" w:cs="Arial"/>
              </w:rPr>
              <w:t>However</w:t>
            </w:r>
            <w:proofErr w:type="gramEnd"/>
            <w:r w:rsidR="00CF4357" w:rsidRPr="00DA4FCF">
              <w:rPr>
                <w:rFonts w:ascii="Arial" w:hAnsi="Arial" w:cs="Arial"/>
              </w:rPr>
              <w:t xml:space="preserve"> in addition, i</w:t>
            </w:r>
            <w:r w:rsidR="00320C2D" w:rsidRPr="00DA4FCF">
              <w:rPr>
                <w:rFonts w:ascii="Arial" w:hAnsi="Arial" w:cs="Arial"/>
              </w:rPr>
              <w:t xml:space="preserve">t is possible an independent evaluation of the </w:t>
            </w:r>
            <w:proofErr w:type="spellStart"/>
            <w:r w:rsidR="00320C2D" w:rsidRPr="00DA4FCF">
              <w:rPr>
                <w:rFonts w:ascii="Arial" w:hAnsi="Arial" w:cs="Arial"/>
              </w:rPr>
              <w:t>GPEx</w:t>
            </w:r>
            <w:proofErr w:type="spellEnd"/>
            <w:r w:rsidR="00320C2D" w:rsidRPr="00DA4FCF">
              <w:rPr>
                <w:rFonts w:ascii="Arial" w:hAnsi="Arial" w:cs="Arial"/>
              </w:rPr>
              <w:t xml:space="preserve"> may be commissioned, therefore plan</w:t>
            </w:r>
            <w:r w:rsidR="009B23AC" w:rsidRPr="00DA4FCF">
              <w:rPr>
                <w:rFonts w:ascii="Arial" w:hAnsi="Arial" w:cs="Arial"/>
              </w:rPr>
              <w:t xml:space="preserve">ning should also consider </w:t>
            </w:r>
            <w:r w:rsidR="00CF4357" w:rsidRPr="00DA4FCF">
              <w:rPr>
                <w:rFonts w:ascii="Arial" w:hAnsi="Arial" w:cs="Arial"/>
              </w:rPr>
              <w:t xml:space="preserve">this prospect and </w:t>
            </w:r>
            <w:r w:rsidR="009B23AC" w:rsidRPr="00DA4FCF">
              <w:rPr>
                <w:rFonts w:ascii="Arial" w:hAnsi="Arial" w:cs="Arial"/>
              </w:rPr>
              <w:t xml:space="preserve">the need </w:t>
            </w:r>
            <w:r w:rsidR="008B36C1" w:rsidRPr="00DA4FCF">
              <w:rPr>
                <w:rFonts w:ascii="Arial" w:hAnsi="Arial" w:cs="Arial"/>
              </w:rPr>
              <w:t xml:space="preserve">for the </w:t>
            </w:r>
            <w:proofErr w:type="spellStart"/>
            <w:r w:rsidR="008B36C1" w:rsidRPr="00DA4FCF">
              <w:rPr>
                <w:rFonts w:ascii="Arial" w:hAnsi="Arial" w:cs="Arial"/>
              </w:rPr>
              <w:t>GPEx</w:t>
            </w:r>
            <w:proofErr w:type="spellEnd"/>
            <w:r w:rsidR="008B36C1" w:rsidRPr="00DA4FCF">
              <w:rPr>
                <w:rFonts w:ascii="Arial" w:hAnsi="Arial" w:cs="Arial"/>
              </w:rPr>
              <w:t xml:space="preserve"> </w:t>
            </w:r>
            <w:r w:rsidR="009B23AC" w:rsidRPr="00DA4FCF">
              <w:rPr>
                <w:rFonts w:ascii="Arial" w:hAnsi="Arial" w:cs="Arial"/>
              </w:rPr>
              <w:t xml:space="preserve">to hand over </w:t>
            </w:r>
            <w:r w:rsidR="007205E3" w:rsidRPr="00DA4FCF">
              <w:rPr>
                <w:rFonts w:ascii="Arial" w:hAnsi="Arial" w:cs="Arial"/>
              </w:rPr>
              <w:t xml:space="preserve">data to a separate </w:t>
            </w:r>
            <w:r w:rsidR="000F371A" w:rsidRPr="00DA4FCF">
              <w:rPr>
                <w:rFonts w:ascii="Arial" w:hAnsi="Arial" w:cs="Arial"/>
              </w:rPr>
              <w:t xml:space="preserve">evaluation </w:t>
            </w:r>
            <w:r w:rsidR="007205E3" w:rsidRPr="00DA4FCF">
              <w:rPr>
                <w:rFonts w:ascii="Arial" w:hAnsi="Arial" w:cs="Arial"/>
              </w:rPr>
              <w:t xml:space="preserve">supplier. </w:t>
            </w:r>
          </w:p>
          <w:p w14:paraId="652174F4" w14:textId="77777777" w:rsidR="00497B29" w:rsidRPr="00DA4FCF" w:rsidRDefault="00497B29" w:rsidP="00497B29">
            <w:pPr>
              <w:rPr>
                <w:rFonts w:ascii="Arial" w:hAnsi="Arial" w:cs="Arial"/>
              </w:rPr>
            </w:pPr>
          </w:p>
          <w:p w14:paraId="4F90A196"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Risk and risk mitigation </w:t>
            </w:r>
          </w:p>
          <w:p w14:paraId="146DB492" w14:textId="7330811A" w:rsidR="00497B29" w:rsidRPr="00DA4FCF" w:rsidRDefault="00497B29"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be a complex and potentially high value investment. The supplier should identify potential risks to delivery and propose mitigations to these risks which can be required in the </w:t>
            </w:r>
            <w:proofErr w:type="spellStart"/>
            <w:r w:rsidRPr="00DA4FCF">
              <w:rPr>
                <w:rFonts w:ascii="Arial" w:hAnsi="Arial" w:cs="Arial"/>
              </w:rPr>
              <w:t>GPEx</w:t>
            </w:r>
            <w:proofErr w:type="spellEnd"/>
            <w:r w:rsidRPr="00DA4FCF">
              <w:rPr>
                <w:rFonts w:ascii="Arial" w:hAnsi="Arial" w:cs="Arial"/>
              </w:rPr>
              <w:t xml:space="preserve"> specification. Likely mitigations may cover the management structure of the </w:t>
            </w:r>
            <w:proofErr w:type="spellStart"/>
            <w:r w:rsidRPr="00DA4FCF">
              <w:rPr>
                <w:rFonts w:ascii="Arial" w:hAnsi="Arial" w:cs="Arial"/>
              </w:rPr>
              <w:t>GPEx</w:t>
            </w:r>
            <w:proofErr w:type="spellEnd"/>
            <w:r w:rsidRPr="00DA4FCF">
              <w:rPr>
                <w:rFonts w:ascii="Arial" w:hAnsi="Arial" w:cs="Arial"/>
              </w:rPr>
              <w:t xml:space="preserve"> and the relationship between the </w:t>
            </w:r>
            <w:proofErr w:type="spellStart"/>
            <w:r w:rsidRPr="00DA4FCF">
              <w:rPr>
                <w:rFonts w:ascii="Arial" w:hAnsi="Arial" w:cs="Arial"/>
              </w:rPr>
              <w:t>GPEx</w:t>
            </w:r>
            <w:proofErr w:type="spellEnd"/>
            <w:r w:rsidRPr="00DA4FCF">
              <w:rPr>
                <w:rFonts w:ascii="Arial" w:hAnsi="Arial" w:cs="Arial"/>
              </w:rPr>
              <w:t xml:space="preserve"> and UKRI e.g. making best use of Advisory Boards/ Steering Groups. </w:t>
            </w:r>
          </w:p>
          <w:p w14:paraId="705D379B" w14:textId="77777777" w:rsidR="006C67AC" w:rsidRPr="00DA4FCF" w:rsidRDefault="006C67AC" w:rsidP="00497B29">
            <w:pPr>
              <w:rPr>
                <w:rFonts w:ascii="Arial" w:hAnsi="Arial" w:cs="Arial"/>
              </w:rPr>
            </w:pPr>
          </w:p>
          <w:p w14:paraId="0783C55E" w14:textId="7F3E94DB" w:rsidR="006C67AC" w:rsidRPr="00DA4FCF" w:rsidRDefault="00054F68" w:rsidP="006C67AC">
            <w:pPr>
              <w:rPr>
                <w:rFonts w:ascii="Arial" w:hAnsi="Arial" w:cs="Arial"/>
                <w:i/>
                <w:iCs/>
                <w:u w:val="single"/>
              </w:rPr>
            </w:pPr>
            <w:r w:rsidRPr="00DA4FCF">
              <w:rPr>
                <w:rFonts w:ascii="Arial" w:hAnsi="Arial" w:cs="Arial"/>
                <w:i/>
                <w:iCs/>
                <w:u w:val="single"/>
              </w:rPr>
              <w:t xml:space="preserve">Objective 2: </w:t>
            </w:r>
            <w:r w:rsidR="006C67AC" w:rsidRPr="00DA4FCF">
              <w:rPr>
                <w:rFonts w:ascii="Arial" w:hAnsi="Arial" w:cs="Arial"/>
                <w:i/>
                <w:iCs/>
                <w:u w:val="single"/>
              </w:rPr>
              <w:t xml:space="preserve">Stakeholder engagement </w:t>
            </w:r>
          </w:p>
          <w:p w14:paraId="6FD08187" w14:textId="28AEBFB8" w:rsidR="0064490F" w:rsidRPr="00DA4FCF" w:rsidRDefault="006C67AC" w:rsidP="006C67AC">
            <w:pPr>
              <w:rPr>
                <w:rFonts w:ascii="Arial" w:hAnsi="Arial" w:cs="Arial"/>
              </w:rPr>
            </w:pPr>
            <w:r w:rsidRPr="00DA4FCF">
              <w:rPr>
                <w:rFonts w:ascii="Arial" w:hAnsi="Arial" w:cs="Arial"/>
              </w:rPr>
              <w:t>The supplier should work with stakeholders to test and iterate the model, ensuring it best serves the needs identified by the sector.</w:t>
            </w:r>
            <w:r w:rsidR="000964D6" w:rsidRPr="00DA4FCF">
              <w:rPr>
                <w:rFonts w:ascii="Arial" w:hAnsi="Arial" w:cs="Arial"/>
              </w:rPr>
              <w:t xml:space="preserve"> </w:t>
            </w:r>
            <w:r w:rsidR="0064490F" w:rsidRPr="00DA4FCF">
              <w:rPr>
                <w:rFonts w:ascii="Arial" w:hAnsi="Arial" w:cs="Arial"/>
              </w:rPr>
              <w:t xml:space="preserve">The supplier will </w:t>
            </w:r>
            <w:r w:rsidR="00A23500" w:rsidRPr="00DA4FCF">
              <w:rPr>
                <w:rFonts w:ascii="Arial" w:hAnsi="Arial" w:cs="Arial"/>
              </w:rPr>
              <w:t xml:space="preserve">therefore </w:t>
            </w:r>
            <w:r w:rsidR="002108C4" w:rsidRPr="00DA4FCF">
              <w:rPr>
                <w:rFonts w:ascii="Arial" w:hAnsi="Arial" w:cs="Arial"/>
              </w:rPr>
              <w:t xml:space="preserve">develop </w:t>
            </w:r>
            <w:r w:rsidR="0064490F" w:rsidRPr="00DA4FCF">
              <w:rPr>
                <w:rFonts w:ascii="Arial" w:hAnsi="Arial" w:cs="Arial"/>
              </w:rPr>
              <w:t>multiple iteration</w:t>
            </w:r>
            <w:r w:rsidR="002108C4" w:rsidRPr="00DA4FCF">
              <w:rPr>
                <w:rFonts w:ascii="Arial" w:hAnsi="Arial" w:cs="Arial"/>
              </w:rPr>
              <w:t>s of the delivery model, which are test</w:t>
            </w:r>
            <w:r w:rsidR="00A23500" w:rsidRPr="00DA4FCF">
              <w:rPr>
                <w:rFonts w:ascii="Arial" w:hAnsi="Arial" w:cs="Arial"/>
              </w:rPr>
              <w:t>ed</w:t>
            </w:r>
            <w:r w:rsidR="002108C4" w:rsidRPr="00DA4FCF">
              <w:rPr>
                <w:rFonts w:ascii="Arial" w:hAnsi="Arial" w:cs="Arial"/>
              </w:rPr>
              <w:t>, and retested with stakeholders</w:t>
            </w:r>
            <w:r w:rsidR="00A23500" w:rsidRPr="00DA4FCF">
              <w:rPr>
                <w:rFonts w:ascii="Arial" w:hAnsi="Arial" w:cs="Arial"/>
              </w:rPr>
              <w:t xml:space="preserve">. </w:t>
            </w:r>
          </w:p>
          <w:p w14:paraId="18547586" w14:textId="77777777" w:rsidR="006C67AC" w:rsidRPr="00DA4FCF" w:rsidRDefault="006C67AC" w:rsidP="006C67AC">
            <w:pPr>
              <w:rPr>
                <w:rFonts w:ascii="Arial" w:hAnsi="Arial" w:cs="Arial"/>
              </w:rPr>
            </w:pPr>
          </w:p>
          <w:p w14:paraId="7B2D4D7F" w14:textId="28D665A3" w:rsidR="006C67AC" w:rsidRPr="00DA4FCF" w:rsidRDefault="006C67AC" w:rsidP="006C67AC">
            <w:pPr>
              <w:rPr>
                <w:rFonts w:ascii="Arial" w:hAnsi="Arial" w:cs="Arial"/>
              </w:rPr>
            </w:pPr>
            <w:r w:rsidRPr="00DA4FCF">
              <w:rPr>
                <w:rFonts w:ascii="Arial" w:hAnsi="Arial" w:cs="Arial"/>
              </w:rPr>
              <w:t xml:space="preserve">It is crucial that the stakeholders engaged in this process capture the wide span of people and activities the </w:t>
            </w:r>
            <w:proofErr w:type="spellStart"/>
            <w:r w:rsidRPr="00DA4FCF">
              <w:rPr>
                <w:rFonts w:ascii="Arial" w:hAnsi="Arial" w:cs="Arial"/>
              </w:rPr>
              <w:t>GPEx</w:t>
            </w:r>
            <w:proofErr w:type="spellEnd"/>
            <w:r w:rsidRPr="00DA4FCF">
              <w:rPr>
                <w:rFonts w:ascii="Arial" w:hAnsi="Arial" w:cs="Arial"/>
              </w:rPr>
              <w:t xml:space="preserve"> is expected to serve, covering the full breadth of UK research and innovation disciplines and sectors (see above for further detail of sectors)</w:t>
            </w:r>
            <w:r w:rsidR="00F97840" w:rsidRPr="00DA4FCF">
              <w:rPr>
                <w:rFonts w:ascii="Arial" w:hAnsi="Arial" w:cs="Arial"/>
              </w:rPr>
              <w:t>. This should</w:t>
            </w:r>
            <w:r w:rsidR="005B4BBD" w:rsidRPr="00DA4FCF">
              <w:rPr>
                <w:rFonts w:ascii="Arial" w:hAnsi="Arial" w:cs="Arial"/>
              </w:rPr>
              <w:t xml:space="preserve"> be sure to</w:t>
            </w:r>
            <w:r w:rsidRPr="00DA4FCF">
              <w:rPr>
                <w:rFonts w:ascii="Arial" w:hAnsi="Arial" w:cs="Arial"/>
              </w:rPr>
              <w:t xml:space="preserve"> includ</w:t>
            </w:r>
            <w:r w:rsidR="003B5C19" w:rsidRPr="00DA4FCF">
              <w:rPr>
                <w:rFonts w:ascii="Arial" w:hAnsi="Arial" w:cs="Arial"/>
              </w:rPr>
              <w:t>e</w:t>
            </w:r>
            <w:r w:rsidR="001E47CE" w:rsidRPr="00DA4FCF">
              <w:rPr>
                <w:rFonts w:ascii="Arial" w:hAnsi="Arial" w:cs="Arial"/>
              </w:rPr>
              <w:t>, though</w:t>
            </w:r>
            <w:r w:rsidR="001F3820" w:rsidRPr="00DA4FCF">
              <w:rPr>
                <w:rFonts w:ascii="Arial" w:hAnsi="Arial" w:cs="Arial"/>
              </w:rPr>
              <w:t xml:space="preserve"> not be limited to</w:t>
            </w:r>
            <w:r w:rsidR="001E47CE" w:rsidRPr="00DA4FCF">
              <w:rPr>
                <w:rFonts w:ascii="Arial" w:hAnsi="Arial" w:cs="Arial"/>
              </w:rPr>
              <w:t>,</w:t>
            </w:r>
            <w:r w:rsidR="003B5C19" w:rsidRPr="00DA4FCF">
              <w:rPr>
                <w:rFonts w:ascii="Arial" w:hAnsi="Arial" w:cs="Arial"/>
              </w:rPr>
              <w:t xml:space="preserve"> </w:t>
            </w:r>
            <w:r w:rsidRPr="00DA4FCF">
              <w:rPr>
                <w:rFonts w:ascii="Arial" w:hAnsi="Arial" w:cs="Arial"/>
              </w:rPr>
              <w:t>devolved administrations</w:t>
            </w:r>
            <w:r w:rsidR="003B5C19" w:rsidRPr="00DA4FCF">
              <w:rPr>
                <w:rFonts w:ascii="Arial" w:hAnsi="Arial" w:cs="Arial"/>
              </w:rPr>
              <w:t xml:space="preserve">, </w:t>
            </w:r>
            <w:r w:rsidR="00B11922" w:rsidRPr="00DA4FCF">
              <w:rPr>
                <w:rFonts w:ascii="Arial" w:hAnsi="Arial" w:cs="Arial"/>
              </w:rPr>
              <w:t>Independent Research Organisations</w:t>
            </w:r>
            <w:r w:rsidR="009E3DD9" w:rsidRPr="00DA4FCF">
              <w:rPr>
                <w:rFonts w:ascii="Arial" w:hAnsi="Arial" w:cs="Arial"/>
              </w:rPr>
              <w:t>, business</w:t>
            </w:r>
            <w:r w:rsidR="005B4BBD" w:rsidRPr="00DA4FCF">
              <w:rPr>
                <w:rFonts w:ascii="Arial" w:hAnsi="Arial" w:cs="Arial"/>
              </w:rPr>
              <w:t xml:space="preserve">, and </w:t>
            </w:r>
            <w:r w:rsidR="001F3820" w:rsidRPr="00DA4FCF">
              <w:rPr>
                <w:rFonts w:ascii="Arial" w:hAnsi="Arial" w:cs="Arial"/>
              </w:rPr>
              <w:t>disciplines of social science, arts and humanities.</w:t>
            </w:r>
            <w:r w:rsidRPr="00DA4FCF">
              <w:rPr>
                <w:rFonts w:ascii="Arial" w:hAnsi="Arial" w:cs="Arial"/>
              </w:rPr>
              <w:t xml:space="preserve"> Proposals should identify the supplier’s routes to engagement of </w:t>
            </w:r>
            <w:r w:rsidR="00283EB6" w:rsidRPr="00DA4FCF">
              <w:rPr>
                <w:rFonts w:ascii="Arial" w:hAnsi="Arial" w:cs="Arial"/>
              </w:rPr>
              <w:t>all</w:t>
            </w:r>
            <w:r w:rsidRPr="00DA4FCF">
              <w:rPr>
                <w:rFonts w:ascii="Arial" w:hAnsi="Arial" w:cs="Arial"/>
              </w:rPr>
              <w:t xml:space="preserve"> groups, and particularly identify their intended approaches to engaging harder to reach groups (e.g. those that are not already part of existing networks). The supplier’s approach to stakeholder engagement should embody the principles of the </w:t>
            </w:r>
            <w:proofErr w:type="spellStart"/>
            <w:r w:rsidRPr="00DA4FCF">
              <w:rPr>
                <w:rFonts w:ascii="Arial" w:hAnsi="Arial" w:cs="Arial"/>
              </w:rPr>
              <w:t>GPEx</w:t>
            </w:r>
            <w:proofErr w:type="spellEnd"/>
            <w:r w:rsidRPr="00DA4FCF">
              <w:rPr>
                <w:rFonts w:ascii="Arial" w:hAnsi="Arial" w:cs="Arial"/>
              </w:rPr>
              <w:t xml:space="preserve">. </w:t>
            </w:r>
          </w:p>
          <w:p w14:paraId="14030DB5" w14:textId="77777777" w:rsidR="006C67AC" w:rsidRPr="00DA4FCF" w:rsidRDefault="006C67AC" w:rsidP="006C67AC">
            <w:pPr>
              <w:rPr>
                <w:rFonts w:ascii="Arial" w:hAnsi="Arial" w:cs="Arial"/>
              </w:rPr>
            </w:pPr>
          </w:p>
          <w:p w14:paraId="543182F0" w14:textId="77777777" w:rsidR="006C67AC" w:rsidRPr="00DA4FCF" w:rsidRDefault="006C67AC" w:rsidP="006C67AC">
            <w:pPr>
              <w:rPr>
                <w:rFonts w:ascii="Arial" w:hAnsi="Arial" w:cs="Arial"/>
              </w:rPr>
            </w:pPr>
            <w:r w:rsidRPr="00DA4FCF">
              <w:rPr>
                <w:rFonts w:ascii="Arial" w:hAnsi="Arial" w:cs="Arial"/>
              </w:rPr>
              <w:t xml:space="preserve">A core deliverable will be the provision of stakeholder evidence and case studies of how the </w:t>
            </w:r>
            <w:proofErr w:type="gramStart"/>
            <w:r w:rsidRPr="00DA4FCF">
              <w:rPr>
                <w:rFonts w:ascii="Arial" w:hAnsi="Arial" w:cs="Arial"/>
              </w:rPr>
              <w:t>particular model</w:t>
            </w:r>
            <w:proofErr w:type="gramEnd"/>
            <w:r w:rsidRPr="00DA4FCF">
              <w:rPr>
                <w:rFonts w:ascii="Arial" w:hAnsi="Arial" w:cs="Arial"/>
              </w:rPr>
              <w:t xml:space="preserve"> of delivery proposed by the supplier will best address stakeholder needs. Please note, this is distinct from, and a development of, the stakeholder evidence provided in the Research Culture Initiatives Report and annexes. </w:t>
            </w:r>
          </w:p>
          <w:p w14:paraId="4FB4FFB5" w14:textId="77777777" w:rsidR="00497B29" w:rsidRPr="00DA4FCF" w:rsidRDefault="00497B29" w:rsidP="00497B29">
            <w:pPr>
              <w:rPr>
                <w:rFonts w:ascii="Arial" w:hAnsi="Arial" w:cs="Arial"/>
              </w:rPr>
            </w:pPr>
          </w:p>
          <w:p w14:paraId="7FC1ECDB" w14:textId="18A14F4D" w:rsidR="00B9427A" w:rsidRPr="00DA4FCF" w:rsidRDefault="00B9427A" w:rsidP="00497B29">
            <w:pPr>
              <w:rPr>
                <w:rFonts w:ascii="Arial" w:hAnsi="Arial" w:cs="Arial"/>
              </w:rPr>
            </w:pPr>
            <w:r w:rsidRPr="00DA4FCF">
              <w:rPr>
                <w:rFonts w:ascii="Arial" w:hAnsi="Arial" w:cs="Arial"/>
              </w:rPr>
              <w:t xml:space="preserve">This stakeholder </w:t>
            </w:r>
            <w:r w:rsidR="00AF4477" w:rsidRPr="00DA4FCF">
              <w:rPr>
                <w:rFonts w:ascii="Arial" w:hAnsi="Arial" w:cs="Arial"/>
              </w:rPr>
              <w:t xml:space="preserve">engagement objective also serves the purpose of ensuring the GPEX delivery model has been well socialised with the community </w:t>
            </w:r>
            <w:r w:rsidR="00911F5A" w:rsidRPr="00DA4FCF">
              <w:rPr>
                <w:rFonts w:ascii="Arial" w:hAnsi="Arial" w:cs="Arial"/>
              </w:rPr>
              <w:t>it will serve, paving the way for</w:t>
            </w:r>
            <w:r w:rsidR="004A6EEE" w:rsidRPr="00DA4FCF">
              <w:rPr>
                <w:rFonts w:ascii="Arial" w:hAnsi="Arial" w:cs="Arial"/>
              </w:rPr>
              <w:t xml:space="preserve"> the future</w:t>
            </w:r>
            <w:r w:rsidR="00911F5A" w:rsidRPr="00DA4FCF">
              <w:rPr>
                <w:rFonts w:ascii="Arial" w:hAnsi="Arial" w:cs="Arial"/>
              </w:rPr>
              <w:t xml:space="preserve"> implementation </w:t>
            </w:r>
            <w:r w:rsidR="004A6EEE" w:rsidRPr="00DA4FCF">
              <w:rPr>
                <w:rFonts w:ascii="Arial" w:hAnsi="Arial" w:cs="Arial"/>
              </w:rPr>
              <w:t>of</w:t>
            </w:r>
            <w:r w:rsidR="00911F5A" w:rsidRPr="00DA4FCF">
              <w:rPr>
                <w:rFonts w:ascii="Arial" w:hAnsi="Arial" w:cs="Arial"/>
              </w:rPr>
              <w:t xml:space="preserve"> the </w:t>
            </w:r>
            <w:proofErr w:type="spellStart"/>
            <w:r w:rsidR="00911F5A" w:rsidRPr="00DA4FCF">
              <w:rPr>
                <w:rFonts w:ascii="Arial" w:hAnsi="Arial" w:cs="Arial"/>
              </w:rPr>
              <w:t>GPEx</w:t>
            </w:r>
            <w:proofErr w:type="spellEnd"/>
            <w:r w:rsidR="004A6EEE" w:rsidRPr="00DA4FCF">
              <w:rPr>
                <w:rFonts w:ascii="Arial" w:hAnsi="Arial" w:cs="Arial"/>
              </w:rPr>
              <w:t xml:space="preserve">. The supplier should be mindful of this additional purpose in their </w:t>
            </w:r>
            <w:r w:rsidR="00EC2DD4" w:rsidRPr="00DA4FCF">
              <w:rPr>
                <w:rFonts w:ascii="Arial" w:hAnsi="Arial" w:cs="Arial"/>
              </w:rPr>
              <w:t xml:space="preserve">interactions with stakeholders. </w:t>
            </w:r>
          </w:p>
          <w:p w14:paraId="2CB9FC62" w14:textId="77777777" w:rsidR="00497B29" w:rsidRPr="00DA4FCF" w:rsidRDefault="00497B29" w:rsidP="00497B29">
            <w:pPr>
              <w:rPr>
                <w:rFonts w:ascii="Arial" w:hAnsi="Arial" w:cs="Arial"/>
              </w:rPr>
            </w:pPr>
          </w:p>
          <w:p w14:paraId="7613FEF6" w14:textId="77777777" w:rsidR="00497B29" w:rsidRPr="00DA4FCF" w:rsidRDefault="00497B29" w:rsidP="00497B29">
            <w:pPr>
              <w:rPr>
                <w:rFonts w:ascii="Arial" w:hAnsi="Arial" w:cs="Arial"/>
                <w:b/>
                <w:bCs/>
                <w:sz w:val="24"/>
                <w:szCs w:val="24"/>
                <w:u w:val="single"/>
              </w:rPr>
            </w:pPr>
            <w:r w:rsidRPr="00DA4FCF">
              <w:rPr>
                <w:rFonts w:ascii="Arial" w:hAnsi="Arial" w:cs="Arial"/>
                <w:b/>
                <w:bCs/>
                <w:sz w:val="24"/>
                <w:szCs w:val="24"/>
                <w:u w:val="single"/>
              </w:rPr>
              <w:t xml:space="preserve">Deliverables </w:t>
            </w:r>
          </w:p>
          <w:p w14:paraId="7BAD90A2" w14:textId="4405E94B" w:rsidR="001525DF" w:rsidRPr="00DA4FCF" w:rsidRDefault="001525DF" w:rsidP="001525DF">
            <w:pPr>
              <w:rPr>
                <w:rFonts w:ascii="Arial" w:hAnsi="Arial" w:cs="Arial"/>
              </w:rPr>
            </w:pPr>
            <w:r w:rsidRPr="00DA4FCF">
              <w:rPr>
                <w:rFonts w:ascii="Arial" w:hAnsi="Arial" w:cs="Arial"/>
              </w:rPr>
              <w:t xml:space="preserve">The </w:t>
            </w:r>
            <w:r w:rsidR="00572FCA" w:rsidRPr="00DA4FCF">
              <w:rPr>
                <w:rFonts w:ascii="Arial" w:hAnsi="Arial" w:cs="Arial"/>
              </w:rPr>
              <w:t xml:space="preserve">indicative timeline for the </w:t>
            </w:r>
            <w:r w:rsidRPr="00DA4FCF">
              <w:rPr>
                <w:rFonts w:ascii="Arial" w:hAnsi="Arial" w:cs="Arial"/>
              </w:rPr>
              <w:t>contract</w:t>
            </w:r>
            <w:r w:rsidR="00572FCA" w:rsidRPr="00DA4FCF">
              <w:rPr>
                <w:rFonts w:ascii="Arial" w:hAnsi="Arial" w:cs="Arial"/>
              </w:rPr>
              <w:t xml:space="preserve"> is</w:t>
            </w:r>
            <w:r w:rsidRPr="00DA4FCF">
              <w:rPr>
                <w:rFonts w:ascii="Arial" w:hAnsi="Arial" w:cs="Arial"/>
              </w:rPr>
              <w:t xml:space="preserve"> 6 months. </w:t>
            </w:r>
          </w:p>
          <w:p w14:paraId="5C531DDD" w14:textId="77777777" w:rsidR="001525DF" w:rsidRPr="00DA4FCF" w:rsidRDefault="001525DF" w:rsidP="00497B29">
            <w:pPr>
              <w:rPr>
                <w:rFonts w:ascii="Arial" w:hAnsi="Arial" w:cs="Arial"/>
              </w:rPr>
            </w:pPr>
          </w:p>
          <w:p w14:paraId="78290884" w14:textId="4403AEBB" w:rsidR="00497B29" w:rsidRPr="00DA4FCF" w:rsidRDefault="00497B29" w:rsidP="00497B29">
            <w:pPr>
              <w:rPr>
                <w:rFonts w:ascii="Arial" w:hAnsi="Arial" w:cs="Arial"/>
              </w:rPr>
            </w:pPr>
            <w:r w:rsidRPr="00DA4FCF">
              <w:rPr>
                <w:rFonts w:ascii="Arial" w:hAnsi="Arial" w:cs="Arial"/>
              </w:rPr>
              <w:t xml:space="preserve">The supplier will be expected to deliver: </w:t>
            </w:r>
          </w:p>
          <w:p w14:paraId="5938B88C" w14:textId="0B2B8791" w:rsidR="00497B29" w:rsidRPr="00DA4FCF" w:rsidRDefault="00497B29" w:rsidP="00497B29">
            <w:pPr>
              <w:numPr>
                <w:ilvl w:val="0"/>
                <w:numId w:val="18"/>
              </w:numPr>
              <w:rPr>
                <w:rFonts w:ascii="Arial" w:hAnsi="Arial" w:cs="Arial"/>
              </w:rPr>
            </w:pPr>
            <w:r w:rsidRPr="00DA4FCF">
              <w:rPr>
                <w:rFonts w:ascii="Arial" w:hAnsi="Arial" w:cs="Arial"/>
                <w:b/>
                <w:bCs/>
              </w:rPr>
              <w:t>Document detailing finalised approach to delivery</w:t>
            </w:r>
            <w:r w:rsidRPr="00DA4FCF">
              <w:rPr>
                <w:rFonts w:ascii="Arial" w:hAnsi="Arial" w:cs="Arial"/>
              </w:rPr>
              <w:t>, including stakeholders to be covered and route to engagement</w:t>
            </w:r>
            <w:r w:rsidR="004336BF" w:rsidRPr="00DA4FCF">
              <w:rPr>
                <w:rFonts w:ascii="Arial" w:hAnsi="Arial" w:cs="Arial"/>
              </w:rPr>
              <w:t xml:space="preserve">. </w:t>
            </w:r>
            <w:r w:rsidRPr="00DA4FCF">
              <w:rPr>
                <w:rFonts w:ascii="Arial" w:hAnsi="Arial" w:cs="Arial"/>
              </w:rPr>
              <w:t xml:space="preserve">Within one month of contract start. Milestone payment 1 will be made at this point. </w:t>
            </w:r>
          </w:p>
          <w:p w14:paraId="52ACA7E9" w14:textId="77777777" w:rsidR="0017621F" w:rsidRPr="00DA4FCF" w:rsidRDefault="0017621F" w:rsidP="0017621F">
            <w:pPr>
              <w:ind w:left="720"/>
              <w:rPr>
                <w:rFonts w:ascii="Arial" w:hAnsi="Arial" w:cs="Arial"/>
              </w:rPr>
            </w:pPr>
          </w:p>
          <w:p w14:paraId="700CB1CA" w14:textId="77777777" w:rsidR="00497B29" w:rsidRPr="00DA4FCF" w:rsidRDefault="00497B29" w:rsidP="00497B29">
            <w:pPr>
              <w:numPr>
                <w:ilvl w:val="0"/>
                <w:numId w:val="18"/>
              </w:numPr>
              <w:rPr>
                <w:rFonts w:ascii="Arial" w:hAnsi="Arial" w:cs="Arial"/>
              </w:rPr>
            </w:pPr>
            <w:r w:rsidRPr="00DA4FCF">
              <w:rPr>
                <w:rFonts w:ascii="Arial" w:hAnsi="Arial" w:cs="Arial"/>
                <w:b/>
                <w:bCs/>
              </w:rPr>
              <w:t>Interim Findings:</w:t>
            </w:r>
            <w:r w:rsidRPr="00DA4FCF">
              <w:rPr>
                <w:rFonts w:ascii="Arial" w:hAnsi="Arial" w:cs="Arial"/>
              </w:rPr>
              <w:t xml:space="preserve"> Identifying early /emerging findings. Within 3 months of contract start. Milestone payment 2 will be made at this point.</w:t>
            </w:r>
          </w:p>
          <w:p w14:paraId="66B2FC03" w14:textId="77777777" w:rsidR="0017621F" w:rsidRPr="00DA4FCF" w:rsidRDefault="0017621F" w:rsidP="0017621F">
            <w:pPr>
              <w:pStyle w:val="ListParagraph"/>
              <w:rPr>
                <w:rFonts w:ascii="Arial" w:hAnsi="Arial" w:cs="Arial"/>
              </w:rPr>
            </w:pPr>
          </w:p>
          <w:p w14:paraId="320D97E8" w14:textId="77777777" w:rsidR="00497B29" w:rsidRPr="00DA4FCF" w:rsidRDefault="00497B29" w:rsidP="00497B29">
            <w:pPr>
              <w:numPr>
                <w:ilvl w:val="0"/>
                <w:numId w:val="18"/>
              </w:numPr>
              <w:rPr>
                <w:rFonts w:ascii="Arial" w:hAnsi="Arial" w:cs="Arial"/>
              </w:rPr>
            </w:pPr>
            <w:r w:rsidRPr="00DA4FCF">
              <w:rPr>
                <w:rFonts w:ascii="Arial" w:hAnsi="Arial" w:cs="Arial"/>
                <w:b/>
                <w:bCs/>
              </w:rPr>
              <w:t>Final Report:</w:t>
            </w:r>
            <w:r w:rsidRPr="00DA4FCF">
              <w:rPr>
                <w:rFonts w:ascii="Arial" w:hAnsi="Arial" w:cs="Arial"/>
              </w:rPr>
              <w:t xml:space="preserve"> A written report which presents:</w:t>
            </w:r>
          </w:p>
          <w:p w14:paraId="4E896D22" w14:textId="77777777" w:rsidR="00497B29" w:rsidRPr="00DA4FCF" w:rsidRDefault="00497B29" w:rsidP="00497B29">
            <w:pPr>
              <w:pStyle w:val="ListParagraph"/>
              <w:numPr>
                <w:ilvl w:val="0"/>
                <w:numId w:val="19"/>
              </w:numPr>
              <w:rPr>
                <w:rFonts w:ascii="Arial" w:hAnsi="Arial" w:cs="Arial"/>
              </w:rPr>
            </w:pPr>
            <w:r w:rsidRPr="00DA4FCF">
              <w:rPr>
                <w:rFonts w:ascii="Arial" w:hAnsi="Arial" w:cs="Arial"/>
              </w:rPr>
              <w:t xml:space="preserve">A model for </w:t>
            </w:r>
            <w:proofErr w:type="spellStart"/>
            <w:r w:rsidRPr="00DA4FCF">
              <w:rPr>
                <w:rFonts w:ascii="Arial" w:hAnsi="Arial" w:cs="Arial"/>
              </w:rPr>
              <w:t>GPEx</w:t>
            </w:r>
            <w:proofErr w:type="spellEnd"/>
            <w:r w:rsidRPr="00DA4FCF">
              <w:rPr>
                <w:rFonts w:ascii="Arial" w:hAnsi="Arial" w:cs="Arial"/>
              </w:rPr>
              <w:t xml:space="preserve"> delivery addressing each of the above numbered components.</w:t>
            </w:r>
          </w:p>
          <w:p w14:paraId="092C80A1" w14:textId="77777777" w:rsidR="00497B29" w:rsidRPr="00DA4FCF" w:rsidRDefault="00497B29" w:rsidP="00497B29">
            <w:pPr>
              <w:pStyle w:val="ListParagraph"/>
              <w:numPr>
                <w:ilvl w:val="0"/>
                <w:numId w:val="19"/>
              </w:numPr>
              <w:rPr>
                <w:rFonts w:ascii="Arial" w:hAnsi="Arial" w:cs="Arial"/>
              </w:rPr>
            </w:pPr>
            <w:r w:rsidRPr="00DA4FCF">
              <w:rPr>
                <w:rFonts w:ascii="Arial" w:hAnsi="Arial" w:cs="Arial"/>
              </w:rPr>
              <w:lastRenderedPageBreak/>
              <w:t xml:space="preserve">Evidence from a broad, representation of stakeholders that the proposed model of delivery will address the issues and needs identified in the Research Culture Initiatives report. </w:t>
            </w:r>
          </w:p>
          <w:p w14:paraId="0B4F5AB6" w14:textId="77777777" w:rsidR="00497B29" w:rsidRPr="00DA4FCF" w:rsidRDefault="00497B29" w:rsidP="00497B29">
            <w:pPr>
              <w:ind w:left="720"/>
              <w:rPr>
                <w:rFonts w:ascii="Arial" w:hAnsi="Arial" w:cs="Arial"/>
              </w:rPr>
            </w:pPr>
            <w:r w:rsidRPr="00DA4FCF">
              <w:rPr>
                <w:rFonts w:ascii="Arial" w:hAnsi="Arial" w:cs="Arial"/>
              </w:rPr>
              <w:t xml:space="preserve">The core report should be maximum 30 pages, plus an additional Executive Summary (maximum 3 pages). Additional material can be provided in annexes. First draft to be submitted within 5 months of contract start and a final draft to be submitted within 6 months of contract start. </w:t>
            </w:r>
          </w:p>
          <w:p w14:paraId="55257735" w14:textId="77777777" w:rsidR="0017621F" w:rsidRPr="00DA4FCF" w:rsidRDefault="0017621F" w:rsidP="00497B29">
            <w:pPr>
              <w:ind w:left="720"/>
              <w:rPr>
                <w:rFonts w:ascii="Arial" w:hAnsi="Arial" w:cs="Arial"/>
              </w:rPr>
            </w:pPr>
          </w:p>
          <w:p w14:paraId="7E57B0C2" w14:textId="77777777" w:rsidR="00497B29" w:rsidRPr="00DA4FCF" w:rsidRDefault="00497B29" w:rsidP="00497B29">
            <w:pPr>
              <w:pStyle w:val="ListParagraph"/>
              <w:numPr>
                <w:ilvl w:val="0"/>
                <w:numId w:val="18"/>
              </w:numPr>
              <w:rPr>
                <w:rFonts w:ascii="Arial" w:hAnsi="Arial" w:cs="Arial"/>
              </w:rPr>
            </w:pPr>
            <w:r w:rsidRPr="00DA4FCF">
              <w:rPr>
                <w:rFonts w:ascii="Arial" w:hAnsi="Arial" w:cs="Arial"/>
                <w:b/>
                <w:bCs/>
              </w:rPr>
              <w:t>Slide set,</w:t>
            </w:r>
            <w:r w:rsidRPr="00DA4FCF">
              <w:rPr>
                <w:rFonts w:ascii="Arial" w:hAnsi="Arial" w:cs="Arial"/>
              </w:rPr>
              <w:t xml:space="preserve"> with speaking notes, capturing the core information of the final report. Slides will be taken forwards and used by UKRI staff. </w:t>
            </w:r>
          </w:p>
          <w:p w14:paraId="05250EF9" w14:textId="77777777" w:rsidR="00497B29" w:rsidRPr="00DA4FCF" w:rsidRDefault="00497B29" w:rsidP="00497B29">
            <w:pPr>
              <w:pStyle w:val="ListParagraph"/>
              <w:rPr>
                <w:rFonts w:ascii="Arial" w:hAnsi="Arial" w:cs="Arial"/>
              </w:rPr>
            </w:pPr>
          </w:p>
          <w:p w14:paraId="79BC09BF" w14:textId="77777777" w:rsidR="00497B29" w:rsidRPr="00DA4FCF" w:rsidRDefault="00497B29" w:rsidP="00497B29">
            <w:pPr>
              <w:pStyle w:val="ListParagraph"/>
              <w:numPr>
                <w:ilvl w:val="0"/>
                <w:numId w:val="18"/>
              </w:numPr>
              <w:rPr>
                <w:rFonts w:ascii="Arial" w:hAnsi="Arial" w:cs="Arial"/>
              </w:rPr>
            </w:pPr>
            <w:r w:rsidRPr="00DA4FCF">
              <w:rPr>
                <w:rFonts w:ascii="Arial" w:hAnsi="Arial" w:cs="Arial"/>
                <w:b/>
                <w:bCs/>
              </w:rPr>
              <w:t>Presentation with Q&amp;A:</w:t>
            </w:r>
            <w:r w:rsidRPr="00DA4FCF">
              <w:rPr>
                <w:rFonts w:ascii="Arial" w:hAnsi="Arial" w:cs="Arial"/>
              </w:rPr>
              <w:t xml:space="preserve"> A presentation of near final findings to UKRI staff, with Q&amp;A. In the final month of the contract.  </w:t>
            </w:r>
          </w:p>
          <w:p w14:paraId="3DCED36E" w14:textId="77777777" w:rsidR="00497B29" w:rsidRPr="00DA4FCF" w:rsidRDefault="00497B29" w:rsidP="00497B29">
            <w:pPr>
              <w:pStyle w:val="ListParagraph"/>
              <w:rPr>
                <w:rFonts w:ascii="Arial" w:hAnsi="Arial" w:cs="Arial"/>
              </w:rPr>
            </w:pPr>
          </w:p>
          <w:p w14:paraId="76BB8935" w14:textId="033BF0CD" w:rsidR="00497B29" w:rsidRPr="00DA4FCF" w:rsidRDefault="00497B29" w:rsidP="00594CD7">
            <w:pPr>
              <w:rPr>
                <w:rFonts w:ascii="Arial" w:eastAsia="Times New Roman" w:hAnsi="Arial" w:cs="Arial"/>
                <w:lang w:eastAsia="en-GB"/>
              </w:rPr>
            </w:pPr>
            <w:r w:rsidRPr="00DA4FCF">
              <w:rPr>
                <w:rFonts w:ascii="Arial" w:eastAsia="Times New Roman" w:hAnsi="Arial" w:cs="Arial"/>
              </w:rPr>
              <w:t>All deliverables should be accessible, meeting recognised practice in accessible and inclusive doc</w:t>
            </w:r>
            <w:r w:rsidR="00594CD7" w:rsidRPr="00DA4FCF">
              <w:rPr>
                <w:rFonts w:ascii="Arial" w:eastAsia="Times New Roman" w:hAnsi="Arial" w:cs="Arial"/>
              </w:rPr>
              <w:t>uments</w:t>
            </w:r>
            <w:r w:rsidRPr="00DA4FCF">
              <w:rPr>
                <w:rFonts w:ascii="Arial" w:eastAsia="Times New Roman" w:hAnsi="Arial" w:cs="Arial"/>
              </w:rPr>
              <w:t>.</w:t>
            </w:r>
            <w:r w:rsidR="00594CD7" w:rsidRPr="00DA4FCF">
              <w:rPr>
                <w:rFonts w:ascii="Arial" w:eastAsia="Times New Roman" w:hAnsi="Arial" w:cs="Arial"/>
              </w:rPr>
              <w:t xml:space="preserve"> </w:t>
            </w:r>
            <w:r w:rsidRPr="00DA4FCF">
              <w:rPr>
                <w:rFonts w:ascii="Arial" w:eastAsia="Times New Roman" w:hAnsi="Arial" w:cs="Arial"/>
                <w:lang w:eastAsia="en-GB"/>
              </w:rPr>
              <w:t>UKRI would hold the copyright and reuse rights for the report and accompanying outputs.  </w:t>
            </w:r>
          </w:p>
          <w:p w14:paraId="6FA845B1" w14:textId="77777777" w:rsidR="002119D2" w:rsidRPr="00DA4FCF" w:rsidRDefault="002119D2" w:rsidP="00497B29">
            <w:pPr>
              <w:textAlignment w:val="baseline"/>
              <w:rPr>
                <w:rFonts w:ascii="Arial" w:eastAsia="Times New Roman" w:hAnsi="Arial" w:cs="Arial"/>
                <w:lang w:eastAsia="en-GB"/>
              </w:rPr>
            </w:pPr>
          </w:p>
          <w:p w14:paraId="490BE19C" w14:textId="77777777" w:rsidR="002119D2" w:rsidRPr="00DA4FCF" w:rsidRDefault="002119D2" w:rsidP="002119D2">
            <w:pPr>
              <w:rPr>
                <w:rFonts w:ascii="Arial" w:hAnsi="Arial" w:cs="Arial"/>
                <w:b/>
                <w:bCs/>
                <w:sz w:val="24"/>
                <w:szCs w:val="24"/>
                <w:u w:val="single"/>
              </w:rPr>
            </w:pPr>
            <w:r w:rsidRPr="00DA4FCF">
              <w:rPr>
                <w:rFonts w:ascii="Arial" w:hAnsi="Arial" w:cs="Arial"/>
                <w:b/>
                <w:bCs/>
                <w:sz w:val="24"/>
                <w:szCs w:val="24"/>
                <w:u w:val="single"/>
              </w:rPr>
              <w:t xml:space="preserve">Methodology </w:t>
            </w:r>
          </w:p>
          <w:p w14:paraId="52ED2EAB" w14:textId="77777777" w:rsidR="002119D2" w:rsidRPr="00DA4FCF" w:rsidRDefault="002119D2" w:rsidP="002119D2">
            <w:pPr>
              <w:rPr>
                <w:rFonts w:ascii="Arial" w:hAnsi="Arial" w:cs="Arial"/>
              </w:rPr>
            </w:pPr>
            <w:r w:rsidRPr="00DA4FCF">
              <w:rPr>
                <w:rFonts w:ascii="Arial" w:hAnsi="Arial" w:cs="Arial"/>
              </w:rPr>
              <w:t xml:space="preserve">Suppliers are invited to propose a methodology they consider will best achieve the objectives and deliverables for this activity. Proposals should clearly identify how this methodology will provide the </w:t>
            </w:r>
            <w:proofErr w:type="spellStart"/>
            <w:r w:rsidRPr="00DA4FCF">
              <w:rPr>
                <w:rFonts w:ascii="Arial" w:hAnsi="Arial" w:cs="Arial"/>
              </w:rPr>
              <w:t>GPEx</w:t>
            </w:r>
            <w:proofErr w:type="spellEnd"/>
            <w:r w:rsidRPr="00DA4FCF">
              <w:rPr>
                <w:rFonts w:ascii="Arial" w:hAnsi="Arial" w:cs="Arial"/>
              </w:rPr>
              <w:t xml:space="preserve"> model required, and how they will ensure a full and comprehensive stakeholder engagement approach. </w:t>
            </w:r>
          </w:p>
          <w:p w14:paraId="70242ED5" w14:textId="77777777" w:rsidR="002119D2" w:rsidRPr="00DA4FCF" w:rsidRDefault="002119D2" w:rsidP="002119D2">
            <w:pPr>
              <w:rPr>
                <w:rFonts w:ascii="Arial" w:hAnsi="Arial" w:cs="Arial"/>
              </w:rPr>
            </w:pPr>
          </w:p>
          <w:p w14:paraId="3725A3FB" w14:textId="31D3BC3C" w:rsidR="002119D2" w:rsidRPr="00DA4FCF" w:rsidRDefault="002119D2" w:rsidP="002119D2">
            <w:pPr>
              <w:rPr>
                <w:rFonts w:ascii="Arial" w:hAnsi="Arial" w:cs="Arial"/>
              </w:rPr>
            </w:pPr>
            <w:r w:rsidRPr="00DA4FCF">
              <w:rPr>
                <w:rFonts w:ascii="Arial" w:hAnsi="Arial" w:cs="Arial"/>
              </w:rPr>
              <w:t xml:space="preserve">UKRI expect the methodology to primarily comprise </w:t>
            </w:r>
            <w:proofErr w:type="gramStart"/>
            <w:r w:rsidR="00F23597" w:rsidRPr="00DA4FCF">
              <w:rPr>
                <w:rFonts w:ascii="Arial" w:hAnsi="Arial" w:cs="Arial"/>
              </w:rPr>
              <w:t>a number of</w:t>
            </w:r>
            <w:proofErr w:type="gramEnd"/>
            <w:r w:rsidR="00F23597" w:rsidRPr="00DA4FCF">
              <w:rPr>
                <w:rFonts w:ascii="Arial" w:hAnsi="Arial" w:cs="Arial"/>
              </w:rPr>
              <w:t xml:space="preserve"> </w:t>
            </w:r>
            <w:r w:rsidRPr="00DA4FCF">
              <w:rPr>
                <w:rFonts w:ascii="Arial" w:hAnsi="Arial" w:cs="Arial"/>
              </w:rPr>
              <w:t xml:space="preserve">workshops and interviews </w:t>
            </w:r>
            <w:r w:rsidR="00F23597" w:rsidRPr="00DA4FCF">
              <w:rPr>
                <w:rFonts w:ascii="Arial" w:hAnsi="Arial" w:cs="Arial"/>
              </w:rPr>
              <w:t>which capture the widest possible stakeholder engagement</w:t>
            </w:r>
            <w:r w:rsidRPr="00DA4FCF">
              <w:rPr>
                <w:rFonts w:ascii="Arial" w:hAnsi="Arial" w:cs="Arial"/>
              </w:rPr>
              <w:t xml:space="preserve">, as well as some desk-based research. </w:t>
            </w:r>
          </w:p>
          <w:p w14:paraId="28ED4A0B" w14:textId="77777777" w:rsidR="00F23597" w:rsidRPr="00DA4FCF" w:rsidRDefault="00F23597" w:rsidP="002119D2">
            <w:pPr>
              <w:rPr>
                <w:rFonts w:ascii="Arial" w:hAnsi="Arial" w:cs="Arial"/>
              </w:rPr>
            </w:pPr>
          </w:p>
          <w:p w14:paraId="3A109EBD" w14:textId="77777777" w:rsidR="002119D2" w:rsidRPr="00DA4FCF" w:rsidRDefault="002119D2" w:rsidP="002119D2">
            <w:pPr>
              <w:rPr>
                <w:rFonts w:ascii="Arial" w:hAnsi="Arial" w:cs="Arial"/>
              </w:rPr>
            </w:pPr>
            <w:r w:rsidRPr="00DA4FCF">
              <w:rPr>
                <w:rFonts w:ascii="Arial" w:hAnsi="Arial" w:cs="Arial"/>
              </w:rPr>
              <w:t xml:space="preserve">Suppliers are required to work closely with UKRI throughout the length of the contract, ensuring UKRI is kept well informed of progress (minimum of monthly check-ins) and working with us on all core decisions for the project.  </w:t>
            </w:r>
          </w:p>
          <w:p w14:paraId="335E706D" w14:textId="77777777" w:rsidR="002119D2" w:rsidRPr="00DA4FCF" w:rsidRDefault="002119D2" w:rsidP="00497B29">
            <w:pPr>
              <w:textAlignment w:val="baseline"/>
              <w:rPr>
                <w:rFonts w:ascii="Arial" w:eastAsia="Times New Roman" w:hAnsi="Arial" w:cs="Arial"/>
                <w:lang w:eastAsia="en-GB"/>
              </w:rPr>
            </w:pPr>
          </w:p>
          <w:p w14:paraId="2ED59459" w14:textId="77777777" w:rsidR="00497B29" w:rsidRPr="00DA4FCF" w:rsidRDefault="00497B29" w:rsidP="003E47B4">
            <w:pPr>
              <w:rPr>
                <w:rFonts w:ascii="Arial" w:hAnsi="Arial" w:cs="Arial"/>
              </w:rPr>
            </w:pPr>
          </w:p>
        </w:tc>
      </w:tr>
    </w:tbl>
    <w:p w14:paraId="67C1A66D" w14:textId="77777777" w:rsidR="00665257" w:rsidRPr="00DA4FCF" w:rsidRDefault="00665257" w:rsidP="003E47B4">
      <w:pPr>
        <w:rPr>
          <w:rFonts w:cs="Arial"/>
        </w:rPr>
      </w:pPr>
    </w:p>
    <w:p w14:paraId="4CD51921" w14:textId="77777777" w:rsidR="009D10EE" w:rsidRPr="00DA4FCF" w:rsidRDefault="009D10EE" w:rsidP="009D10EE">
      <w:pPr>
        <w:pStyle w:val="Heading1"/>
        <w:spacing w:before="0" w:line="240" w:lineRule="auto"/>
        <w:rPr>
          <w:rFonts w:ascii="Arial" w:hAnsi="Arial" w:cs="Arial"/>
          <w:b/>
          <w:bCs/>
          <w:sz w:val="28"/>
          <w:szCs w:val="28"/>
          <w:u w:val="single"/>
        </w:rPr>
      </w:pPr>
      <w:r w:rsidRPr="00DA4FCF">
        <w:rPr>
          <w:rFonts w:ascii="Arial" w:hAnsi="Arial" w:cs="Arial"/>
          <w:b/>
          <w:bCs/>
          <w:sz w:val="28"/>
          <w:szCs w:val="28"/>
          <w:u w:val="single"/>
        </w:rPr>
        <w:t>Procurement Plan / Dates and Budget</w:t>
      </w:r>
    </w:p>
    <w:p w14:paraId="2631E626" w14:textId="77777777" w:rsidR="009D10EE" w:rsidRPr="00DA4FCF" w:rsidRDefault="009D10EE" w:rsidP="009D10EE">
      <w:pPr>
        <w:spacing w:after="0" w:line="240" w:lineRule="auto"/>
        <w:rPr>
          <w:rFonts w:cs="Arial"/>
        </w:rPr>
      </w:pPr>
    </w:p>
    <w:tbl>
      <w:tblPr>
        <w:tblStyle w:val="TableGrid"/>
        <w:tblW w:w="9351" w:type="dxa"/>
        <w:tblLook w:val="04A0" w:firstRow="1" w:lastRow="0" w:firstColumn="1" w:lastColumn="0" w:noHBand="0" w:noVBand="1"/>
      </w:tblPr>
      <w:tblGrid>
        <w:gridCol w:w="9351"/>
      </w:tblGrid>
      <w:tr w:rsidR="009D10EE" w:rsidRPr="00DA4FCF" w14:paraId="2093C567" w14:textId="77777777" w:rsidTr="00DA4FCF">
        <w:tc>
          <w:tcPr>
            <w:tcW w:w="9351" w:type="dxa"/>
          </w:tcPr>
          <w:p w14:paraId="63570D81" w14:textId="77777777" w:rsidR="009D10EE" w:rsidRPr="00DA4FCF" w:rsidRDefault="009D10EE">
            <w:pPr>
              <w:rPr>
                <w:rFonts w:ascii="Arial" w:hAnsi="Arial" w:cs="Arial"/>
              </w:rPr>
            </w:pPr>
          </w:p>
          <w:p w14:paraId="1DADF591" w14:textId="55607B43" w:rsidR="009D10EE" w:rsidRPr="00DA4FCF" w:rsidRDefault="009D10EE">
            <w:pPr>
              <w:rPr>
                <w:rFonts w:ascii="Arial" w:hAnsi="Arial" w:cs="Arial"/>
              </w:rPr>
            </w:pPr>
            <w:r w:rsidRPr="00DA4FCF">
              <w:rPr>
                <w:rFonts w:ascii="Arial" w:hAnsi="Arial" w:cs="Arial"/>
                <w:b/>
                <w:bCs/>
              </w:rPr>
              <w:t xml:space="preserve">Project budget </w:t>
            </w:r>
            <w:r w:rsidRPr="00DA4FCF">
              <w:rPr>
                <w:rFonts w:ascii="Arial" w:hAnsi="Arial" w:cs="Arial"/>
              </w:rPr>
              <w:t xml:space="preserve">– The maximum budget available for completion of this project is </w:t>
            </w:r>
            <w:r w:rsidRPr="00AB646D">
              <w:rPr>
                <w:rFonts w:ascii="Arial" w:hAnsi="Arial" w:cs="Arial"/>
              </w:rPr>
              <w:t>£1</w:t>
            </w:r>
            <w:r w:rsidR="008B4C3C" w:rsidRPr="00AB646D">
              <w:rPr>
                <w:rFonts w:ascii="Arial" w:hAnsi="Arial" w:cs="Arial"/>
              </w:rPr>
              <w:t>1</w:t>
            </w:r>
            <w:r w:rsidRPr="00AB646D">
              <w:rPr>
                <w:rFonts w:ascii="Arial" w:hAnsi="Arial" w:cs="Arial"/>
              </w:rPr>
              <w:t xml:space="preserve">5k </w:t>
            </w:r>
          </w:p>
          <w:p w14:paraId="35B27E23" w14:textId="77777777" w:rsidR="009D10EE" w:rsidRPr="00DA4FCF" w:rsidRDefault="009D10EE">
            <w:pPr>
              <w:rPr>
                <w:rFonts w:ascii="Arial" w:hAnsi="Arial" w:cs="Arial"/>
              </w:rPr>
            </w:pPr>
          </w:p>
          <w:p w14:paraId="1B9DE2FA" w14:textId="65E0B05B" w:rsidR="009D10EE" w:rsidRPr="00DA4FCF" w:rsidRDefault="009D10EE">
            <w:pPr>
              <w:rPr>
                <w:rFonts w:ascii="Arial" w:hAnsi="Arial" w:cs="Arial"/>
              </w:rPr>
            </w:pPr>
            <w:r w:rsidRPr="00DA4FCF">
              <w:rPr>
                <w:rFonts w:ascii="Arial" w:hAnsi="Arial" w:cs="Arial"/>
              </w:rPr>
              <w:t>I</w:t>
            </w:r>
            <w:r w:rsidRPr="00DA4FCF">
              <w:rPr>
                <w:rFonts w:ascii="Arial" w:hAnsi="Arial" w:cs="Arial"/>
                <w:b/>
                <w:bCs/>
              </w:rPr>
              <w:t>ndicative advertising timescales for a further competition</w:t>
            </w:r>
            <w:r w:rsidRPr="00DA4FCF">
              <w:rPr>
                <w:rFonts w:ascii="Arial" w:hAnsi="Arial" w:cs="Arial"/>
              </w:rPr>
              <w:t xml:space="preserve"> – We are intending on launching this procurement in October with a </w:t>
            </w:r>
            <w:proofErr w:type="gramStart"/>
            <w:r w:rsidRPr="00DA4FCF">
              <w:rPr>
                <w:rFonts w:ascii="Arial" w:hAnsi="Arial" w:cs="Arial"/>
              </w:rPr>
              <w:t>4 week</w:t>
            </w:r>
            <w:proofErr w:type="gramEnd"/>
            <w:r w:rsidRPr="00DA4FCF">
              <w:rPr>
                <w:rFonts w:ascii="Arial" w:hAnsi="Arial" w:cs="Arial"/>
              </w:rPr>
              <w:t xml:space="preserve"> procurement live period for bid responses</w:t>
            </w:r>
          </w:p>
          <w:p w14:paraId="131957A1" w14:textId="77777777" w:rsidR="009D10EE" w:rsidRPr="00DA4FCF" w:rsidRDefault="009D10EE">
            <w:pPr>
              <w:rPr>
                <w:rFonts w:ascii="Arial" w:hAnsi="Arial" w:cs="Arial"/>
              </w:rPr>
            </w:pPr>
          </w:p>
          <w:p w14:paraId="4E4387EA" w14:textId="3090DE93" w:rsidR="009D10EE" w:rsidRPr="00DA4FCF" w:rsidRDefault="009D10EE">
            <w:pPr>
              <w:rPr>
                <w:rFonts w:ascii="Arial" w:hAnsi="Arial" w:cs="Arial"/>
              </w:rPr>
            </w:pPr>
            <w:r w:rsidRPr="00DA4FCF">
              <w:rPr>
                <w:rFonts w:ascii="Arial" w:hAnsi="Arial" w:cs="Arial"/>
                <w:b/>
                <w:bCs/>
              </w:rPr>
              <w:t>Indicative Contract start date</w:t>
            </w:r>
            <w:r w:rsidRPr="00DA4FCF">
              <w:rPr>
                <w:rFonts w:ascii="Arial" w:hAnsi="Arial" w:cs="Arial"/>
              </w:rPr>
              <w:t xml:space="preserve"> – </w:t>
            </w:r>
            <w:r w:rsidR="00BD30A4" w:rsidRPr="00DA4FCF">
              <w:rPr>
                <w:rFonts w:ascii="Arial" w:hAnsi="Arial" w:cs="Arial"/>
              </w:rPr>
              <w:t>late</w:t>
            </w:r>
            <w:r w:rsidR="00667D14" w:rsidRPr="00DA4FCF">
              <w:rPr>
                <w:rFonts w:ascii="Arial" w:hAnsi="Arial" w:cs="Arial"/>
              </w:rPr>
              <w:t xml:space="preserve"> </w:t>
            </w:r>
            <w:r w:rsidRPr="00DA4FCF">
              <w:rPr>
                <w:rFonts w:ascii="Arial" w:hAnsi="Arial" w:cs="Arial"/>
              </w:rPr>
              <w:t>November</w:t>
            </w:r>
            <w:r w:rsidR="00BD30A4" w:rsidRPr="00DA4FCF">
              <w:rPr>
                <w:rFonts w:ascii="Arial" w:hAnsi="Arial" w:cs="Arial"/>
              </w:rPr>
              <w:t xml:space="preserve">/early December </w:t>
            </w:r>
            <w:r w:rsidR="00FB665A" w:rsidRPr="00DA4FCF">
              <w:rPr>
                <w:rFonts w:ascii="Arial" w:hAnsi="Arial" w:cs="Arial"/>
              </w:rPr>
              <w:t>2024</w:t>
            </w:r>
          </w:p>
          <w:p w14:paraId="0FC20057" w14:textId="77777777" w:rsidR="009D10EE" w:rsidRPr="00DA4FCF" w:rsidRDefault="009D10EE">
            <w:pPr>
              <w:rPr>
                <w:rFonts w:ascii="Arial" w:hAnsi="Arial" w:cs="Arial"/>
              </w:rPr>
            </w:pPr>
          </w:p>
        </w:tc>
      </w:tr>
    </w:tbl>
    <w:p w14:paraId="6008B1F2" w14:textId="77777777" w:rsidR="009D10EE" w:rsidRDefault="009D10EE" w:rsidP="009D10EE">
      <w:pPr>
        <w:spacing w:after="0" w:line="240" w:lineRule="auto"/>
        <w:rPr>
          <w:rFonts w:cs="Arial"/>
        </w:rPr>
      </w:pPr>
    </w:p>
    <w:p w14:paraId="23883D7B" w14:textId="77777777" w:rsidR="00DA4FCF" w:rsidRDefault="00DA4FCF" w:rsidP="009D10EE">
      <w:pPr>
        <w:spacing w:after="0" w:line="240" w:lineRule="auto"/>
        <w:rPr>
          <w:rFonts w:cs="Arial"/>
        </w:rPr>
      </w:pPr>
    </w:p>
    <w:p w14:paraId="14C7FA8A" w14:textId="77777777" w:rsidR="00DA4FCF" w:rsidRDefault="00DA4FCF" w:rsidP="009D10EE">
      <w:pPr>
        <w:spacing w:after="0" w:line="240" w:lineRule="auto"/>
        <w:rPr>
          <w:rFonts w:cs="Arial"/>
        </w:rPr>
      </w:pPr>
    </w:p>
    <w:p w14:paraId="685635C7" w14:textId="77777777" w:rsidR="00DA4FCF" w:rsidRDefault="00DA4FCF" w:rsidP="009D10EE">
      <w:pPr>
        <w:spacing w:after="0" w:line="240" w:lineRule="auto"/>
        <w:rPr>
          <w:rFonts w:cs="Arial"/>
        </w:rPr>
      </w:pPr>
    </w:p>
    <w:p w14:paraId="6D7D4568" w14:textId="77777777" w:rsidR="00DA4FCF" w:rsidRDefault="00DA4FCF" w:rsidP="009D10EE">
      <w:pPr>
        <w:spacing w:after="0" w:line="240" w:lineRule="auto"/>
        <w:rPr>
          <w:rFonts w:cs="Arial"/>
        </w:rPr>
      </w:pPr>
    </w:p>
    <w:p w14:paraId="1D7B2BDA" w14:textId="77777777" w:rsidR="00DA4FCF" w:rsidRPr="00DA4FCF" w:rsidRDefault="00DA4FCF" w:rsidP="009D10EE">
      <w:pPr>
        <w:spacing w:after="0" w:line="240" w:lineRule="auto"/>
        <w:rPr>
          <w:rFonts w:cs="Arial"/>
        </w:rPr>
      </w:pPr>
    </w:p>
    <w:p w14:paraId="353093BC" w14:textId="04061EB2" w:rsidR="002F1472" w:rsidRPr="00DA4FCF" w:rsidRDefault="00BF2648" w:rsidP="002F1472">
      <w:pPr>
        <w:pStyle w:val="Heading1"/>
        <w:spacing w:before="0" w:line="240" w:lineRule="auto"/>
        <w:rPr>
          <w:rFonts w:ascii="Arial" w:hAnsi="Arial" w:cs="Arial"/>
          <w:b/>
          <w:bCs/>
          <w:sz w:val="28"/>
          <w:szCs w:val="28"/>
          <w:u w:val="single"/>
        </w:rPr>
      </w:pPr>
      <w:r w:rsidRPr="00DA4FCF">
        <w:rPr>
          <w:rFonts w:ascii="Arial" w:hAnsi="Arial" w:cs="Arial"/>
          <w:b/>
          <w:bCs/>
          <w:sz w:val="28"/>
          <w:szCs w:val="28"/>
          <w:u w:val="single"/>
        </w:rPr>
        <w:t xml:space="preserve">Validation </w:t>
      </w:r>
      <w:r w:rsidR="002F1472" w:rsidRPr="00DA4FCF">
        <w:rPr>
          <w:rFonts w:ascii="Arial" w:hAnsi="Arial" w:cs="Arial"/>
          <w:b/>
          <w:bCs/>
          <w:sz w:val="28"/>
          <w:szCs w:val="28"/>
          <w:u w:val="single"/>
        </w:rPr>
        <w:t>Questions</w:t>
      </w:r>
    </w:p>
    <w:p w14:paraId="489F6D3A" w14:textId="77777777" w:rsidR="009D10EE" w:rsidRPr="00DA4FCF" w:rsidRDefault="009D10EE" w:rsidP="009D10EE">
      <w:pPr>
        <w:spacing w:after="0" w:line="240" w:lineRule="auto"/>
        <w:rPr>
          <w:rFonts w:cs="Arial"/>
        </w:rPr>
      </w:pPr>
    </w:p>
    <w:tbl>
      <w:tblPr>
        <w:tblStyle w:val="TableGrid"/>
        <w:tblW w:w="0" w:type="auto"/>
        <w:tblLook w:val="04A0" w:firstRow="1" w:lastRow="0" w:firstColumn="1" w:lastColumn="0" w:noHBand="0" w:noVBand="1"/>
      </w:tblPr>
      <w:tblGrid>
        <w:gridCol w:w="9350"/>
      </w:tblGrid>
      <w:tr w:rsidR="002F1472" w:rsidRPr="00DA4FCF" w14:paraId="6F2C577B" w14:textId="77777777" w:rsidTr="002F1472">
        <w:tc>
          <w:tcPr>
            <w:tcW w:w="9350" w:type="dxa"/>
          </w:tcPr>
          <w:p w14:paraId="55CE8129" w14:textId="77777777" w:rsidR="002F1472" w:rsidRPr="00DA4FCF" w:rsidRDefault="002F1472" w:rsidP="002F1472">
            <w:pPr>
              <w:rPr>
                <w:rFonts w:ascii="Arial" w:hAnsi="Arial" w:cs="Arial"/>
              </w:rPr>
            </w:pPr>
          </w:p>
          <w:p w14:paraId="0C3BBAC5" w14:textId="17B354F2" w:rsidR="002F1472" w:rsidRPr="00DA4FCF" w:rsidRDefault="002F1472" w:rsidP="002F1472">
            <w:pPr>
              <w:pStyle w:val="ListParagraph"/>
              <w:numPr>
                <w:ilvl w:val="0"/>
                <w:numId w:val="21"/>
              </w:numPr>
              <w:rPr>
                <w:rFonts w:ascii="Arial" w:hAnsi="Arial" w:cs="Arial"/>
                <w:b/>
                <w:bCs/>
              </w:rPr>
            </w:pPr>
            <w:r w:rsidRPr="00DA4FCF">
              <w:rPr>
                <w:rFonts w:ascii="Arial" w:hAnsi="Arial" w:cs="Arial"/>
                <w:b/>
                <w:bCs/>
              </w:rPr>
              <w:t xml:space="preserve">Supplier Capability and Supplier Capacity – </w:t>
            </w:r>
          </w:p>
          <w:p w14:paraId="6A78D9A7" w14:textId="77777777" w:rsidR="002F1472" w:rsidRPr="00DA4FCF" w:rsidRDefault="002F1472" w:rsidP="002F1472">
            <w:pPr>
              <w:pStyle w:val="ListParagraph"/>
              <w:numPr>
                <w:ilvl w:val="0"/>
                <w:numId w:val="23"/>
              </w:numPr>
              <w:rPr>
                <w:rFonts w:ascii="Arial" w:hAnsi="Arial" w:cs="Arial"/>
              </w:rPr>
            </w:pPr>
            <w:r w:rsidRPr="00DA4FCF">
              <w:rPr>
                <w:rFonts w:ascii="Arial" w:hAnsi="Arial" w:cs="Arial"/>
              </w:rPr>
              <w:t>Please can you confirm that you would have the relevant skills, capability and capacity to undertake the services detailed.</w:t>
            </w:r>
          </w:p>
          <w:p w14:paraId="3942BD73" w14:textId="77777777" w:rsidR="002F1472" w:rsidRPr="00DA4FCF" w:rsidRDefault="002F1472" w:rsidP="002F1472">
            <w:pPr>
              <w:pStyle w:val="ListParagraph"/>
              <w:numPr>
                <w:ilvl w:val="0"/>
                <w:numId w:val="23"/>
              </w:numPr>
              <w:rPr>
                <w:rFonts w:ascii="Arial" w:hAnsi="Arial" w:cs="Arial"/>
              </w:rPr>
            </w:pPr>
            <w:r w:rsidRPr="00DA4FCF">
              <w:rPr>
                <w:rFonts w:ascii="Arial" w:hAnsi="Arial" w:cs="Arial"/>
              </w:rPr>
              <w:t>Please can you confirm if this Contract would be something that you would be able to deliver internally or, if interested, would you look to submit as a consortium bid.</w:t>
            </w:r>
          </w:p>
          <w:p w14:paraId="506AC030" w14:textId="77777777" w:rsidR="002F1472" w:rsidRPr="00DA4FCF" w:rsidRDefault="002F1472" w:rsidP="002F1472">
            <w:pPr>
              <w:pStyle w:val="ListParagraph"/>
              <w:ind w:left="1080"/>
              <w:rPr>
                <w:rFonts w:ascii="Arial" w:hAnsi="Arial" w:cs="Arial"/>
              </w:rPr>
            </w:pPr>
          </w:p>
          <w:p w14:paraId="2A5BE25B" w14:textId="38AE5A02" w:rsidR="002F1472" w:rsidRPr="00DA4FCF" w:rsidRDefault="002F1472" w:rsidP="002F1472">
            <w:pPr>
              <w:pStyle w:val="ListParagraph"/>
              <w:numPr>
                <w:ilvl w:val="0"/>
                <w:numId w:val="21"/>
              </w:numPr>
              <w:rPr>
                <w:rFonts w:ascii="Arial" w:hAnsi="Arial" w:cs="Arial"/>
              </w:rPr>
            </w:pPr>
            <w:r w:rsidRPr="00DA4FCF">
              <w:rPr>
                <w:rFonts w:ascii="Arial" w:hAnsi="Arial" w:cs="Arial"/>
                <w:b/>
                <w:bCs/>
              </w:rPr>
              <w:t>Procurement Timescales</w:t>
            </w:r>
            <w:r w:rsidRPr="00DA4FCF">
              <w:rPr>
                <w:rFonts w:ascii="Arial" w:hAnsi="Arial" w:cs="Arial"/>
              </w:rPr>
              <w:t xml:space="preserve"> – Based on the timescales for the procurement and services, please can you advise if your organisation would have capacity to provide a bid response and undertake the services within the timescales detailed</w:t>
            </w:r>
            <w:r w:rsidR="00E460FB" w:rsidRPr="00DA4FCF">
              <w:rPr>
                <w:rFonts w:ascii="Arial" w:hAnsi="Arial" w:cs="Arial"/>
              </w:rPr>
              <w:t>.</w:t>
            </w:r>
          </w:p>
          <w:p w14:paraId="22078CA2" w14:textId="77777777" w:rsidR="002F1472" w:rsidRPr="00DA4FCF" w:rsidRDefault="002F1472" w:rsidP="002F1472">
            <w:pPr>
              <w:pStyle w:val="ListParagraph"/>
              <w:rPr>
                <w:rFonts w:ascii="Arial" w:hAnsi="Arial" w:cs="Arial"/>
              </w:rPr>
            </w:pPr>
          </w:p>
          <w:p w14:paraId="16AAF8F2" w14:textId="77777777" w:rsidR="002F1472" w:rsidRPr="00DA4FCF" w:rsidRDefault="002F1472" w:rsidP="002F1472">
            <w:pPr>
              <w:pStyle w:val="ListParagraph"/>
              <w:numPr>
                <w:ilvl w:val="0"/>
                <w:numId w:val="21"/>
              </w:numPr>
              <w:rPr>
                <w:rFonts w:ascii="Arial" w:hAnsi="Arial" w:cs="Arial"/>
              </w:rPr>
            </w:pPr>
            <w:r w:rsidRPr="00DA4FCF">
              <w:rPr>
                <w:rFonts w:ascii="Arial" w:hAnsi="Arial" w:cs="Arial"/>
                <w:b/>
                <w:bCs/>
              </w:rPr>
              <w:t>Project Budget and Scope</w:t>
            </w:r>
            <w:r w:rsidRPr="00DA4FCF">
              <w:rPr>
                <w:rFonts w:ascii="Arial" w:hAnsi="Arial" w:cs="Arial"/>
              </w:rPr>
              <w:t xml:space="preserve"> – </w:t>
            </w:r>
          </w:p>
          <w:p w14:paraId="381D2A71" w14:textId="77777777" w:rsidR="002F1472" w:rsidRPr="00DA4FCF" w:rsidRDefault="002F1472" w:rsidP="002F1472">
            <w:pPr>
              <w:pStyle w:val="ListParagraph"/>
              <w:numPr>
                <w:ilvl w:val="0"/>
                <w:numId w:val="24"/>
              </w:numPr>
              <w:rPr>
                <w:rFonts w:ascii="Arial" w:hAnsi="Arial" w:cs="Arial"/>
              </w:rPr>
            </w:pPr>
            <w:r w:rsidRPr="00DA4FCF">
              <w:rPr>
                <w:rFonts w:ascii="Arial" w:hAnsi="Arial" w:cs="Arial"/>
              </w:rPr>
              <w:t>Based on the budget provided, please can you advise if you feel this is appropriate based on the scope of services required.</w:t>
            </w:r>
          </w:p>
          <w:p w14:paraId="51F1F250" w14:textId="77777777" w:rsidR="002F1472" w:rsidRPr="00DA4FCF" w:rsidRDefault="002F1472" w:rsidP="002F1472">
            <w:pPr>
              <w:pStyle w:val="ListParagraph"/>
              <w:numPr>
                <w:ilvl w:val="0"/>
                <w:numId w:val="24"/>
              </w:numPr>
              <w:rPr>
                <w:rFonts w:ascii="Arial" w:hAnsi="Arial" w:cs="Arial"/>
              </w:rPr>
            </w:pPr>
            <w:r w:rsidRPr="00DA4FCF">
              <w:rPr>
                <w:rFonts w:ascii="Arial" w:hAnsi="Arial" w:cs="Arial"/>
              </w:rPr>
              <w:t>Please can you advise if there is any additional information that you would require to ensure you have all the information required to submit a tender response.</w:t>
            </w:r>
          </w:p>
          <w:p w14:paraId="18627D30" w14:textId="77777777" w:rsidR="00EC3BB6" w:rsidRPr="00DA4FCF" w:rsidRDefault="00EC3BB6" w:rsidP="00EC3BB6">
            <w:pPr>
              <w:rPr>
                <w:rFonts w:ascii="Arial" w:hAnsi="Arial" w:cs="Arial"/>
              </w:rPr>
            </w:pPr>
          </w:p>
          <w:p w14:paraId="1381A1E4" w14:textId="77777777" w:rsidR="002F1472" w:rsidRPr="00DA4FCF" w:rsidRDefault="002F1472" w:rsidP="00A6455B">
            <w:pPr>
              <w:rPr>
                <w:rFonts w:ascii="Arial" w:hAnsi="Arial" w:cs="Arial"/>
              </w:rPr>
            </w:pPr>
          </w:p>
        </w:tc>
      </w:tr>
    </w:tbl>
    <w:p w14:paraId="03ECA696" w14:textId="77777777" w:rsidR="008A42A5" w:rsidRPr="00DA4FCF" w:rsidRDefault="008A42A5" w:rsidP="00A6455B">
      <w:pPr>
        <w:rPr>
          <w:rFonts w:cs="Arial"/>
        </w:rPr>
      </w:pPr>
    </w:p>
    <w:p w14:paraId="4B41D46B" w14:textId="377EDDB8" w:rsidR="00441D90" w:rsidRPr="00DA4FCF" w:rsidRDefault="00441D90" w:rsidP="00441D90">
      <w:pPr>
        <w:pStyle w:val="Heading1"/>
        <w:spacing w:before="0" w:line="240" w:lineRule="auto"/>
        <w:rPr>
          <w:rFonts w:ascii="Arial" w:hAnsi="Arial" w:cs="Arial"/>
          <w:b/>
          <w:bCs/>
          <w:sz w:val="28"/>
          <w:szCs w:val="28"/>
          <w:u w:val="single"/>
        </w:rPr>
      </w:pPr>
      <w:r w:rsidRPr="00DA4FCF">
        <w:rPr>
          <w:rFonts w:ascii="Arial" w:hAnsi="Arial" w:cs="Arial"/>
          <w:b/>
          <w:bCs/>
          <w:sz w:val="28"/>
          <w:szCs w:val="28"/>
          <w:u w:val="single"/>
        </w:rPr>
        <w:t>Response from Supplier:</w:t>
      </w:r>
    </w:p>
    <w:p w14:paraId="176BBB44" w14:textId="77777777" w:rsidR="00DA4FCF" w:rsidRPr="00DA4FCF" w:rsidRDefault="00DA4FCF" w:rsidP="00DA4FCF">
      <w:pPr>
        <w:rPr>
          <w:rFonts w:cs="Arial"/>
        </w:rPr>
      </w:pPr>
    </w:p>
    <w:tbl>
      <w:tblPr>
        <w:tblStyle w:val="TableGrid"/>
        <w:tblW w:w="0" w:type="auto"/>
        <w:tblLook w:val="04A0" w:firstRow="1" w:lastRow="0" w:firstColumn="1" w:lastColumn="0" w:noHBand="0" w:noVBand="1"/>
      </w:tblPr>
      <w:tblGrid>
        <w:gridCol w:w="9350"/>
      </w:tblGrid>
      <w:tr w:rsidR="00BF2648" w:rsidRPr="00DA4FCF" w14:paraId="21872BBF" w14:textId="77777777" w:rsidTr="00BF2648">
        <w:tc>
          <w:tcPr>
            <w:tcW w:w="9350" w:type="dxa"/>
          </w:tcPr>
          <w:p w14:paraId="0BE4419A" w14:textId="77777777" w:rsidR="00F27999" w:rsidRPr="00DA4FCF" w:rsidRDefault="00F27999" w:rsidP="00F27999">
            <w:pPr>
              <w:overflowPunct w:val="0"/>
              <w:autoSpaceDE w:val="0"/>
              <w:autoSpaceDN w:val="0"/>
              <w:adjustRightInd w:val="0"/>
              <w:textAlignment w:val="baseline"/>
              <w:rPr>
                <w:rFonts w:ascii="Arial" w:hAnsi="Arial" w:cs="Arial"/>
                <w:color w:val="000000"/>
              </w:rPr>
            </w:pPr>
            <w:r w:rsidRPr="00DA4FCF">
              <w:rPr>
                <w:rFonts w:ascii="Arial" w:hAnsi="Arial" w:cs="Arial"/>
                <w:i/>
                <w:iCs/>
                <w:color w:val="000000"/>
              </w:rPr>
              <w:t>Based on the project detail provided, is it your intention to respond to the Further Competition documentation once issued?</w:t>
            </w:r>
            <w:r w:rsidRPr="00DA4FCF">
              <w:rPr>
                <w:rFonts w:ascii="Arial" w:hAnsi="Arial" w:cs="Arial"/>
                <w:color w:val="000000"/>
              </w:rPr>
              <w:t xml:space="preserve"> </w:t>
            </w:r>
          </w:p>
          <w:p w14:paraId="4EB56FE2"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2192211F" w14:textId="77777777" w:rsidR="00F27999" w:rsidRPr="00DA4FCF" w:rsidRDefault="00F27999" w:rsidP="00F27999">
            <w:pPr>
              <w:overflowPunct w:val="0"/>
              <w:autoSpaceDE w:val="0"/>
              <w:autoSpaceDN w:val="0"/>
              <w:adjustRightInd w:val="0"/>
              <w:textAlignment w:val="baseline"/>
              <w:rPr>
                <w:rFonts w:ascii="Arial" w:hAnsi="Arial" w:cs="Arial"/>
                <w:color w:val="FF0000"/>
              </w:rPr>
            </w:pPr>
            <w:r w:rsidRPr="00DA4FCF">
              <w:rPr>
                <w:rFonts w:ascii="Arial" w:hAnsi="Arial" w:cs="Arial"/>
                <w:color w:val="FF0000"/>
              </w:rPr>
              <w:t>Yes / No</w:t>
            </w:r>
          </w:p>
          <w:p w14:paraId="7E0D6AF0"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63CC80BB"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37737667" w14:textId="012F132B" w:rsidR="00F27999" w:rsidRPr="00DA4FCF" w:rsidRDefault="00F27999" w:rsidP="00F27999">
            <w:pPr>
              <w:overflowPunct w:val="0"/>
              <w:autoSpaceDE w:val="0"/>
              <w:autoSpaceDN w:val="0"/>
              <w:adjustRightInd w:val="0"/>
              <w:textAlignment w:val="baseline"/>
              <w:rPr>
                <w:rFonts w:ascii="Arial" w:hAnsi="Arial" w:cs="Arial"/>
                <w:i/>
                <w:iCs/>
                <w:color w:val="000000"/>
                <w:u w:val="single"/>
              </w:rPr>
            </w:pPr>
            <w:r w:rsidRPr="00DA4FCF">
              <w:rPr>
                <w:rFonts w:ascii="Arial" w:hAnsi="Arial" w:cs="Arial"/>
                <w:i/>
                <w:iCs/>
                <w:color w:val="000000"/>
                <w:u w:val="single"/>
              </w:rPr>
              <w:t>Response to Validation Questions</w:t>
            </w:r>
          </w:p>
          <w:p w14:paraId="6392198B"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76EAD850" w14:textId="77777777" w:rsidR="00F27999" w:rsidRPr="00DA4FCF" w:rsidRDefault="00F27999" w:rsidP="00F27999">
            <w:pPr>
              <w:pStyle w:val="ListParagraph"/>
              <w:numPr>
                <w:ilvl w:val="0"/>
                <w:numId w:val="27"/>
              </w:numPr>
              <w:rPr>
                <w:rFonts w:ascii="Arial" w:hAnsi="Arial" w:cs="Arial"/>
              </w:rPr>
            </w:pPr>
            <w:r w:rsidRPr="00DA4FCF">
              <w:rPr>
                <w:rFonts w:ascii="Arial" w:hAnsi="Arial" w:cs="Arial"/>
                <w:b/>
                <w:bCs/>
              </w:rPr>
              <w:t xml:space="preserve">Supplier Capability and Supplier Capacity </w:t>
            </w:r>
            <w:r w:rsidRPr="00DA4FCF">
              <w:rPr>
                <w:rFonts w:ascii="Arial" w:hAnsi="Arial" w:cs="Arial"/>
              </w:rPr>
              <w:t xml:space="preserve">– </w:t>
            </w:r>
          </w:p>
          <w:p w14:paraId="2A7967B4" w14:textId="77777777" w:rsidR="00F27999" w:rsidRPr="00DA4FCF" w:rsidRDefault="00F27999" w:rsidP="00F27999">
            <w:pPr>
              <w:pStyle w:val="ListParagraph"/>
              <w:numPr>
                <w:ilvl w:val="1"/>
                <w:numId w:val="27"/>
              </w:numPr>
              <w:rPr>
                <w:rFonts w:ascii="Arial" w:hAnsi="Arial" w:cs="Arial"/>
              </w:rPr>
            </w:pPr>
          </w:p>
          <w:p w14:paraId="0E8C3AF0" w14:textId="77777777" w:rsidR="00F27999" w:rsidRPr="00DA4FCF" w:rsidRDefault="00F27999" w:rsidP="00F27999">
            <w:pPr>
              <w:pStyle w:val="ListParagraph"/>
              <w:numPr>
                <w:ilvl w:val="1"/>
                <w:numId w:val="27"/>
              </w:numPr>
              <w:rPr>
                <w:rFonts w:ascii="Arial" w:hAnsi="Arial" w:cs="Arial"/>
              </w:rPr>
            </w:pPr>
          </w:p>
          <w:p w14:paraId="34BDB4CC" w14:textId="77777777" w:rsidR="00F27999" w:rsidRPr="00DA4FCF" w:rsidRDefault="00F27999" w:rsidP="00F27999">
            <w:pPr>
              <w:pStyle w:val="ListParagraph"/>
              <w:numPr>
                <w:ilvl w:val="0"/>
                <w:numId w:val="27"/>
              </w:numPr>
              <w:rPr>
                <w:rFonts w:ascii="Arial" w:hAnsi="Arial" w:cs="Arial"/>
              </w:rPr>
            </w:pPr>
            <w:r w:rsidRPr="00DA4FCF">
              <w:rPr>
                <w:rFonts w:ascii="Arial" w:hAnsi="Arial" w:cs="Arial"/>
                <w:b/>
                <w:bCs/>
              </w:rPr>
              <w:t>Procurement Timescales</w:t>
            </w:r>
            <w:r w:rsidRPr="00DA4FCF">
              <w:rPr>
                <w:rFonts w:ascii="Arial" w:hAnsi="Arial" w:cs="Arial"/>
              </w:rPr>
              <w:t xml:space="preserve"> – </w:t>
            </w:r>
          </w:p>
          <w:p w14:paraId="6CCDC502" w14:textId="77777777" w:rsidR="00F27999" w:rsidRPr="00DA4FCF" w:rsidRDefault="00F27999" w:rsidP="00F27999">
            <w:pPr>
              <w:pStyle w:val="ListParagraph"/>
              <w:numPr>
                <w:ilvl w:val="0"/>
                <w:numId w:val="27"/>
              </w:numPr>
              <w:rPr>
                <w:rFonts w:ascii="Arial" w:hAnsi="Arial" w:cs="Arial"/>
              </w:rPr>
            </w:pPr>
            <w:r w:rsidRPr="00DA4FCF">
              <w:rPr>
                <w:rFonts w:ascii="Arial" w:hAnsi="Arial" w:cs="Arial"/>
                <w:b/>
                <w:bCs/>
              </w:rPr>
              <w:t>Project Budget and Scope</w:t>
            </w:r>
            <w:r w:rsidRPr="00DA4FCF">
              <w:rPr>
                <w:rFonts w:ascii="Arial" w:hAnsi="Arial" w:cs="Arial"/>
              </w:rPr>
              <w:t xml:space="preserve"> – </w:t>
            </w:r>
          </w:p>
          <w:p w14:paraId="2D0BC1D5" w14:textId="77777777" w:rsidR="00F27999" w:rsidRPr="00DA4FCF" w:rsidRDefault="00F27999" w:rsidP="00F27999">
            <w:pPr>
              <w:pStyle w:val="ListParagraph"/>
              <w:numPr>
                <w:ilvl w:val="1"/>
                <w:numId w:val="27"/>
              </w:numPr>
              <w:rPr>
                <w:rFonts w:ascii="Arial" w:hAnsi="Arial" w:cs="Arial"/>
              </w:rPr>
            </w:pPr>
          </w:p>
          <w:p w14:paraId="3717D5A1" w14:textId="77777777" w:rsidR="00F27999" w:rsidRPr="00DA4FCF" w:rsidRDefault="00F27999" w:rsidP="00F27999">
            <w:pPr>
              <w:pStyle w:val="ListParagraph"/>
              <w:numPr>
                <w:ilvl w:val="1"/>
                <w:numId w:val="27"/>
              </w:numPr>
              <w:rPr>
                <w:rFonts w:ascii="Arial" w:hAnsi="Arial" w:cs="Arial"/>
              </w:rPr>
            </w:pPr>
          </w:p>
          <w:p w14:paraId="286B65BE"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3B2B0536" w14:textId="77777777" w:rsidR="00F27999" w:rsidRPr="00DA4FCF" w:rsidRDefault="00F27999" w:rsidP="00F27999">
            <w:pPr>
              <w:overflowPunct w:val="0"/>
              <w:autoSpaceDE w:val="0"/>
              <w:autoSpaceDN w:val="0"/>
              <w:adjustRightInd w:val="0"/>
              <w:textAlignment w:val="baseline"/>
              <w:rPr>
                <w:rFonts w:ascii="Arial" w:hAnsi="Arial" w:cs="Arial"/>
                <w:i/>
                <w:iCs/>
                <w:color w:val="000000"/>
                <w:u w:val="single"/>
              </w:rPr>
            </w:pPr>
            <w:r w:rsidRPr="00DA4FCF">
              <w:rPr>
                <w:rFonts w:ascii="Arial" w:hAnsi="Arial" w:cs="Arial"/>
                <w:i/>
                <w:iCs/>
                <w:color w:val="000000"/>
                <w:u w:val="single"/>
              </w:rPr>
              <w:t>Any further comments</w:t>
            </w:r>
          </w:p>
          <w:p w14:paraId="7C99D0C3" w14:textId="77777777" w:rsidR="00DA4FCF" w:rsidRPr="00DA4FCF" w:rsidRDefault="00DA4FCF" w:rsidP="00F27999">
            <w:pPr>
              <w:overflowPunct w:val="0"/>
              <w:autoSpaceDE w:val="0"/>
              <w:autoSpaceDN w:val="0"/>
              <w:adjustRightInd w:val="0"/>
              <w:textAlignment w:val="baseline"/>
              <w:rPr>
                <w:rFonts w:ascii="Arial" w:hAnsi="Arial" w:cs="Arial"/>
                <w:i/>
                <w:iCs/>
                <w:color w:val="000000"/>
                <w:u w:val="single"/>
              </w:rPr>
            </w:pPr>
          </w:p>
          <w:p w14:paraId="509FC335" w14:textId="77777777" w:rsidR="00DA4FCF" w:rsidRPr="00DA4FCF" w:rsidRDefault="00DA4FCF" w:rsidP="00F27999">
            <w:pPr>
              <w:overflowPunct w:val="0"/>
              <w:autoSpaceDE w:val="0"/>
              <w:autoSpaceDN w:val="0"/>
              <w:adjustRightInd w:val="0"/>
              <w:textAlignment w:val="baseline"/>
              <w:rPr>
                <w:rFonts w:ascii="Arial" w:hAnsi="Arial" w:cs="Arial"/>
                <w:i/>
                <w:iCs/>
                <w:color w:val="000000"/>
                <w:u w:val="single"/>
              </w:rPr>
            </w:pPr>
          </w:p>
          <w:p w14:paraId="48438091" w14:textId="77777777" w:rsidR="00DA4FCF" w:rsidRPr="00DA4FCF" w:rsidRDefault="00DA4FCF" w:rsidP="00F27999">
            <w:pPr>
              <w:overflowPunct w:val="0"/>
              <w:autoSpaceDE w:val="0"/>
              <w:autoSpaceDN w:val="0"/>
              <w:adjustRightInd w:val="0"/>
              <w:textAlignment w:val="baseline"/>
              <w:rPr>
                <w:rFonts w:ascii="Arial" w:hAnsi="Arial" w:cs="Arial"/>
                <w:i/>
                <w:iCs/>
                <w:color w:val="000000"/>
                <w:u w:val="single"/>
              </w:rPr>
            </w:pPr>
          </w:p>
          <w:p w14:paraId="717E9E2E" w14:textId="77777777" w:rsidR="00BF2648" w:rsidRPr="00DA4FCF" w:rsidRDefault="00BF2648" w:rsidP="00957049">
            <w:pPr>
              <w:rPr>
                <w:rFonts w:ascii="Arial" w:hAnsi="Arial" w:cs="Arial"/>
              </w:rPr>
            </w:pPr>
          </w:p>
        </w:tc>
      </w:tr>
    </w:tbl>
    <w:p w14:paraId="546984AF" w14:textId="77777777" w:rsidR="00957049" w:rsidRPr="00DA4FCF" w:rsidRDefault="00957049" w:rsidP="00957049">
      <w:pPr>
        <w:rPr>
          <w:rFonts w:cs="Arial"/>
        </w:rPr>
      </w:pPr>
    </w:p>
    <w:tbl>
      <w:tblPr>
        <w:tblStyle w:val="TableGrid"/>
        <w:tblW w:w="9351" w:type="dxa"/>
        <w:tblLook w:val="04A0" w:firstRow="1" w:lastRow="0" w:firstColumn="1" w:lastColumn="0" w:noHBand="0" w:noVBand="1"/>
      </w:tblPr>
      <w:tblGrid>
        <w:gridCol w:w="2150"/>
        <w:gridCol w:w="7201"/>
      </w:tblGrid>
      <w:tr w:rsidR="00DA4FCF" w:rsidRPr="00DA4FCF" w14:paraId="122F6980" w14:textId="77777777" w:rsidTr="00DA4FCF">
        <w:tc>
          <w:tcPr>
            <w:tcW w:w="2150" w:type="dxa"/>
          </w:tcPr>
          <w:p w14:paraId="0988AA5B" w14:textId="77777777" w:rsidR="00DA4FCF" w:rsidRPr="00DA4FCF" w:rsidRDefault="00DA4FCF" w:rsidP="00444427">
            <w:pPr>
              <w:rPr>
                <w:rFonts w:ascii="Arial" w:hAnsi="Arial" w:cs="Arial"/>
              </w:rPr>
            </w:pPr>
            <w:r w:rsidRPr="00DA4FCF">
              <w:rPr>
                <w:rFonts w:ascii="Arial" w:hAnsi="Arial" w:cs="Arial"/>
              </w:rPr>
              <w:t>Name:</w:t>
            </w:r>
          </w:p>
        </w:tc>
        <w:tc>
          <w:tcPr>
            <w:tcW w:w="7201" w:type="dxa"/>
          </w:tcPr>
          <w:p w14:paraId="5AFC0A99" w14:textId="77777777" w:rsidR="00DA4FCF" w:rsidRPr="00DA4FCF" w:rsidRDefault="00DA4FCF" w:rsidP="00444427">
            <w:pPr>
              <w:rPr>
                <w:rFonts w:ascii="Arial" w:hAnsi="Arial" w:cs="Arial"/>
              </w:rPr>
            </w:pPr>
          </w:p>
        </w:tc>
      </w:tr>
      <w:tr w:rsidR="00DA4FCF" w:rsidRPr="00DA4FCF" w14:paraId="32C6FAEA" w14:textId="77777777" w:rsidTr="00DA4FCF">
        <w:tc>
          <w:tcPr>
            <w:tcW w:w="2150" w:type="dxa"/>
          </w:tcPr>
          <w:p w14:paraId="3FEF05C7" w14:textId="77777777" w:rsidR="00DA4FCF" w:rsidRPr="00DA4FCF" w:rsidRDefault="00DA4FCF" w:rsidP="00444427">
            <w:pPr>
              <w:rPr>
                <w:rFonts w:ascii="Arial" w:hAnsi="Arial" w:cs="Arial"/>
              </w:rPr>
            </w:pPr>
            <w:r w:rsidRPr="00DA4FCF">
              <w:rPr>
                <w:rFonts w:ascii="Arial" w:hAnsi="Arial" w:cs="Arial"/>
              </w:rPr>
              <w:t>Role:</w:t>
            </w:r>
          </w:p>
        </w:tc>
        <w:tc>
          <w:tcPr>
            <w:tcW w:w="7201" w:type="dxa"/>
          </w:tcPr>
          <w:p w14:paraId="4FBD7890" w14:textId="77777777" w:rsidR="00DA4FCF" w:rsidRPr="00DA4FCF" w:rsidRDefault="00DA4FCF" w:rsidP="00444427">
            <w:pPr>
              <w:rPr>
                <w:rFonts w:ascii="Arial" w:hAnsi="Arial" w:cs="Arial"/>
              </w:rPr>
            </w:pPr>
          </w:p>
        </w:tc>
      </w:tr>
      <w:tr w:rsidR="00DA4FCF" w:rsidRPr="00DA4FCF" w14:paraId="484CD3F2" w14:textId="77777777" w:rsidTr="00DA4FCF">
        <w:tc>
          <w:tcPr>
            <w:tcW w:w="2150" w:type="dxa"/>
          </w:tcPr>
          <w:p w14:paraId="1694AB3E" w14:textId="77777777" w:rsidR="00DA4FCF" w:rsidRPr="00DA4FCF" w:rsidRDefault="00DA4FCF" w:rsidP="00444427">
            <w:pPr>
              <w:rPr>
                <w:rFonts w:ascii="Arial" w:hAnsi="Arial" w:cs="Arial"/>
              </w:rPr>
            </w:pPr>
            <w:r w:rsidRPr="00DA4FCF">
              <w:rPr>
                <w:rFonts w:ascii="Arial" w:hAnsi="Arial" w:cs="Arial"/>
              </w:rPr>
              <w:t>Organisation:</w:t>
            </w:r>
          </w:p>
        </w:tc>
        <w:tc>
          <w:tcPr>
            <w:tcW w:w="7201" w:type="dxa"/>
          </w:tcPr>
          <w:p w14:paraId="607A20E5" w14:textId="77777777" w:rsidR="00DA4FCF" w:rsidRPr="00DA4FCF" w:rsidRDefault="00DA4FCF" w:rsidP="00444427">
            <w:pPr>
              <w:rPr>
                <w:rFonts w:ascii="Arial" w:hAnsi="Arial" w:cs="Arial"/>
              </w:rPr>
            </w:pPr>
          </w:p>
        </w:tc>
      </w:tr>
      <w:tr w:rsidR="00DA4FCF" w:rsidRPr="00DA4FCF" w14:paraId="7E5CBAE2" w14:textId="77777777" w:rsidTr="00DA4FCF">
        <w:tc>
          <w:tcPr>
            <w:tcW w:w="2150" w:type="dxa"/>
          </w:tcPr>
          <w:p w14:paraId="466BD430" w14:textId="77777777" w:rsidR="00DA4FCF" w:rsidRPr="00DA4FCF" w:rsidRDefault="00DA4FCF" w:rsidP="00444427">
            <w:pPr>
              <w:rPr>
                <w:rFonts w:ascii="Arial" w:hAnsi="Arial" w:cs="Arial"/>
              </w:rPr>
            </w:pPr>
            <w:r w:rsidRPr="00DA4FCF">
              <w:rPr>
                <w:rFonts w:ascii="Arial" w:hAnsi="Arial" w:cs="Arial"/>
              </w:rPr>
              <w:t>Email:</w:t>
            </w:r>
          </w:p>
        </w:tc>
        <w:tc>
          <w:tcPr>
            <w:tcW w:w="7201" w:type="dxa"/>
          </w:tcPr>
          <w:p w14:paraId="31B81725" w14:textId="77777777" w:rsidR="00DA4FCF" w:rsidRPr="00DA4FCF" w:rsidRDefault="00DA4FCF" w:rsidP="00444427">
            <w:pPr>
              <w:rPr>
                <w:rFonts w:ascii="Arial" w:hAnsi="Arial" w:cs="Arial"/>
              </w:rPr>
            </w:pPr>
          </w:p>
        </w:tc>
      </w:tr>
    </w:tbl>
    <w:p w14:paraId="48052C7E" w14:textId="77777777" w:rsidR="00DA4FCF" w:rsidRPr="00DA4FCF" w:rsidRDefault="00DA4FCF" w:rsidP="00957049">
      <w:pPr>
        <w:rPr>
          <w:rFonts w:cs="Arial"/>
        </w:rPr>
      </w:pPr>
    </w:p>
    <w:p w14:paraId="51F8D905" w14:textId="5E95A976" w:rsidR="00DA4FCF" w:rsidRPr="00DA4FCF" w:rsidRDefault="00DA4FCF" w:rsidP="00957049">
      <w:pPr>
        <w:rPr>
          <w:rFonts w:cs="Arial"/>
        </w:rPr>
      </w:pPr>
      <w:r w:rsidRPr="00DA4FCF">
        <w:rPr>
          <w:rFonts w:cs="Arial"/>
        </w:rPr>
        <w:t xml:space="preserve">Please return completed feedback questions to </w:t>
      </w:r>
      <w:hyperlink r:id="rId19" w:history="1">
        <w:r w:rsidR="0071086E" w:rsidRPr="00FC136E">
          <w:rPr>
            <w:rStyle w:val="Hyperlink"/>
            <w:rFonts w:cs="Arial"/>
            <w:b/>
            <w:bCs/>
          </w:rPr>
          <w:t>professionalservices@UKSBS.co.uk</w:t>
        </w:r>
      </w:hyperlink>
    </w:p>
    <w:sectPr w:rsidR="00DA4FCF" w:rsidRPr="00DA4FCF" w:rsidSect="00DA4FCF">
      <w:headerReference w:type="even" r:id="rId20"/>
      <w:headerReference w:type="default" r:id="rId21"/>
      <w:footerReference w:type="even" r:id="rId22"/>
      <w:footerReference w:type="default" r:id="rId23"/>
      <w:headerReference w:type="first" r:id="rId24"/>
      <w:footerReference w:type="first" r:id="rId25"/>
      <w:pgSz w:w="12240" w:h="15840"/>
      <w:pgMar w:top="851" w:right="1440" w:bottom="1135"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2693A" w14:textId="77777777" w:rsidR="007B34D8" w:rsidRDefault="007B34D8" w:rsidP="0068569C">
      <w:pPr>
        <w:spacing w:after="0" w:line="240" w:lineRule="auto"/>
      </w:pPr>
      <w:r>
        <w:separator/>
      </w:r>
    </w:p>
  </w:endnote>
  <w:endnote w:type="continuationSeparator" w:id="0">
    <w:p w14:paraId="5E7DE38C" w14:textId="77777777" w:rsidR="007B34D8" w:rsidRDefault="007B34D8" w:rsidP="0068569C">
      <w:pPr>
        <w:spacing w:after="0" w:line="240" w:lineRule="auto"/>
      </w:pPr>
      <w:r>
        <w:continuationSeparator/>
      </w:r>
    </w:p>
  </w:endnote>
  <w:endnote w:type="continuationNotice" w:id="1">
    <w:p w14:paraId="7B913599" w14:textId="77777777" w:rsidR="007B34D8" w:rsidRDefault="007B3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ADBC" w14:textId="0DC02426" w:rsidR="00266AF4" w:rsidRDefault="00A60DA8">
    <w:pPr>
      <w:pStyle w:val="Footer"/>
    </w:pPr>
    <w:r>
      <w:rPr>
        <w:noProof/>
      </w:rPr>
      <mc:AlternateContent>
        <mc:Choice Requires="wps">
          <w:drawing>
            <wp:anchor distT="0" distB="0" distL="0" distR="0" simplePos="0" relativeHeight="251658752" behindDoc="0" locked="0" layoutInCell="1" allowOverlap="1" wp14:anchorId="6A139ECE" wp14:editId="2EEEA492">
              <wp:simplePos x="635" y="635"/>
              <wp:positionH relativeFrom="page">
                <wp:align>center</wp:align>
              </wp:positionH>
              <wp:positionV relativeFrom="page">
                <wp:align>bottom</wp:align>
              </wp:positionV>
              <wp:extent cx="459740" cy="357505"/>
              <wp:effectExtent l="0" t="0" r="16510" b="0"/>
              <wp:wrapNone/>
              <wp:docPr id="2475376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E798DBA" w14:textId="083EDBC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39ECE"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2E798DBA" w14:textId="083EDBC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08F" w14:textId="1A7E7B56" w:rsidR="00266AF4" w:rsidRDefault="00A60DA8">
    <w:pPr>
      <w:pStyle w:val="Footer"/>
    </w:pPr>
    <w:r>
      <w:rPr>
        <w:noProof/>
      </w:rPr>
      <mc:AlternateContent>
        <mc:Choice Requires="wps">
          <w:drawing>
            <wp:anchor distT="0" distB="0" distL="0" distR="0" simplePos="0" relativeHeight="251659776" behindDoc="0" locked="0" layoutInCell="1" allowOverlap="1" wp14:anchorId="6E825EDF" wp14:editId="142C2E96">
              <wp:simplePos x="635" y="635"/>
              <wp:positionH relativeFrom="page">
                <wp:align>center</wp:align>
              </wp:positionH>
              <wp:positionV relativeFrom="page">
                <wp:align>bottom</wp:align>
              </wp:positionV>
              <wp:extent cx="459740" cy="357505"/>
              <wp:effectExtent l="0" t="0" r="16510" b="0"/>
              <wp:wrapNone/>
              <wp:docPr id="18922132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72543DB" w14:textId="2BA8F85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25EDF"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372543DB" w14:textId="2BA8F85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49DAA" w14:textId="5F7E9D7E" w:rsidR="00266AF4" w:rsidRDefault="00A60DA8">
    <w:pPr>
      <w:pStyle w:val="Footer"/>
    </w:pPr>
    <w:r>
      <w:rPr>
        <w:noProof/>
      </w:rPr>
      <mc:AlternateContent>
        <mc:Choice Requires="wps">
          <w:drawing>
            <wp:anchor distT="0" distB="0" distL="0" distR="0" simplePos="0" relativeHeight="251657728" behindDoc="0" locked="0" layoutInCell="1" allowOverlap="1" wp14:anchorId="02A3C30E" wp14:editId="792D51A8">
              <wp:simplePos x="635" y="635"/>
              <wp:positionH relativeFrom="page">
                <wp:align>center</wp:align>
              </wp:positionH>
              <wp:positionV relativeFrom="page">
                <wp:align>bottom</wp:align>
              </wp:positionV>
              <wp:extent cx="459740" cy="357505"/>
              <wp:effectExtent l="0" t="0" r="16510" b="0"/>
              <wp:wrapNone/>
              <wp:docPr id="16766830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32CDECC" w14:textId="2B6C054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3C30E"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432CDECC" w14:textId="2B6C054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C569B" w14:textId="77777777" w:rsidR="007B34D8" w:rsidRDefault="007B34D8" w:rsidP="0068569C">
      <w:pPr>
        <w:spacing w:after="0" w:line="240" w:lineRule="auto"/>
      </w:pPr>
      <w:r>
        <w:separator/>
      </w:r>
    </w:p>
  </w:footnote>
  <w:footnote w:type="continuationSeparator" w:id="0">
    <w:p w14:paraId="6B0C52D6" w14:textId="77777777" w:rsidR="007B34D8" w:rsidRDefault="007B34D8" w:rsidP="0068569C">
      <w:pPr>
        <w:spacing w:after="0" w:line="240" w:lineRule="auto"/>
      </w:pPr>
      <w:r>
        <w:continuationSeparator/>
      </w:r>
    </w:p>
  </w:footnote>
  <w:footnote w:type="continuationNotice" w:id="1">
    <w:p w14:paraId="7ADA2C49" w14:textId="77777777" w:rsidR="007B34D8" w:rsidRDefault="007B34D8">
      <w:pPr>
        <w:spacing w:after="0" w:line="240" w:lineRule="auto"/>
      </w:pPr>
    </w:p>
  </w:footnote>
  <w:footnote w:id="2">
    <w:p w14:paraId="70F3F14A" w14:textId="77777777" w:rsidR="00497B29" w:rsidRDefault="00497B29" w:rsidP="00497B29">
      <w:pPr>
        <w:pStyle w:val="FootnoteText"/>
      </w:pPr>
      <w:r>
        <w:rPr>
          <w:rStyle w:val="FootnoteReference"/>
        </w:rPr>
        <w:footnoteRef/>
      </w:r>
      <w:r>
        <w:t xml:space="preserve"> </w:t>
      </w:r>
      <w:r w:rsidRPr="005E1E0A">
        <w:t>Shift Insight, UK Reproducibility Network &amp; Vitae. Research Culture Initiatives in the UK, 2024.</w:t>
      </w:r>
    </w:p>
  </w:footnote>
  <w:footnote w:id="3">
    <w:p w14:paraId="7B7C3155" w14:textId="408DCDC7" w:rsidR="00A95890" w:rsidRDefault="00A95890">
      <w:pPr>
        <w:pStyle w:val="FootnoteText"/>
      </w:pPr>
      <w:r>
        <w:rPr>
          <w:rStyle w:val="FootnoteReference"/>
        </w:rPr>
        <w:footnoteRef/>
      </w:r>
      <w:r>
        <w:t xml:space="preserve"> </w:t>
      </w:r>
      <w:hyperlink r:id="rId1" w:anchor="section-objective-2:-world-class-places" w:history="1">
        <w:r w:rsidRPr="00A95890">
          <w:rPr>
            <w:rStyle w:val="Hyperlink"/>
          </w:rPr>
          <w:t>UKRI Strategy 2022-2027</w:t>
        </w:r>
      </w:hyperlink>
    </w:p>
  </w:footnote>
  <w:footnote w:id="4">
    <w:p w14:paraId="38165609" w14:textId="3B3AF960" w:rsidR="00785320" w:rsidRDefault="00785320">
      <w:pPr>
        <w:pStyle w:val="FootnoteText"/>
      </w:pPr>
      <w:r>
        <w:rPr>
          <w:rStyle w:val="FootnoteReference"/>
        </w:rPr>
        <w:footnoteRef/>
      </w:r>
      <w:r>
        <w:t xml:space="preserve"> T</w:t>
      </w:r>
      <w:r w:rsidRPr="00AA0FC8">
        <w:t>h</w:t>
      </w:r>
      <w:r>
        <w:t>e</w:t>
      </w:r>
      <w:r w:rsidRPr="00AA0FC8">
        <w:t xml:space="preserve"> research resource hub brings together policies, standards and guidance to support researchers, innovators and organisations, nurturing an inclusive research and innovation environment.</w:t>
      </w:r>
      <w:r>
        <w:t xml:space="preserve"> </w:t>
      </w:r>
      <w:hyperlink r:id="rId2" w:history="1">
        <w:r w:rsidRPr="00097514">
          <w:rPr>
            <w:rStyle w:val="Hyperlink"/>
          </w:rPr>
          <w:t>https://www.ukri.org/manage-your-award/good-research-resource-hub/</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457F" w14:textId="262673C9" w:rsidR="00266AF4" w:rsidRDefault="00A60DA8">
    <w:pPr>
      <w:pStyle w:val="Header"/>
    </w:pPr>
    <w:r>
      <w:rPr>
        <w:noProof/>
      </w:rPr>
      <mc:AlternateContent>
        <mc:Choice Requires="wps">
          <w:drawing>
            <wp:anchor distT="0" distB="0" distL="0" distR="0" simplePos="0" relativeHeight="251655680" behindDoc="0" locked="0" layoutInCell="1" allowOverlap="1" wp14:anchorId="4C1A406D" wp14:editId="25ECC7A9">
              <wp:simplePos x="635" y="635"/>
              <wp:positionH relativeFrom="page">
                <wp:align>center</wp:align>
              </wp:positionH>
              <wp:positionV relativeFrom="page">
                <wp:align>top</wp:align>
              </wp:positionV>
              <wp:extent cx="459740" cy="357505"/>
              <wp:effectExtent l="0" t="0" r="16510" b="4445"/>
              <wp:wrapNone/>
              <wp:docPr id="14716719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ACBB977" w14:textId="7497148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A406D"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ACBB977" w14:textId="7497148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BD3E" w14:textId="7E184814" w:rsidR="00266AF4" w:rsidRDefault="00A60DA8">
    <w:pPr>
      <w:pStyle w:val="Header"/>
    </w:pPr>
    <w:r>
      <w:rPr>
        <w:noProof/>
      </w:rPr>
      <mc:AlternateContent>
        <mc:Choice Requires="wps">
          <w:drawing>
            <wp:anchor distT="0" distB="0" distL="0" distR="0" simplePos="0" relativeHeight="251656704" behindDoc="0" locked="0" layoutInCell="1" allowOverlap="1" wp14:anchorId="62FC24AF" wp14:editId="07B46761">
              <wp:simplePos x="635" y="635"/>
              <wp:positionH relativeFrom="page">
                <wp:align>center</wp:align>
              </wp:positionH>
              <wp:positionV relativeFrom="page">
                <wp:align>top</wp:align>
              </wp:positionV>
              <wp:extent cx="459740" cy="357505"/>
              <wp:effectExtent l="0" t="0" r="16510" b="4445"/>
              <wp:wrapNone/>
              <wp:docPr id="19414117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5E71994" w14:textId="3DCD28D2"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C24AF"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75E71994" w14:textId="3DCD28D2"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p w14:paraId="2C6547D6" w14:textId="75F6C9E2" w:rsidR="00266AF4" w:rsidRDefault="00266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BF61" w14:textId="0F8831A3" w:rsidR="00266AF4" w:rsidRDefault="00A60DA8">
    <w:pPr>
      <w:pStyle w:val="Header"/>
    </w:pPr>
    <w:r>
      <w:rPr>
        <w:noProof/>
      </w:rPr>
      <mc:AlternateContent>
        <mc:Choice Requires="wps">
          <w:drawing>
            <wp:anchor distT="0" distB="0" distL="0" distR="0" simplePos="0" relativeHeight="251654656" behindDoc="0" locked="0" layoutInCell="1" allowOverlap="1" wp14:anchorId="747D8C9C" wp14:editId="7E03F725">
              <wp:simplePos x="635" y="635"/>
              <wp:positionH relativeFrom="page">
                <wp:align>center</wp:align>
              </wp:positionH>
              <wp:positionV relativeFrom="page">
                <wp:align>top</wp:align>
              </wp:positionV>
              <wp:extent cx="459740" cy="357505"/>
              <wp:effectExtent l="0" t="0" r="16510" b="4445"/>
              <wp:wrapNone/>
              <wp:docPr id="19486450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A9E8D05" w14:textId="3F94D774"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7D8C9C"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4A9E8D05" w14:textId="3F94D774"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841"/>
    <w:multiLevelType w:val="hybridMultilevel"/>
    <w:tmpl w:val="D9169F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95A44"/>
    <w:multiLevelType w:val="hybridMultilevel"/>
    <w:tmpl w:val="DC9E3A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75625"/>
    <w:multiLevelType w:val="hybridMultilevel"/>
    <w:tmpl w:val="1C8EC4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6D7CAC"/>
    <w:multiLevelType w:val="hybridMultilevel"/>
    <w:tmpl w:val="5F8296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7F7E1A"/>
    <w:multiLevelType w:val="hybridMultilevel"/>
    <w:tmpl w:val="C6368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74EE6"/>
    <w:multiLevelType w:val="hybridMultilevel"/>
    <w:tmpl w:val="2AEE6E16"/>
    <w:lvl w:ilvl="0" w:tplc="C1603972">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422FB"/>
    <w:multiLevelType w:val="hybridMultilevel"/>
    <w:tmpl w:val="DC9E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90FB4"/>
    <w:multiLevelType w:val="hybridMultilevel"/>
    <w:tmpl w:val="5E543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AE370A"/>
    <w:multiLevelType w:val="hybridMultilevel"/>
    <w:tmpl w:val="62FA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77A05"/>
    <w:multiLevelType w:val="hybridMultilevel"/>
    <w:tmpl w:val="E6D4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777E9"/>
    <w:multiLevelType w:val="hybridMultilevel"/>
    <w:tmpl w:val="7792A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3311E"/>
    <w:multiLevelType w:val="multilevel"/>
    <w:tmpl w:val="0560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2D41D7"/>
    <w:multiLevelType w:val="hybridMultilevel"/>
    <w:tmpl w:val="BBCE7580"/>
    <w:lvl w:ilvl="0" w:tplc="AF80378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3650E5"/>
    <w:multiLevelType w:val="hybridMultilevel"/>
    <w:tmpl w:val="4D24F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06C91"/>
    <w:multiLevelType w:val="hybridMultilevel"/>
    <w:tmpl w:val="1F3802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56132B"/>
    <w:multiLevelType w:val="hybridMultilevel"/>
    <w:tmpl w:val="9A10D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503565"/>
    <w:multiLevelType w:val="hybridMultilevel"/>
    <w:tmpl w:val="453469EC"/>
    <w:lvl w:ilvl="0" w:tplc="FFFFFFFF">
      <w:start w:val="1"/>
      <w:numFmt w:val="decimal"/>
      <w:lvlText w:val="%1."/>
      <w:lvlJc w:val="left"/>
      <w:pPr>
        <w:ind w:left="720" w:hanging="360"/>
      </w:pPr>
      <w:rPr>
        <w:rFonts w:hint="default"/>
        <w:b w:val="0"/>
        <w:b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26882"/>
    <w:multiLevelType w:val="hybridMultilevel"/>
    <w:tmpl w:val="0122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D031B"/>
    <w:multiLevelType w:val="hybridMultilevel"/>
    <w:tmpl w:val="CB5C1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D4EA7"/>
    <w:multiLevelType w:val="hybridMultilevel"/>
    <w:tmpl w:val="A992B820"/>
    <w:lvl w:ilvl="0" w:tplc="8E7CA912">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9E5EA6"/>
    <w:multiLevelType w:val="multilevel"/>
    <w:tmpl w:val="C79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71797A"/>
    <w:multiLevelType w:val="hybridMultilevel"/>
    <w:tmpl w:val="A8F4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F0F42"/>
    <w:multiLevelType w:val="hybridMultilevel"/>
    <w:tmpl w:val="FAB475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BC2ACB"/>
    <w:multiLevelType w:val="hybridMultilevel"/>
    <w:tmpl w:val="C0BC63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F338CF"/>
    <w:multiLevelType w:val="hybridMultilevel"/>
    <w:tmpl w:val="183C2A5A"/>
    <w:lvl w:ilvl="0" w:tplc="D6981B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03BA9"/>
    <w:multiLevelType w:val="hybridMultilevel"/>
    <w:tmpl w:val="1E0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160513">
    <w:abstractNumId w:val="25"/>
  </w:num>
  <w:num w:numId="2" w16cid:durableId="782463203">
    <w:abstractNumId w:val="9"/>
  </w:num>
  <w:num w:numId="3" w16cid:durableId="1804077064">
    <w:abstractNumId w:val="17"/>
  </w:num>
  <w:num w:numId="4" w16cid:durableId="1134442964">
    <w:abstractNumId w:val="18"/>
  </w:num>
  <w:num w:numId="5" w16cid:durableId="1753433704">
    <w:abstractNumId w:val="20"/>
  </w:num>
  <w:num w:numId="6" w16cid:durableId="1538857851">
    <w:abstractNumId w:val="7"/>
  </w:num>
  <w:num w:numId="7" w16cid:durableId="1290470899">
    <w:abstractNumId w:val="0"/>
  </w:num>
  <w:num w:numId="8" w16cid:durableId="1695417985">
    <w:abstractNumId w:val="10"/>
  </w:num>
  <w:num w:numId="9" w16cid:durableId="1681197244">
    <w:abstractNumId w:val="11"/>
  </w:num>
  <w:num w:numId="10" w16cid:durableId="1784883139">
    <w:abstractNumId w:val="12"/>
  </w:num>
  <w:num w:numId="11" w16cid:durableId="989140235">
    <w:abstractNumId w:val="21"/>
  </w:num>
  <w:num w:numId="12" w16cid:durableId="1293637547">
    <w:abstractNumId w:val="15"/>
  </w:num>
  <w:num w:numId="13" w16cid:durableId="1941646547">
    <w:abstractNumId w:val="6"/>
  </w:num>
  <w:num w:numId="14" w16cid:durableId="368918991">
    <w:abstractNumId w:val="22"/>
  </w:num>
  <w:num w:numId="15" w16cid:durableId="561674022">
    <w:abstractNumId w:val="8"/>
  </w:num>
  <w:num w:numId="16" w16cid:durableId="1230964595">
    <w:abstractNumId w:val="19"/>
  </w:num>
  <w:num w:numId="17" w16cid:durableId="1793858454">
    <w:abstractNumId w:val="26"/>
  </w:num>
  <w:num w:numId="18" w16cid:durableId="1321807385">
    <w:abstractNumId w:val="16"/>
  </w:num>
  <w:num w:numId="19" w16cid:durableId="2049914702">
    <w:abstractNumId w:val="13"/>
  </w:num>
  <w:num w:numId="20" w16cid:durableId="1438409554">
    <w:abstractNumId w:val="14"/>
  </w:num>
  <w:num w:numId="21" w16cid:durableId="1860000869">
    <w:abstractNumId w:val="24"/>
  </w:num>
  <w:num w:numId="22" w16cid:durableId="243229244">
    <w:abstractNumId w:val="23"/>
  </w:num>
  <w:num w:numId="23" w16cid:durableId="273679223">
    <w:abstractNumId w:val="3"/>
  </w:num>
  <w:num w:numId="24" w16cid:durableId="622272884">
    <w:abstractNumId w:val="4"/>
  </w:num>
  <w:num w:numId="25" w16cid:durableId="841897809">
    <w:abstractNumId w:val="2"/>
  </w:num>
  <w:num w:numId="26" w16cid:durableId="1477601596">
    <w:abstractNumId w:val="5"/>
  </w:num>
  <w:num w:numId="27" w16cid:durableId="158106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jI3MzQzMze0sDBW0lEKTi0uzszPAykwqgUAsRsEriwAAAA="/>
  </w:docVars>
  <w:rsids>
    <w:rsidRoot w:val="00526BC8"/>
    <w:rsid w:val="000114A9"/>
    <w:rsid w:val="00015637"/>
    <w:rsid w:val="00016F1D"/>
    <w:rsid w:val="000172B8"/>
    <w:rsid w:val="000204EC"/>
    <w:rsid w:val="00021C2E"/>
    <w:rsid w:val="00026443"/>
    <w:rsid w:val="00027010"/>
    <w:rsid w:val="00033DF0"/>
    <w:rsid w:val="000425B8"/>
    <w:rsid w:val="00046D6E"/>
    <w:rsid w:val="00054F68"/>
    <w:rsid w:val="000570FA"/>
    <w:rsid w:val="00060AAD"/>
    <w:rsid w:val="0006656E"/>
    <w:rsid w:val="0007547E"/>
    <w:rsid w:val="00076C4A"/>
    <w:rsid w:val="00081CA6"/>
    <w:rsid w:val="000964D6"/>
    <w:rsid w:val="0009750D"/>
    <w:rsid w:val="000A7583"/>
    <w:rsid w:val="000B16A8"/>
    <w:rsid w:val="000C49FB"/>
    <w:rsid w:val="000D016D"/>
    <w:rsid w:val="000D4EF5"/>
    <w:rsid w:val="000E4D48"/>
    <w:rsid w:val="000E79AC"/>
    <w:rsid w:val="000F2345"/>
    <w:rsid w:val="000F355C"/>
    <w:rsid w:val="000F371A"/>
    <w:rsid w:val="000F59F0"/>
    <w:rsid w:val="00101D13"/>
    <w:rsid w:val="0010203B"/>
    <w:rsid w:val="00104AF6"/>
    <w:rsid w:val="00105845"/>
    <w:rsid w:val="001065C5"/>
    <w:rsid w:val="001154E5"/>
    <w:rsid w:val="001316CD"/>
    <w:rsid w:val="00131761"/>
    <w:rsid w:val="001322BF"/>
    <w:rsid w:val="00132B8D"/>
    <w:rsid w:val="001378EB"/>
    <w:rsid w:val="00137C53"/>
    <w:rsid w:val="001401BE"/>
    <w:rsid w:val="0014024D"/>
    <w:rsid w:val="00141247"/>
    <w:rsid w:val="001419AF"/>
    <w:rsid w:val="00142408"/>
    <w:rsid w:val="001433B1"/>
    <w:rsid w:val="00144B0D"/>
    <w:rsid w:val="001525DF"/>
    <w:rsid w:val="00157DA0"/>
    <w:rsid w:val="001604B8"/>
    <w:rsid w:val="00160D26"/>
    <w:rsid w:val="00160E41"/>
    <w:rsid w:val="00162CB4"/>
    <w:rsid w:val="001665EC"/>
    <w:rsid w:val="001700E8"/>
    <w:rsid w:val="00170876"/>
    <w:rsid w:val="00173B26"/>
    <w:rsid w:val="0017621F"/>
    <w:rsid w:val="00177882"/>
    <w:rsid w:val="00177EDF"/>
    <w:rsid w:val="00183D75"/>
    <w:rsid w:val="0019030A"/>
    <w:rsid w:val="00191F3D"/>
    <w:rsid w:val="00194FD7"/>
    <w:rsid w:val="001A0CB5"/>
    <w:rsid w:val="001A3D9D"/>
    <w:rsid w:val="001A4995"/>
    <w:rsid w:val="001A5E6D"/>
    <w:rsid w:val="001A611D"/>
    <w:rsid w:val="001B2496"/>
    <w:rsid w:val="001B7D1A"/>
    <w:rsid w:val="001C3755"/>
    <w:rsid w:val="001C704C"/>
    <w:rsid w:val="001D2575"/>
    <w:rsid w:val="001E0D32"/>
    <w:rsid w:val="001E47CE"/>
    <w:rsid w:val="001F07DC"/>
    <w:rsid w:val="001F2790"/>
    <w:rsid w:val="001F3820"/>
    <w:rsid w:val="00200EBB"/>
    <w:rsid w:val="00204122"/>
    <w:rsid w:val="002106A2"/>
    <w:rsid w:val="002108C4"/>
    <w:rsid w:val="002119D2"/>
    <w:rsid w:val="00216E8D"/>
    <w:rsid w:val="0021712A"/>
    <w:rsid w:val="00222FF4"/>
    <w:rsid w:val="002255D2"/>
    <w:rsid w:val="002270B6"/>
    <w:rsid w:val="0023422F"/>
    <w:rsid w:val="00235E3A"/>
    <w:rsid w:val="00241C80"/>
    <w:rsid w:val="00245130"/>
    <w:rsid w:val="0024547E"/>
    <w:rsid w:val="00245CAF"/>
    <w:rsid w:val="00253E0D"/>
    <w:rsid w:val="00255257"/>
    <w:rsid w:val="00260E1E"/>
    <w:rsid w:val="00261F7A"/>
    <w:rsid w:val="0026281C"/>
    <w:rsid w:val="0026661A"/>
    <w:rsid w:val="00266AF4"/>
    <w:rsid w:val="0026709A"/>
    <w:rsid w:val="002703D4"/>
    <w:rsid w:val="00274AB5"/>
    <w:rsid w:val="00275354"/>
    <w:rsid w:val="00276D54"/>
    <w:rsid w:val="00283EB6"/>
    <w:rsid w:val="00284619"/>
    <w:rsid w:val="002876AB"/>
    <w:rsid w:val="0029153B"/>
    <w:rsid w:val="00291DFF"/>
    <w:rsid w:val="002928DB"/>
    <w:rsid w:val="00294896"/>
    <w:rsid w:val="00296718"/>
    <w:rsid w:val="002A5866"/>
    <w:rsid w:val="002A67B9"/>
    <w:rsid w:val="002A720A"/>
    <w:rsid w:val="002B1B2E"/>
    <w:rsid w:val="002B29C6"/>
    <w:rsid w:val="002C051A"/>
    <w:rsid w:val="002C1E4A"/>
    <w:rsid w:val="002C4290"/>
    <w:rsid w:val="002D264D"/>
    <w:rsid w:val="002D6BFF"/>
    <w:rsid w:val="002E0DC9"/>
    <w:rsid w:val="002E2082"/>
    <w:rsid w:val="002E6712"/>
    <w:rsid w:val="002F1472"/>
    <w:rsid w:val="002F5557"/>
    <w:rsid w:val="00301AFA"/>
    <w:rsid w:val="0030271A"/>
    <w:rsid w:val="003051B2"/>
    <w:rsid w:val="00306C85"/>
    <w:rsid w:val="00313ED4"/>
    <w:rsid w:val="00315660"/>
    <w:rsid w:val="00320C2D"/>
    <w:rsid w:val="00321B2C"/>
    <w:rsid w:val="00323475"/>
    <w:rsid w:val="00325F28"/>
    <w:rsid w:val="00331C17"/>
    <w:rsid w:val="00332609"/>
    <w:rsid w:val="00334253"/>
    <w:rsid w:val="00334C8D"/>
    <w:rsid w:val="00341E63"/>
    <w:rsid w:val="00344AAE"/>
    <w:rsid w:val="00345661"/>
    <w:rsid w:val="00354293"/>
    <w:rsid w:val="003558F0"/>
    <w:rsid w:val="003564BF"/>
    <w:rsid w:val="00367A21"/>
    <w:rsid w:val="00370F15"/>
    <w:rsid w:val="003745D7"/>
    <w:rsid w:val="003759E2"/>
    <w:rsid w:val="00376C9B"/>
    <w:rsid w:val="00381A4B"/>
    <w:rsid w:val="00391E18"/>
    <w:rsid w:val="003934BB"/>
    <w:rsid w:val="00396299"/>
    <w:rsid w:val="00396387"/>
    <w:rsid w:val="003A101E"/>
    <w:rsid w:val="003A7083"/>
    <w:rsid w:val="003A7977"/>
    <w:rsid w:val="003B1110"/>
    <w:rsid w:val="003B5A6D"/>
    <w:rsid w:val="003B5C19"/>
    <w:rsid w:val="003B7052"/>
    <w:rsid w:val="003B7D07"/>
    <w:rsid w:val="003C0D7C"/>
    <w:rsid w:val="003C19CC"/>
    <w:rsid w:val="003C41C5"/>
    <w:rsid w:val="003C5570"/>
    <w:rsid w:val="003C6511"/>
    <w:rsid w:val="003D0CEC"/>
    <w:rsid w:val="003D0F48"/>
    <w:rsid w:val="003D11CC"/>
    <w:rsid w:val="003D211A"/>
    <w:rsid w:val="003D720A"/>
    <w:rsid w:val="003E074D"/>
    <w:rsid w:val="003E153B"/>
    <w:rsid w:val="003E1F29"/>
    <w:rsid w:val="003E47B4"/>
    <w:rsid w:val="003F0A6B"/>
    <w:rsid w:val="003F1A1D"/>
    <w:rsid w:val="00403C1B"/>
    <w:rsid w:val="00412773"/>
    <w:rsid w:val="00412A85"/>
    <w:rsid w:val="0041325D"/>
    <w:rsid w:val="004164C0"/>
    <w:rsid w:val="00416F97"/>
    <w:rsid w:val="00417212"/>
    <w:rsid w:val="00417487"/>
    <w:rsid w:val="00420FB1"/>
    <w:rsid w:val="00421068"/>
    <w:rsid w:val="0042145E"/>
    <w:rsid w:val="0042169E"/>
    <w:rsid w:val="00425F5F"/>
    <w:rsid w:val="00427A45"/>
    <w:rsid w:val="0043040E"/>
    <w:rsid w:val="004336BF"/>
    <w:rsid w:val="0044072D"/>
    <w:rsid w:val="00441D90"/>
    <w:rsid w:val="004475E3"/>
    <w:rsid w:val="00455D53"/>
    <w:rsid w:val="004577C4"/>
    <w:rsid w:val="00457D67"/>
    <w:rsid w:val="00457DF2"/>
    <w:rsid w:val="00461859"/>
    <w:rsid w:val="0046338A"/>
    <w:rsid w:val="0046748E"/>
    <w:rsid w:val="00473D36"/>
    <w:rsid w:val="00475753"/>
    <w:rsid w:val="0047608F"/>
    <w:rsid w:val="00480650"/>
    <w:rsid w:val="0048193D"/>
    <w:rsid w:val="0048260C"/>
    <w:rsid w:val="00486FBC"/>
    <w:rsid w:val="00496AE1"/>
    <w:rsid w:val="00496BD7"/>
    <w:rsid w:val="00497319"/>
    <w:rsid w:val="00497B29"/>
    <w:rsid w:val="004A1EC0"/>
    <w:rsid w:val="004A6EEE"/>
    <w:rsid w:val="004B0293"/>
    <w:rsid w:val="004B3E59"/>
    <w:rsid w:val="004C124C"/>
    <w:rsid w:val="004C677E"/>
    <w:rsid w:val="004C6C91"/>
    <w:rsid w:val="004C7788"/>
    <w:rsid w:val="004D022F"/>
    <w:rsid w:val="004D1707"/>
    <w:rsid w:val="004D23A4"/>
    <w:rsid w:val="004D7BA1"/>
    <w:rsid w:val="004E0A87"/>
    <w:rsid w:val="004E7C58"/>
    <w:rsid w:val="004F0D7F"/>
    <w:rsid w:val="0050242E"/>
    <w:rsid w:val="00511CC7"/>
    <w:rsid w:val="00512FB6"/>
    <w:rsid w:val="00521B9D"/>
    <w:rsid w:val="00526BC8"/>
    <w:rsid w:val="00531654"/>
    <w:rsid w:val="0053407F"/>
    <w:rsid w:val="00541763"/>
    <w:rsid w:val="00542BDB"/>
    <w:rsid w:val="0054531A"/>
    <w:rsid w:val="005503F2"/>
    <w:rsid w:val="00564E5C"/>
    <w:rsid w:val="00570E75"/>
    <w:rsid w:val="00571A8A"/>
    <w:rsid w:val="00572FCA"/>
    <w:rsid w:val="00590E7E"/>
    <w:rsid w:val="00594CD7"/>
    <w:rsid w:val="005B36F0"/>
    <w:rsid w:val="005B4A2B"/>
    <w:rsid w:val="005B4BBD"/>
    <w:rsid w:val="005B639E"/>
    <w:rsid w:val="005C5C55"/>
    <w:rsid w:val="005D0302"/>
    <w:rsid w:val="005D0EC5"/>
    <w:rsid w:val="005D7268"/>
    <w:rsid w:val="005E3FE0"/>
    <w:rsid w:val="005E4675"/>
    <w:rsid w:val="005E4E80"/>
    <w:rsid w:val="005F181C"/>
    <w:rsid w:val="005F4619"/>
    <w:rsid w:val="0061437B"/>
    <w:rsid w:val="0061439E"/>
    <w:rsid w:val="00614599"/>
    <w:rsid w:val="0061690C"/>
    <w:rsid w:val="00620EE1"/>
    <w:rsid w:val="006211E7"/>
    <w:rsid w:val="00622F1E"/>
    <w:rsid w:val="00623A7E"/>
    <w:rsid w:val="00632354"/>
    <w:rsid w:val="00634D63"/>
    <w:rsid w:val="0063589C"/>
    <w:rsid w:val="0063617B"/>
    <w:rsid w:val="00637639"/>
    <w:rsid w:val="00641FC7"/>
    <w:rsid w:val="0064490F"/>
    <w:rsid w:val="006458E3"/>
    <w:rsid w:val="006613EC"/>
    <w:rsid w:val="00665257"/>
    <w:rsid w:val="00667D14"/>
    <w:rsid w:val="006703EE"/>
    <w:rsid w:val="0067172C"/>
    <w:rsid w:val="00672627"/>
    <w:rsid w:val="00672AF7"/>
    <w:rsid w:val="00672E9E"/>
    <w:rsid w:val="00677F4B"/>
    <w:rsid w:val="00681CE6"/>
    <w:rsid w:val="0068475F"/>
    <w:rsid w:val="0068569C"/>
    <w:rsid w:val="00686E7F"/>
    <w:rsid w:val="0069049F"/>
    <w:rsid w:val="006A41B0"/>
    <w:rsid w:val="006A7137"/>
    <w:rsid w:val="006B0784"/>
    <w:rsid w:val="006C67AC"/>
    <w:rsid w:val="006D6CF9"/>
    <w:rsid w:val="006E2A60"/>
    <w:rsid w:val="006E410D"/>
    <w:rsid w:val="006E56C0"/>
    <w:rsid w:val="006F3DDE"/>
    <w:rsid w:val="006F41E6"/>
    <w:rsid w:val="006F64D6"/>
    <w:rsid w:val="006F6934"/>
    <w:rsid w:val="00704459"/>
    <w:rsid w:val="00705333"/>
    <w:rsid w:val="00705F6C"/>
    <w:rsid w:val="0071086E"/>
    <w:rsid w:val="007205E3"/>
    <w:rsid w:val="00732552"/>
    <w:rsid w:val="007340F9"/>
    <w:rsid w:val="007342A3"/>
    <w:rsid w:val="00734C1C"/>
    <w:rsid w:val="00746333"/>
    <w:rsid w:val="00750058"/>
    <w:rsid w:val="00750C69"/>
    <w:rsid w:val="00754371"/>
    <w:rsid w:val="00764152"/>
    <w:rsid w:val="007661C4"/>
    <w:rsid w:val="00767C04"/>
    <w:rsid w:val="00770CFD"/>
    <w:rsid w:val="00774BC2"/>
    <w:rsid w:val="0077506C"/>
    <w:rsid w:val="00781A40"/>
    <w:rsid w:val="00785320"/>
    <w:rsid w:val="007864AD"/>
    <w:rsid w:val="00792587"/>
    <w:rsid w:val="00793EE5"/>
    <w:rsid w:val="007A0796"/>
    <w:rsid w:val="007A3D2F"/>
    <w:rsid w:val="007A45E6"/>
    <w:rsid w:val="007B14C0"/>
    <w:rsid w:val="007B34D8"/>
    <w:rsid w:val="007B62C1"/>
    <w:rsid w:val="007B78AE"/>
    <w:rsid w:val="007C0E75"/>
    <w:rsid w:val="007C64E5"/>
    <w:rsid w:val="007D7F89"/>
    <w:rsid w:val="007E49C2"/>
    <w:rsid w:val="007E7BF2"/>
    <w:rsid w:val="007F0CE6"/>
    <w:rsid w:val="007F204D"/>
    <w:rsid w:val="007F72A4"/>
    <w:rsid w:val="00801B0D"/>
    <w:rsid w:val="00814F48"/>
    <w:rsid w:val="0081652C"/>
    <w:rsid w:val="00816D29"/>
    <w:rsid w:val="00816E5E"/>
    <w:rsid w:val="0082019E"/>
    <w:rsid w:val="00820E93"/>
    <w:rsid w:val="00821E25"/>
    <w:rsid w:val="00822B3C"/>
    <w:rsid w:val="0082554F"/>
    <w:rsid w:val="00826DC8"/>
    <w:rsid w:val="0082731A"/>
    <w:rsid w:val="00831CE5"/>
    <w:rsid w:val="00831E7A"/>
    <w:rsid w:val="00840287"/>
    <w:rsid w:val="0084076C"/>
    <w:rsid w:val="00842476"/>
    <w:rsid w:val="00843198"/>
    <w:rsid w:val="00843CB4"/>
    <w:rsid w:val="008440C5"/>
    <w:rsid w:val="008551BF"/>
    <w:rsid w:val="008740CC"/>
    <w:rsid w:val="00881C9D"/>
    <w:rsid w:val="00883D22"/>
    <w:rsid w:val="0088587D"/>
    <w:rsid w:val="00885E7E"/>
    <w:rsid w:val="0089389E"/>
    <w:rsid w:val="00897DBF"/>
    <w:rsid w:val="008A12CC"/>
    <w:rsid w:val="008A42A5"/>
    <w:rsid w:val="008A4D58"/>
    <w:rsid w:val="008A6778"/>
    <w:rsid w:val="008B33FF"/>
    <w:rsid w:val="008B36C1"/>
    <w:rsid w:val="008B4C3C"/>
    <w:rsid w:val="008B551B"/>
    <w:rsid w:val="008B7FA9"/>
    <w:rsid w:val="008C040F"/>
    <w:rsid w:val="008D0F0C"/>
    <w:rsid w:val="008E4094"/>
    <w:rsid w:val="008E4636"/>
    <w:rsid w:val="008F662F"/>
    <w:rsid w:val="0090380A"/>
    <w:rsid w:val="00911F5A"/>
    <w:rsid w:val="009137CF"/>
    <w:rsid w:val="0092118C"/>
    <w:rsid w:val="0092370E"/>
    <w:rsid w:val="00925C22"/>
    <w:rsid w:val="009266BF"/>
    <w:rsid w:val="00930362"/>
    <w:rsid w:val="00931B8A"/>
    <w:rsid w:val="00935A3C"/>
    <w:rsid w:val="00936484"/>
    <w:rsid w:val="00936912"/>
    <w:rsid w:val="0094129E"/>
    <w:rsid w:val="00945AF1"/>
    <w:rsid w:val="00952B77"/>
    <w:rsid w:val="00955128"/>
    <w:rsid w:val="00956B1C"/>
    <w:rsid w:val="00957049"/>
    <w:rsid w:val="009578A2"/>
    <w:rsid w:val="00957D21"/>
    <w:rsid w:val="00962F00"/>
    <w:rsid w:val="00964B8F"/>
    <w:rsid w:val="0096705B"/>
    <w:rsid w:val="009729AD"/>
    <w:rsid w:val="00974116"/>
    <w:rsid w:val="0097535B"/>
    <w:rsid w:val="00981828"/>
    <w:rsid w:val="00984AE7"/>
    <w:rsid w:val="00986D35"/>
    <w:rsid w:val="00990C55"/>
    <w:rsid w:val="00990FBE"/>
    <w:rsid w:val="009919BD"/>
    <w:rsid w:val="00996914"/>
    <w:rsid w:val="009A1AF3"/>
    <w:rsid w:val="009A6682"/>
    <w:rsid w:val="009B23AC"/>
    <w:rsid w:val="009B76A0"/>
    <w:rsid w:val="009B7888"/>
    <w:rsid w:val="009C0090"/>
    <w:rsid w:val="009C088D"/>
    <w:rsid w:val="009C0C35"/>
    <w:rsid w:val="009C278C"/>
    <w:rsid w:val="009D066E"/>
    <w:rsid w:val="009D10EE"/>
    <w:rsid w:val="009D280B"/>
    <w:rsid w:val="009D3E4B"/>
    <w:rsid w:val="009D609D"/>
    <w:rsid w:val="009D7073"/>
    <w:rsid w:val="009E0136"/>
    <w:rsid w:val="009E3DD9"/>
    <w:rsid w:val="009E42E5"/>
    <w:rsid w:val="00A055ED"/>
    <w:rsid w:val="00A12A7C"/>
    <w:rsid w:val="00A12B0F"/>
    <w:rsid w:val="00A16B9D"/>
    <w:rsid w:val="00A23500"/>
    <w:rsid w:val="00A2375E"/>
    <w:rsid w:val="00A25E88"/>
    <w:rsid w:val="00A319C2"/>
    <w:rsid w:val="00A37609"/>
    <w:rsid w:val="00A378D7"/>
    <w:rsid w:val="00A40393"/>
    <w:rsid w:val="00A538BB"/>
    <w:rsid w:val="00A60DA8"/>
    <w:rsid w:val="00A6455B"/>
    <w:rsid w:val="00A671CE"/>
    <w:rsid w:val="00A70EB1"/>
    <w:rsid w:val="00A90A65"/>
    <w:rsid w:val="00A921BD"/>
    <w:rsid w:val="00A9302D"/>
    <w:rsid w:val="00A940FA"/>
    <w:rsid w:val="00A94D0D"/>
    <w:rsid w:val="00A94F94"/>
    <w:rsid w:val="00A95890"/>
    <w:rsid w:val="00AA0FC8"/>
    <w:rsid w:val="00AA38BD"/>
    <w:rsid w:val="00AA3954"/>
    <w:rsid w:val="00AB646D"/>
    <w:rsid w:val="00AC7FB7"/>
    <w:rsid w:val="00AD0582"/>
    <w:rsid w:val="00AD20F2"/>
    <w:rsid w:val="00AD456D"/>
    <w:rsid w:val="00AE124F"/>
    <w:rsid w:val="00AE4D15"/>
    <w:rsid w:val="00AF17E2"/>
    <w:rsid w:val="00AF1B93"/>
    <w:rsid w:val="00AF1BD8"/>
    <w:rsid w:val="00AF4477"/>
    <w:rsid w:val="00B00CD6"/>
    <w:rsid w:val="00B11922"/>
    <w:rsid w:val="00B1380E"/>
    <w:rsid w:val="00B20C1A"/>
    <w:rsid w:val="00B23436"/>
    <w:rsid w:val="00B23863"/>
    <w:rsid w:val="00B24D46"/>
    <w:rsid w:val="00B329DC"/>
    <w:rsid w:val="00B32A83"/>
    <w:rsid w:val="00B33095"/>
    <w:rsid w:val="00B34138"/>
    <w:rsid w:val="00B34C2A"/>
    <w:rsid w:val="00B34F8C"/>
    <w:rsid w:val="00B3569C"/>
    <w:rsid w:val="00B37CD8"/>
    <w:rsid w:val="00B502AC"/>
    <w:rsid w:val="00B56361"/>
    <w:rsid w:val="00B56D56"/>
    <w:rsid w:val="00B60921"/>
    <w:rsid w:val="00B64FA8"/>
    <w:rsid w:val="00B70F78"/>
    <w:rsid w:val="00B721A7"/>
    <w:rsid w:val="00B748FA"/>
    <w:rsid w:val="00B9427A"/>
    <w:rsid w:val="00B9427F"/>
    <w:rsid w:val="00BA3806"/>
    <w:rsid w:val="00BC08A9"/>
    <w:rsid w:val="00BD30A4"/>
    <w:rsid w:val="00BE7DA2"/>
    <w:rsid w:val="00BF08D9"/>
    <w:rsid w:val="00BF08FE"/>
    <w:rsid w:val="00BF0BC5"/>
    <w:rsid w:val="00BF0F9E"/>
    <w:rsid w:val="00BF2648"/>
    <w:rsid w:val="00BF4C4F"/>
    <w:rsid w:val="00C03B01"/>
    <w:rsid w:val="00C040FD"/>
    <w:rsid w:val="00C04F51"/>
    <w:rsid w:val="00C20B9C"/>
    <w:rsid w:val="00C2401B"/>
    <w:rsid w:val="00C25747"/>
    <w:rsid w:val="00C260AE"/>
    <w:rsid w:val="00C26443"/>
    <w:rsid w:val="00C346B6"/>
    <w:rsid w:val="00C37660"/>
    <w:rsid w:val="00C42840"/>
    <w:rsid w:val="00C44189"/>
    <w:rsid w:val="00C4473E"/>
    <w:rsid w:val="00C54A44"/>
    <w:rsid w:val="00C572BC"/>
    <w:rsid w:val="00C60F51"/>
    <w:rsid w:val="00C707F2"/>
    <w:rsid w:val="00C76037"/>
    <w:rsid w:val="00C84883"/>
    <w:rsid w:val="00C86BCD"/>
    <w:rsid w:val="00C9161E"/>
    <w:rsid w:val="00C93D3E"/>
    <w:rsid w:val="00C95732"/>
    <w:rsid w:val="00CA0363"/>
    <w:rsid w:val="00CA3128"/>
    <w:rsid w:val="00CB10D7"/>
    <w:rsid w:val="00CB1AAD"/>
    <w:rsid w:val="00CB65C1"/>
    <w:rsid w:val="00CD1E62"/>
    <w:rsid w:val="00CD6FC0"/>
    <w:rsid w:val="00CD7D8E"/>
    <w:rsid w:val="00CE5FDE"/>
    <w:rsid w:val="00CE7B66"/>
    <w:rsid w:val="00CE7DBC"/>
    <w:rsid w:val="00CF008D"/>
    <w:rsid w:val="00CF00FA"/>
    <w:rsid w:val="00CF019C"/>
    <w:rsid w:val="00CF4357"/>
    <w:rsid w:val="00CF629F"/>
    <w:rsid w:val="00CF6DBB"/>
    <w:rsid w:val="00D02552"/>
    <w:rsid w:val="00D04E80"/>
    <w:rsid w:val="00D22EC4"/>
    <w:rsid w:val="00D25D88"/>
    <w:rsid w:val="00D367ED"/>
    <w:rsid w:val="00D4390A"/>
    <w:rsid w:val="00D44DD4"/>
    <w:rsid w:val="00D45964"/>
    <w:rsid w:val="00D523EB"/>
    <w:rsid w:val="00D6461B"/>
    <w:rsid w:val="00D66448"/>
    <w:rsid w:val="00D71C3F"/>
    <w:rsid w:val="00D74439"/>
    <w:rsid w:val="00D76082"/>
    <w:rsid w:val="00D8307F"/>
    <w:rsid w:val="00D853FE"/>
    <w:rsid w:val="00D856B5"/>
    <w:rsid w:val="00D94588"/>
    <w:rsid w:val="00D9467B"/>
    <w:rsid w:val="00D947E4"/>
    <w:rsid w:val="00D95E89"/>
    <w:rsid w:val="00DA1CE6"/>
    <w:rsid w:val="00DA49C2"/>
    <w:rsid w:val="00DA4DE3"/>
    <w:rsid w:val="00DA4FCF"/>
    <w:rsid w:val="00DB4587"/>
    <w:rsid w:val="00DB775C"/>
    <w:rsid w:val="00DC0334"/>
    <w:rsid w:val="00DC33AD"/>
    <w:rsid w:val="00DC42C7"/>
    <w:rsid w:val="00DC5573"/>
    <w:rsid w:val="00DC5AC7"/>
    <w:rsid w:val="00DD3B35"/>
    <w:rsid w:val="00DD3F01"/>
    <w:rsid w:val="00DD61F5"/>
    <w:rsid w:val="00DE0FF8"/>
    <w:rsid w:val="00DE6A52"/>
    <w:rsid w:val="00DE72A4"/>
    <w:rsid w:val="00DF2AA7"/>
    <w:rsid w:val="00DF637E"/>
    <w:rsid w:val="00DF6AB7"/>
    <w:rsid w:val="00E03E53"/>
    <w:rsid w:val="00E15128"/>
    <w:rsid w:val="00E15EFE"/>
    <w:rsid w:val="00E265FA"/>
    <w:rsid w:val="00E26DC2"/>
    <w:rsid w:val="00E32154"/>
    <w:rsid w:val="00E36029"/>
    <w:rsid w:val="00E367F0"/>
    <w:rsid w:val="00E426F7"/>
    <w:rsid w:val="00E4528A"/>
    <w:rsid w:val="00E4574E"/>
    <w:rsid w:val="00E460FB"/>
    <w:rsid w:val="00E46E12"/>
    <w:rsid w:val="00E62BF1"/>
    <w:rsid w:val="00E643BD"/>
    <w:rsid w:val="00E64E20"/>
    <w:rsid w:val="00E7212A"/>
    <w:rsid w:val="00E80432"/>
    <w:rsid w:val="00E859BA"/>
    <w:rsid w:val="00E86880"/>
    <w:rsid w:val="00E86A4A"/>
    <w:rsid w:val="00E9045D"/>
    <w:rsid w:val="00E90E02"/>
    <w:rsid w:val="00E9146B"/>
    <w:rsid w:val="00E9690E"/>
    <w:rsid w:val="00E96E73"/>
    <w:rsid w:val="00EA21FF"/>
    <w:rsid w:val="00EA27FC"/>
    <w:rsid w:val="00EA2FB7"/>
    <w:rsid w:val="00EA45B3"/>
    <w:rsid w:val="00EA4BEC"/>
    <w:rsid w:val="00EA5C3E"/>
    <w:rsid w:val="00EA5D9E"/>
    <w:rsid w:val="00EB2DD6"/>
    <w:rsid w:val="00EB3FC7"/>
    <w:rsid w:val="00EC0F59"/>
    <w:rsid w:val="00EC1193"/>
    <w:rsid w:val="00EC2DD4"/>
    <w:rsid w:val="00EC3BB6"/>
    <w:rsid w:val="00EC6A65"/>
    <w:rsid w:val="00ED1C84"/>
    <w:rsid w:val="00ED2066"/>
    <w:rsid w:val="00ED560C"/>
    <w:rsid w:val="00ED61B2"/>
    <w:rsid w:val="00EE40D2"/>
    <w:rsid w:val="00EF095A"/>
    <w:rsid w:val="00F01976"/>
    <w:rsid w:val="00F070F6"/>
    <w:rsid w:val="00F1012C"/>
    <w:rsid w:val="00F23297"/>
    <w:rsid w:val="00F23597"/>
    <w:rsid w:val="00F27999"/>
    <w:rsid w:val="00F30D72"/>
    <w:rsid w:val="00F40FCD"/>
    <w:rsid w:val="00F45643"/>
    <w:rsid w:val="00F456DB"/>
    <w:rsid w:val="00F461B9"/>
    <w:rsid w:val="00F535F7"/>
    <w:rsid w:val="00F70380"/>
    <w:rsid w:val="00F73DEF"/>
    <w:rsid w:val="00F74C5E"/>
    <w:rsid w:val="00F76090"/>
    <w:rsid w:val="00F82F0A"/>
    <w:rsid w:val="00F83729"/>
    <w:rsid w:val="00F857F0"/>
    <w:rsid w:val="00F91BB6"/>
    <w:rsid w:val="00F91C02"/>
    <w:rsid w:val="00F9510D"/>
    <w:rsid w:val="00F96B6E"/>
    <w:rsid w:val="00F97840"/>
    <w:rsid w:val="00FB12E5"/>
    <w:rsid w:val="00FB1CC6"/>
    <w:rsid w:val="00FB665A"/>
    <w:rsid w:val="00FC43F2"/>
    <w:rsid w:val="00FD0A6F"/>
    <w:rsid w:val="00FD2ACC"/>
    <w:rsid w:val="00FD5237"/>
    <w:rsid w:val="00FE19B8"/>
    <w:rsid w:val="00FE2E10"/>
    <w:rsid w:val="00FE5CFD"/>
    <w:rsid w:val="00FF23DA"/>
    <w:rsid w:val="00FF7820"/>
    <w:rsid w:val="326A171C"/>
    <w:rsid w:val="435366FC"/>
    <w:rsid w:val="75D22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7420D"/>
  <w15:chartTrackingRefBased/>
  <w15:docId w15:val="{ED73347F-5739-4AA3-AB28-F2804C51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1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68569C"/>
    <w:pPr>
      <w:ind w:left="720"/>
      <w:contextualSpacing/>
    </w:pPr>
  </w:style>
  <w:style w:type="character" w:styleId="Hyperlink">
    <w:name w:val="Hyperlink"/>
    <w:basedOn w:val="DefaultParagraphFont"/>
    <w:uiPriority w:val="99"/>
    <w:unhideWhenUsed/>
    <w:rsid w:val="0068569C"/>
    <w:rPr>
      <w:color w:val="0563C1" w:themeColor="hyperlink"/>
      <w:u w:val="single"/>
    </w:rPr>
  </w:style>
  <w:style w:type="paragraph" w:styleId="FootnoteText">
    <w:name w:val="footnote text"/>
    <w:basedOn w:val="Normal"/>
    <w:link w:val="FootnoteTextChar"/>
    <w:uiPriority w:val="99"/>
    <w:unhideWhenUsed/>
    <w:rsid w:val="0068569C"/>
    <w:pPr>
      <w:spacing w:after="0" w:line="240" w:lineRule="auto"/>
    </w:pPr>
    <w:rPr>
      <w:sz w:val="20"/>
      <w:szCs w:val="20"/>
    </w:rPr>
  </w:style>
  <w:style w:type="character" w:customStyle="1" w:styleId="FootnoteTextChar">
    <w:name w:val="Footnote Text Char"/>
    <w:basedOn w:val="DefaultParagraphFont"/>
    <w:link w:val="FootnoteText"/>
    <w:uiPriority w:val="99"/>
    <w:rsid w:val="0068569C"/>
    <w:rPr>
      <w:sz w:val="20"/>
      <w:szCs w:val="20"/>
      <w:lang w:val="en-GB"/>
    </w:rPr>
  </w:style>
  <w:style w:type="character" w:styleId="FootnoteReference">
    <w:name w:val="footnote reference"/>
    <w:basedOn w:val="DefaultParagraphFont"/>
    <w:uiPriority w:val="99"/>
    <w:semiHidden/>
    <w:unhideWhenUsed/>
    <w:rsid w:val="0068569C"/>
    <w:rPr>
      <w:vertAlign w:val="superscript"/>
    </w:rPr>
  </w:style>
  <w:style w:type="character" w:styleId="CommentReference">
    <w:name w:val="annotation reference"/>
    <w:basedOn w:val="DefaultParagraphFont"/>
    <w:uiPriority w:val="99"/>
    <w:semiHidden/>
    <w:unhideWhenUsed/>
    <w:rsid w:val="00EA45B3"/>
    <w:rPr>
      <w:sz w:val="16"/>
      <w:szCs w:val="16"/>
    </w:rPr>
  </w:style>
  <w:style w:type="paragraph" w:styleId="CommentText">
    <w:name w:val="annotation text"/>
    <w:basedOn w:val="Normal"/>
    <w:link w:val="CommentTextChar"/>
    <w:uiPriority w:val="99"/>
    <w:unhideWhenUsed/>
    <w:rsid w:val="00EA45B3"/>
    <w:pPr>
      <w:spacing w:line="240" w:lineRule="auto"/>
    </w:pPr>
    <w:rPr>
      <w:sz w:val="20"/>
      <w:szCs w:val="20"/>
    </w:rPr>
  </w:style>
  <w:style w:type="character" w:customStyle="1" w:styleId="CommentTextChar">
    <w:name w:val="Comment Text Char"/>
    <w:basedOn w:val="DefaultParagraphFont"/>
    <w:link w:val="CommentText"/>
    <w:uiPriority w:val="99"/>
    <w:rsid w:val="00EA45B3"/>
    <w:rPr>
      <w:sz w:val="20"/>
      <w:szCs w:val="20"/>
      <w:lang w:val="en-GB"/>
    </w:rPr>
  </w:style>
  <w:style w:type="character" w:styleId="UnresolvedMention">
    <w:name w:val="Unresolved Mention"/>
    <w:basedOn w:val="DefaultParagraphFont"/>
    <w:uiPriority w:val="99"/>
    <w:semiHidden/>
    <w:unhideWhenUsed/>
    <w:rsid w:val="00AA0F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A38BD"/>
    <w:rPr>
      <w:b/>
      <w:bCs/>
    </w:rPr>
  </w:style>
  <w:style w:type="character" w:customStyle="1" w:styleId="CommentSubjectChar">
    <w:name w:val="Comment Subject Char"/>
    <w:basedOn w:val="CommentTextChar"/>
    <w:link w:val="CommentSubject"/>
    <w:uiPriority w:val="99"/>
    <w:semiHidden/>
    <w:rsid w:val="00AA38BD"/>
    <w:rPr>
      <w:b/>
      <w:bCs/>
      <w:sz w:val="20"/>
      <w:szCs w:val="20"/>
      <w:lang w:val="en-GB"/>
    </w:rPr>
  </w:style>
  <w:style w:type="paragraph" w:styleId="NormalWeb">
    <w:name w:val="Normal (Web)"/>
    <w:basedOn w:val="Normal"/>
    <w:uiPriority w:val="99"/>
    <w:semiHidden/>
    <w:unhideWhenUsed/>
    <w:rsid w:val="005B36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D61F5"/>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C04F51"/>
    <w:rPr>
      <w:lang w:val="en-GB"/>
    </w:rPr>
  </w:style>
  <w:style w:type="character" w:customStyle="1" w:styleId="Heading1Char">
    <w:name w:val="Heading 1 Char"/>
    <w:basedOn w:val="DefaultParagraphFont"/>
    <w:link w:val="Heading1"/>
    <w:uiPriority w:val="9"/>
    <w:rsid w:val="009D10EE"/>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9D10EE"/>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03B"/>
    <w:rPr>
      <w:lang w:val="en-GB"/>
    </w:rPr>
  </w:style>
  <w:style w:type="paragraph" w:styleId="Footer">
    <w:name w:val="footer"/>
    <w:basedOn w:val="Normal"/>
    <w:link w:val="FooterChar"/>
    <w:uiPriority w:val="99"/>
    <w:unhideWhenUsed/>
    <w:rsid w:val="00102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03B"/>
    <w:rPr>
      <w:lang w:val="en-GB"/>
    </w:rPr>
  </w:style>
  <w:style w:type="paragraph" w:styleId="Revision">
    <w:name w:val="Revision"/>
    <w:hidden/>
    <w:uiPriority w:val="99"/>
    <w:semiHidden/>
    <w:rsid w:val="004E0A8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8564">
      <w:bodyDiv w:val="1"/>
      <w:marLeft w:val="0"/>
      <w:marRight w:val="0"/>
      <w:marTop w:val="0"/>
      <w:marBottom w:val="0"/>
      <w:divBdr>
        <w:top w:val="none" w:sz="0" w:space="0" w:color="auto"/>
        <w:left w:val="none" w:sz="0" w:space="0" w:color="auto"/>
        <w:bottom w:val="none" w:sz="0" w:space="0" w:color="auto"/>
        <w:right w:val="none" w:sz="0" w:space="0" w:color="auto"/>
      </w:divBdr>
    </w:div>
    <w:div w:id="1347517364">
      <w:bodyDiv w:val="1"/>
      <w:marLeft w:val="0"/>
      <w:marRight w:val="0"/>
      <w:marTop w:val="0"/>
      <w:marBottom w:val="0"/>
      <w:divBdr>
        <w:top w:val="none" w:sz="0" w:space="0" w:color="auto"/>
        <w:left w:val="none" w:sz="0" w:space="0" w:color="auto"/>
        <w:bottom w:val="none" w:sz="0" w:space="0" w:color="auto"/>
        <w:right w:val="none" w:sz="0" w:space="0" w:color="auto"/>
      </w:divBdr>
    </w:div>
    <w:div w:id="20686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ature.com/articles/d41586-024-03100-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uidance/what-works-networ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oyalsociety.org/news-resources/projects/research-culture/"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professionalservices@UKSBS.co.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ukri.org/publications/research-initiatives-in-the-uk-repor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kri.org/manage-your-award/good-research-resource-hub/" TargetMode="External"/><Relationship Id="rId1" Type="http://schemas.openxmlformats.org/officeDocument/2006/relationships/hyperlink" Target="https://www.ukri.org/publications/ukri-strategy-2022-to-2027/ukri-strategy-2022-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_dlc_DocId xmlns="660eae09-7e71-49fd-b685-1710e5678a34">FMXVWQC2P5WE-2082122834-116093</_dlc_DocId>
    <_dlc_DocIdUrl xmlns="660eae09-7e71-49fd-b685-1710e5678a34">
      <Url>https://ukri.sharepoint.com/sites/og_strategy2/_layouts/15/DocIdRedir.aspx?ID=FMXVWQC2P5WE-2082122834-116093</Url>
      <Description>FMXVWQC2P5WE-2082122834-116093</Description>
    </_dlc_DocIdUrl>
  </documentManagement>
</p:properties>
</file>

<file path=customXml/item4.xml><?xml version="1.0" encoding="utf-8"?>
<?mso-contentType ?>
<SharedContentType xmlns="Microsoft.SharePoint.Taxonomy.ContentTypeSync" SourceId="2f5dd817-92c5-4985-aefa-795407915ae2" ContentTypeId="0x01010070578BAA2FD0B349B2A10FB98530B93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KRI Document" ma:contentTypeID="0x01010070578BAA2FD0B349B2A10FB98530B9300003D7875907F18B48B2D8455F3A1B4E09" ma:contentTypeVersion="8" ma:contentTypeDescription="Create a new document." ma:contentTypeScope="" ma:versionID="61d3219518d64289e6e09fb5f75f5215">
  <xsd:schema xmlns:xsd="http://www.w3.org/2001/XMLSchema" xmlns:xs="http://www.w3.org/2001/XMLSchema" xmlns:p="http://schemas.microsoft.com/office/2006/metadata/properties" xmlns:ns2="2e24dfb7-a69e-40eb-b94f-44b9ca9c25ed" xmlns:ns3="660eae09-7e71-49fd-b685-1710e5678a34" targetNamespace="http://schemas.microsoft.com/office/2006/metadata/properties" ma:root="true" ma:fieldsID="64d578dfbd4a816913fd43e343d14748" ns2:_="" ns3:_="">
    <xsd:import namespace="2e24dfb7-a69e-40eb-b94f-44b9ca9c25ed"/>
    <xsd:import namespace="660eae09-7e71-49fd-b685-1710e5678a34"/>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effa118-37a2-4fa5-9250-6caf81e86743}" ma:internalName="TaxCatchAll" ma:showField="CatchAllData" ma:web="660eae09-7e71-49fd-b685-1710e5678a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effa118-37a2-4fa5-9250-6caf81e86743}" ma:internalName="TaxCatchAllLabel" ma:readOnly="true" ma:showField="CatchAllDataLabel" ma:web="660eae09-7e71-49fd-b685-1710e5678a34">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eae09-7e71-49fd-b685-1710e5678a3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B6A959-E7BB-4ABE-AE42-E1D5001A88BF}">
  <ds:schemaRefs>
    <ds:schemaRef ds:uri="http://schemas.openxmlformats.org/officeDocument/2006/bibliography"/>
  </ds:schemaRefs>
</ds:datastoreItem>
</file>

<file path=customXml/itemProps2.xml><?xml version="1.0" encoding="utf-8"?>
<ds:datastoreItem xmlns:ds="http://schemas.openxmlformats.org/officeDocument/2006/customXml" ds:itemID="{73137F95-4477-4AC5-8772-5328FECF7062}">
  <ds:schemaRefs>
    <ds:schemaRef ds:uri="http://schemas.microsoft.com/office/2006/metadata/customXsn"/>
  </ds:schemaRefs>
</ds:datastoreItem>
</file>

<file path=customXml/itemProps3.xml><?xml version="1.0" encoding="utf-8"?>
<ds:datastoreItem xmlns:ds="http://schemas.openxmlformats.org/officeDocument/2006/customXml" ds:itemID="{067571AF-D4B3-4220-A54C-FEB9F8C0D502}">
  <ds:schemaRefs>
    <ds:schemaRef ds:uri="http://schemas.microsoft.com/office/2006/metadata/properties"/>
    <ds:schemaRef ds:uri="http://schemas.microsoft.com/office/infopath/2007/PartnerControls"/>
    <ds:schemaRef ds:uri="2e24dfb7-a69e-40eb-b94f-44b9ca9c25ed"/>
    <ds:schemaRef ds:uri="660eae09-7e71-49fd-b685-1710e5678a34"/>
  </ds:schemaRefs>
</ds:datastoreItem>
</file>

<file path=customXml/itemProps4.xml><?xml version="1.0" encoding="utf-8"?>
<ds:datastoreItem xmlns:ds="http://schemas.openxmlformats.org/officeDocument/2006/customXml" ds:itemID="{141EE3CE-C68B-43FF-8E2E-62593E1AD314}">
  <ds:schemaRefs>
    <ds:schemaRef ds:uri="Microsoft.SharePoint.Taxonomy.ContentTypeSync"/>
  </ds:schemaRefs>
</ds:datastoreItem>
</file>

<file path=customXml/itemProps5.xml><?xml version="1.0" encoding="utf-8"?>
<ds:datastoreItem xmlns:ds="http://schemas.openxmlformats.org/officeDocument/2006/customXml" ds:itemID="{965B47C1-ADD6-4237-880F-B65BE1D167FD}">
  <ds:schemaRefs>
    <ds:schemaRef ds:uri="http://schemas.microsoft.com/sharepoint/v3/contenttype/forms"/>
  </ds:schemaRefs>
</ds:datastoreItem>
</file>

<file path=customXml/itemProps6.xml><?xml version="1.0" encoding="utf-8"?>
<ds:datastoreItem xmlns:ds="http://schemas.openxmlformats.org/officeDocument/2006/customXml" ds:itemID="{56EA9CBD-6D31-4568-89E8-7F3EDCB0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660eae09-7e71-49fd-b685-1710e5678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3A803F3-FF46-4844-B0D1-CE7431D16F03}">
  <ds:schemaRefs>
    <ds:schemaRef ds:uri="http://schemas.microsoft.com/sharepoint/event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276</TotalTime>
  <Pages>8</Pages>
  <Words>3204</Words>
  <Characters>17972</Characters>
  <Application>Microsoft Office Word</Application>
  <DocSecurity>0</DocSecurity>
  <Lines>149</Lines>
  <Paragraphs>42</Paragraphs>
  <ScaleCrop>false</ScaleCrop>
  <Company/>
  <LinksUpToDate>false</LinksUpToDate>
  <CharactersWithSpaces>21134</CharactersWithSpaces>
  <SharedDoc>false</SharedDoc>
  <HLinks>
    <vt:vector size="24" baseType="variant">
      <vt:variant>
        <vt:i4>5439577</vt:i4>
      </vt:variant>
      <vt:variant>
        <vt:i4>3</vt:i4>
      </vt:variant>
      <vt:variant>
        <vt:i4>0</vt:i4>
      </vt:variant>
      <vt:variant>
        <vt:i4>5</vt:i4>
      </vt:variant>
      <vt:variant>
        <vt:lpwstr>https://royalsociety.org/news-resources/projects/research-culture/</vt:lpwstr>
      </vt:variant>
      <vt:variant>
        <vt:lpwstr>:~:text=Research%20culture%20encompasses%20the%20behaviours,research%20is%20conducted%20and%20communicated.</vt:lpwstr>
      </vt:variant>
      <vt:variant>
        <vt:i4>4653067</vt:i4>
      </vt:variant>
      <vt:variant>
        <vt:i4>0</vt:i4>
      </vt:variant>
      <vt:variant>
        <vt:i4>0</vt:i4>
      </vt:variant>
      <vt:variant>
        <vt:i4>5</vt:i4>
      </vt:variant>
      <vt:variant>
        <vt:lpwstr>https://www.ukri.org/publications/research-initiatives-in-the-uk-report/</vt:lpwstr>
      </vt:variant>
      <vt:variant>
        <vt:lpwstr/>
      </vt:variant>
      <vt:variant>
        <vt:i4>2949224</vt:i4>
      </vt:variant>
      <vt:variant>
        <vt:i4>3</vt:i4>
      </vt:variant>
      <vt:variant>
        <vt:i4>0</vt:i4>
      </vt:variant>
      <vt:variant>
        <vt:i4>5</vt:i4>
      </vt:variant>
      <vt:variant>
        <vt:lpwstr>https://www.ukri.org/manage-your-award/good-research-resource-hub/</vt:lpwstr>
      </vt:variant>
      <vt:variant>
        <vt:lpwstr/>
      </vt:variant>
      <vt:variant>
        <vt:i4>7995512</vt:i4>
      </vt:variant>
      <vt:variant>
        <vt:i4>0</vt:i4>
      </vt:variant>
      <vt:variant>
        <vt:i4>0</vt:i4>
      </vt:variant>
      <vt:variant>
        <vt:i4>5</vt:i4>
      </vt:variant>
      <vt:variant>
        <vt:lpwstr>https://www.ukri.org/publications/ukri-strategy-2022-to-2027/ukri-strategy-2022-to-2027/</vt:lpwstr>
      </vt:variant>
      <vt:variant>
        <vt:lpwstr>section-objective-2:-world-class-places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Hancock - UKRI</dc:creator>
  <cp:keywords/>
  <dc:description/>
  <cp:lastModifiedBy>Maria Znaiko - UKSBS</cp:lastModifiedBy>
  <cp:revision>36</cp:revision>
  <dcterms:created xsi:type="dcterms:W3CDTF">2024-09-24T14:42:00Z</dcterms:created>
  <dcterms:modified xsi:type="dcterms:W3CDTF">2024-09-30T11:45:00Z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0x01010070578BAA2FD0B349B2A10FB98530B9300003D7875907F18B48B2D8455F3A1B4E09</vt:lpwstr>
  </property>
  <property fmtid="{D5CDD505-2E9C-101B-9397-08002B2CF9AE}" pid="3" name="_dlc_DocIdItemGuid">
    <vt:lpwstr>e78c8c4d-93db-4986-a369-138fa06644d0</vt:lpwstr>
  </property>
  <property fmtid="{D5CDD505-2E9C-101B-9397-08002B2CF9AE}" pid="4" name="ResearchFundingDeliveryFilePlanType">
    <vt:lpwstr/>
  </property>
  <property fmtid="{D5CDD505-2E9C-101B-9397-08002B2CF9AE}" pid="5" name="b97c3250f7b04c30aa63e2026ec4fe4c">
    <vt:lpwstr/>
  </property>
  <property fmtid="{D5CDD505-2E9C-101B-9397-08002B2CF9AE}" pid="6" name="OfficeEstateFilePlanType">
    <vt:lpwstr/>
  </property>
  <property fmtid="{D5CDD505-2E9C-101B-9397-08002B2CF9AE}" pid="7" name="MediaServiceImageTags">
    <vt:lpwstr/>
  </property>
  <property fmtid="{D5CDD505-2E9C-101B-9397-08002B2CF9AE}" pid="8" name="f329cf70aa8f4d78a5a26ffed3e4f38d">
    <vt:lpwstr/>
  </property>
  <property fmtid="{D5CDD505-2E9C-101B-9397-08002B2CF9AE}" pid="9" name="SecurityClassification">
    <vt:lpwstr/>
  </property>
  <property fmtid="{D5CDD505-2E9C-101B-9397-08002B2CF9AE}" pid="10" name="b1c9c1c6c2094deb9ac911ab57cd8850">
    <vt:lpwstr/>
  </property>
  <property fmtid="{D5CDD505-2E9C-101B-9397-08002B2CF9AE}" pid="11" name="ResearchEstablishmentManagementFilePlanType">
    <vt:lpwstr/>
  </property>
  <property fmtid="{D5CDD505-2E9C-101B-9397-08002B2CF9AE}" pid="12" name="id0fe32627694999b792acc42b5022ab">
    <vt:lpwstr/>
  </property>
  <property fmtid="{D5CDD505-2E9C-101B-9397-08002B2CF9AE}" pid="13" name="p024bd6b174c437e84ffc1e93ad094ee">
    <vt:lpwstr/>
  </property>
  <property fmtid="{D5CDD505-2E9C-101B-9397-08002B2CF9AE}" pid="14" name="CommercialProcurementFilePlanType">
    <vt:lpwstr/>
  </property>
  <property fmtid="{D5CDD505-2E9C-101B-9397-08002B2CF9AE}" pid="15" name="f3f07ef962c94293af491c9752f302ad">
    <vt:lpwstr/>
  </property>
  <property fmtid="{D5CDD505-2E9C-101B-9397-08002B2CF9AE}" pid="16" name="CommsandEngagementFilePlanType">
    <vt:lpwstr/>
  </property>
  <property fmtid="{D5CDD505-2E9C-101B-9397-08002B2CF9AE}" pid="17" name="LegalFilePlanType">
    <vt:lpwstr/>
  </property>
  <property fmtid="{D5CDD505-2E9C-101B-9397-08002B2CF9AE}" pid="18" name="DocumentType">
    <vt:lpwstr/>
  </property>
  <property fmtid="{D5CDD505-2E9C-101B-9397-08002B2CF9AE}" pid="19" name="HealthandSafetyFilePlanType">
    <vt:lpwstr/>
  </property>
  <property fmtid="{D5CDD505-2E9C-101B-9397-08002B2CF9AE}" pid="20" name="pda65f85ef6a4571a87553d8377bbd1d">
    <vt:lpwstr/>
  </property>
  <property fmtid="{D5CDD505-2E9C-101B-9397-08002B2CF9AE}" pid="21" name="HumanResourcesFilePlanType">
    <vt:lpwstr/>
  </property>
  <property fmtid="{D5CDD505-2E9C-101B-9397-08002B2CF9AE}" pid="22" name="dbcced84d9644a0eb2bf6f70a0d1b2f3">
    <vt:lpwstr/>
  </property>
  <property fmtid="{D5CDD505-2E9C-101B-9397-08002B2CF9AE}" pid="23" name="GARIFilePlanType">
    <vt:lpwstr/>
  </property>
  <property fmtid="{D5CDD505-2E9C-101B-9397-08002B2CF9AE}" pid="24" name="FinanceFilePlanType">
    <vt:lpwstr/>
  </property>
  <property fmtid="{D5CDD505-2E9C-101B-9397-08002B2CF9AE}" pid="25" name="h572f34b5ac148b8836f52bdef45a53e">
    <vt:lpwstr/>
  </property>
  <property fmtid="{D5CDD505-2E9C-101B-9397-08002B2CF9AE}" pid="26" name="DigitalandTechnologyFilePlanType">
    <vt:lpwstr/>
  </property>
  <property fmtid="{D5CDD505-2E9C-101B-9397-08002B2CF9AE}" pid="27" name="c1f6421e985e4a22bd3168e130ff7c2a">
    <vt:lpwstr/>
  </property>
  <property fmtid="{D5CDD505-2E9C-101B-9397-08002B2CF9AE}" pid="28" name="PrivateOfficeFilePlanType">
    <vt:lpwstr/>
  </property>
  <property fmtid="{D5CDD505-2E9C-101B-9397-08002B2CF9AE}" pid="29" name="DocOriginBU">
    <vt:lpwstr/>
  </property>
  <property fmtid="{D5CDD505-2E9C-101B-9397-08002B2CF9AE}" pid="30" name="h287747c73744c17b97e76edfa34e9fa">
    <vt:lpwstr/>
  </property>
  <property fmtid="{D5CDD505-2E9C-101B-9397-08002B2CF9AE}" pid="31" name="lc95e293cc1e48cbaa285bca819a3678">
    <vt:lpwstr/>
  </property>
  <property fmtid="{D5CDD505-2E9C-101B-9397-08002B2CF9AE}" pid="32" name="b57a42b0f5104e499e5223978f8a3f56">
    <vt:lpwstr/>
  </property>
  <property fmtid="{D5CDD505-2E9C-101B-9397-08002B2CF9AE}" pid="33" name="StrategyPolicyandAnalysisFilePlanType">
    <vt:lpwstr/>
  </property>
  <property fmtid="{D5CDD505-2E9C-101B-9397-08002B2CF9AE}" pid="34" name="lcf76f155ced4ddcb4097134ff3c332f">
    <vt:lpwstr/>
  </property>
  <property fmtid="{D5CDD505-2E9C-101B-9397-08002B2CF9AE}" pid="35" name="GrammarlyDocumentId">
    <vt:lpwstr>06395afcbf1b476421503b4f6bf9e4a6c2091d2f7c6cabf75895ff22064af811</vt:lpwstr>
  </property>
  <property fmtid="{D5CDD505-2E9C-101B-9397-08002B2CF9AE}" pid="36" name="ClassificationContentMarkingHeaderShapeIds">
    <vt:lpwstr>7425f692,57b7eea3,73b79779</vt:lpwstr>
  </property>
  <property fmtid="{D5CDD505-2E9C-101B-9397-08002B2CF9AE}" pid="37" name="ClassificationContentMarkingHeaderFontProps">
    <vt:lpwstr>#000000,10,Calibri</vt:lpwstr>
  </property>
  <property fmtid="{D5CDD505-2E9C-101B-9397-08002B2CF9AE}" pid="38" name="ClassificationContentMarkingHeaderText">
    <vt:lpwstr>OFFICIAL</vt:lpwstr>
  </property>
  <property fmtid="{D5CDD505-2E9C-101B-9397-08002B2CF9AE}" pid="39" name="ClassificationContentMarkingFooterShapeIds">
    <vt:lpwstr>63f02702,ec12020,70c8e1f5</vt:lpwstr>
  </property>
  <property fmtid="{D5CDD505-2E9C-101B-9397-08002B2CF9AE}" pid="40" name="ClassificationContentMarkingFooterFontProps">
    <vt:lpwstr>#000000,10,Calibri</vt:lpwstr>
  </property>
  <property fmtid="{D5CDD505-2E9C-101B-9397-08002B2CF9AE}" pid="41" name="ClassificationContentMarkingFooterText">
    <vt:lpwstr>OFFICIAL</vt:lpwstr>
  </property>
</Properties>
</file>